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457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Pollack Jonathan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980"/>
        <w:spacing w:after="0" w:line="357" w:lineRule="auto"/>
        <w:rPr>
          <w:sz w:val="20"/>
          <w:szCs w:val="20"/>
          <w:color w:val="auto"/>
        </w:rPr>
      </w:pPr>
      <w:r>
        <w:rPr>
          <w:rFonts w:ascii="Arial" w:cs="Arial" w:eastAsia="Arial" w:hAnsi="Arial"/>
          <w:sz w:val="17"/>
          <w:szCs w:val="17"/>
          <w:color w:val="0000FF"/>
        </w:rPr>
        <w:t>14651 NORTH DALLAS PARKWAY SUITE 500</w:t>
      </w:r>
    </w:p>
    <w:p>
      <w:pPr>
        <w:spacing w:after="0" w:line="18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7"/>
                <w:szCs w:val="17"/>
                <w:color w:val="0000FF"/>
              </w:rPr>
              <w:t>DALLAS</w:t>
            </w:r>
          </w:p>
        </w:tc>
        <w:tc>
          <w:tcPr>
            <w:tcW w:w="1080" w:type="dxa"/>
            <w:vAlign w:val="bottom"/>
          </w:tcPr>
          <w:p>
            <w:pPr>
              <w:ind w:left="26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75254</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3740" w:type="dxa"/>
            <w:vAlign w:val="bottom"/>
            <w:gridSpan w:val="3"/>
          </w:tcPr>
          <w:p>
            <w:pPr>
              <w:spacing w:after="0" w:line="208" w:lineRule="exact"/>
              <w:rPr>
                <w:rFonts w:ascii="Arial" w:cs="Arial" w:eastAsia="Arial" w:hAnsi="Arial"/>
                <w:sz w:val="21"/>
                <w:szCs w:val="21"/>
                <w:color w:val="0000EE"/>
                <w:w w:val="98"/>
              </w:rPr>
            </w:pPr>
            <w:hyperlink r:id="rId13">
              <w:r>
                <w:rPr>
                  <w:rFonts w:ascii="Arial" w:cs="Arial" w:eastAsia="Arial" w:hAnsi="Arial"/>
                  <w:sz w:val="21"/>
                  <w:szCs w:val="21"/>
                  <w:color w:val="0000EE"/>
                  <w:w w:val="98"/>
                </w:rPr>
                <w:t xml:space="preserve">CECO ENVIRONMENTAL CORP </w:t>
              </w:r>
            </w:hyperlink>
            <w:r>
              <w:rPr>
                <w:rFonts w:ascii="Arial" w:cs="Arial" w:eastAsia="Arial" w:hAnsi="Arial"/>
                <w:sz w:val="21"/>
                <w:szCs w:val="21"/>
                <w:color w:val="000000"/>
                <w:w w:val="98"/>
              </w:rPr>
              <w:t>[</w:t>
            </w:r>
            <w:r>
              <w:rPr>
                <w:rFonts w:ascii="Arial" w:cs="Arial" w:eastAsia="Arial" w:hAnsi="Arial"/>
                <w:sz w:val="21"/>
                <w:szCs w:val="21"/>
                <w:color w:val="0000EE"/>
                <w:w w:val="98"/>
              </w:rPr>
              <w:t xml:space="preserve"> </w:t>
            </w:r>
            <w:r>
              <w:rPr>
                <w:rFonts w:ascii="Arial" w:cs="Arial" w:eastAsia="Arial" w:hAnsi="Arial"/>
                <w:sz w:val="17"/>
                <w:szCs w:val="17"/>
                <w:color w:val="0000FF"/>
                <w:w w:val="98"/>
              </w:rPr>
              <w:t>CECE</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shd w:val="clear" w:color="auto" w:fill="0000EE"/>
          </w:tcPr>
          <w:p>
            <w:pPr>
              <w:spacing w:after="0" w:line="27" w:lineRule="exact"/>
              <w:rPr>
                <w:rFonts w:ascii="Arial" w:cs="Arial" w:eastAsia="Arial" w:hAnsi="Arial"/>
                <w:sz w:val="3"/>
                <w:szCs w:val="3"/>
                <w:color w:val="auto"/>
              </w:rPr>
            </w:pPr>
            <w:hyperlink r:id="rId13">
              <w:r>
                <w:rPr>
                  <w:rFonts w:ascii="Arial" w:cs="Arial" w:eastAsia="Arial" w:hAnsi="Arial"/>
                  <w:sz w:val="3"/>
                  <w:szCs w:val="3"/>
                  <w:color w:val="auto"/>
                </w:rPr>
                <w:t>]</w:t>
              </w:r>
            </w:hyperlink>
          </w:p>
        </w:tc>
        <w:tc>
          <w:tcPr>
            <w:tcW w:w="2940" w:type="dxa"/>
            <w:vAlign w:val="bottom"/>
            <w:shd w:val="clear" w:color="auto" w:fill="0000EE"/>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ind w:left="80"/>
              <w:spacing w:after="0" w:line="27" w:lineRule="exact"/>
              <w:rPr>
                <w:sz w:val="20"/>
                <w:szCs w:val="20"/>
                <w:color w:val="auto"/>
              </w:rPr>
            </w:pPr>
            <w:r>
              <w:rPr>
                <w:rFonts w:ascii="Arial" w:cs="Arial" w:eastAsia="Arial" w:hAnsi="Arial"/>
                <w:sz w:val="3"/>
                <w:szCs w:val="3"/>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9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60" w:type="dxa"/>
            <w:vAlign w:val="bottom"/>
          </w:tcPr>
          <w:p>
            <w:pPr>
              <w:ind w:left="100"/>
              <w:spacing w:after="0" w:line="101" w:lineRule="exact"/>
              <w:rPr>
                <w:sz w:val="20"/>
                <w:szCs w:val="20"/>
                <w:color w:val="auto"/>
              </w:rPr>
            </w:pPr>
            <w:r>
              <w:rPr>
                <w:rFonts w:ascii="Arial" w:cs="Arial" w:eastAsia="Arial" w:hAnsi="Arial"/>
                <w:sz w:val="11"/>
                <w:szCs w:val="11"/>
                <w:color w:val="auto"/>
              </w:rPr>
              <w:t>below)</w:t>
            </w:r>
          </w:p>
        </w:tc>
        <w:tc>
          <w:tcPr>
            <w:tcW w:w="1440" w:type="dxa"/>
            <w:vAlign w:val="bottom"/>
          </w:tcPr>
          <w:p>
            <w:pPr>
              <w:ind w:left="300"/>
              <w:spacing w:after="0" w:line="101"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19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140" w:type="dxa"/>
            <w:vAlign w:val="bottom"/>
            <w:gridSpan w:val="3"/>
          </w:tcPr>
          <w:p>
            <w:pPr>
              <w:ind w:left="80"/>
              <w:spacing w:after="0"/>
              <w:rPr>
                <w:sz w:val="20"/>
                <w:szCs w:val="20"/>
                <w:color w:val="auto"/>
              </w:rPr>
            </w:pPr>
            <w:r>
              <w:rPr>
                <w:rFonts w:ascii="Arial" w:cs="Arial" w:eastAsia="Arial" w:hAnsi="Arial"/>
                <w:sz w:val="17"/>
                <w:szCs w:val="17"/>
                <w:color w:val="0000FF"/>
              </w:rPr>
              <w:t>05/25/2021</w:t>
            </w: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9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310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18" w:lineRule="exact"/>
        <w:rPr>
          <w:sz w:val="20"/>
          <w:szCs w:val="20"/>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3"/>
                <w:szCs w:val="23"/>
                <w:color w:val="auto"/>
              </w:rPr>
            </w:pPr>
          </w:p>
        </w:tc>
        <w:tc>
          <w:tcPr>
            <w:tcW w:w="1540" w:type="dxa"/>
            <w:vAlign w:val="bottom"/>
            <w:gridSpan w:val="2"/>
          </w:tcPr>
          <w:p>
            <w:pPr>
              <w:ind w:left="580"/>
              <w:spacing w:after="0"/>
              <w:rPr>
                <w:sz w:val="20"/>
                <w:szCs w:val="20"/>
                <w:color w:val="auto"/>
              </w:rPr>
            </w:pPr>
            <w:r>
              <w:rPr>
                <w:rFonts w:ascii="Arial" w:cs="Arial" w:eastAsia="Arial" w:hAnsi="Arial"/>
                <w:sz w:val="17"/>
                <w:szCs w:val="17"/>
                <w:color w:val="0000FF"/>
              </w:rPr>
              <w:t>05/25/2021</w:t>
            </w: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Pr>
          <w:p>
            <w:pPr>
              <w:ind w:left="160"/>
              <w:spacing w:after="0"/>
              <w:rPr>
                <w:sz w:val="20"/>
                <w:szCs w:val="20"/>
                <w:color w:val="auto"/>
              </w:rPr>
            </w:pPr>
            <w:r>
              <w:rPr>
                <w:rFonts w:ascii="Arial" w:cs="Arial" w:eastAsia="Arial" w:hAnsi="Arial"/>
                <w:sz w:val="17"/>
                <w:szCs w:val="17"/>
                <w:color w:val="0000FF"/>
              </w:rPr>
              <w:t>10,625</w:t>
            </w:r>
          </w:p>
        </w:tc>
        <w:tc>
          <w:tcPr>
            <w:tcW w:w="440" w:type="dxa"/>
            <w:vAlign w:val="bottom"/>
          </w:tcPr>
          <w:p>
            <w:pPr>
              <w:ind w:left="220"/>
              <w:spacing w:after="0"/>
              <w:rPr>
                <w:sz w:val="20"/>
                <w:szCs w:val="20"/>
                <w:color w:val="auto"/>
              </w:rPr>
            </w:pPr>
            <w:r>
              <w:rPr>
                <w:rFonts w:ascii="Arial" w:cs="Arial" w:eastAsia="Arial" w:hAnsi="Arial"/>
                <w:sz w:val="17"/>
                <w:szCs w:val="17"/>
                <w:color w:val="0000FF"/>
              </w:rPr>
              <w:t>A</w:t>
            </w:r>
          </w:p>
        </w:tc>
        <w:tc>
          <w:tcPr>
            <w:tcW w:w="620" w:type="dxa"/>
            <w:vAlign w:val="bottom"/>
            <w:gridSpan w:val="2"/>
          </w:tcPr>
          <w:p>
            <w:pPr>
              <w:ind w:left="2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91"/>
              </w:rPr>
              <w:t>100,371</w:t>
            </w:r>
          </w:p>
        </w:tc>
        <w:tc>
          <w:tcPr>
            <w:tcW w:w="28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Arial" w:cs="Arial" w:eastAsia="Arial" w:hAnsi="Arial"/>
                <w:sz w:val="17"/>
                <w:szCs w:val="17"/>
                <w:color w:val="0000FF"/>
              </w:rPr>
              <w:t>D</w:t>
            </w: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88,200</w:t>
            </w:r>
          </w:p>
        </w:tc>
        <w:tc>
          <w:tcPr>
            <w:tcW w:w="280" w:type="dxa"/>
            <w:vAlign w:val="bottom"/>
          </w:tcPr>
          <w:p>
            <w:pPr>
              <w:spacing w:after="0"/>
              <w:rPr>
                <w:sz w:val="22"/>
                <w:szCs w:val="22"/>
                <w:color w:val="auto"/>
              </w:rPr>
            </w:pPr>
          </w:p>
        </w:tc>
        <w:tc>
          <w:tcPr>
            <w:tcW w:w="64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(1)</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9"/>
              </w:rPr>
              <w:t>2,300</w:t>
            </w:r>
          </w:p>
        </w:tc>
        <w:tc>
          <w:tcPr>
            <w:tcW w:w="280" w:type="dxa"/>
            <w:vAlign w:val="bottom"/>
          </w:tcPr>
          <w:p>
            <w:pPr>
              <w:spacing w:after="0"/>
              <w:rPr>
                <w:sz w:val="22"/>
                <w:szCs w:val="22"/>
                <w:color w:val="auto"/>
              </w:rPr>
            </w:pPr>
          </w:p>
        </w:tc>
        <w:tc>
          <w:tcPr>
            <w:tcW w:w="64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66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are owned directly by JMP FAM Holdings Inc., and indirectly by Jonathan Pollack. Jonathan Pollack is deemed to control JMP FAM Holdings Inc. because he has sole voting and dispositive power of the shares of common stock of the Issuer owned directly by JMP FAM Holdings Inc. Remarks</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/s/ Paul M. Gohr, Attorney-in- </w:t>
      </w:r>
      <w:r>
        <w:rPr>
          <w:rFonts w:ascii="Arial" w:cs="Arial" w:eastAsia="Arial" w:hAnsi="Arial"/>
          <w:sz w:val="34"/>
          <w:szCs w:val="34"/>
          <w:color w:val="0000FF"/>
          <w:vertAlign w:val="subscript"/>
        </w:rPr>
        <w:t>05/26/2021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3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350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 for Jonathan Pollack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20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2077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403564" TargetMode="External"/><Relationship Id="rId13" Type="http://schemas.openxmlformats.org/officeDocument/2006/relationships/hyperlink" Target="http://www.sec.gov/cgi-bin/browse-edgar?action=getcompany&amp;CIK=00000031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2021-05-26T17:08:51Z</dcterms:created>
  <dcterms:modified xsi:type="dcterms:W3CDTF">2021-05-26T17:08:51Z</dcterms:modified>
</cp:coreProperties>
</file>