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2820" w:hanging="312"/>
        <w:spacing w:after="0"/>
        <w:tabs>
          <w:tab w:leader="none" w:pos="28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2720" w:hanging="314"/>
        <w:spacing w:after="0"/>
        <w:tabs>
          <w:tab w:leader="none" w:pos="27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6" w:lineRule="exact"/>
        <w:rPr>
          <w:sz w:val="24"/>
          <w:szCs w:val="24"/>
          <w:color w:val="auto"/>
        </w:rPr>
      </w:pPr>
    </w:p>
    <w:p>
      <w:pPr>
        <w:ind w:left="3860"/>
        <w:spacing w:after="0"/>
        <w:tabs>
          <w:tab w:leader="none" w:pos="71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38735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490855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62230</wp:posOffset>
            </wp:positionV>
            <wp:extent cx="73723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80" w:type="dxa"/>
            <w:vAlign w:val="bottom"/>
            <w:gridSpan w:val="2"/>
          </w:tcPr>
          <w:p>
            <w:pPr>
              <w:jc w:val="right"/>
              <w:ind w:right="18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800" w:type="dxa"/>
            <w:vAlign w:val="bottom"/>
          </w:tcPr>
          <w:p>
            <w:pPr>
              <w:spacing w:after="0"/>
              <w:rPr>
                <w:sz w:val="13"/>
                <w:szCs w:val="13"/>
                <w:color w:val="auto"/>
              </w:rPr>
            </w:pPr>
          </w:p>
        </w:tc>
        <w:tc>
          <w:tcPr>
            <w:tcW w:w="3200" w:type="dxa"/>
            <w:vAlign w:val="bottom"/>
          </w:tcPr>
          <w:p>
            <w:pPr>
              <w:jc w:val="center"/>
              <w:ind w:left="641"/>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40" w:type="dxa"/>
            <w:vAlign w:val="bottom"/>
          </w:tcPr>
          <w:p>
            <w:pPr>
              <w:jc w:val="center"/>
              <w:ind w:right="84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00" w:type="dxa"/>
            <w:vAlign w:val="bottom"/>
          </w:tcPr>
          <w:p>
            <w:pPr>
              <w:spacing w:after="0"/>
              <w:rPr>
                <w:sz w:val="16"/>
                <w:szCs w:val="16"/>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tcPr>
          <w:p>
            <w:pPr>
              <w:jc w:val="center"/>
              <w:ind w:right="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1"/>
        </w:trPr>
        <w:tc>
          <w:tcPr>
            <w:tcW w:w="800" w:type="dxa"/>
            <w:vAlign w:val="bottom"/>
          </w:tcPr>
          <w:p>
            <w:pPr>
              <w:spacing w:after="0"/>
              <w:rPr>
                <w:sz w:val="24"/>
                <w:szCs w:val="24"/>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20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12"/>
        </w:trPr>
        <w:tc>
          <w:tcPr>
            <w:tcW w:w="800" w:type="dxa"/>
            <w:vAlign w:val="bottom"/>
          </w:tcPr>
          <w:p>
            <w:pPr>
              <w:spacing w:after="0"/>
              <w:rPr>
                <w:sz w:val="18"/>
                <w:szCs w:val="18"/>
                <w:color w:val="auto"/>
              </w:rPr>
            </w:pPr>
          </w:p>
        </w:tc>
        <w:tc>
          <w:tcPr>
            <w:tcW w:w="3200" w:type="dxa"/>
            <w:vAlign w:val="bottom"/>
          </w:tcPr>
          <w:p>
            <w:pPr>
              <w:jc w:val="center"/>
              <w:ind w:left="661"/>
              <w:spacing w:after="0"/>
              <w:rPr>
                <w:sz w:val="20"/>
                <w:szCs w:val="20"/>
                <w:color w:val="auto"/>
              </w:rPr>
            </w:pPr>
            <w:r>
              <w:rPr>
                <w:rFonts w:ascii="Times New Roman" w:cs="Times New Roman" w:eastAsia="Times New Roman" w:hAnsi="Times New Roman"/>
                <w:sz w:val="16"/>
                <w:szCs w:val="16"/>
                <w:b w:val="1"/>
                <w:bCs w:val="1"/>
                <w:color w:val="auto"/>
                <w:w w:val="99"/>
              </w:rPr>
              <w:t>Dallas, Texas</w:t>
            </w: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80" w:type="dxa"/>
            <w:vAlign w:val="bottom"/>
            <w:gridSpan w:val="2"/>
          </w:tcPr>
          <w:p>
            <w:pPr>
              <w:jc w:val="right"/>
              <w:ind w:right="200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8"/>
        </w:trPr>
        <w:tc>
          <w:tcPr>
            <w:tcW w:w="800" w:type="dxa"/>
            <w:vAlign w:val="bottom"/>
          </w:tcPr>
          <w:p>
            <w:pPr>
              <w:spacing w:after="0"/>
              <w:rPr>
                <w:sz w:val="17"/>
                <w:szCs w:val="17"/>
                <w:color w:val="auto"/>
              </w:rPr>
            </w:pPr>
          </w:p>
        </w:tc>
        <w:tc>
          <w:tcPr>
            <w:tcW w:w="3200" w:type="dxa"/>
            <w:vAlign w:val="bottom"/>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tcPr>
          <w:p>
            <w:pPr>
              <w:jc w:val="center"/>
              <w:ind w:right="8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7"/>
        </w:trPr>
        <w:tc>
          <w:tcPr>
            <w:tcW w:w="800" w:type="dxa"/>
            <w:vAlign w:val="bottom"/>
          </w:tcPr>
          <w:p>
            <w:pPr>
              <w:spacing w:after="0"/>
              <w:rPr>
                <w:sz w:val="21"/>
                <w:szCs w:val="21"/>
                <w:color w:val="auto"/>
              </w:rPr>
            </w:pPr>
          </w:p>
        </w:tc>
        <w:tc>
          <w:tcPr>
            <w:tcW w:w="9980" w:type="dxa"/>
            <w:vAlign w:val="bottom"/>
            <w:gridSpan w:val="5"/>
          </w:tcPr>
          <w:p>
            <w:pPr>
              <w:jc w:val="center"/>
              <w:ind w:right="24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357-6181</w:t>
            </w:r>
          </w:p>
        </w:tc>
      </w:tr>
      <w:tr>
        <w:trPr>
          <w:trHeight w:val="259"/>
        </w:trPr>
        <w:tc>
          <w:tcPr>
            <w:tcW w:w="800" w:type="dxa"/>
            <w:vAlign w:val="bottom"/>
          </w:tcPr>
          <w:p>
            <w:pPr>
              <w:spacing w:after="0"/>
              <w:rPr>
                <w:sz w:val="22"/>
                <w:szCs w:val="22"/>
                <w:color w:val="auto"/>
              </w:rPr>
            </w:pPr>
          </w:p>
        </w:tc>
        <w:tc>
          <w:tcPr>
            <w:tcW w:w="9980" w:type="dxa"/>
            <w:vAlign w:val="bottom"/>
            <w:tcBorders>
              <w:bottom w:val="single" w:sz="8" w:color="auto"/>
            </w:tcBorders>
            <w:gridSpan w:val="5"/>
          </w:tcPr>
          <w:p>
            <w:pPr>
              <w:jc w:val="center"/>
              <w:ind w:right="264"/>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Act:</w:t>
            </w:r>
          </w:p>
        </w:tc>
      </w:tr>
      <w:tr>
        <w:trPr>
          <w:trHeight w:val="220"/>
        </w:trPr>
        <w:tc>
          <w:tcPr>
            <w:tcW w:w="800" w:type="dxa"/>
            <w:vAlign w:val="bottom"/>
            <w:tcBorders>
              <w:right w:val="single" w:sz="8" w:color="auto"/>
            </w:tcBorders>
          </w:tcPr>
          <w:p>
            <w:pPr>
              <w:spacing w:after="0"/>
              <w:rPr>
                <w:sz w:val="19"/>
                <w:szCs w:val="19"/>
                <w:color w:val="auto"/>
              </w:rPr>
            </w:pPr>
          </w:p>
        </w:tc>
        <w:tc>
          <w:tcPr>
            <w:tcW w:w="320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Title of each class</w:t>
            </w:r>
          </w:p>
        </w:tc>
        <w:tc>
          <w:tcPr>
            <w:tcW w:w="380" w:type="dxa"/>
            <w:vAlign w:val="bottom"/>
            <w:tcBorders>
              <w:right w:val="single" w:sz="8" w:color="auto"/>
            </w:tcBorders>
          </w:tcPr>
          <w:p>
            <w:pPr>
              <w:spacing w:after="0"/>
              <w:rPr>
                <w:sz w:val="19"/>
                <w:szCs w:val="19"/>
                <w:color w:val="auto"/>
              </w:rPr>
            </w:pPr>
          </w:p>
        </w:tc>
        <w:tc>
          <w:tcPr>
            <w:tcW w:w="2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Trading Symbol</w:t>
            </w:r>
          </w:p>
        </w:tc>
        <w:tc>
          <w:tcPr>
            <w:tcW w:w="24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77"/>
        </w:trPr>
        <w:tc>
          <w:tcPr>
            <w:tcW w:w="800" w:type="dxa"/>
            <w:vAlign w:val="bottom"/>
            <w:tcBorders>
              <w:right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r>
        <w:trPr>
          <w:trHeight w:val="190"/>
        </w:trPr>
        <w:tc>
          <w:tcPr>
            <w:tcW w:w="800" w:type="dxa"/>
            <w:vAlign w:val="bottom"/>
            <w:tcBorders>
              <w:right w:val="single" w:sz="8" w:color="auto"/>
            </w:tcBorders>
          </w:tcPr>
          <w:p>
            <w:pPr>
              <w:spacing w:after="0"/>
              <w:rPr>
                <w:sz w:val="16"/>
                <w:szCs w:val="16"/>
                <w:color w:val="auto"/>
              </w:rPr>
            </w:pPr>
          </w:p>
        </w:tc>
        <w:tc>
          <w:tcPr>
            <w:tcW w:w="320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80" w:type="dxa"/>
            <w:vAlign w:val="bottom"/>
            <w:tcBorders>
              <w:right w:val="single" w:sz="8" w:color="auto"/>
            </w:tcBorders>
          </w:tcPr>
          <w:p>
            <w:pPr>
              <w:spacing w:after="0"/>
              <w:rPr>
                <w:sz w:val="16"/>
                <w:szCs w:val="16"/>
                <w:color w:val="auto"/>
              </w:rPr>
            </w:pPr>
          </w:p>
        </w:tc>
        <w:tc>
          <w:tcPr>
            <w:tcW w:w="25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CECO</w:t>
            </w:r>
          </w:p>
        </w:tc>
        <w:tc>
          <w:tcPr>
            <w:tcW w:w="24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6"/>
        </w:trPr>
        <w:tc>
          <w:tcPr>
            <w:tcW w:w="800" w:type="dxa"/>
            <w:vAlign w:val="bottom"/>
            <w:tcBorders>
              <w:right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gridSpan w:val="2"/>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18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7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r>
      <w:tr>
        <w:trPr>
          <w:trHeight w:val="170"/>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88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26"/>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88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1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7"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 w:lineRule="exact"/>
        <w:rPr>
          <w:sz w:val="24"/>
          <w:szCs w:val="24"/>
          <w:color w:val="auto"/>
        </w:rPr>
      </w:pPr>
    </w:p>
    <w:p>
      <w:pPr>
        <w:ind w:right="3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72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aggregate market value of voting and non-voting common stock held by non-affiliates of the registrant was $151.4 million based upon the closing market price and shares of common stock outstanding as of June 30, 2022,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28, 2023, the registrant had 34,419,948 shares of common stock, par value $0.01 per share, outstanding.</w:t>
      </w:r>
    </w:p>
    <w:p>
      <w:pPr>
        <w:spacing w:after="0" w:line="4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Portions of the definitive Proxy Statement for the 2023 Annual Meeting of Stockholders, which is to be filed with the Securities and Exchange Commission within 120 days of the fiscal year ended December 31, 2022,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0" w:type="dxa"/>
            <w:vAlign w:val="bottom"/>
          </w:tcPr>
          <w:p>
            <w:pPr>
              <w:spacing w:after="0"/>
              <w:rPr>
                <w:sz w:val="16"/>
                <w:szCs w:val="16"/>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371"/>
        </w:trPr>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7520" w:type="dxa"/>
            <w:vAlign w:val="bottom"/>
            <w:gridSpan w:val="2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1A.</w:t>
            </w:r>
          </w:p>
        </w:tc>
        <w:tc>
          <w:tcPr>
            <w:tcW w:w="20" w:type="dxa"/>
            <w:vAlign w:val="bottom"/>
          </w:tcPr>
          <w:p>
            <w:pPr>
              <w:spacing w:after="0"/>
              <w:rPr>
                <w:sz w:val="24"/>
                <w:szCs w:val="24"/>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7260" w:type="dxa"/>
            <w:vAlign w:val="bottom"/>
            <w:gridSpan w:val="19"/>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24"/>
                <w:szCs w:val="24"/>
                <w:color w:val="auto"/>
              </w:rPr>
            </w:pPr>
          </w:p>
        </w:tc>
        <w:tc>
          <w:tcPr>
            <w:tcW w:w="2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140" w:type="dxa"/>
            <w:vAlign w:val="bottom"/>
            <w:gridSpan w:val="1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II.</w:t>
            </w: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2"/>
        </w:trPr>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Securities</w:t>
            </w: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7A.</w:t>
            </w:r>
          </w:p>
        </w:tc>
        <w:tc>
          <w:tcPr>
            <w:tcW w:w="20" w:type="dxa"/>
            <w:vAlign w:val="bottom"/>
          </w:tcPr>
          <w:p>
            <w:pPr>
              <w:spacing w:after="0"/>
              <w:rPr>
                <w:sz w:val="24"/>
                <w:szCs w:val="24"/>
                <w:color w:val="auto"/>
              </w:rPr>
            </w:pPr>
          </w:p>
        </w:tc>
        <w:tc>
          <w:tcPr>
            <w:tcW w:w="64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40" w:type="dxa"/>
            <w:vAlign w:val="bottom"/>
            <w:gridSpan w:val="4"/>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3840" w:type="dxa"/>
            <w:vAlign w:val="bottom"/>
            <w:gridSpan w:val="7"/>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9A.</w:t>
            </w:r>
          </w:p>
        </w:tc>
        <w:tc>
          <w:tcPr>
            <w:tcW w:w="20" w:type="dxa"/>
            <w:vAlign w:val="bottom"/>
          </w:tcPr>
          <w:p>
            <w:pPr>
              <w:spacing w:after="0"/>
              <w:rPr>
                <w:sz w:val="24"/>
                <w:szCs w:val="24"/>
                <w:color w:val="auto"/>
              </w:rPr>
            </w:pPr>
          </w:p>
        </w:tc>
        <w:tc>
          <w:tcPr>
            <w:tcW w:w="17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3"/>
          </w:tcPr>
          <w:p>
            <w:pPr>
              <w:spacing w:after="0"/>
              <w:rPr>
                <w:sz w:val="24"/>
                <w:szCs w:val="24"/>
                <w:color w:val="auto"/>
              </w:rPr>
            </w:pPr>
          </w:p>
        </w:tc>
        <w:tc>
          <w:tcPr>
            <w:tcW w:w="1720" w:type="dxa"/>
            <w:vAlign w:val="bottom"/>
            <w:gridSpan w:val="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9B.</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9C</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72"/>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III.</w:t>
            </w:r>
          </w:p>
        </w:tc>
        <w:tc>
          <w:tcPr>
            <w:tcW w:w="16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6"/>
          </w:tcPr>
          <w:p>
            <w:pPr>
              <w:spacing w:after="0"/>
              <w:rPr>
                <w:sz w:val="24"/>
                <w:szCs w:val="24"/>
                <w:color w:val="auto"/>
              </w:rPr>
            </w:pPr>
          </w:p>
        </w:tc>
        <w:tc>
          <w:tcPr>
            <w:tcW w:w="4100" w:type="dxa"/>
            <w:vAlign w:val="bottom"/>
            <w:gridSpan w:val="8"/>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24"/>
                <w:szCs w:val="24"/>
                <w:color w:val="auto"/>
              </w:rPr>
            </w:pPr>
          </w:p>
        </w:tc>
        <w:tc>
          <w:tcPr>
            <w:tcW w:w="72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gridSpan w:val="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24"/>
                <w:szCs w:val="24"/>
                <w:color w:val="auto"/>
              </w:rPr>
            </w:pPr>
          </w:p>
        </w:tc>
        <w:tc>
          <w:tcPr>
            <w:tcW w:w="5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740" w:type="dxa"/>
            <w:vAlign w:val="bottom"/>
            <w:gridSpan w:val="5"/>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2"/>
        </w:trPr>
        <w:tc>
          <w:tcPr>
            <w:tcW w:w="20" w:type="dxa"/>
            <w:vAlign w:val="bottom"/>
            <w:tcBorders>
              <w:bottom w:val="single" w:sz="8" w:color="0000EE"/>
            </w:tcBorders>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6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24"/>
                <w:szCs w:val="24"/>
                <w:color w:val="auto"/>
              </w:rPr>
            </w:pPr>
          </w:p>
        </w:tc>
        <w:tc>
          <w:tcPr>
            <w:tcW w:w="8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72"/>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16.</w:t>
            </w:r>
          </w:p>
        </w:tc>
        <w:tc>
          <w:tcPr>
            <w:tcW w:w="20" w:type="dxa"/>
            <w:vAlign w:val="bottom"/>
          </w:tcPr>
          <w:p>
            <w:pPr>
              <w:spacing w:after="0"/>
              <w:rPr>
                <w:sz w:val="24"/>
                <w:szCs w:val="24"/>
                <w:color w:val="auto"/>
              </w:rPr>
            </w:pPr>
          </w:p>
        </w:tc>
        <w:tc>
          <w:tcPr>
            <w:tcW w:w="31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40" w:type="dxa"/>
            <w:vAlign w:val="bottom"/>
            <w:gridSpan w:val="11"/>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71"/>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18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 and</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"our" or the “Company”) is a leading environmentally focused, diversified industrial company, serving the broad landscape of industrial air, industrial water and energy transition markets globally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efficiency for highly 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80"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With an installed base of operating systems and equipment in excess of $6 billion, we are targeting to grow a higher share of recurring revenue from aftermarket products and installed base value-added services, which we believe will provide a greater customer retention and loyalty, and increased business resiliency.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and aircraft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and lightweight, high-strength metals production.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demand for our products and services will continue to be driven by the following factors:</w:t>
      </w:r>
    </w:p>
    <w:p>
      <w:pPr>
        <w:spacing w:after="0" w:line="223" w:lineRule="exact"/>
        <w:rPr>
          <w:sz w:val="20"/>
          <w:szCs w:val="20"/>
          <w:color w:val="auto"/>
        </w:rPr>
      </w:pPr>
    </w:p>
    <w:p>
      <w:pPr>
        <w:ind w:left="1020" w:right="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Focus on the Environment. </w:t>
      </w:r>
      <w:r>
        <w:rPr>
          <w:rFonts w:ascii="Times New Roman" w:cs="Times New Roman" w:eastAsia="Times New Roman" w:hAnsi="Times New Roman"/>
          <w:sz w:val="18"/>
          <w:szCs w:val="18"/>
          <w:color w:val="auto"/>
        </w:rPr>
        <w:t>Increased demand for efficient solutions and reduced air and water emissions remains at the forefront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Increasingly Stringent Regulatory Environment</w:t>
      </w:r>
      <w:r>
        <w:rPr>
          <w:rFonts w:ascii="Times New Roman" w:cs="Times New Roman" w:eastAsia="Times New Roman" w:hAnsi="Times New Roman"/>
          <w:sz w:val="18"/>
          <w:szCs w:val="18"/>
          <w:color w:val="auto"/>
        </w:rPr>
        <w:t>. The adoption of increasingly stringent environmental regulations globally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Investment Climate for Net-zero Technologies. </w:t>
      </w:r>
      <w:r>
        <w:rPr>
          <w:rFonts w:ascii="Times New Roman" w:cs="Times New Roman" w:eastAsia="Times New Roman" w:hAnsi="Times New Roman"/>
          <w:sz w:val="18"/>
          <w:szCs w:val="18"/>
          <w:color w:val="auto"/>
        </w:rPr>
        <w:t>Our businesses are positively impacted by capital expenditures on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climate change and improve environmental outcomes.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Emerging Market Industrialization. </w:t>
      </w:r>
      <w:r>
        <w:rPr>
          <w:rFonts w:ascii="Times New Roman" w:cs="Times New Roman" w:eastAsia="Times New Roman" w:hAnsi="Times New Roman"/>
          <w:sz w:val="18"/>
          <w:szCs w:val="18"/>
          <w:color w:val="auto"/>
        </w:rPr>
        <w:t>The rapid expansion of manufacturing in emerging economies increases the demand for our industrial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and pollution controls for newly constructed and upgraded facilities. For investments 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1020" w:right="280"/>
        <w:spacing w:after="0" w:line="266" w:lineRule="auto"/>
        <w:rPr>
          <w:sz w:val="20"/>
          <w:szCs w:val="20"/>
          <w:color w:val="auto"/>
        </w:rPr>
      </w:pPr>
      <w:r>
        <w:rPr>
          <w:rFonts w:ascii="Times New Roman" w:cs="Times New Roman" w:eastAsia="Times New Roman" w:hAnsi="Times New Roman"/>
          <w:sz w:val="18"/>
          <w:szCs w:val="18"/>
          <w:color w:val="auto"/>
        </w:rPr>
        <w:t>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66" w:lineRule="exact"/>
        <w:rPr>
          <w:sz w:val="20"/>
          <w:szCs w:val="20"/>
          <w:color w:val="auto"/>
        </w:rPr>
      </w:pPr>
    </w:p>
    <w:p>
      <w:pPr>
        <w:ind w:left="1020" w:right="4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Developed Market Industrial Reshoring. </w:t>
      </w:r>
      <w:r>
        <w:rPr>
          <w:rFonts w:ascii="Times New Roman" w:cs="Times New Roman" w:eastAsia="Times New Roman" w:hAnsi="Times New Roman"/>
          <w:sz w:val="18"/>
          <w:szCs w:val="18"/>
          <w:color w:val="auto"/>
        </w:rPr>
        <w:t>The industries in which we operate have historically embraced a global supply chain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advantages by offshoring select production and services. Today many companies are relocating their global supply chains to resume in-region. We believe the re-shoring of manufacturing operations is a driver of business growth.</w:t>
      </w:r>
    </w:p>
    <w:p>
      <w:pPr>
        <w:spacing w:after="0" w:line="65"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and Renewal of Infrastructure. </w:t>
      </w:r>
      <w:r>
        <w:rPr>
          <w:rFonts w:ascii="Times New Roman" w:cs="Times New Roman" w:eastAsia="Times New Roman" w:hAnsi="Times New Roman"/>
          <w:sz w:val="18"/>
          <w:szCs w:val="18"/>
          <w:color w:val="auto"/>
        </w:rPr>
        <w:t>There is a growing trend to better manage and reduce air and water emissions which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solutions equipment will serve. In 2021, the US Congress passed the Infrastructure Investment and Jobs Act with $550 billion of new federal spending aimed at rebuilding roads and bridges, improving climate resilience, and improving environmental outcomes. As industrial capital expenditures grow, corporations are seeking to make these investments with a smaller environmental impact. This new spending serves as a driver of increased interest for our portfolio of products and solutions.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Scarcity. </w:t>
      </w:r>
      <w:r>
        <w:rPr>
          <w:rFonts w:ascii="Times New Roman" w:cs="Times New Roman" w:eastAsia="Times New Roman" w:hAnsi="Times New Roman"/>
          <w:sz w:val="18"/>
          <w:szCs w:val="18"/>
          <w:color w:val="auto"/>
        </w:rPr>
        <w:t>There are increasing risks associated with water quality and water access around the globe. Protecting water resources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71"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Demand for Electrical Power Generation. </w:t>
      </w:r>
      <w:r>
        <w:rPr>
          <w:rFonts w:ascii="Times New Roman" w:cs="Times New Roman" w:eastAsia="Times New Roman" w:hAnsi="Times New Roman"/>
          <w:sz w:val="18"/>
          <w:szCs w:val="18"/>
          <w:color w:val="auto"/>
        </w:rPr>
        <w:t>An accelerating shift away from traditional fossil fuel powered electricity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8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Natural Gas Infrastructure</w:t>
      </w:r>
      <w:r>
        <w:rPr>
          <w:rFonts w:ascii="Times New Roman" w:cs="Times New Roman" w:eastAsia="Times New Roman" w:hAnsi="Times New Roman"/>
          <w:sz w:val="18"/>
          <w:szCs w:val="18"/>
          <w:color w:val="auto"/>
        </w:rPr>
        <w:t>. The International Energy Association projects a pronounced shift in Organization for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Hydrocarbon Processing</w:t>
      </w:r>
      <w:r>
        <w:rPr>
          <w:rFonts w:ascii="Times New Roman" w:cs="Times New Roman" w:eastAsia="Times New Roman" w:hAnsi="Times New Roman"/>
          <w:sz w:val="18"/>
          <w:szCs w:val="18"/>
          <w:color w:val="auto"/>
        </w:rPr>
        <w:t>. Hydrocarbon processing involves the production, refining, and processing of hydrocarbons and organic chemicals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Strategy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mission is to help companies grow their business with safe, clean and more efficient solutions that help protect their people, the environment and their industrial equipment and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constantly look for opportunities to apply our technology and expertise to new customers and in new geographies in our existing end markets, and to enter new end markets with our existing set of products and solutions. Acquisitions are a big part of our growth model and we constantly are seeking out value-added, accretive additions to the CECO portfolio aligned with our strategic focus in industrial air, industrial water and the energy transition.</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intend to continue to expand our customer base and end markets and have continued to pursue potential attractive growth opportunities both domestically and internationally. In the past few years, we have expanded our international presence with new sales &amp; engineering hubs in the United Kingdom, Shanghai (China), Singapore, Pune (India), and Dubai.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reportable segments continue to be focused on attractive end markets and each segment is aligned to generate profitable growth for the Company with a compelling technology and solution set to benefit customers.</w:t>
      </w:r>
    </w:p>
    <w:p>
      <w:pPr>
        <w:spacing w:after="0" w:line="158" w:lineRule="exact"/>
        <w:rPr>
          <w:sz w:val="20"/>
          <w:szCs w:val="20"/>
          <w:color w:val="auto"/>
        </w:rPr>
      </w:pPr>
    </w:p>
    <w:p>
      <w:pPr>
        <w:ind w:left="760" w:hanging="378"/>
        <w:spacing w:after="0" w:line="26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&amp; gas sectors. We are a key part of helping meet the global demand for environmental and equipment protection solutions with our highly engineered platforms including emissions control, fluid bed cyclones, thermal acoustics, separation &amp; filtration, and dampers &amp; expansion joints.</w:t>
      </w:r>
    </w:p>
    <w:p>
      <w:pPr>
        <w:spacing w:after="0" w:line="176"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we assist companies maintain clean and safe operations for employees, reduce energy consumption, minimize waste for customers, and ensure they meet regulatory standards for toxic emissions, fumes, volatile organic compounds, and odor elimination through our platforms including duct fabrication &amp; installation, industrial air, and fluid handling.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Leading market position as a complete solution provider</w:t>
      </w:r>
      <w:r>
        <w:rPr>
          <w:rFonts w:ascii="Times New Roman" w:cs="Times New Roman" w:eastAsia="Times New Roman" w:hAnsi="Times New Roman"/>
          <w:sz w:val="18"/>
          <w:szCs w:val="18"/>
          <w:color w:val="auto"/>
        </w:rPr>
        <w:t>. We believe we are a leading provider of critical solutions in industrial air quality, industrial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Long-standing experience and customer relationships in growing industry</w:t>
      </w:r>
      <w:r>
        <w:rPr>
          <w:rFonts w:ascii="Times New Roman" w:cs="Times New Roman" w:eastAsia="Times New Roman" w:hAnsi="Times New Roman"/>
          <w:sz w:val="18"/>
          <w:szCs w:val="18"/>
          <w:color w:val="auto"/>
        </w:rPr>
        <w:t>. We have serviced the needs of our target markets for over 50 years.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Diversified equipment and solution portfolio and broad customer base. </w:t>
      </w:r>
      <w:r>
        <w:rPr>
          <w:rFonts w:ascii="Times New Roman" w:cs="Times New Roman" w:eastAsia="Times New Roman" w:hAnsi="Times New Roman"/>
          <w:sz w:val="18"/>
          <w:szCs w:val="18"/>
          <w:color w:val="auto"/>
        </w:rPr>
        <w:t>The global diversity of our offering and footprint and customer base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and engineering team. </w:t>
      </w:r>
      <w:r>
        <w:rPr>
          <w:rFonts w:ascii="Times New Roman" w:cs="Times New Roman" w:eastAsia="Times New Roman" w:hAnsi="Times New Roman"/>
          <w:sz w:val="18"/>
          <w:szCs w:val="18"/>
          <w:color w:val="auto"/>
        </w:rPr>
        <w:t>Our business management team has substantial experience in delivering highly-engineered solutions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Innovative solutions</w:t>
      </w:r>
      <w:r>
        <w:rPr>
          <w:rFonts w:ascii="Times New Roman" w:cs="Times New Roman" w:eastAsia="Times New Roman" w:hAnsi="Times New Roman"/>
          <w:sz w:val="18"/>
          <w:szCs w:val="18"/>
          <w:color w:val="auto"/>
        </w:rPr>
        <w:t>. We leverage our engineering and manufacturing expertise, fabrication partner network, and strong customer relationships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Disciplined acquisition program with successful integration</w:t>
      </w:r>
      <w:r>
        <w:rPr>
          <w:rFonts w:ascii="Times New Roman" w:cs="Times New Roman" w:eastAsia="Times New Roman" w:hAnsi="Times New Roman"/>
          <w:sz w:val="18"/>
          <w:szCs w:val="18"/>
          <w:color w:val="auto"/>
        </w:rPr>
        <w:t>. We believe that we have demonstrated an ability to successfully acquire and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Design and Research and Development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Support</w:t>
      </w:r>
    </w:p>
    <w:p>
      <w:pPr>
        <w:spacing w:after="0" w:line="229"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7" w:name="page8"/>
    <w:bookmarkEnd w:id="7"/>
    <w:p>
      <w:pPr>
        <w:ind w:right="80"/>
        <w:spacing w:after="0" w:line="266" w:lineRule="auto"/>
        <w:rPr>
          <w:sz w:val="20"/>
          <w:szCs w:val="20"/>
          <w:color w:val="auto"/>
        </w:rPr>
      </w:pPr>
      <w:r>
        <w:rPr>
          <w:rFonts w:ascii="Times New Roman" w:cs="Times New Roman" w:eastAsia="Times New Roman" w:hAnsi="Times New Roman"/>
          <w:sz w:val="18"/>
          <w:szCs w:val="18"/>
          <w:color w:val="auto"/>
        </w:rPr>
        <w:t>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sell and market our products and services with our own direct sales force, in key regions including the United States, the Netherlands, United Kingdom, Canada, United Arab Emirates, India, China, Korea, and Singapore. Our direct sales and business development teams when appropriate will work in conjunction with outside sales representatives in the North America, South America, Europe, Middle East, Southeast and East Asia, and India regions. We expect to continue expanding our sales and support capabilities and our network of outside sales representatives in key regions domestically and internationally.</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dependent upon any single customer, and no customer contributed 10% or more of our consolidated revenues for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Subcontractors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On contract work, we try to mitigate the risk of higher prices by including the current price in our estimate and generally include price inflation clauses for protection.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asset-light business model focuses on effective management of subcontractors and flow of raw and finished materials, which allows us to optimize working capital levels through reduction in certain assets and reduce capital expenditures.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was $311.7 million as of December 31, 2022 as compared to $213.9 million as of December 31, 2021, an increase of $97.8 million or 45.7%. Backlog is adjusted on a quarterly basis for fluctuations in foreign currency exchange rates. Substantially all backlog is expected to be delivered within 18 months, with a majority within 12 months. Backlog is not defined by United States generally accepted accounting principles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track record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design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and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stability.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favorably with respect to these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laws and regulations. While there are not currently regulations proposed or pending that we believe will result in material capital, operating or other costs to the business at this time, such regulations could be proposed and/or passed into law in 2023 or beyond. Other regulations currently in place could be withdrawn and replaced with more stringent requirements in 2023 or beyond. New laws and regulations and the costs of compliance with such new laws and regulations can only be broadly appraised until their implementation becomes more defined through regulatory guidance and enforcement.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Values and Ethics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CECO, we act in accordance with our Code of Business Conduct and Ethics (“Code of Conduct”), which sets forth expectations and guidance for employees to make appropriate decisions. Our Code of Conduct covers topics such as anti-corruption, discrimination, harassment, data privacy, appropriate use of company assets, protecting confidential information, and reporting Code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right="220"/>
        <w:spacing w:after="0" w:line="266" w:lineRule="auto"/>
        <w:rPr>
          <w:sz w:val="20"/>
          <w:szCs w:val="20"/>
          <w:color w:val="auto"/>
        </w:rPr>
      </w:pPr>
      <w:r>
        <w:rPr>
          <w:rFonts w:ascii="Times New Roman" w:cs="Times New Roman" w:eastAsia="Times New Roman" w:hAnsi="Times New Roman"/>
          <w:sz w:val="18"/>
          <w:szCs w:val="18"/>
          <w:color w:val="auto"/>
        </w:rPr>
        <w:t>of Conduct violations. The Code of Conduct reflects our commitment to operating in a fair, honest, responsible and ethical manner and also provides direction for reporting complaints in the event of alleged violations of our policies, including through an anonymous helpline. Our executive officers and managers maintain an “open door” policy, and any form of retaliation is strictly prohibited.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CECO recognizes that in order to drive innovation and operational excellence, we must identify, attract, retain and motivate world-class talent. As of December 31, 2022, CECO has approximately 1,000 employees, across nine countries. 126 of our US employees are unionized in our Pennsylvania, Tennessee and North Carolina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Leadership and People Development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support personal and professional development, we have strategically committed resources to leadership and management development programs, product knowledge, job skills, and compliance training. In 2022, CECO continued to leverage an online learning platform so our employees can continue developing their skill sets and knowledge. Our learning platform offers over 16,000 courses and certifications ranging from job function to leadership and resource training. As of December 31, 2022, 85% of our employees have engaged with this learning platform and each is spending an average of approximately two hours per month building their knowledge and skills. Additionally, in 2021 we further invested in high performing leaders by partnering with top US Universities including Wharton, Yale, MIT University of CA Berkeley, University of Pennsylvania and more, to build strategic, leadership and operational excellence skills. We also partnered with the Center of Creative Leadership to further reinforce leadership skills by investing in executive level coaching of high performing leaders. We believe this investment in our team members and leaders results in a more knowledgeable and competent workforce today while strengthening our succession plan and leadership bench for the future.</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provide a variety of resources to help our employees grow in their current roles and build new skills to thrive in the workplace of the future. Strategic talent reviews are conducted annually across all business areas. Our Board of Directors ("Board") is updated on the Company’s people strategy on an annual basis, which is refined based on business drivers, market factors and key initiatives designed to drive the corporate strategy and business results and meets to review our succession planning strategy and leadership pipeline for key roles, taking into account the Company’s long-term strategy.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CECO, the health and safety of our employees is one of our highest priorities.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2022, CECO’s domestic Total Recordable Incident Rate (“TRIR”) was 1.1% as compared to our benchmark industry average TRIR of 4.1%.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an Inclusive Culture</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CECO 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efforts to expand CECO’s diverse workforce, we:</w:t>
      </w:r>
    </w:p>
    <w:p>
      <w:pPr>
        <w:spacing w:after="0" w:line="117" w:lineRule="exact"/>
        <w:rPr>
          <w:sz w:val="20"/>
          <w:szCs w:val="20"/>
          <w:color w:val="auto"/>
        </w:rPr>
      </w:pPr>
    </w:p>
    <w:p>
      <w:pPr>
        <w:ind w:left="960" w:right="140" w:hanging="503"/>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and implemented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w:t>
      </w:r>
    </w:p>
    <w:p>
      <w:pPr>
        <w:spacing w:after="0" w:line="67" w:lineRule="exact"/>
        <w:rPr>
          <w:rFonts w:ascii="Times New Roman" w:cs="Times New Roman" w:eastAsia="Times New Roman" w:hAnsi="Times New Roman"/>
          <w:sz w:val="18"/>
          <w:szCs w:val="18"/>
          <w:color w:val="auto"/>
        </w:rPr>
      </w:pPr>
    </w:p>
    <w:p>
      <w:pPr>
        <w:ind w:left="960" w:hanging="50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developing a comprehensive Diversity, Equity and Inclusive roadmap to align with our operational structure.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580"/>
        <w:spacing w:after="0" w:line="266" w:lineRule="auto"/>
        <w:rPr>
          <w:sz w:val="20"/>
          <w:szCs w:val="20"/>
          <w:color w:val="auto"/>
        </w:rPr>
      </w:pPr>
      <w:r>
        <w:rPr>
          <w:rFonts w:ascii="Times New Roman" w:cs="Times New Roman" w:eastAsia="Times New Roman" w:hAnsi="Times New Roman"/>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 to problem solving, development, performance, and business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CECO</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are the executive officers of the Company as of February 28, 2023. All officers serve for a one year term and until their successors are elected and qualified.</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Todd Gleason </w:t>
      </w:r>
      <w:r>
        <w:rPr>
          <w:rFonts w:ascii="Times New Roman" w:cs="Times New Roman" w:eastAsia="Times New Roman" w:hAnsi="Times New Roman"/>
          <w:sz w:val="18"/>
          <w:szCs w:val="18"/>
          <w:color w:val="auto"/>
        </w:rPr>
        <w:t>(52) has served as a director and Chief Executive Officer since July 2020. Prior to joining the Company, Mr. Gleason most recently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w:t>
      </w:r>
    </w:p>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 Johansson </w:t>
      </w:r>
      <w:r>
        <w:rPr>
          <w:rFonts w:ascii="Times New Roman" w:cs="Times New Roman" w:eastAsia="Times New Roman" w:hAnsi="Times New Roman"/>
          <w:sz w:val="18"/>
          <w:szCs w:val="18"/>
          <w:color w:val="auto"/>
        </w:rPr>
        <w:t>(58) has served as SVP, Chief Financial and Strategy Officer since August 2022. Prior to joining the Company, Mr. Johansson had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35 years of diversified industrial business experience with Accudyne Industries, IDEX Corporation, ITT Corporation, American Standard Companies (Trane Technologies, WABCO), and Honeywell. He has led complex organizations through transformational growth, and brings perspectives and capabilities around financial analysis, capital market programs and leading concepts in strategy formulation and deployment, business development programs and operational effectiveness. Mr. Johansson holds a Masters of Business Administration from the Anderson Graduate School of Management at UCLA, a Masters of Science degree in Mechanical Engineering from California State University-Fullerton, and a Bachelors of Science degree in Mechanical Engineering from Southern Methodist University in Dallas, Texas.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Ramesh Nuggihalli </w:t>
      </w:r>
      <w:r>
        <w:rPr>
          <w:rFonts w:ascii="Times New Roman" w:cs="Times New Roman" w:eastAsia="Times New Roman" w:hAnsi="Times New Roman"/>
          <w:sz w:val="18"/>
          <w:szCs w:val="18"/>
          <w:color w:val="auto"/>
        </w:rPr>
        <w:t>(57) has served as Chief Operating Officer since April 2021. Prior to joining the Company, Mr. Nuggihalli held the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role for NovaTech, LLC, a private industrial automation company, from July 2018 to November 2019. Prior to that, Mr. Nuggihalli was the President and Managing Director of Xylem Asia, a provider of premium field, portable, online and laboratory analytical instruments and software serving the water sector. Before Xylem, he was the Managing Director of Pentair Middle East based out of Dubai, UAE, serving the energy sector. Mr. Nuggihalli has more than 20 years of experience working in more than 25 countries managing complex international businesses in emerging markets. Mr. Nuggihalli has held executive leadership roles at Tyco International, a security systems company, Ametek, a global manufacturer of electronic instruments and electromechanical devices, General Electric, Babcock &amp; Wilcox, an American renewable environmental and thermal energy technologies and service provider and SNC-Lavalin, a Canadian company based in Montreal that provides engineering, procurement, and construction services to various industries, including mining and metallurgy, oil and gas, environment and water, infrastructure, and clean power. Mr. Nuggihalli holds a Master of Business Administration from Wilfred Laurier University in Canada, a Master of Engineering degree from McGill University in Canada and a Bachelor’s degree in Engineering from the University of Mysore, India.</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Lynn Watkins-Asiyanbi </w:t>
      </w:r>
      <w:r>
        <w:rPr>
          <w:rFonts w:ascii="Times New Roman" w:cs="Times New Roman" w:eastAsia="Times New Roman" w:hAnsi="Times New Roman"/>
          <w:sz w:val="18"/>
          <w:szCs w:val="18"/>
          <w:color w:val="auto"/>
        </w:rPr>
        <w:t>(48) has served as SVP, Chief Administrative and Legal Officer, and Corporate Secretary since August 2022. Ms. Watkins-Asiyanbi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Senior Vice President, General Counsel and Corporate Secretary since joining the Company in June 2022. Ms. Watkins-Asiyanbi brings more than 25 years of industrial business experience, with global industrial companies such as John Bean Technologies Corporation, W.W. Grainger, Inc., U.S. Foods, Inc., Mars, Inc. and General Mills. Lynn holds a joint J.D. and MBA from Northwestern University’s Pritzker School of Law and the Kellogg School of Management and a bachelor’s degree in Chemical Engineering and Economics from the University of Wisconsin-Madison.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Paul Gohr </w:t>
      </w:r>
      <w:r>
        <w:rPr>
          <w:rFonts w:ascii="Times New Roman" w:cs="Times New Roman" w:eastAsia="Times New Roman" w:hAnsi="Times New Roman"/>
          <w:sz w:val="18"/>
          <w:szCs w:val="18"/>
          <w:color w:val="auto"/>
        </w:rPr>
        <w:t>(41) has served as Chief Accounting Officer since May 2017. Mr. Gohr previously served as Vice President of Financial Reporting since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 September 2014. From 2004 to 2014, Mr. Gohr 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holds a Masters of Accountancy degree from Miami University and a Bachelor’s degree in Business, Accountancy from Miami University.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use the Investor Relations section of our website,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global economic conditions.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6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potential customers may reduce or delay their procurement or new product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may have difficulties resulting in delays for our material 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suppliers and other third parties may fail to perform their contractual obligations;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become insolvent and/or unable to obtain credit to finance purchases of our products and services.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dependence upon fixed-price contracts could adversely affect our operating results.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contract revenue may result in material adjustments that would adversely affect our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3" w:name="page14"/>
    <w:bookmarkEnd w:id="13"/>
    <w:p>
      <w:pPr>
        <w:ind w:right="160"/>
        <w:spacing w:after="0" w:line="261" w:lineRule="auto"/>
        <w:rPr>
          <w:sz w:val="20"/>
          <w:szCs w:val="20"/>
          <w:color w:val="auto"/>
        </w:rPr>
      </w:pPr>
      <w:r>
        <w:rPr>
          <w:rFonts w:ascii="Times New Roman" w:cs="Times New Roman" w:eastAsia="Times New Roman" w:hAnsi="Times New Roman"/>
          <w:sz w:val="18"/>
          <w:szCs w:val="18"/>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deliver our backlog on time could affect our future sales and profitability, and our relationships with our customers.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backlog was $311.7 million at December 31, 2022 and $213.9 million at December 31, 2021.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of oil and natural gas prices can adversely affect demand for our products and services.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costs for manufactured components, raw materials, transportation, health care and energy prices may adversely affect our profitability.</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The current economic environment has resulted, and may continue to result, in price volatility and inflation of these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performance may vary significantly from period to period.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may cancel or delay projects. As a result, our backlog may not be indicative of our future revenue.</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example, in a year-long project as opposed to a three-month project, more time is available for the customer to experience a softening in its business, which may cause the customer to cancel a project.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markets we serve.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of the product and solution categories in which we compete are highly fragmented and competitive. We compete in industrial markets against a number of local, regional and national manufacturers and suppliers in each of our product or service lines, many of which have been in existence longer than us and some of which have substantially greater financial resources than we do. Our products primarily compete on the basis of performance, quality, reliability, lead time, on-time delivery, and safety supported by advanced engineering and operational excellence. We must also be responsive to any technological developments and related changing customer requirements. Any failure by us to compete effectively in the markets we serve could have a material adverse effect on our financial condition, results of operations and cash flows.</w:t>
      </w:r>
    </w:p>
    <w:p>
      <w:pPr>
        <w:spacing w:after="0" w:line="18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to customers under warranties may adversely affect our reputation, our ability to obtain future business and our results of operations.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Capital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profit may be affected by shifts in our product mix.</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operations are dependent on third-party suppliers.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assure you that our third-party suppliers will dedicate sufficient resources to meet our scheduled delivery requirements or that our suppliers will have sufficient resources to satisfy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 w:name="page16"/>
    <w:bookmarkEnd w:id="15"/>
    <w:p>
      <w:pPr>
        <w:ind w:right="60"/>
        <w:spacing w:after="0" w:line="256" w:lineRule="auto"/>
        <w:rPr>
          <w:sz w:val="20"/>
          <w:szCs w:val="20"/>
          <w:color w:val="auto"/>
        </w:rPr>
      </w:pPr>
      <w:r>
        <w:rPr>
          <w:rFonts w:ascii="Times New Roman" w:cs="Times New Roman" w:eastAsia="Times New Roman" w:hAnsi="Times New Roman"/>
          <w:sz w:val="18"/>
          <w:szCs w:val="18"/>
          <w:color w:val="auto"/>
        </w:rPr>
        <w:t>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(such as COVID-19), fires or other natural disasters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subcontractors could potentially harm our profitability and business reputation.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and whose activities are related to the power generation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billing terms can increase our exposure to working capital and credit risk.</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fluctuations may reduce profits on our foreign sales or increase our costs, either of which could adversely affect our financial results.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approximately 35% of our 2022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If our goodwill or indefinite lived intangibles become impaired, we may be required to recognize charges that would adversely impact our results of operations.</w:t>
      </w:r>
    </w:p>
    <w:p>
      <w:pPr>
        <w:spacing w:after="0" w:line="1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December 31, 2022, goodwill and indefinite lived intangibles were $192.7 million, or 38.2%,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could adversely materially impact our results of operations.</w:t>
      </w:r>
    </w:p>
    <w:p>
      <w:pPr>
        <w:spacing w:after="0" w:line="19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party to asbestos-containing product litigation that could adversely affect our financial condition, results of operations and cash flows.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the asbestos-related litigation in which we are involved.</w:t>
      </w:r>
    </w:p>
    <w:p>
      <w:pPr>
        <w:spacing w:after="0" w:line="16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have $112.7 million of indebtedness as of December 31, 2022, and incurrence of additional indebtedness could adversely affect our ability to operate our business, remain in compliance with debt covenants, make payments on our debt and limit our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indebtedness could have important consequences for investors, including the following:</w:t>
      </w:r>
    </w:p>
    <w:p>
      <w:pPr>
        <w:spacing w:after="0" w:line="225" w:lineRule="exact"/>
        <w:rPr>
          <w:sz w:val="20"/>
          <w:szCs w:val="20"/>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7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interest expense may increase because a substantial portion of our borrowings is at variable rates of interest, which, if interest rates increase, could result in higher interest expense;</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7" w:name="page18"/>
    <w:bookmarkEnd w:id="17"/>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higher level of debt than some of our competitors, which could put us at a competitive disadvantage;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adverse developments in our industry or the economy in general;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limit our flexibility in planning for, or reacting to, changes in our business and the industry in which we operate.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pension plan may adversely impact our results of operations and cash flow.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1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1"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We have made and may make future acquisitions or divestitures, which involve numerous risks that could impact our financial condition, results of operations and cash flows.</w:t>
      </w:r>
    </w:p>
    <w:p>
      <w:pPr>
        <w:spacing w:after="0" w:line="16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Societal responses to climate change could adversely affect our business and performance, including indirectly through impacts on our customers.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&amp;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Global climate change and related emphasis on environmental, social and governance ("ESG") matters by various stakeholders could negatively affect our business.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187"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attract and retain qualified employees.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including by establishing local offices near our headquarters. If we are unable to attract and retain qualified employees, our business may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stoppages or similar difficulties could significantly disrupt our operations.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approximately 200 of our approximately 1,000 employees are represented by international or independent labor unions under various union contracts that expire from May 1, 2023 to November 12, 2025. It is possible that our workforce will become more unionized in the future. Although we consider our employee relations to generally be good, our existing labor agreements may not prevent a strike or work stoppage at one or more of our facilities, including due to the effects of COVID-19, may have a material adverse effect on our business. Unionization activities could also increase our costs, which could have an adverse effect on our profitability.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Additionally, a work stoppage at one of our suppliers could adversely affect our operations if an alternative source of supply were not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stoppages by employees of our customers also could result in reduced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Risks</w:t>
      </w:r>
    </w:p>
    <w:p>
      <w:pPr>
        <w:spacing w:after="0" w:line="22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 will have limited ability to affect the timing and success of systems restoration and any resulting interruption in our ability to manage and operate our business could have a material adverse effect on our operating results.</w:t>
      </w:r>
    </w:p>
    <w:p>
      <w:pPr>
        <w:spacing w:after="0" w:line="18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Increased information technology cybersecurity threats and more sophisticated and targeted computer crime could pose a risk to our systems, networks, and products.</w:t>
      </w:r>
    </w:p>
    <w:p>
      <w:pPr>
        <w:spacing w:after="0" w:line="16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and International Operations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can be significantly affected by changes in regulatory standards.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6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outside of the United States are subject to political, investment and local business risks.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approximately 35%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19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6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Biden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1" w:name="page22"/>
    <w:bookmarkEnd w:id="21"/>
    <w:p>
      <w:pPr>
        <w:ind w:right="180"/>
        <w:spacing w:after="0" w:line="282" w:lineRule="auto"/>
        <w:rPr>
          <w:sz w:val="20"/>
          <w:szCs w:val="20"/>
          <w:color w:val="auto"/>
        </w:rPr>
      </w:pPr>
      <w:r>
        <w:rPr>
          <w:rFonts w:ascii="Times New Roman" w:cs="Times New Roman" w:eastAsia="Times New Roman" w:hAnsi="Times New Roman"/>
          <w:sz w:val="18"/>
          <w:szCs w:val="18"/>
          <w:color w:val="auto"/>
        </w:rPr>
        <w:t>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2022, the sales price of our common stock on the NASDAQ ranged from $4.09 to $12.89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7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domestic and international macroeconomic factors unrelated to our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other outbreaks;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expectations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business success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advances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events affecting the political and economic environment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demand for our products and services, technological advances and governmental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or affecting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2022, 2021 or 2020 and currently intend to retain future earnings, if any, to finance the operations, growth and development of our business into the foreseeable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issue preferred stock could adversely affect the rights of holders of our common stock.</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Certain provisions in our charter documents have anti-takeover effects.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Failure to maintain adequate internal controls could adversely affect our business.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7"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There are inherent limitations in all internal control systems over financial reporting, and misstatements due to error or fraud may occur and not be detected.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30 principal operating facilities across twelve states and nine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180" w:type="dxa"/>
            <w:vAlign w:val="bottom"/>
            <w:tcBorders>
              <w:bottom w:val="single" w:sz="8" w:color="auto"/>
            </w:tcBorders>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rPr>
              <w:t>Location of Facilities</w:t>
            </w: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30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160" w:type="dxa"/>
            <w:vAlign w:val="bottom"/>
          </w:tcPr>
          <w:p>
            <w:pPr>
              <w:spacing w:after="0"/>
              <w:rPr>
                <w:sz w:val="20"/>
                <w:szCs w:val="20"/>
                <w:color w:val="auto"/>
              </w:rPr>
            </w:pP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Countries</w:t>
            </w:r>
          </w:p>
        </w:tc>
      </w:tr>
      <w:tr>
        <w:trPr>
          <w:trHeight w:val="207"/>
        </w:trPr>
        <w:tc>
          <w:tcPr>
            <w:tcW w:w="3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Arizona, California, Connecticut, New</w:t>
            </w:r>
          </w:p>
        </w:tc>
        <w:tc>
          <w:tcPr>
            <w:tcW w:w="160" w:type="dxa"/>
            <w:vAlign w:val="bottom"/>
            <w:shd w:val="clear" w:color="auto" w:fill="CFF0FC"/>
          </w:tcPr>
          <w:p>
            <w:pPr>
              <w:spacing w:after="0"/>
              <w:rPr>
                <w:sz w:val="18"/>
                <w:szCs w:val="18"/>
                <w:color w:val="auto"/>
              </w:rPr>
            </w:pPr>
          </w:p>
        </w:tc>
        <w:tc>
          <w:tcPr>
            <w:tcW w:w="3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The Netherlands, Canada,</w:t>
            </w:r>
          </w:p>
        </w:tc>
      </w:tr>
      <w:tr>
        <w:trPr>
          <w:trHeight w:val="216"/>
        </w:trPr>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York, Ohio, Texas</w:t>
            </w:r>
          </w:p>
        </w:tc>
        <w:tc>
          <w:tcPr>
            <w:tcW w:w="16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 United Arab Emirates, Singapore,</w:t>
            </w:r>
          </w:p>
        </w:tc>
      </w:tr>
      <w:tr>
        <w:trPr>
          <w:trHeight w:val="216"/>
        </w:trPr>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 People's Republic of</w:t>
            </w:r>
          </w:p>
        </w:tc>
      </w:tr>
      <w:tr>
        <w:trPr>
          <w:trHeight w:val="248"/>
        </w:trPr>
        <w:tc>
          <w:tcPr>
            <w:tcW w:w="3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South Korea</w:t>
            </w: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Illinois, Indiana, Michigan,</w:t>
            </w:r>
          </w:p>
        </w:tc>
        <w:tc>
          <w:tcPr>
            <w:tcW w:w="1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United Kingdom, The</w:t>
            </w:r>
          </w:p>
        </w:tc>
      </w:tr>
      <w:tr>
        <w:trPr>
          <w:trHeight w:val="241"/>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North Carolina, Pennsylvania, Tennessee</w:t>
            </w:r>
          </w:p>
        </w:tc>
        <w:tc>
          <w:tcPr>
            <w:tcW w:w="1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Netherlands, People's Republic of China</w:t>
            </w:r>
          </w:p>
        </w:tc>
      </w:tr>
      <w:tr>
        <w:trPr>
          <w:trHeight w:val="245"/>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Ohio, Texas</w:t>
            </w:r>
          </w:p>
        </w:tc>
        <w:tc>
          <w:tcPr>
            <w:tcW w:w="16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7"/>
        </w:trPr>
        <w:tc>
          <w:tcPr>
            <w:tcW w:w="30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-187960</wp:posOffset>
            </wp:positionV>
            <wp:extent cx="768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“CECO.”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return to CECO’s stockholders during the five years ended December 31, 2022, as well as the following indices: Russell 2000 Index, Standard and Poor’s (“S&amp;P”) 600 Small Cap Industrial Machinery Index, and S&amp;P 500 Index. The following graph assumes $100 was invested on December 31, 2017,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940425" cy="2863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042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2022, 2021 or 2020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approximate number of registered stockholders of record of our common stock as of February 28, 2023 was 259, although there is a larger number of beneficial owners.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quarter ended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1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 (amounts in thousands, except per share data)</w:t>
            </w:r>
          </w:p>
        </w:tc>
        <w:tc>
          <w:tcPr>
            <w:tcW w:w="1380" w:type="dxa"/>
            <w:vAlign w:val="bottom"/>
            <w:tcBorders>
              <w:bottom w:val="single" w:sz="8" w:color="auto"/>
            </w:tcBorders>
          </w:tcPr>
          <w:p>
            <w:pPr>
              <w:jc w:val="right"/>
              <w:ind w:right="16"/>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-187960</wp:posOffset>
            </wp:positionV>
            <wp:extent cx="774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4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to the Consolidated Financial Statements. The program expires on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CECO is a leading environmentally focused, diversified industrial company, serving the broad landscape of industrial air, industrial water and energy transition markets globally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Corporate Strategy</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7" w:name="page28"/>
    <w:bookmarkEnd w:id="27"/>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Pressures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including lingering impacts of the coronavirus pandemic. In particular,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operate our platforms serving their respective niche end markets.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use an asset light business model leveraging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operations management team has distinct industry expertise coupled with strong leadership skills resulting in a customer-first mindset across the business. Our operations management team works closely with our Chief Executive Officer and Chief Operating Officer on global fulfillment strategies, operational excellence, resource allocation, and employee development.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support of the platforms, centralized teams provide back-office functions for scale, efficiency, and compliance. These key functions include: accounting, treasury, tax, payroll, benefits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w:t>
      </w:r>
    </w:p>
    <w:p>
      <w:pPr>
        <w:spacing w:after="0" w:line="221" w:lineRule="exact"/>
        <w:rPr>
          <w:sz w:val="20"/>
          <w:szCs w:val="20"/>
          <w:color w:val="auto"/>
        </w:rPr>
      </w:pPr>
    </w:p>
    <w:p>
      <w:pPr>
        <w:ind w:left="760" w:hanging="378"/>
        <w:spacing w:after="0" w:line="26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&amp; gas sectors. We are a key part of helping meet the global demand for environmental and equipment protection solutions with our highly engineered platforms including emissions control, fluid bed cyclones, thermal acoustics, separation &amp; filtration, and dampers &amp; expansion joints.</w:t>
      </w:r>
    </w:p>
    <w:p>
      <w:pPr>
        <w:spacing w:after="0" w:line="176" w:lineRule="exact"/>
        <w:rPr>
          <w:rFonts w:ascii="Times New Roman" w:cs="Times New Roman" w:eastAsia="Times New Roman" w:hAnsi="Times New Roman"/>
          <w:sz w:val="18"/>
          <w:szCs w:val="18"/>
          <w:color w:val="auto"/>
        </w:rPr>
      </w:pPr>
    </w:p>
    <w:p>
      <w:pPr>
        <w:ind w:left="760" w:right="160" w:hanging="378"/>
        <w:spacing w:after="0" w:line="25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we assist companies maintain clean and safe operations for employees, reduce energy consumption, minimize waste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left="760" w:right="120"/>
        <w:spacing w:after="0" w:line="282" w:lineRule="auto"/>
        <w:rPr>
          <w:sz w:val="20"/>
          <w:szCs w:val="20"/>
          <w:color w:val="auto"/>
        </w:rPr>
      </w:pPr>
      <w:r>
        <w:rPr>
          <w:rFonts w:ascii="Times New Roman" w:cs="Times New Roman" w:eastAsia="Times New Roman" w:hAnsi="Times New Roman"/>
          <w:sz w:val="18"/>
          <w:szCs w:val="18"/>
          <w:color w:val="auto"/>
        </w:rPr>
        <w:t>customers, and ensure they meet regulatory standards for toxic emissions, fumes, volatile organic compounds, and odor elimination through our platforms including duct fabrication &amp; installation, industrial air, and fluid handling.</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costs of sales into five categories. They are:</w:t>
      </w:r>
    </w:p>
    <w:p>
      <w:pPr>
        <w:spacing w:after="0" w:line="22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Subcontracts—Electrical work, concrete work, subcomponents and other subcontracts necessary to produce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Labor—Our direct labor both in the shop and in the field;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Material—Raw material that we buy to build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Equipment—Fans, motors, control panels and other equipment necessary for turnkey systems;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overhead—Costs of facilities and supervision wages necessary to produce our products.</w:t>
      </w:r>
    </w:p>
    <w:p>
      <w:pPr>
        <w:spacing w:after="0" w:line="22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fast, which also reduces gross margin percentage. As material cost inflation occurs, the Company seeks to pass this cost onto our customers as price increases.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An advantage of our asset light model is that as revenue grows, we have significant operating leverage on our fixed selling and administrative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and divestitures. While the Company cannot predict the exact timing or amounts of such charges, it does expect to treat these charges as special items in its future presentation of non-GAAP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 for the years ended December 31, 2022, 2021 and 2020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30.3 %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31.1 %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33.3 %</w:t>
            </w:r>
          </w:p>
        </w:tc>
      </w:tr>
      <w:tr>
        <w:trPr>
          <w:trHeight w:val="24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22.1 %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25.2 %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r>
      <w:tr>
        <w:trPr>
          <w:trHeight w:val="24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0"/>
                <w:szCs w:val="20"/>
                <w:color w:val="auto"/>
              </w:rPr>
            </w:pP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5.3 %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3.1 %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compare operating performance between the years ended December 31, 2022, 2021 and 2020,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intangible asset impairment.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3.1 %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r>
      <w:tr>
        <w:trPr>
          <w:trHeight w:val="24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20"/>
                <w:szCs w:val="20"/>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5.9 %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r>
      <w:tr>
        <w:trPr>
          <w:trHeight w:val="405"/>
        </w:trPr>
        <w:tc>
          <w:tcPr>
            <w:tcW w:w="4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expense of adjustments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20"/>
                <w:szCs w:val="20"/>
                <w:color w:val="auto"/>
              </w:rPr>
            </w:pPr>
          </w:p>
        </w:tc>
      </w:tr>
      <w:tr>
        <w:trPr>
          <w:trHeight w:val="241"/>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net income as a percentage of sales</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3.0 %</w:t>
            </w:r>
          </w:p>
        </w:tc>
        <w:tc>
          <w:tcPr>
            <w:tcW w:w="3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r>
      <w:tr>
        <w:trPr>
          <w:trHeight w:val="655"/>
        </w:trPr>
        <w:tc>
          <w:tcPr>
            <w:tcW w:w="48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Consolidated net sales in 2022 were $422.6 million compared with $324.1 million in 2021, an increase of $98.5 million. The increase is broad-based, led by increases of $23.0 million in our thermal acoustics technologies, $22.2 million across our entire industrial process solutions platforms, $17.8 million in our emissions management technologies, $14.4 million in our dampers and expansion joint products, and $6.9 million in engineered cyclone systems.</w:t>
      </w:r>
    </w:p>
    <w:p>
      <w:pPr>
        <w:spacing w:after="0" w:line="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Approximately 80.9%, or $79.7 million, of the increase in net sales is attributable to organic revenue growth, while $18.8 million is attributable to current year acquisitions.</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Gross profit increased by $27.3 million, or 27.1%, to $128.2 million in 2022 compared with $100.9 million in 2021. The increase in gross profit is primarily attributable to the increase in sales volume as described above. Gross profit as a percentage of sales decreased to 30.3% in 2022 compared with 31.1% in 2021 due to inflation, supply chain challenges, and lower project margin mix executed during 2022, partially offset by price increases. We continue to experience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Orders booked were $526.6 million in 2022 compared with $360.8 million in 2021. This 46% increase is attributable to increases of $66.8 million in our separation and filtration technologies, $53.9 million in our emissions management technologies, $22.0 million in industrial air control technologies and $21.4 million in our thermal acoustics technologies. Of the $165.8 million increase in orders, $143.2 million, or 86.4%, is attributable to organic growth while $22.6 million is attributable to current year acquisitions.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were $93.4 million in 2022 compared with $81.8 million in 2021. The increase is primarily attributed to acquisitions during 2022, as well as increased headcount in order to support our revenue growth. Selling and administrative expenses as a percentage of sales were 22.1% in 2022 compared with 25.2% in 2021. The decrease in percentage is primarily attributable to gaining operating leverage on increased organic revenues.</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 was $6.8 million in 2022 and $7.8 million in 2021. The decrease in expense is primarily attributable to a decrease of $1.3 million in earnout expense, partially offset by a $0.3 million increase in definite lived asset amortization. See Note 7 to the Consolidated Financial Statements for further discussion on earnout expenses.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Acquisitions and integration expenses related to various merger and acquisition diligence activities, which include legal, accounting and banking expenses, were $4.5 million in 2022, as compared with $0.8 million in 2021. The increase is due to an increase in acquisition activity (including General Rubber LLC, Compass Water Solutions, Inc., Western Air Ducts Limited and DS21 Co., Ltd. as described in Note 14 to the Consolidated Financial Statements) during 2022.</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Operating income for 2022 was $22.2 million, an increase of $12.3 million from $9.9 million in 2021. Operating income as a percentage of sales for 2022 was 5.3% compared with 3.1% for 2021. The increase in operating income is primarily attributable to increases in net organic sales and gaining operating leverage.</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Non-GAAP operating income was $34.8 million in 2022 and $19.1 million in 2021. The increase in non-GAAP operating income is primarily attributable to the increase in net organic sales. Non-GAAP operating income as a percentage of sales for 2022 was 8.2% compared with 5.9% for 2021.</w:t>
      </w:r>
    </w:p>
    <w:p>
      <w:pPr>
        <w:spacing w:after="0" w:line="16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Other income for 2022 was $6.9 million, an increase of $9.1 million from $2.2 million other expense in 2021. The increase in other income was primarily attributable to net foreign currency transaction gains in the current year based on changes in exchange rates at our foreign subsidiaries.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increased to $5.4 million in 2022 from $3.0 million in 2021. The increase in interest expense is primarily due to increased debt balances to fund current year acquisitions.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Income tax expense was $5.4 million and $2.7 million in 2022 and 2021, respectively. The effective tax rate for 2022 was 22.9% compared with 57.6% in 2021. Income tax expense and the effective tax rate for 2022 were affected by certain permanent differences, including state income taxes, non-deductible incentive stock-based compensation, and differences in tax rates among the jurisdictions in which we operate.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2021 for a discussion of our consolidated results of operations for the year ended December 31, 2021 compared to the year ended December 31, 2020, which information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(loss) at the reportable segment level include both intra-segment and inter-segment operating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263,224</w:t>
            </w:r>
          </w:p>
        </w:tc>
        <w:tc>
          <w:tcPr>
            <w:tcW w:w="120" w:type="dxa"/>
            <w:vAlign w:val="bottom"/>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186,926</w:t>
            </w: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205,494</w:t>
            </w:r>
          </w:p>
        </w:tc>
        <w:tc>
          <w:tcPr>
            <w:tcW w:w="100" w:type="dxa"/>
            <w:vAlign w:val="bottom"/>
            <w:shd w:val="clear" w:color="auto" w:fill="CFF0FC"/>
          </w:tcPr>
          <w:p>
            <w:pPr>
              <w:spacing w:after="0"/>
              <w:rPr>
                <w:sz w:val="23"/>
                <w:szCs w:val="23"/>
                <w:color w:val="auto"/>
              </w:rPr>
            </w:pPr>
          </w:p>
        </w:tc>
      </w:tr>
      <w:tr>
        <w:trPr>
          <w:trHeight w:val="250"/>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159,403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137,214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110,517</w:t>
            </w:r>
          </w:p>
        </w:tc>
        <w:tc>
          <w:tcPr>
            <w:tcW w:w="100" w:type="dxa"/>
            <w:vAlign w:val="bottom"/>
          </w:tcPr>
          <w:p>
            <w:pPr>
              <w:spacing w:after="0"/>
              <w:rPr>
                <w:sz w:val="21"/>
                <w:szCs w:val="21"/>
                <w:color w:val="auto"/>
              </w:rPr>
            </w:pPr>
          </w:p>
        </w:tc>
      </w:tr>
      <w:tr>
        <w:trPr>
          <w:trHeight w:val="279"/>
        </w:trPr>
        <w:tc>
          <w:tcPr>
            <w:tcW w:w="6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422,627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324,140</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61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Pr>
          <w:p>
            <w:pPr>
              <w:spacing w:after="0"/>
              <w:rPr>
                <w:sz w:val="20"/>
                <w:szCs w:val="20"/>
                <w:color w:val="auto"/>
              </w:rPr>
            </w:pPr>
          </w:p>
        </w:tc>
      </w:tr>
      <w:tr>
        <w:trPr>
          <w:trHeight w:val="243"/>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and Other (1)</w:t>
            </w:r>
          </w:p>
        </w:tc>
        <w:tc>
          <w:tcPr>
            <w:tcW w:w="9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(36,744 )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(30,967 )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(28,044 )</w:t>
            </w:r>
          </w:p>
        </w:tc>
      </w:tr>
      <w:tr>
        <w:trPr>
          <w:trHeight w:val="237"/>
        </w:trPr>
        <w:tc>
          <w:tcPr>
            <w:tcW w:w="61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top w:val="single" w:sz="8" w:color="CFF0FC"/>
            </w:tcBorders>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-1379855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-1362075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-1379855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-1362075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7683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left="900" w:right="320" w:hanging="51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Engineered Systems segment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Engineered Systems segment net sales increased $76.3 million to $263.2 million in 2022 compared with $186.9 million in 2021, an increase of 40.8%. The increase is broad-based, led by increases of $23.0 million in our thermal acoustics technologies, $17.8 million in our emissions management technologies, $14.4 million in our dampers and expansion joint products, and $6.9 million in engineered cyclone systems. Approximately 77.3%, or $59.0 million, of the increase in net sales is attributable to organic revenue growth, while $17.3 million is attributable to current year acquisitions.</w:t>
      </w:r>
    </w:p>
    <w:p>
      <w:pPr>
        <w:spacing w:after="0" w:line="18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$10.4 million to $36.2 million for 2022 compared with $25.8 million in 2021, an increase of 40.3%. The increase in operating income in primarily attributable to higher gross profit related to increased sales of $76.3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Process Solutions segment</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$22.2 million to $159.4 million in 2022 compared with $137.2 million in 2021, an increase of 16.2%. The increase is primarily attributable to increases across all products serving industrial air end markets. Approximately 93.2%, or $20.7 million, of the increase in net sales is attributable to organic revenue growth, while $1.5 million is attributable to current year acquisitions.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Operating income increased $7.6 million to $22.7 million for 2022 compared with $15.1 million in 2021. The increase is primarily attributable to higher gross profit driven by increased net sales and a $1.1 million decrease in earnout expense, partially offset by a $2.9 million increase in selling, general and administrative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$5.7 million to $36.7 million for 2022 compared with $31.0 million for 2021. The increase is primarily attributable to inflationary increases in wages and services, and executive transition expenses of $1.2 million, partially offset by a $2.5 million favorable insurance settlement received in the first quarter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2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2021 for a discussion of business segment results of operations for the year ended December 31, 2021 compared to the year ended December 31, 2020, which information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working capital of $94.0 million, compared with $72.3 million at December 31, 2021. The ratio of current assets to current liabilities was 1.64 to 1.00 at December 31, 2022 as compared with a ratio of 1.62 to 1.00 at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2021, cash and cash equivalents totaled $45.5 million and $29.9 million, respectively. As of December 31, 2022 and 2021,</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$31.7 million and $24.8 million, respectively, of our cash and cash equivalents were held by non-U.S. subsidiaries, as well as being denominated in foreign currencies.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5"/>
        </w:trPr>
        <w:tc>
          <w:tcPr>
            <w:tcW w:w="77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 2023,</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$825 through September 2025 and $1,100 thereafter with balance due upon maturity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2026.</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Term loan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Revolving Credit Loan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(1,488 )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111,204</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(3,579 )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(2,203 )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2022, the Company made repayments of $2.2 million on the term loan and $0.9 million on the joint venture term debt, and net borrowings on the revolving credit line of $39.3 million</w:t>
      </w:r>
      <w:r>
        <w:rPr>
          <w:rFonts w:ascii="Times New Roman" w:cs="Times New Roman" w:eastAsia="Times New Roman" w:hAnsi="Times New Roman"/>
          <w:sz w:val="18"/>
          <w:szCs w:val="18"/>
          <w:color w:val="212529"/>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 of December 31, 2022 and 2021,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further information on the Company’s debt facilities.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Total unused credit availability under our Credit Facility and other non-U.S. credit facilities and agreements, exclusive of any potential asset base limitations,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10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(61.3 )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10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040" w:type="dxa"/>
            <w:vAlign w:val="bottom"/>
            <w:tcBorders>
              <w:top w:val="single" w:sz="8" w:color="auto"/>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-205105</wp:posOffset>
            </wp:positionV>
            <wp:extent cx="124333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3330" cy="2057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cash flow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(48,257 )</w:t>
            </w:r>
          </w:p>
        </w:tc>
        <w:tc>
          <w:tcPr>
            <w:tcW w:w="36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(2,083 )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(9,235 )</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(15,556 )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(4,978 )</w:t>
            </w:r>
          </w:p>
        </w:tc>
        <w:tc>
          <w:tcPr>
            <w:tcW w:w="36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(1,475 )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$29.6 million of cash was provided by operating activities compared with $13.3 million provided by operating activities in 2021, an increase of</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$16.3 million. Cash flow from operating activities in 2022 had a favorable impact year-over-year primarily due to increases in net earnings, partially offset by increases in net working capital.</w:t>
      </w:r>
    </w:p>
    <w:p>
      <w:pPr>
        <w:spacing w:after="0" w:line="18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2021, $13.2 million of cash was provided by operating activities compared with $4.4 million in 2020, an increase of $8.8 million. Cash flow from operating activities in 2021 had a favorable impact year-over-year primarily due to certain improvements in net working capital, partially offset by decreases in net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2022, $48.3 million of cash was used in investing activities, which consisted of $44.9 for current year acquisitions and $3.4 million for acquisition of property and equipment.</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2021, $2.1 million of cash was used in investing activities, which consisted of $2.6 million for acquisition of property and equipment, offset by $0.5 million of proceeds from the disposal of assets held for sale.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Financing activities in 2022 provided cash of $38.2 million, which consisted primarily of $39.3 million net borrowings on our revolving credit line and $11.0 million borrowings of joint venture term debt, both of which were used to finance current year acquisitions. These were partially offset by $3.1 million paydown of our term debt, $7.0 million for the repurchase and retirement of our common stock, $1.4 million in distributions to non-controlling interest, and $0.6 million in payments on our capital leases.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Financing activities in 2021 used cash of $15.6 million, which consisted primarily of $5.7 million net payments on our revolving credit line, $2.7 million paydown of our term debt, $5.0 million for the repurchase and retirement of our common stock, $0.8 million in deferred financing fees paid, $0.8 million in earnout payments, and $0.6 million in payments on our capital leases.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7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6"/>
                <w:szCs w:val="16"/>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Debt, including joint venture debt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51,392</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37,720</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Loan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(estimated)</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FF0FC"/>
          </w:tcPr>
          <w:p>
            <w:pPr>
              <w:spacing w:after="0"/>
              <w:rPr>
                <w:sz w:val="21"/>
                <w:szCs w:val="2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acquisitions (2)</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-187960</wp:posOffset>
            </wp:positionV>
            <wp:extent cx="7747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7747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-187960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purchase obligations for costs associated with uncompleted sales contracts.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notes payable and expected earnout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warranties,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No provision for estimated losses on uncompleted contracts was needed at December 31, 2022, 2021 and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and 2021, our annual impairment test indicated no impairment of our indefinite-lived tradenames. Accordingly, we recognized no impairment charges in our financial results for the years ended December 31, 2022 and 2021, respectively. For additional information on impairment testing results, see Note 6 to the Consolidated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2022. For additional information on goodwill impairment testing results, see Note 6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December 31, 2022 was $112.7 million. Market risk was estimated as the potential decrease (increase) in future earnings and cash flows resulting from a hypothetical 10% increase (decrease) in the Company’s estimated weighted average borrowing rate at December 31, 2022. Most of the interest on the Company’s debt is indexed to SOFR market rates. The estimated annual impact of a hypothetical 10% change in the estimated weighted average borrowing rate at December 31, 2022 is $0.8 million.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United Kingdom, Singapore, India, United Arab Emirates and South Korea. In the past, we have not hedged our foreign currency exposure. Future changes in exchange rates may positively or negatively impact our revenues, operating expenses and earnings. Transaction gains (losses) included in “Other income (expense), net” line of the Consolidated Statements of Income were $6.3 million, $(3.1) million and $1.3 million in 2022, 2021 and 2020,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and subsidiaries for the years ended December 31, 2022, 2021 and 2020 and other data are included in this report following the signature page of this report and incorporated into this Item 8 by reference:</w:t>
      </w:r>
    </w:p>
    <w:p>
      <w:pPr>
        <w:spacing w:after="0" w:line="162"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LLP, Cincinnati, Ohio, PCAOB #243)</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F-1</w:t>
            </w:r>
          </w:p>
        </w:tc>
      </w:tr>
      <w:tr>
        <w:trPr>
          <w:trHeight w:val="237"/>
        </w:trPr>
        <w:tc>
          <w:tcPr>
            <w:tcW w:w="79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500" w:type="dxa"/>
            <w:vAlign w:val="bottom"/>
          </w:tcPr>
          <w:p>
            <w:pPr>
              <w:spacing w:after="0"/>
              <w:rPr>
                <w:sz w:val="20"/>
                <w:szCs w:val="20"/>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880" w:type="dxa"/>
            <w:vAlign w:val="bottom"/>
            <w:tcBorders>
              <w:left w:val="single" w:sz="8" w:color="0000FF"/>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Accumulated Other Comprehensive Loss</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for the Years Ended December 31, 2022, 2021 and 2020</w:t>
            </w: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87"/>
              </w:rPr>
              <w:t>F-9</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2022. Based on that evaluation, our management, including our Chief Executive Officer and Chief Financial Officer, concluded that our disclosure controls and procedures were effective as of December 31, 2022.</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2022, based on the criteria set forth in Internal Control – Integrated Framework (2013) (the “Framework”) issued by the Committee of Sponsoring Organizations of the Treadway Commission (“COSO”). Based on this assessment, management concluded that, as of December 31, 2022, its internal control over financial reporting was effective based on the Framework.</w:t>
      </w:r>
    </w:p>
    <w:p>
      <w:pPr>
        <w:spacing w:after="0" w:line="18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9A includes the audit report of BDO USA, LLP on the Company’s internal control over financial reporting as of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during the fiscal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53"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CECO Environmental Corp.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Dallas, Texas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CECO Environmental Corp. and Subsidiaries’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(the “COSO criteria”). In 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7"/>
          <w:szCs w:val="17"/>
          <w:i w:val="1"/>
          <w:iCs w:val="1"/>
          <w:color w:val="auto"/>
        </w:rPr>
        <w:t>.</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income and comprehensive income, shareholders’ equity and accumulated other comprehensive loss, and cash flows for each of the three years in the period ended December 31, 2022, and the related notes and our report dated March 6, 2023, expressed an unqualified opinion thereon.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Cincinnati, Ohio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10 of Part III of Form 10-K is incorporated by reference to the information set forth in our definitive proxy statement relating to our 2023 Annual Meeting of Stockholders to be filed pursuant to Regulation 14A under the Exchange Act within 120 days from December 31, 2022 (the “Proxy Statement”). Reference is also made to the information appearing in Item 1 of Part I of this Annual Report on Form 10-K under the caption “Business— Executive Officers of CECO.”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11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12 of Part III of Form 10-K will be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auto"/>
            </w:tcBorders>
            <w:gridSpan w:val="3"/>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40" w:type="dxa"/>
            <w:vAlign w:val="bottom"/>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1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2007</w:t>
            </w:r>
          </w:p>
        </w:tc>
        <w:tc>
          <w:tcPr>
            <w:tcW w:w="6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Incentive Plan </w:t>
            </w:r>
            <w:r>
              <w:rPr>
                <w:rFonts w:ascii="Times New Roman" w:cs="Times New Roman" w:eastAsia="Times New Roman" w:hAnsi="Times New Roman"/>
                <w:sz w:val="24"/>
                <w:szCs w:val="24"/>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61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2</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405,469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6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2020</w:t>
            </w:r>
          </w:p>
        </w:tc>
        <w:tc>
          <w:tcPr>
            <w:tcW w:w="61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Employee Stock Purchase Plan </w:t>
            </w:r>
            <w:r>
              <w:rPr>
                <w:rFonts w:ascii="Times New Roman" w:cs="Times New Roman" w:eastAsia="Times New Roman" w:hAnsi="Times New Roman"/>
                <w:sz w:val="24"/>
                <w:szCs w:val="24"/>
                <w:color w:val="auto"/>
                <w:vertAlign w:val="superscript"/>
              </w:rPr>
              <w:t>4</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4"/>
                <w:szCs w:val="24"/>
                <w:color w:val="auto"/>
                <w:vertAlign w:val="superscript"/>
              </w:rPr>
              <w:t>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FF0FC"/>
          </w:tcPr>
          <w:p>
            <w:pPr>
              <w:spacing w:after="0"/>
              <w:rPr>
                <w:sz w:val="20"/>
                <w:szCs w:val="20"/>
                <w:color w:val="auto"/>
              </w:rPr>
            </w:pPr>
          </w:p>
        </w:tc>
        <w:tc>
          <w:tcPr>
            <w:tcW w:w="486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2,616,028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3,267,075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300" w:hanging="512"/>
        <w:spacing w:after="0" w:line="257"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1"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ind w:left="520" w:right="80" w:hanging="512"/>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and Incentive Plan was approved by our stockholders on May 25, 2021. We have reserved 2.6 million shares of our common stock for issuance under our 2021 Equity Incentive Plan.</w:t>
      </w: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by our stockholders on June 11, 2020.</w:t>
      </w:r>
    </w:p>
    <w:p>
      <w:pPr>
        <w:spacing w:after="0" w:line="9" w:lineRule="exact"/>
        <w:rPr>
          <w:rFonts w:ascii="Times New Roman" w:cs="Times New Roman" w:eastAsia="Times New Roman" w:hAnsi="Times New Roman"/>
          <w:sz w:val="18"/>
          <w:szCs w:val="18"/>
          <w:color w:val="auto"/>
        </w:rPr>
      </w:pPr>
    </w:p>
    <w:p>
      <w:pPr>
        <w:ind w:left="520" w:right="220" w:hanging="512"/>
        <w:spacing w:after="0" w:line="253"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13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14 of Part III of Form 10-K is incorporated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set forth in this report following the signature page of this report.</w:t>
      </w:r>
    </w:p>
    <w:p>
      <w:pPr>
        <w:spacing w:after="0" w:line="22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they are not applicable or because the required information is shown in the financial statements or in the notes thereto.</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Certificate of Incorporation (incorporated by reference to Exhibit 3(i) to the Company’s Annual Report on Form 10-K for the fiscal year</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ended December 31, 2001)</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Bylaws (incorporated by reference to Exhibit 3.1 to the Company’s Current Report on Form 8-K filed with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SEC on December 13, 2017)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Description of Securities (incorporated by reference to Exhibit 4.1 to the Company’s Annual Report on Form 10-K for the fiscal year</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ended December 31,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Summary term sheet governing arrangement of consulting services provided by Icarus Investment Corp. (incorporated by reference to</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Exhibit 10.1 to the Company’s Annual Report on Form 10-K for the fiscal year ended December 31, 2018)</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Summary term sheet governing arrangement of consulting services provided by JMP Fam Holdings Inc. to the Company (incorporated by</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reference to Exhibit 10.7 to the Company’s Annual Report on Form 10-K for the fiscal year ended December 31, 2018)</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Director and Officer Indemnification Agreement (incorporated by reference to Exhibit 10.1 to the Company’s Current Report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8-K filed with the SEC on May 16, 2016)</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Executive Employment Agreement, effective as of January 9, 2017, by and between the Company and Matthew Eckl (incorporated by</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reference to Exhibit 10.1 to the Company’s Quarterly Report on Form 10-Q filed with the SEC on May 10, 2017)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Employment Agreement, effective as of July 6, 2020, by and between CECO Environmental Corp. and Todd Gleason (Incorporated by</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52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reference to Exhibit 10.2 to the Company’s Quarterly Report on Form 10-Q filed with the SEC on November 4,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52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Nonqualified Stock Option Inducement Award Agreement, by and between CECO Environmental Corp. and Todd Gleason, dated as of</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July 6, 2020 (incorporated by reference to Exhibit 4.3 to the Registrant’s Registration Statement on Form S-8 (Commission File No. 333-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239707) filed 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Nonqualified Premium Stock Option Inducement Award Agreement, by and between CECO Environmental Corp. and Todd Gleason,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Borders>
              <w:right w:val="single" w:sz="8" w:color="0000FF"/>
            </w:tcBorders>
            <w:gridSpan w:val="4"/>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dated as of July 6, 2020 (incorporated by reference to Exhibit 4.4 to the Registrant’s Registration Statement on Form S-8 (Commission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Borders>
              <w:right w:val="single" w:sz="8" w:color="0000FF"/>
            </w:tcBorders>
            <w:gridSpan w:val="4"/>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File No. 333-239707) filed 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EE"/>
            </w:tcBorders>
            <w:gridSpan w:val="4"/>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Restricted Stock Units Inducement Award Agreement, by and between CECO Environmental Corp. and Todd Gleason, dated as of July 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gridSpan w:val="6"/>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56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2020 (incorporated by reference to Exhibit 4.5 to the Registrant’s Registration Statement on Form S-8 (Commission File No. 333-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980" w:type="dxa"/>
            <w:vAlign w:val="bottom"/>
            <w:gridSpan w:val="6"/>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239707) filed 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gridSpan w:val="3"/>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9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Amended and Restated CECO Environmental Corp. 2007 Equity Incentive Plan (incorporated by reference to Exhibit 10.6 to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gridSpan w:val="6"/>
            <w:shd w:val="clear" w:color="auto" w:fill="0000FF"/>
          </w:tcPr>
          <w:p>
            <w:pPr>
              <w:spacing w:after="0" w:line="20" w:lineRule="exact"/>
              <w:rPr>
                <w:sz w:val="1"/>
                <w:szCs w:val="1"/>
                <w:color w:val="auto"/>
              </w:rPr>
            </w:pPr>
          </w:p>
        </w:tc>
        <w:tc>
          <w:tcPr>
            <w:tcW w:w="3920" w:type="dxa"/>
            <w:vAlign w:val="bottom"/>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Company’s Current Report on Form 8-K filed with the SEC on September 3, 2015)</w:t>
              </w:r>
            </w:hyperlink>
          </w:p>
        </w:tc>
      </w:tr>
      <w:tr>
        <w:trPr>
          <w:trHeight w:val="695"/>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Borders>
              <w:top w:val="single" w:sz="8" w:color="0000FF"/>
            </w:tcBorders>
            <w:gridSpan w:val="6"/>
          </w:tcPr>
          <w:p>
            <w:pPr>
              <w:jc w:val="right"/>
              <w:ind w:right="1540"/>
              <w:spacing w:after="0"/>
              <w:rPr>
                <w:sz w:val="20"/>
                <w:szCs w:val="20"/>
                <w:color w:val="auto"/>
              </w:rPr>
            </w:pPr>
            <w:r>
              <w:rPr>
                <w:rFonts w:ascii="Times New Roman" w:cs="Times New Roman" w:eastAsia="Times New Roman" w:hAnsi="Times New Roman"/>
                <w:sz w:val="18"/>
                <w:szCs w:val="18"/>
                <w:color w:val="auto"/>
              </w:rPr>
              <w:t>43</w:t>
            </w: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Incentive Stock Option Agreement under the Second Amended and Restated CECO Environmental Corp. 2007 Equity Incentive</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Plan (incorporated by reference to Exhibit 10.12 to the Company’s Annual Report on Form 10-K for the fiscal year ended December 31,</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90"/>
              </w:rPr>
            </w:pPr>
            <w:hyperlink r:id="rId111">
              <w:r>
                <w:rPr>
                  <w:rFonts w:ascii="Times New Roman" w:cs="Times New Roman" w:eastAsia="Times New Roman" w:hAnsi="Times New Roman"/>
                  <w:sz w:val="18"/>
                  <w:szCs w:val="18"/>
                  <w:color w:val="0000FF"/>
                  <w:w w:val="90"/>
                </w:rPr>
                <w:t>2010)</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Non-Statutory Stock Option Agreement under the Second Amended and Restated CECO Environmental Corp. 2007 Equity</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Incentive Plan (incorporated by reference to Exhibit 10.13 to the Company’s Annual Report on Form 10-K for the fiscal year ended</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December 31, 2010)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CECO Environmental Corp. 2017 Equity and Incentive Compensation Plan (incorporated by reference to Exhibit 4.3 to the Company’s</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Registration Statement on Form S-8 (Registration No. 333-218030) filed on May 16,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Incentive Stock Option Agreement under the CECO Environmental Corp. 2017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by reference to Exhibit 10.2 to the Company’s Quarterly Report on Form 10-Q filed with the SEC on 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Nonqualified Stock Option Agreement under the CECO Environmental Corp. 2017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(incorporated by reference to Exhibit 10.3 to the Company’s Quarterly Report on Form 10-Q filed with the SEC on 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Restricted Stock Units Agreement for Directors under the CECO Environmental Corp. 2017 Equity and Incentive Compensation</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Plan (incorporated by reference to Exhibit 10.4 to the Company’s Quarterly Report on Form  10-Q filed with the SEC on 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Restricted Stock Units Agreement for Employees under the CECO Environmental Corp. 2017 Equity and Incentive</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Compensation Plan (incorporated by reference to Exhibit 10.5 to the Company’s Quarterly Report on Form 10-Q filed with the SEC on</w:t>
              </w:r>
            </w:hyperlink>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CECO Environmental Corp. 2020 Employee Stock Purchase Plan (incorporated by reference to Exhibit 10.1 to the Company’s Current</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Report on Form 8-K filed with the SEC on June 16, 2020)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CECO Environmental Corp. 2021 Equity and Incentive Compensation Plan (incorporated by reference to Exhibit 10.1 to the Company’s</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Current Report on Form 8-K filed with the SEC on May 27,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Restricted Stock Units Agreement for Directors under the CECO Environmental Corp. 2021 Equity and Incentive Compensation</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Plan (incorporated by reference to Exhibit 10.19 to the Company’s Annual Report on Form 10-K for the fiscal year ended December 31,</w:t>
              </w:r>
            </w:hyperlink>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90"/>
              </w:rPr>
            </w:pPr>
            <w:hyperlink r:id="rId120">
              <w:r>
                <w:rPr>
                  <w:rFonts w:ascii="Times New Roman" w:cs="Times New Roman" w:eastAsia="Times New Roman" w:hAnsi="Times New Roman"/>
                  <w:sz w:val="18"/>
                  <w:szCs w:val="18"/>
                  <w:color w:val="0000FF"/>
                  <w:w w:val="90"/>
                </w:rPr>
                <w:t>2021)</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Units Agreement for Employees under the CECO Environmental Corp. 2021 Equity and Incentive</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Compensation Plan (incorporated by reference to Exhibit 10.20 to the Company’s Annual Report on Form 10-K for the fiscal year ended</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December 31,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CECO Environmental Corp. Executive Change in Control Severance Plan (incorporated by reference to Exhibit 10.1 to the Company’s</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Quarterly Report on Form 10-Q filed with the SEC on November 8,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Separation Agreement, dated as of September 30, 2022, by and between CECO Environmental Corp. and Matthew Eckl (incorporated by</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reference to Exhibit 10.1 to the Company’s Quarterly Report on Form 10-Q filed with the SEC on November 7, 2022)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000" w:type="dxa"/>
            <w:vAlign w:val="bottom"/>
            <w:tcBorders>
              <w:right w:val="single" w:sz="8" w:color="0000EE"/>
            </w:tcBorders>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tcBorders>
              <w:right w:val="single" w:sz="8" w:color="0000EE"/>
            </w:tcBorders>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Amended and Restated Credit Agreement, dated as of June 11, 2019, among the Company and certain of its subsidiaries, the</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66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Lenders party thereto, and Bank of America, N.A. (incorporated by reference to Exhibit 10.1 to the Company’s Current Report on Form</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8-K filed with the SEC on June 12,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960" w:type="dxa"/>
            <w:vAlign w:val="bottom"/>
            <w:gridSpan w:val="1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No. 1 to Second Amended and Restated Credit Agreement, dated as of June 11, 2019, among the Company and certain of its</w:t>
              </w:r>
            </w:hyperlink>
          </w:p>
        </w:tc>
      </w:tr>
      <w:tr>
        <w:trPr>
          <w:trHeight w:val="20"/>
        </w:trPr>
        <w:tc>
          <w:tcPr>
            <w:tcW w:w="128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subsidiaries, the lenders party thereto and Bank of America, N.A. (incorporated by reference to Exhibit 10.23 to the Company’s Annual</w:t>
              </w:r>
            </w:hyperlink>
          </w:p>
        </w:tc>
      </w:tr>
      <w:tr>
        <w:trPr>
          <w:trHeight w:val="20"/>
        </w:trPr>
        <w:tc>
          <w:tcPr>
            <w:tcW w:w="128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8"/>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Report on Form 10-K for the fiscal year ended December 31, 2021)</w:t>
              </w:r>
            </w:hyperlink>
          </w:p>
        </w:tc>
      </w:tr>
      <w:tr>
        <w:trPr>
          <w:trHeight w:val="695"/>
        </w:trPr>
        <w:tc>
          <w:tcPr>
            <w:tcW w:w="1280" w:type="dxa"/>
            <w:vAlign w:val="bottom"/>
          </w:tcPr>
          <w:p>
            <w:pPr>
              <w:spacing w:after="0"/>
              <w:rPr>
                <w:sz w:val="24"/>
                <w:szCs w:val="24"/>
                <w:color w:val="auto"/>
              </w:rPr>
            </w:pPr>
          </w:p>
        </w:tc>
        <w:tc>
          <w:tcPr>
            <w:tcW w:w="4760" w:type="dxa"/>
            <w:vAlign w:val="bottom"/>
            <w:tcBorders>
              <w:top w:val="single" w:sz="8" w:color="0000FF"/>
            </w:tcBorders>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2 to Second Amended and Restated Credit Agreement, dated as of December 17, 2021, among the Company and certain</w:t>
            </w:r>
          </w:p>
        </w:tc>
      </w:tr>
      <w:tr>
        <w:trPr>
          <w:trHeight w:val="20"/>
        </w:trPr>
        <w:tc>
          <w:tcPr>
            <w:tcW w:w="12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its subsidiaries, the lenders party thereto and Bank of America, N.A.</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for Employees under the CECO Environmental Corp. 2021 Equity and Incentive</w:t>
            </w:r>
          </w:p>
        </w:tc>
      </w:tr>
      <w:tr>
        <w:trPr>
          <w:trHeight w:val="20"/>
        </w:trPr>
        <w:tc>
          <w:tcPr>
            <w:tcW w:w="12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8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Compensation Plan</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for Directors under the CECO Environmental Corp. 2021 Equity and Incentive Compensation</w:t>
            </w:r>
          </w:p>
        </w:tc>
      </w:tr>
      <w:tr>
        <w:trPr>
          <w:trHeight w:val="20"/>
        </w:trPr>
        <w:tc>
          <w:tcPr>
            <w:tcW w:w="12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4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Plan</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4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BDO USA, LLP</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5440" w:type="dxa"/>
            <w:vAlign w:val="bottom"/>
            <w:tcBorders>
              <w:left w:val="single" w:sz="8" w:color="0000FF"/>
            </w:tcBorders>
            <w:gridSpan w:val="3"/>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r>
      <w:tr>
        <w:trPr>
          <w:trHeight w:val="47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w:t>
      </w:r>
    </w:p>
    <w:p>
      <w:pPr>
        <w:spacing w:after="0" w:line="9" w:lineRule="exact"/>
        <w:rPr>
          <w:sz w:val="20"/>
          <w:szCs w:val="20"/>
          <w:color w:val="auto"/>
        </w:rPr>
      </w:pPr>
    </w:p>
    <w:p>
      <w:pPr>
        <w:ind w:right="180" w:firstLine="8"/>
        <w:spacing w:after="0" w:line="260"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306" w:lineRule="exact"/>
        <w:rPr>
          <w:sz w:val="20"/>
          <w:szCs w:val="20"/>
          <w:color w:val="auto"/>
        </w:rPr>
      </w:pPr>
    </w:p>
    <w:tbl>
      <w:tblPr>
        <w:tblLayout w:type="fixed"/>
        <w:tblInd w:w="6780" w:type="dxa"/>
        <w:tblCellMar>
          <w:top w:w="0" w:type="dxa"/>
          <w:left w:w="0" w:type="dxa"/>
          <w:bottom w:w="0" w:type="dxa"/>
          <w:right w:w="0" w:type="dxa"/>
        </w:tblCellMar>
      </w:tblP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Peter Johansson</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March 6, 2023</w:t>
            </w:r>
          </w:p>
        </w:tc>
      </w:tr>
    </w:tbl>
    <w:p>
      <w:pPr>
        <w:spacing w:after="0" w:line="3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58"/>
        </w:trPr>
        <w:tc>
          <w:tcPr>
            <w:tcW w:w="222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8"/>
                <w:szCs w:val="18"/>
                <w:color w:val="auto"/>
                <w:w w:val="89"/>
              </w:rPr>
              <w:t>/S/</w:t>
            </w:r>
          </w:p>
        </w:tc>
        <w:tc>
          <w:tcPr>
            <w:tcW w:w="3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26"/>
              <w:spacing w:after="0" w:line="146" w:lineRule="exact"/>
              <w:rPr>
                <w:sz w:val="20"/>
                <w:szCs w:val="20"/>
                <w:color w:val="auto"/>
              </w:rPr>
            </w:pPr>
            <w:r>
              <w:rPr>
                <w:rFonts w:ascii="Times New Roman" w:cs="Times New Roman" w:eastAsia="Times New Roman" w:hAnsi="Times New Roman"/>
                <w:sz w:val="13"/>
                <w:szCs w:val="13"/>
                <w:b w:val="1"/>
                <w:bCs w:val="1"/>
                <w:color w:val="auto"/>
              </w:rPr>
              <w:t>Todd Gleason</w:t>
            </w:r>
          </w:p>
        </w:tc>
        <w:tc>
          <w:tcPr>
            <w:tcW w:w="1340" w:type="dxa"/>
            <w:vAlign w:val="bottom"/>
          </w:tcPr>
          <w:p>
            <w:pPr>
              <w:spacing w:after="0"/>
              <w:rPr>
                <w:sz w:val="12"/>
                <w:szCs w:val="12"/>
                <w:color w:val="auto"/>
              </w:rPr>
            </w:pPr>
          </w:p>
        </w:tc>
      </w:tr>
      <w:tr>
        <w:trPr>
          <w:trHeight w:val="178"/>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Director</w:t>
            </w:r>
          </w:p>
        </w:tc>
        <w:tc>
          <w:tcPr>
            <w:tcW w:w="1340" w:type="dxa"/>
            <w:vAlign w:val="bottom"/>
          </w:tcPr>
          <w:p>
            <w:pPr>
              <w:spacing w:after="0"/>
              <w:rPr>
                <w:sz w:val="15"/>
                <w:szCs w:val="15"/>
                <w:color w:val="auto"/>
              </w:rPr>
            </w:pPr>
          </w:p>
        </w:tc>
      </w:tr>
      <w:tr>
        <w:trPr>
          <w:trHeight w:val="392"/>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21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3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46"/>
              <w:spacing w:after="0" w:line="146" w:lineRule="exact"/>
              <w:rPr>
                <w:sz w:val="20"/>
                <w:szCs w:val="20"/>
                <w:color w:val="auto"/>
              </w:rPr>
            </w:pPr>
            <w:r>
              <w:rPr>
                <w:rFonts w:ascii="Times New Roman" w:cs="Times New Roman" w:eastAsia="Times New Roman" w:hAnsi="Times New Roman"/>
                <w:sz w:val="13"/>
                <w:szCs w:val="13"/>
                <w:b w:val="1"/>
                <w:bCs w:val="1"/>
                <w:color w:val="auto"/>
              </w:rPr>
              <w:t>Peter Johansson</w:t>
            </w:r>
          </w:p>
        </w:tc>
        <w:tc>
          <w:tcPr>
            <w:tcW w:w="1340" w:type="dxa"/>
            <w:vAlign w:val="bottom"/>
          </w:tcPr>
          <w:p>
            <w:pPr>
              <w:spacing w:after="0"/>
              <w:rPr>
                <w:sz w:val="12"/>
                <w:szCs w:val="12"/>
                <w:color w:val="auto"/>
              </w:rPr>
            </w:pPr>
          </w:p>
        </w:tc>
      </w:tr>
      <w:tr>
        <w:trPr>
          <w:trHeight w:val="178"/>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c>
          <w:tcPr>
            <w:tcW w:w="1340" w:type="dxa"/>
            <w:vAlign w:val="bottom"/>
          </w:tcPr>
          <w:p>
            <w:pPr>
              <w:spacing w:after="0"/>
              <w:rPr>
                <w:sz w:val="15"/>
                <w:szCs w:val="15"/>
                <w:color w:val="auto"/>
              </w:rPr>
            </w:pPr>
          </w:p>
        </w:tc>
      </w:tr>
      <w:tr>
        <w:trPr>
          <w:trHeight w:val="48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2220" w:type="dxa"/>
            <w:vAlign w:val="bottom"/>
            <w:tcBorders>
              <w:bottom w:val="single" w:sz="8" w:color="auto"/>
            </w:tcBorders>
            <w:gridSpan w:val="2"/>
          </w:tcPr>
          <w:p>
            <w:pPr>
              <w:ind w:left="2000"/>
              <w:spacing w:after="0"/>
              <w:rPr>
                <w:sz w:val="20"/>
                <w:szCs w:val="20"/>
                <w:color w:val="auto"/>
              </w:rPr>
            </w:pPr>
            <w:r>
              <w:rPr>
                <w:rFonts w:ascii="Times New Roman" w:cs="Times New Roman" w:eastAsia="Times New Roman" w:hAnsi="Times New Roman"/>
                <w:sz w:val="18"/>
                <w:szCs w:val="18"/>
                <w:color w:val="auto"/>
                <w:w w:val="99"/>
              </w:rPr>
              <w:t>/S/</w:t>
            </w:r>
          </w:p>
        </w:tc>
        <w:tc>
          <w:tcPr>
            <w:tcW w:w="3320" w:type="dxa"/>
            <w:vAlign w:val="bottom"/>
            <w:tcBorders>
              <w:bottom w:val="single" w:sz="8" w:color="auto"/>
            </w:tcBorders>
          </w:tcPr>
          <w:p>
            <w:pPr>
              <w:jc w:val="center"/>
              <w:ind w:right="210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AUL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OHR</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26"/>
              <w:spacing w:after="0" w:line="146" w:lineRule="exact"/>
              <w:rPr>
                <w:sz w:val="20"/>
                <w:szCs w:val="20"/>
                <w:color w:val="auto"/>
              </w:rPr>
            </w:pPr>
            <w:r>
              <w:rPr>
                <w:rFonts w:ascii="Times New Roman" w:cs="Times New Roman" w:eastAsia="Times New Roman" w:hAnsi="Times New Roman"/>
                <w:sz w:val="13"/>
                <w:szCs w:val="13"/>
                <w:b w:val="1"/>
                <w:bCs w:val="1"/>
                <w:color w:val="auto"/>
              </w:rPr>
              <w:t>Paul Gohr</w:t>
            </w:r>
          </w:p>
        </w:tc>
        <w:tc>
          <w:tcPr>
            <w:tcW w:w="1340" w:type="dxa"/>
            <w:vAlign w:val="bottom"/>
          </w:tcPr>
          <w:p>
            <w:pPr>
              <w:spacing w:after="0"/>
              <w:rPr>
                <w:sz w:val="12"/>
                <w:szCs w:val="12"/>
                <w:color w:val="auto"/>
              </w:rPr>
            </w:pPr>
          </w:p>
        </w:tc>
      </w:tr>
      <w:tr>
        <w:trPr>
          <w:trHeight w:val="178"/>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Chief Accounting Officer</w:t>
            </w:r>
          </w:p>
        </w:tc>
        <w:tc>
          <w:tcPr>
            <w:tcW w:w="1340" w:type="dxa"/>
            <w:vAlign w:val="bottom"/>
          </w:tcPr>
          <w:p>
            <w:pPr>
              <w:spacing w:after="0"/>
              <w:rPr>
                <w:sz w:val="15"/>
                <w:szCs w:val="15"/>
                <w:color w:val="auto"/>
              </w:rPr>
            </w:pPr>
          </w:p>
        </w:tc>
      </w:tr>
      <w:tr>
        <w:trPr>
          <w:trHeight w:val="392"/>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8"/>
        </w:trPr>
        <w:tc>
          <w:tcPr>
            <w:tcW w:w="21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w:t>
            </w:r>
          </w:p>
        </w:tc>
        <w:tc>
          <w:tcPr>
            <w:tcW w:w="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3"/>
                <w:szCs w:val="13"/>
                <w:color w:val="auto"/>
              </w:rPr>
              <w:t>EZWIREK</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46"/>
              <w:spacing w:after="0" w:line="146" w:lineRule="exact"/>
              <w:rPr>
                <w:sz w:val="20"/>
                <w:szCs w:val="20"/>
                <w:color w:val="auto"/>
              </w:rPr>
            </w:pPr>
            <w:r>
              <w:rPr>
                <w:rFonts w:ascii="Times New Roman" w:cs="Times New Roman" w:eastAsia="Times New Roman" w:hAnsi="Times New Roman"/>
                <w:sz w:val="13"/>
                <w:szCs w:val="13"/>
                <w:b w:val="1"/>
                <w:bCs w:val="1"/>
                <w:color w:val="auto"/>
              </w:rPr>
              <w:t>Jason DeZwirek</w:t>
            </w:r>
          </w:p>
        </w:tc>
        <w:tc>
          <w:tcPr>
            <w:tcW w:w="1340" w:type="dxa"/>
            <w:vAlign w:val="bottom"/>
          </w:tcPr>
          <w:p>
            <w:pPr>
              <w:spacing w:after="0"/>
              <w:rPr>
                <w:sz w:val="12"/>
                <w:szCs w:val="12"/>
                <w:color w:val="auto"/>
              </w:rPr>
            </w:pPr>
          </w:p>
        </w:tc>
      </w:tr>
      <w:tr>
        <w:trPr>
          <w:trHeight w:val="178"/>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Chairman of the Board and Director</w:t>
            </w:r>
          </w:p>
        </w:tc>
        <w:tc>
          <w:tcPr>
            <w:tcW w:w="1340" w:type="dxa"/>
            <w:vAlign w:val="bottom"/>
          </w:tcPr>
          <w:p>
            <w:pPr>
              <w:spacing w:after="0"/>
              <w:rPr>
                <w:sz w:val="15"/>
                <w:szCs w:val="15"/>
                <w:color w:val="auto"/>
              </w:rPr>
            </w:pPr>
          </w:p>
        </w:tc>
      </w:tr>
      <w:tr>
        <w:trPr>
          <w:trHeight w:val="399"/>
        </w:trPr>
        <w:tc>
          <w:tcPr>
            <w:tcW w:w="554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3"/>
                <w:szCs w:val="13"/>
                <w:color w:val="auto"/>
              </w:rPr>
              <w:t>ROBERT E. KNOWLING JR.</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55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Robert E. Knowling Jr.</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r>
        <w:trPr>
          <w:trHeight w:val="399"/>
        </w:trPr>
        <w:tc>
          <w:tcPr>
            <w:tcW w:w="21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/S/</w:t>
            </w:r>
          </w:p>
        </w:tc>
        <w:tc>
          <w:tcPr>
            <w:tcW w:w="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2106"/>
              <w:spacing w:after="0"/>
              <w:rPr>
                <w:sz w:val="20"/>
                <w:szCs w:val="20"/>
                <w:color w:val="auto"/>
              </w:rPr>
            </w:pPr>
            <w:r>
              <w:rPr>
                <w:rFonts w:ascii="Times New Roman" w:cs="Times New Roman" w:eastAsia="Times New Roman" w:hAnsi="Times New Roman"/>
                <w:sz w:val="18"/>
                <w:szCs w:val="18"/>
                <w:color w:val="auto"/>
                <w:w w:val="98"/>
              </w:rPr>
              <w:t>D</w:t>
            </w:r>
            <w:r>
              <w:rPr>
                <w:rFonts w:ascii="Times New Roman" w:cs="Times New Roman" w:eastAsia="Times New Roman" w:hAnsi="Times New Roman"/>
                <w:sz w:val="13"/>
                <w:szCs w:val="13"/>
                <w:color w:val="auto"/>
                <w:w w:val="98"/>
              </w:rPr>
              <w:t>AVID</w:t>
            </w:r>
            <w:r>
              <w:rPr>
                <w:rFonts w:ascii="Times New Roman" w:cs="Times New Roman" w:eastAsia="Times New Roman" w:hAnsi="Times New Roman"/>
                <w:sz w:val="18"/>
                <w:szCs w:val="18"/>
                <w:color w:val="auto"/>
                <w:w w:val="98"/>
              </w:rPr>
              <w:t xml:space="preserve"> B</w:t>
            </w: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8"/>
                <w:szCs w:val="18"/>
                <w:color w:val="auto"/>
                <w:w w:val="98"/>
              </w:rPr>
              <w:t xml:space="preserve"> L</w:t>
            </w:r>
            <w:r>
              <w:rPr>
                <w:rFonts w:ascii="Times New Roman" w:cs="Times New Roman" w:eastAsia="Times New Roman" w:hAnsi="Times New Roman"/>
                <w:sz w:val="13"/>
                <w:szCs w:val="13"/>
                <w:color w:val="auto"/>
                <w:w w:val="98"/>
              </w:rPr>
              <w:t>INER</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145"/>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46"/>
              <w:spacing w:after="0" w:line="146" w:lineRule="exact"/>
              <w:rPr>
                <w:sz w:val="20"/>
                <w:szCs w:val="20"/>
                <w:color w:val="auto"/>
              </w:rPr>
            </w:pPr>
            <w:r>
              <w:rPr>
                <w:rFonts w:ascii="Times New Roman" w:cs="Times New Roman" w:eastAsia="Times New Roman" w:hAnsi="Times New Roman"/>
                <w:sz w:val="13"/>
                <w:szCs w:val="13"/>
                <w:b w:val="1"/>
                <w:bCs w:val="1"/>
                <w:color w:val="auto"/>
              </w:rPr>
              <w:t>David B. Liner</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r>
        <w:trPr>
          <w:trHeight w:val="379"/>
        </w:trPr>
        <w:tc>
          <w:tcPr>
            <w:tcW w:w="55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LAUDIO</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3"/>
                <w:szCs w:val="13"/>
                <w:color w:val="auto"/>
              </w:rPr>
              <w:t>ANNARINO</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7"/>
        </w:trPr>
        <w:tc>
          <w:tcPr>
            <w:tcW w:w="5540" w:type="dxa"/>
            <w:vAlign w:val="bottom"/>
            <w:tcBorders>
              <w:bottom w:val="single" w:sz="8" w:color="auto"/>
            </w:tcBorders>
            <w:gridSpan w:val="3"/>
          </w:tcPr>
          <w:p>
            <w:pPr>
              <w:spacing w:after="0"/>
              <w:rPr>
                <w:sz w:val="2"/>
                <w:szCs w:val="2"/>
                <w:color w:val="auto"/>
              </w:rPr>
            </w:pPr>
          </w:p>
        </w:tc>
        <w:tc>
          <w:tcPr>
            <w:tcW w:w="1340" w:type="dxa"/>
            <w:vAlign w:val="bottom"/>
          </w:tcPr>
          <w:p>
            <w:pPr>
              <w:spacing w:after="0"/>
              <w:rPr>
                <w:sz w:val="2"/>
                <w:szCs w:val="2"/>
                <w:color w:val="auto"/>
              </w:rPr>
            </w:pPr>
          </w:p>
        </w:tc>
      </w:tr>
      <w:tr>
        <w:trPr>
          <w:trHeight w:val="139"/>
        </w:trPr>
        <w:tc>
          <w:tcPr>
            <w:tcW w:w="554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Claudio A. Mannarino</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r>
        <w:trPr>
          <w:trHeight w:val="379"/>
        </w:trPr>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9"/>
              </w:rPr>
              <w:t>/S/</w:t>
            </w:r>
          </w:p>
        </w:tc>
        <w:tc>
          <w:tcPr>
            <w:tcW w:w="60" w:type="dxa"/>
            <w:vAlign w:val="bottom"/>
          </w:tcPr>
          <w:p>
            <w:pPr>
              <w:spacing w:after="0"/>
              <w:rPr>
                <w:sz w:val="24"/>
                <w:szCs w:val="24"/>
                <w:color w:val="auto"/>
              </w:rPr>
            </w:pPr>
          </w:p>
        </w:tc>
        <w:tc>
          <w:tcPr>
            <w:tcW w:w="3320" w:type="dxa"/>
            <w:vAlign w:val="bottom"/>
          </w:tcPr>
          <w:p>
            <w:pPr>
              <w:jc w:val="center"/>
              <w:ind w:right="2066"/>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UNISH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ANDA</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7"/>
        </w:trPr>
        <w:tc>
          <w:tcPr>
            <w:tcW w:w="2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r>
      <w:tr>
        <w:trPr>
          <w:trHeight w:val="139"/>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20" w:type="dxa"/>
            <w:vAlign w:val="bottom"/>
          </w:tcPr>
          <w:p>
            <w:pPr>
              <w:jc w:val="center"/>
              <w:ind w:right="2146"/>
              <w:spacing w:after="0" w:line="139" w:lineRule="exact"/>
              <w:rPr>
                <w:sz w:val="20"/>
                <w:szCs w:val="20"/>
                <w:color w:val="auto"/>
              </w:rPr>
            </w:pPr>
            <w:r>
              <w:rPr>
                <w:rFonts w:ascii="Times New Roman" w:cs="Times New Roman" w:eastAsia="Times New Roman" w:hAnsi="Times New Roman"/>
                <w:sz w:val="13"/>
                <w:szCs w:val="13"/>
                <w:b w:val="1"/>
                <w:bCs w:val="1"/>
                <w:color w:val="auto"/>
              </w:rPr>
              <w:t>Munish Nanda</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r>
        <w:trPr>
          <w:trHeight w:val="379"/>
        </w:trPr>
        <w:tc>
          <w:tcPr>
            <w:tcW w:w="5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3"/>
                <w:szCs w:val="13"/>
                <w:color w:val="auto"/>
              </w:rPr>
              <w:t>ALERIE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ENTILE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ACHS</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7"/>
        </w:trPr>
        <w:tc>
          <w:tcPr>
            <w:tcW w:w="2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c>
          <w:tcPr>
            <w:tcW w:w="1340" w:type="dxa"/>
            <w:vAlign w:val="bottom"/>
          </w:tcPr>
          <w:p>
            <w:pPr>
              <w:spacing w:after="0"/>
              <w:rPr>
                <w:sz w:val="2"/>
                <w:szCs w:val="2"/>
                <w:color w:val="auto"/>
              </w:rPr>
            </w:pPr>
          </w:p>
        </w:tc>
      </w:tr>
      <w:tr>
        <w:trPr>
          <w:trHeight w:val="139"/>
        </w:trPr>
        <w:tc>
          <w:tcPr>
            <w:tcW w:w="2160" w:type="dxa"/>
            <w:vAlign w:val="bottom"/>
          </w:tcPr>
          <w:p>
            <w:pPr>
              <w:spacing w:after="0"/>
              <w:rPr>
                <w:sz w:val="12"/>
                <w:szCs w:val="12"/>
                <w:color w:val="auto"/>
              </w:rPr>
            </w:pPr>
          </w:p>
        </w:tc>
        <w:tc>
          <w:tcPr>
            <w:tcW w:w="3380" w:type="dxa"/>
            <w:vAlign w:val="bottom"/>
            <w:gridSpan w:val="2"/>
          </w:tcPr>
          <w:p>
            <w:pPr>
              <w:jc w:val="center"/>
              <w:ind w:right="2086"/>
              <w:spacing w:after="0" w:line="139" w:lineRule="exact"/>
              <w:rPr>
                <w:sz w:val="20"/>
                <w:szCs w:val="20"/>
                <w:color w:val="auto"/>
              </w:rPr>
            </w:pPr>
            <w:r>
              <w:rPr>
                <w:rFonts w:ascii="Times New Roman" w:cs="Times New Roman" w:eastAsia="Times New Roman" w:hAnsi="Times New Roman"/>
                <w:sz w:val="13"/>
                <w:szCs w:val="13"/>
                <w:b w:val="1"/>
                <w:bCs w:val="1"/>
                <w:color w:val="auto"/>
              </w:rPr>
              <w:t>Valerie Gentile Sachs</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r>
        <w:trPr>
          <w:trHeight w:val="379"/>
        </w:trPr>
        <w:tc>
          <w:tcPr>
            <w:tcW w:w="21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W</w:t>
            </w:r>
            <w:r>
              <w:rPr>
                <w:rFonts w:ascii="Times New Roman" w:cs="Times New Roman" w:eastAsia="Times New Roman" w:hAnsi="Times New Roman"/>
                <w:sz w:val="13"/>
                <w:szCs w:val="13"/>
                <w:color w:val="auto"/>
              </w:rPr>
              <w:t>ALLMAN</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27"/>
        </w:trPr>
        <w:tc>
          <w:tcPr>
            <w:tcW w:w="2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c>
          <w:tcPr>
            <w:tcW w:w="1340" w:type="dxa"/>
            <w:vAlign w:val="bottom"/>
          </w:tcPr>
          <w:p>
            <w:pPr>
              <w:spacing w:after="0"/>
              <w:rPr>
                <w:sz w:val="2"/>
                <w:szCs w:val="2"/>
                <w:color w:val="auto"/>
              </w:rPr>
            </w:pPr>
          </w:p>
        </w:tc>
      </w:tr>
      <w:tr>
        <w:trPr>
          <w:trHeight w:val="139"/>
        </w:trPr>
        <w:tc>
          <w:tcPr>
            <w:tcW w:w="2160" w:type="dxa"/>
            <w:vAlign w:val="bottom"/>
          </w:tcPr>
          <w:p>
            <w:pPr>
              <w:spacing w:after="0"/>
              <w:rPr>
                <w:sz w:val="12"/>
                <w:szCs w:val="12"/>
                <w:color w:val="auto"/>
              </w:rPr>
            </w:pPr>
          </w:p>
        </w:tc>
        <w:tc>
          <w:tcPr>
            <w:tcW w:w="3380" w:type="dxa"/>
            <w:vAlign w:val="bottom"/>
            <w:gridSpan w:val="2"/>
          </w:tcPr>
          <w:p>
            <w:pPr>
              <w:jc w:val="center"/>
              <w:ind w:right="2066"/>
              <w:spacing w:after="0" w:line="139" w:lineRule="exact"/>
              <w:rPr>
                <w:sz w:val="20"/>
                <w:szCs w:val="20"/>
                <w:color w:val="auto"/>
              </w:rPr>
            </w:pPr>
            <w:r>
              <w:rPr>
                <w:rFonts w:ascii="Times New Roman" w:cs="Times New Roman" w:eastAsia="Times New Roman" w:hAnsi="Times New Roman"/>
                <w:sz w:val="13"/>
                <w:szCs w:val="13"/>
                <w:b w:val="1"/>
                <w:bCs w:val="1"/>
                <w:color w:val="auto"/>
              </w:rPr>
              <w:t>Richard F. Wallman</w:t>
            </w:r>
          </w:p>
        </w:tc>
        <w:tc>
          <w:tcPr>
            <w:tcW w:w="1340" w:type="dxa"/>
            <w:vAlign w:val="bottom"/>
          </w:tcPr>
          <w:p>
            <w:pPr>
              <w:spacing w:after="0"/>
              <w:rPr>
                <w:sz w:val="12"/>
                <w:szCs w:val="12"/>
                <w:color w:val="auto"/>
              </w:rPr>
            </w:pPr>
          </w:p>
        </w:tc>
      </w:tr>
      <w:tr>
        <w:trPr>
          <w:trHeight w:val="178"/>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Pr>
          <w:p>
            <w:pPr>
              <w:jc w:val="center"/>
              <w:ind w:right="2126"/>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CECO Environmental Corp. and Subsidiaries (the “Company”) as of December 31, 2022 and 2021, the related consolidated statements of income and comprehensive income, shareholders’ equity and accumulated other comprehensive loss,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6,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Using the Cost-to-Cost Input Approach</w:t>
      </w:r>
    </w:p>
    <w:p>
      <w:pPr>
        <w:spacing w:after="0" w:line="227"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As described in Note 1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ratio of contract costs incurred to date compared to total estimated costs. Under this method, the Company must continually assess the total estimated costs and progress toward completion for each contract. Changes in these estimates can have a material impact on the amount of revenue and gross profit recognized each period.</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identified the accuracy of revenue recognized over time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520"/>
        <w:spacing w:after="0" w:line="282" w:lineRule="auto"/>
        <w:rPr>
          <w:sz w:val="20"/>
          <w:szCs w:val="20"/>
          <w:color w:val="auto"/>
        </w:rPr>
      </w:pPr>
      <w:r>
        <w:rPr>
          <w:rFonts w:ascii="Times New Roman" w:cs="Times New Roman" w:eastAsia="Times New Roman" w:hAnsi="Times New Roman"/>
          <w:sz w:val="18"/>
          <w:szCs w:val="18"/>
          <w:color w:val="auto"/>
        </w:rPr>
        <w:t>Auditing these complex judgments and assumptions involves especially challenging auditor judgment due to the nature and extent of audit evidence available and effort required to address these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internal controls relating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71"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existence, and accuracy of estimated project cost calculations for a sample of contracts by validating the underlying project data and assumptions used as inputs through the inspection of relevant source documents including project plans or budgets and activity reports, invoices of costs incurred to date, results of recent similar historical projects, other third-party subcontractor support, inquiry of project managers, and confirmations.</w:t>
      </w:r>
    </w:p>
    <w:p>
      <w:pPr>
        <w:spacing w:after="0" w:line="71"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0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26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286,573</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34,381,668 and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35,028,197 shares issued and outstanding at December 31, 2022</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2021,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250,174</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4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(19,298 )</w:t>
            </w:r>
          </w:p>
        </w:tc>
        <w:tc>
          <w:tcPr>
            <w:tcW w:w="5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(36,715 )</w:t>
            </w:r>
          </w:p>
        </w:tc>
        <w:tc>
          <w:tcPr>
            <w:tcW w:w="0" w:type="dxa"/>
            <w:vAlign w:val="bottom"/>
          </w:tcPr>
          <w:p>
            <w:pPr>
              <w:spacing w:after="0"/>
              <w:rPr>
                <w:sz w:val="1"/>
                <w:szCs w:val="1"/>
                <w:color w:val="auto"/>
              </w:rPr>
            </w:pPr>
          </w:p>
        </w:tc>
      </w:tr>
      <w:tr>
        <w:trPr>
          <w:trHeight w:val="243"/>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(17,996 )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c>
          <w:tcPr>
            <w:tcW w:w="0" w:type="dxa"/>
            <w:vAlign w:val="bottom"/>
          </w:tcPr>
          <w:p>
            <w:pPr>
              <w:spacing w:after="0"/>
              <w:rPr>
                <w:sz w:val="1"/>
                <w:szCs w:val="1"/>
                <w:color w:val="auto"/>
              </w:rPr>
            </w:pPr>
          </w:p>
        </w:tc>
      </w:tr>
      <w:tr>
        <w:trPr>
          <w:trHeight w:val="236"/>
        </w:trPr>
        <w:tc>
          <w:tcPr>
            <w:tcW w:w="73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218,148</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3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-5331460</wp:posOffset>
            </wp:positionV>
            <wp:extent cx="685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-5331460</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-4088130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-668020</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(2,231 )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(2,952 )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(3,535 )</w:t>
            </w: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34,672,007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35,345,785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35,289,616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35,005,159</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35,594,779</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35,520,670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-2271395</wp:posOffset>
            </wp:positionV>
            <wp:extent cx="7683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-2271395</wp:posOffset>
            </wp:positionV>
            <wp:extent cx="685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-1002030</wp:posOffset>
            </wp:positionV>
            <wp:extent cx="227139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2271395" cy="1797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2"/>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Translation (loss) income</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(5,635 )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(538 )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(2,247 )</w:t>
            </w:r>
          </w:p>
        </w:tc>
      </w:tr>
      <w:tr>
        <w:trPr>
          <w:trHeight w:val="27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-659765</wp:posOffset>
            </wp:positionV>
            <wp:extent cx="7683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-659765</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1120" w:type="dxa"/>
            <w:vAlign w:val="bottom"/>
            <w:gridSpan w:val="5"/>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68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11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402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80" w:type="dxa"/>
            <w:vAlign w:val="bottom"/>
          </w:tcPr>
          <w:p>
            <w:pPr>
              <w:spacing w:after="0"/>
              <w:rPr>
                <w:sz w:val="12"/>
                <w:szCs w:val="12"/>
                <w:color w:val="auto"/>
              </w:rPr>
            </w:pPr>
          </w:p>
        </w:tc>
        <w:tc>
          <w:tcPr>
            <w:tcW w:w="700" w:type="dxa"/>
            <w:vAlign w:val="bottom"/>
            <w:gridSpan w:val="3"/>
          </w:tcPr>
          <w:p>
            <w:pPr>
              <w:jc w:val="right"/>
              <w:ind w:right="4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2"/>
                <w:szCs w:val="12"/>
                <w:color w:val="auto"/>
              </w:rPr>
            </w:pPr>
          </w:p>
        </w:tc>
        <w:tc>
          <w:tcPr>
            <w:tcW w:w="680" w:type="dxa"/>
            <w:vAlign w:val="bottom"/>
            <w:gridSpan w:val="4"/>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Loss</w:t>
            </w:r>
          </w:p>
        </w:tc>
        <w:tc>
          <w:tcPr>
            <w:tcW w:w="62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5"/>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40" w:type="dxa"/>
            <w:vAlign w:val="bottom"/>
          </w:tcPr>
          <w:p>
            <w:pPr>
              <w:spacing w:after="0"/>
              <w:rPr>
                <w:sz w:val="12"/>
                <w:szCs w:val="12"/>
                <w:color w:val="auto"/>
              </w:rPr>
            </w:pPr>
          </w:p>
        </w:tc>
        <w:tc>
          <w:tcPr>
            <w:tcW w:w="740" w:type="dxa"/>
            <w:vAlign w:val="bottom"/>
            <w:gridSpan w:val="3"/>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20" w:type="dxa"/>
            <w:vAlign w:val="bottom"/>
            <w:tcBorders>
              <w:right w:val="single" w:sz="8" w:color="CFF0FC"/>
            </w:tcBorders>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Balance January 1, 2020</w:t>
            </w:r>
          </w:p>
        </w:tc>
        <w:tc>
          <w:tcPr>
            <w:tcW w:w="460" w:type="dxa"/>
            <w:vAlign w:val="bottom"/>
            <w:tcBorders>
              <w:right w:val="single" w:sz="8" w:color="CFF0FC"/>
            </w:tcBorders>
            <w:shd w:val="clear" w:color="auto" w:fill="CFF0FC"/>
          </w:tcPr>
          <w:p>
            <w:pPr>
              <w:ind w:left="140"/>
              <w:spacing w:after="0" w:line="130" w:lineRule="exact"/>
              <w:rPr>
                <w:sz w:val="20"/>
                <w:szCs w:val="20"/>
                <w:color w:val="auto"/>
              </w:rPr>
            </w:pPr>
            <w:r>
              <w:rPr>
                <w:rFonts w:ascii="Times New Roman" w:cs="Times New Roman" w:eastAsia="Times New Roman" w:hAnsi="Times New Roman"/>
                <w:sz w:val="13"/>
                <w:szCs w:val="13"/>
                <w:color w:val="auto"/>
                <w:w w:val="95"/>
              </w:rPr>
              <w:t>35,27</w:t>
            </w:r>
          </w:p>
        </w:tc>
        <w:tc>
          <w:tcPr>
            <w:tcW w:w="180" w:type="dxa"/>
            <w:vAlign w:val="bottom"/>
            <w:shd w:val="clear" w:color="auto" w:fill="CFF0FC"/>
          </w:tcPr>
          <w:p>
            <w:pPr>
              <w:spacing w:after="0"/>
              <w:rPr>
                <w:sz w:val="11"/>
                <w:szCs w:val="11"/>
                <w:color w:val="auto"/>
              </w:rPr>
            </w:pPr>
          </w:p>
        </w:tc>
        <w:tc>
          <w:tcPr>
            <w:tcW w:w="200" w:type="dxa"/>
            <w:vAlign w:val="bottom"/>
            <w:tcBorders>
              <w:left w:val="single" w:sz="8" w:color="CFF0FC"/>
            </w:tcBorders>
            <w:shd w:val="clear" w:color="auto" w:fill="CFF0FC"/>
          </w:tcPr>
          <w:p>
            <w:pPr>
              <w:spacing w:after="0"/>
              <w:rPr>
                <w:sz w:val="11"/>
                <w:szCs w:val="11"/>
                <w:color w:val="auto"/>
              </w:rPr>
            </w:pPr>
          </w:p>
        </w:tc>
        <w:tc>
          <w:tcPr>
            <w:tcW w:w="36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left w:val="single" w:sz="8" w:color="CFF0FC"/>
            </w:tcBorders>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20" w:type="dxa"/>
            <w:vAlign w:val="bottom"/>
            <w:tcBorders>
              <w:right w:val="single" w:sz="8" w:color="CFF0FC"/>
            </w:tcBorders>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253,869</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(46,344 )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(14,505 )</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(138 )</w:t>
            </w: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gridSpan w:val="3"/>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(356 ) $</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193,017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8,211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(39 )</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(331 )</w:t>
            </w:r>
          </w:p>
        </w:tc>
        <w:tc>
          <w:tcPr>
            <w:tcW w:w="2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(337 )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$802</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(2,247 )</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(2,247 )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acquired (See Note 14)</w:t>
            </w:r>
          </w:p>
        </w:tc>
        <w:tc>
          <w:tcPr>
            <w:tcW w:w="4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left w:val="single" w:sz="8" w:color="CFF0FC"/>
              <w:bottom w:val="single" w:sz="8" w:color="auto"/>
            </w:tcBorders>
            <w:shd w:val="clear" w:color="auto" w:fill="CFF0FC"/>
          </w:tcPr>
          <w:p>
            <w:pPr>
              <w:spacing w:after="0"/>
              <w:rPr>
                <w:sz w:val="15"/>
                <w:szCs w:val="15"/>
                <w:color w:val="auto"/>
              </w:rPr>
            </w:pPr>
          </w:p>
        </w:tc>
        <w:tc>
          <w:tcPr>
            <w:tcW w:w="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left w:val="single" w:sz="8" w:color="CFF0FC"/>
              <w:bottom w:val="single" w:sz="8" w:color="auto"/>
            </w:tcBorders>
            <w:shd w:val="clear" w:color="auto" w:fill="CFF0FC"/>
          </w:tcPr>
          <w:p>
            <w:pPr>
              <w:spacing w:after="0"/>
              <w:rPr>
                <w:sz w:val="15"/>
                <w:szCs w:val="15"/>
                <w:color w:val="auto"/>
              </w:rPr>
            </w:pPr>
          </w:p>
        </w:tc>
        <w:tc>
          <w:tcPr>
            <w:tcW w:w="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4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December 31, 2020</w:t>
            </w:r>
          </w:p>
        </w:tc>
        <w:tc>
          <w:tcPr>
            <w:tcW w:w="4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w w:val="95"/>
              </w:rPr>
              <w:t>35,50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255,296</w:t>
            </w:r>
          </w:p>
        </w:tc>
        <w:tc>
          <w:tcPr>
            <w:tcW w:w="1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(38,141 )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(14,496 )</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(138 )</w:t>
            </w:r>
          </w:p>
        </w:tc>
        <w:tc>
          <w:tcPr>
            <w:tcW w:w="80" w:type="dxa"/>
            <w:vAlign w:val="bottom"/>
          </w:tcPr>
          <w:p>
            <w:pPr>
              <w:spacing w:after="0"/>
              <w:rPr>
                <w:sz w:val="15"/>
                <w:szCs w:val="15"/>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auto"/>
              </w:rPr>
              <w:t>(356 ) $</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203,611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2021</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1,426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(517 )</w:t>
            </w: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(514 )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 (See Note 9)</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(781 )</w:t>
            </w:r>
          </w:p>
        </w:tc>
        <w:tc>
          <w:tcPr>
            <w:tcW w:w="200" w:type="dxa"/>
            <w:vAlign w:val="bottom"/>
            <w:tcBorders>
              <w:left w:val="single" w:sz="8" w:color="CFF0FC"/>
            </w:tcBorders>
            <w:shd w:val="clear" w:color="auto" w:fill="CFF0FC"/>
          </w:tcPr>
          <w:p>
            <w:pPr>
              <w:spacing w:after="0"/>
              <w:rPr>
                <w:sz w:val="15"/>
                <w:szCs w:val="15"/>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(8 )</w:t>
            </w:r>
          </w:p>
        </w:tc>
        <w:tc>
          <w:tcPr>
            <w:tcW w:w="8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(5,361 )</w:t>
            </w: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(5,013 )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$866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(538 )</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(538 )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(107 )</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(107 )</w:t>
            </w:r>
          </w:p>
        </w:tc>
        <w:tc>
          <w:tcPr>
            <w:tcW w:w="0" w:type="dxa"/>
            <w:vAlign w:val="bottom"/>
          </w:tcPr>
          <w:p>
            <w:pPr>
              <w:spacing w:after="0"/>
              <w:rPr>
                <w:sz w:val="1"/>
                <w:szCs w:val="1"/>
                <w:color w:val="auto"/>
              </w:rPr>
            </w:pPr>
          </w:p>
        </w:tc>
      </w:tr>
      <w:tr>
        <w:trPr>
          <w:trHeight w:val="143"/>
        </w:trPr>
        <w:tc>
          <w:tcPr>
            <w:tcW w:w="4020" w:type="dxa"/>
            <w:vAlign w:val="bottom"/>
            <w:tcBorders>
              <w:right w:val="single" w:sz="8" w:color="CFF0FC"/>
            </w:tcBorders>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December 31, 2021</w:t>
            </w:r>
          </w:p>
        </w:tc>
        <w:tc>
          <w:tcPr>
            <w:tcW w:w="460" w:type="dxa"/>
            <w:vAlign w:val="bottom"/>
            <w:tcBorders>
              <w:top w:val="single" w:sz="8" w:color="auto"/>
              <w:right w:val="single" w:sz="8" w:color="CFF0FC"/>
            </w:tcBorders>
            <w:shd w:val="clear" w:color="auto" w:fill="CFF0FC"/>
          </w:tcPr>
          <w:p>
            <w:pPr>
              <w:ind w:left="140"/>
              <w:spacing w:after="0" w:line="143" w:lineRule="exact"/>
              <w:rPr>
                <w:sz w:val="20"/>
                <w:szCs w:val="20"/>
                <w:color w:val="auto"/>
              </w:rPr>
            </w:pPr>
            <w:r>
              <w:rPr>
                <w:rFonts w:ascii="Times New Roman" w:cs="Times New Roman" w:eastAsia="Times New Roman" w:hAnsi="Times New Roman"/>
                <w:sz w:val="13"/>
                <w:szCs w:val="13"/>
                <w:color w:val="auto"/>
                <w:w w:val="95"/>
              </w:rPr>
              <w:t>35,02</w:t>
            </w:r>
          </w:p>
        </w:tc>
        <w:tc>
          <w:tcPr>
            <w:tcW w:w="180" w:type="dxa"/>
            <w:vAlign w:val="bottom"/>
            <w:shd w:val="clear" w:color="auto" w:fill="CFF0FC"/>
          </w:tcPr>
          <w:p>
            <w:pPr>
              <w:spacing w:after="0"/>
              <w:rPr>
                <w:sz w:val="12"/>
                <w:szCs w:val="12"/>
                <w:color w:val="auto"/>
              </w:rPr>
            </w:pPr>
          </w:p>
        </w:tc>
        <w:tc>
          <w:tcPr>
            <w:tcW w:w="200" w:type="dxa"/>
            <w:vAlign w:val="bottom"/>
            <w:tcBorders>
              <w:top w:val="single" w:sz="8" w:color="auto"/>
              <w:left w:val="single" w:sz="8" w:color="CFF0FC"/>
            </w:tcBorders>
            <w:shd w:val="clear" w:color="auto" w:fill="CFF0FC"/>
          </w:tcPr>
          <w:p>
            <w:pPr>
              <w:spacing w:after="0"/>
              <w:rPr>
                <w:sz w:val="12"/>
                <w:szCs w:val="12"/>
                <w:color w:val="auto"/>
              </w:rPr>
            </w:pPr>
          </w:p>
        </w:tc>
        <w:tc>
          <w:tcPr>
            <w:tcW w:w="360" w:type="dxa"/>
            <w:vAlign w:val="bottom"/>
            <w:tcBorders>
              <w:top w:val="single" w:sz="8" w:color="auto"/>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580" w:type="dxa"/>
            <w:vAlign w:val="bottom"/>
            <w:tcBorders>
              <w:top w:val="single" w:sz="8" w:color="auto"/>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44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20" w:type="dxa"/>
            <w:vAlign w:val="bottom"/>
            <w:tcBorders>
              <w:right w:val="single" w:sz="8" w:color="CFF0FC"/>
            </w:tcBorders>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252,989</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(36,715 )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(12,070 )</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205,957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17,417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18,263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(443 )</w:t>
            </w: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(440 )</w:t>
            </w: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4,262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 (See Note 9)</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(1,032 )</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(7,010 )</w:t>
            </w: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(7,020 )</w:t>
            </w: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$97</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(291 )</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(291 )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(5,635 )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(5,635 )</w:t>
            </w:r>
          </w:p>
        </w:tc>
        <w:tc>
          <w:tcPr>
            <w:tcW w:w="0" w:type="dxa"/>
            <w:vAlign w:val="bottom"/>
          </w:tcPr>
          <w:p>
            <w:pPr>
              <w:spacing w:after="0"/>
              <w:rPr>
                <w:sz w:val="1"/>
                <w:szCs w:val="1"/>
                <w:color w:val="auto"/>
              </w:rPr>
            </w:pPr>
          </w:p>
        </w:tc>
      </w:tr>
      <w:tr>
        <w:trPr>
          <w:trHeight w:val="176"/>
        </w:trPr>
        <w:tc>
          <w:tcPr>
            <w:tcW w:w="4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(1,425 )</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(1,425 )</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noncontrolling interest equity issued (See Note 14)</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20" w:type="dxa"/>
            <w:vAlign w:val="bottom"/>
            <w:tcBorders>
              <w:right w:val="single" w:sz="8" w:color="CFF0FC"/>
            </w:tcBorders>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December 31, 2022</w:t>
            </w:r>
          </w:p>
        </w:tc>
        <w:tc>
          <w:tcPr>
            <w:tcW w:w="460" w:type="dxa"/>
            <w:vAlign w:val="bottom"/>
            <w:tcBorders>
              <w:right w:val="single" w:sz="8" w:color="CFF0FC"/>
            </w:tcBorders>
            <w:shd w:val="clear" w:color="auto" w:fill="CFF0FC"/>
          </w:tcPr>
          <w:p>
            <w:pPr>
              <w:ind w:left="140"/>
              <w:spacing w:after="0" w:line="143" w:lineRule="exact"/>
              <w:rPr>
                <w:sz w:val="20"/>
                <w:szCs w:val="20"/>
                <w:color w:val="auto"/>
              </w:rPr>
            </w:pPr>
            <w:r>
              <w:rPr>
                <w:rFonts w:ascii="Times New Roman" w:cs="Times New Roman" w:eastAsia="Times New Roman" w:hAnsi="Times New Roman"/>
                <w:sz w:val="13"/>
                <w:szCs w:val="13"/>
                <w:color w:val="auto"/>
                <w:w w:val="95"/>
              </w:rPr>
              <w:t>34,38</w:t>
            </w:r>
          </w:p>
        </w:tc>
        <w:tc>
          <w:tcPr>
            <w:tcW w:w="18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20" w:type="dxa"/>
            <w:vAlign w:val="bottom"/>
            <w:tcBorders>
              <w:right w:val="single" w:sz="8" w:color="CFF0FC"/>
            </w:tcBorders>
            <w:shd w:val="clear" w:color="auto" w:fill="CFF0FC"/>
          </w:tcPr>
          <w:p>
            <w:pPr>
              <w:spacing w:after="0"/>
              <w:rPr>
                <w:sz w:val="16"/>
                <w:szCs w:val="16"/>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spacing w:after="0"/>
              <w:rPr>
                <w:sz w:val="16"/>
                <w:szCs w:val="16"/>
                <w:color w:val="auto"/>
              </w:rPr>
            </w:pPr>
          </w:p>
        </w:tc>
        <w:tc>
          <w:tcPr>
            <w:tcW w:w="2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4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250,174</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(19,298 )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(17,996 )</w:t>
            </w:r>
          </w:p>
        </w:tc>
        <w:tc>
          <w:tcPr>
            <w:tcW w:w="4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0" w:type="dxa"/>
            <w:vAlign w:val="bottom"/>
            <w:tcBorders>
              <w:right w:val="single" w:sz="8" w:color="CFF0FC"/>
            </w:tcBorders>
          </w:tcPr>
          <w:p>
            <w:pPr>
              <w:spacing w:after="0"/>
              <w:rPr>
                <w:sz w:val="16"/>
                <w:szCs w:val="16"/>
                <w:color w:val="auto"/>
              </w:rPr>
            </w:pPr>
          </w:p>
        </w:tc>
        <w:tc>
          <w:tcPr>
            <w:tcW w:w="1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4"/>
                <w:szCs w:val="4"/>
                <w:color w:val="auto"/>
                <w:w w:val="97"/>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4,924</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218,148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-2562225</wp:posOffset>
            </wp:positionV>
            <wp:extent cx="7747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-2562225</wp:posOffset>
            </wp:positionV>
            <wp:extent cx="76835"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-2562225</wp:posOffset>
            </wp:positionV>
            <wp:extent cx="7747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-2562225</wp:posOffset>
            </wp:positionV>
            <wp:extent cx="6858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-2562225</wp:posOffset>
            </wp:positionV>
            <wp:extent cx="6858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-2562225</wp:posOffset>
            </wp:positionV>
            <wp:extent cx="6858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-2562225</wp:posOffset>
            </wp:positionV>
            <wp:extent cx="6858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-2562225</wp:posOffset>
            </wp:positionV>
            <wp:extent cx="6858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-25400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-8255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3"/>
                <w:szCs w:val="13"/>
                <w:color w:val="auto"/>
              </w:rPr>
            </w:pPr>
          </w:p>
        </w:tc>
        <w:tc>
          <w:tcPr>
            <w:tcW w:w="190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220" w:type="dxa"/>
            <w:vAlign w:val="bottom"/>
          </w:tcPr>
          <w:p>
            <w:pPr>
              <w:spacing w:after="0"/>
              <w:rPr>
                <w:sz w:val="13"/>
                <w:szCs w:val="13"/>
                <w:color w:val="auto"/>
              </w:rPr>
            </w:pPr>
          </w:p>
        </w:tc>
        <w:tc>
          <w:tcPr>
            <w:tcW w:w="17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580" w:type="dxa"/>
            <w:vAlign w:val="bottom"/>
            <w:gridSpan w:val="2"/>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9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liability adjustment</w:t>
            </w:r>
          </w:p>
        </w:tc>
        <w:tc>
          <w:tcPr>
            <w:tcW w:w="220" w:type="dxa"/>
            <w:vAlign w:val="bottom"/>
          </w:tcPr>
          <w:p>
            <w:pPr>
              <w:spacing w:after="0"/>
              <w:rPr>
                <w:sz w:val="16"/>
                <w:szCs w:val="16"/>
                <w:color w:val="auto"/>
              </w:rPr>
            </w:pPr>
          </w:p>
        </w:tc>
        <w:tc>
          <w:tcPr>
            <w:tcW w:w="172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3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2020</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activity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(2,247 )</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activity</w:t>
            </w:r>
          </w:p>
        </w:tc>
        <w:tc>
          <w:tcPr>
            <w:tcW w:w="260" w:type="dxa"/>
            <w:vAlign w:val="bottom"/>
          </w:tcPr>
          <w:p>
            <w:pPr>
              <w:spacing w:after="0"/>
              <w:rPr>
                <w:sz w:val="20"/>
                <w:szCs w:val="20"/>
                <w:color w:val="auto"/>
              </w:rPr>
            </w:pPr>
          </w:p>
        </w:tc>
        <w:tc>
          <w:tcPr>
            <w:tcW w:w="1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(538 )</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20"/>
                <w:szCs w:val="20"/>
                <w:color w:val="auto"/>
              </w:rPr>
            </w:pPr>
          </w:p>
        </w:tc>
      </w:tr>
      <w:tr>
        <w:trPr>
          <w:trHeight w:val="24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activity</w:t>
            </w:r>
          </w:p>
        </w:tc>
        <w:tc>
          <w:tcPr>
            <w:tcW w:w="260" w:type="dxa"/>
            <w:vAlign w:val="bottom"/>
          </w:tcPr>
          <w:p>
            <w:pPr>
              <w:spacing w:after="0"/>
              <w:rPr>
                <w:sz w:val="20"/>
                <w:szCs w:val="20"/>
                <w:color w:val="auto"/>
              </w:rPr>
            </w:pPr>
          </w:p>
        </w:tc>
        <w:tc>
          <w:tcPr>
            <w:tcW w:w="1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(5,635 )</w:t>
            </w:r>
          </w:p>
        </w:tc>
        <w:tc>
          <w:tcPr>
            <w:tcW w:w="220" w:type="dxa"/>
            <w:vAlign w:val="bottom"/>
          </w:tcPr>
          <w:p>
            <w:pPr>
              <w:spacing w:after="0"/>
              <w:rPr>
                <w:sz w:val="20"/>
                <w:szCs w:val="20"/>
                <w:color w:val="auto"/>
              </w:rPr>
            </w:pP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(291 )</w:t>
            </w:r>
          </w:p>
        </w:tc>
        <w:tc>
          <w:tcPr>
            <w:tcW w:w="2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(5,926 )</w:t>
            </w: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(1,284 )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(587 )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(83 )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 based compensation expense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(6,751 )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(13,165 )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(16,851 )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(7,007 )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(9,561 )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(6,023 )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(203 )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(962 )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(4,095 )</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(17,635 )</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FF0FC"/>
          </w:tcPr>
          <w:p>
            <w:pPr>
              <w:spacing w:after="0"/>
              <w:rPr>
                <w:sz w:val="20"/>
                <w:szCs w:val="20"/>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(3,680 )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(882 )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(2,033 )</w:t>
            </w:r>
          </w:p>
        </w:tc>
      </w:tr>
      <w:tr>
        <w:trPr>
          <w:trHeight w:val="223"/>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(3,376 )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(2,616 )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(3,945 )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9"/>
                <w:szCs w:val="19"/>
                <w:color w:val="auto"/>
              </w:rPr>
            </w:pPr>
          </w:p>
        </w:tc>
      </w:tr>
      <w:tr>
        <w:trPr>
          <w:trHeight w:val="22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(44,900 )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(5,895 )</w:t>
            </w:r>
          </w:p>
        </w:tc>
      </w:tr>
      <w:tr>
        <w:trPr>
          <w:trHeight w:val="23"/>
        </w:trPr>
        <w:tc>
          <w:tcPr>
            <w:tcW w:w="67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(48,257 )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(2,083 )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(9,235 )</w:t>
            </w:r>
          </w:p>
        </w:tc>
      </w:tr>
      <w:tr>
        <w:trPr>
          <w:trHeight w:val="23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(35,900 )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(57,100 )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(86,800 )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(3,120 )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(2,738 )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(5,009 )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(801 )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(603 )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(467 )</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(823 )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(1,425 )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(107 )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(7,020 )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(5,014 )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(4,978 )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(1,475 )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9"/>
                <w:szCs w:val="19"/>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FF0FC"/>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36,958</w:t>
            </w:r>
          </w:p>
        </w:tc>
        <w:tc>
          <w:tcPr>
            <w:tcW w:w="100" w:type="dxa"/>
            <w:vAlign w:val="bottom"/>
          </w:tcPr>
          <w:p>
            <w:pPr>
              <w:spacing w:after="0"/>
              <w:rPr>
                <w:sz w:val="19"/>
                <w:szCs w:val="19"/>
                <w:color w:val="auto"/>
              </w:rPr>
            </w:pPr>
          </w:p>
        </w:tc>
      </w:tr>
      <w:tr>
        <w:trPr>
          <w:trHeight w:val="263"/>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(2,570 )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-3779520</wp:posOffset>
            </wp:positionV>
            <wp:extent cx="7683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-3779520</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-3188335</wp:posOffset>
            </wp:positionV>
            <wp:extent cx="7683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-3188335</wp:posOffset>
            </wp:positionV>
            <wp:extent cx="6858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-1122045</wp:posOffset>
            </wp:positionV>
            <wp:extent cx="7683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-1122045</wp:posOffset>
            </wp:positionV>
            <wp:extent cx="6858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-513715</wp:posOffset>
            </wp:positionV>
            <wp:extent cx="204851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2048510"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-196215</wp:posOffset>
            </wp:positionV>
            <wp:extent cx="2048510"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2048510" cy="19685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CECO Environmental Corp. and its consolidated subsidiaries (“CECO,” the “Company,” “we,” “us,” or “our”) is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—The consolidated financial statements include the Company and its controlled subsidiaries. All intercompany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have been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all balances within tables are in thousands except per share amounts.</w:t>
      </w:r>
    </w:p>
    <w:p>
      <w:pPr>
        <w:spacing w:after="0" w:line="2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 considers all highly liquid investments with original maturities of three months or less to be cash equivalents.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and 2021, Restricted Cash is cash in support of letters of credit issued by various foreign subsidiaries of the Company. The Company occasionally enters into letters of credit with durations in excess of one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Statements of Cash Flows.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80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r>
      <w:tr>
        <w:trPr>
          <w:trHeight w:val="23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shd w:val="clear" w:color="auto" w:fill="CFF0FC"/>
          </w:tcPr>
          <w:p>
            <w:pPr>
              <w:spacing w:after="0"/>
              <w:rPr>
                <w:sz w:val="20"/>
                <w:szCs w:val="20"/>
                <w:color w:val="auto"/>
              </w:rPr>
            </w:pPr>
          </w:p>
        </w:tc>
      </w:tr>
      <w:tr>
        <w:trPr>
          <w:trHeight w:val="239"/>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20"/>
                <w:szCs w:val="20"/>
                <w:color w:val="auto"/>
              </w:rPr>
            </w:pPr>
          </w:p>
        </w:tc>
      </w:tr>
      <w:tr>
        <w:trPr>
          <w:trHeight w:val="276"/>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46,585</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—Receivables are generally uncollateralized customer obligations due under normal terms requiring payment generally within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—The Company’s inventory is valued at the lower of cost or net realizable value, using the first-in, first-out inventory costing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—Property, plant and equipment are carried at the cost of acquisition or construction and depreciated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Indefinite life intangible assets are comprised of tradenames, while finite life intangible assets are comprised of technology,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on October 1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—The Company completes an annual (or more often if circumstances require) impairment assessment on October 1 of its goodwill on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—Deferred financing costs are amortized to interest expense over the life of the related loan. In fiscal 2021, the Company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Amendment No.2 to the Second Amended and Restated Credit Agreement (the “Credit Facility”).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Amortization expense was $0.4 million, $0.4 million and $0.4 million for 2022, 2021 and 2020, respectively. As of December 31, 2022, and 2021, remaining capitalized deferred financing costs of $1.5 million and $1.7 million, respectively, are included as a discount to debt in the accompanying Consolidated Balance Sheets.</w:t>
      </w:r>
    </w:p>
    <w:p>
      <w:pPr>
        <w:spacing w:after="0" w:line="1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—A significant portion of the Company's revenue is derived from fixed-price contracts. The Company accounts for a contract after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approved by all parties to the arrangement,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each contract, the Company assesses the goods and services promised to a customer and identify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 to receive for the products or services being provided under the contract.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8" w:name="page59"/>
    <w:bookmarkEnd w:id="58"/>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70% of total revenue.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30% of total revenue.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Contract assets consist of costs and earnings in excess of billings, costs incurred for contracts recognized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2022 and 2021.</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—Cost of sales amounts include materials, subcontract costs, direct labor and associated benefits, inbound freight charges,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inspection, warehousing, and depreciation.</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—Change orders arise when the scope of the original project is modified for any of a variety of reasons. The Company will negotiate the extent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modifications, its expected costs and recovery with the customer. Costs related to change orders are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9" w:name="page60"/>
    <w:bookmarkEnd w:id="59"/>
    <w:p>
      <w:pPr>
        <w:ind w:right="600"/>
        <w:spacing w:after="0" w:line="312" w:lineRule="auto"/>
        <w:rPr>
          <w:sz w:val="20"/>
          <w:szCs w:val="20"/>
          <w:color w:val="auto"/>
        </w:rPr>
      </w:pPr>
      <w:r>
        <w:rPr>
          <w:rFonts w:ascii="Times New Roman" w:cs="Times New Roman" w:eastAsia="Times New Roman" w:hAnsi="Times New Roman"/>
          <w:sz w:val="17"/>
          <w:szCs w:val="17"/>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Pre-contract costs</w:t>
      </w:r>
      <w:r>
        <w:rPr>
          <w:rFonts w:ascii="Times New Roman" w:cs="Times New Roman" w:eastAsia="Times New Roman" w:hAnsi="Times New Roman"/>
          <w:sz w:val="18"/>
          <w:szCs w:val="18"/>
          <w:color w:val="auto"/>
        </w:rPr>
        <w:t>—Pre-contract costs are not significant and are primarily internal costs. As most of the Company’s contracts are one year or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8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Selling and administrative expenses</w:t>
      </w:r>
      <w:r>
        <w:rPr>
          <w:rFonts w:ascii="Times New Roman" w:cs="Times New Roman" w:eastAsia="Times New Roman" w:hAnsi="Times New Roman"/>
          <w:sz w:val="18"/>
          <w:szCs w:val="18"/>
          <w:color w:val="auto"/>
        </w:rPr>
        <w:t>—Selling and administrative expenses on the Consolidated Statements of Income include sales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associated benefits, selling and office expenses, professional fees, bad debt expense and depreciation. Selling and administrative expenses are charged to expense as incurred.</w:t>
      </w:r>
    </w:p>
    <w:p>
      <w:pPr>
        <w:spacing w:after="0" w:line="173"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and integration expenses</w:t>
      </w:r>
      <w:r>
        <w:rPr>
          <w:rFonts w:ascii="Times New Roman" w:cs="Times New Roman" w:eastAsia="Times New Roman" w:hAnsi="Times New Roman"/>
          <w:sz w:val="18"/>
          <w:szCs w:val="18"/>
          <w:color w:val="auto"/>
        </w:rPr>
        <w:t>—Acquisition and integration expenses on the Consolidated Statements of Income are related to acquisition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legal, accounting, and other expenses.</w:t>
      </w:r>
    </w:p>
    <w:p>
      <w:pPr>
        <w:spacing w:after="0" w:line="15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and earnout expenses</w:t>
      </w:r>
      <w:r>
        <w:rPr>
          <w:rFonts w:ascii="Times New Roman" w:cs="Times New Roman" w:eastAsia="Times New Roman" w:hAnsi="Times New Roman"/>
          <w:sz w:val="18"/>
          <w:szCs w:val="18"/>
          <w:color w:val="auto"/>
        </w:rPr>
        <w:t>—Amortization and earnout expenses on the Consolidated Statements of Income include amortization of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changes to earnout and contingent compensation amounts related to acquisitions.</w:t>
      </w:r>
    </w:p>
    <w:p>
      <w:pPr>
        <w:spacing w:after="0" w:line="158"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Restructuring expenses</w:t>
      </w:r>
      <w:r>
        <w:rPr>
          <w:rFonts w:ascii="Times New Roman" w:cs="Times New Roman" w:eastAsia="Times New Roman" w:hAnsi="Times New Roman"/>
          <w:sz w:val="17"/>
          <w:szCs w:val="17"/>
          <w:color w:val="auto"/>
        </w:rPr>
        <w:t>—Restructuring expenses on the Consolidated Statements of Income include expenses related to an ongoing restructuring program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5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Executive transition expenses</w:t>
      </w:r>
      <w:r>
        <w:rPr>
          <w:rFonts w:ascii="Times New Roman" w:cs="Times New Roman" w:eastAsia="Times New Roman" w:hAnsi="Times New Roman"/>
          <w:sz w:val="18"/>
          <w:szCs w:val="18"/>
          <w:color w:val="auto"/>
        </w:rPr>
        <w:t>—Executive transition expenses on the Consolidated Statements of Income include expenses related to the severance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former executives, as well as fees and expenses incurred in the search for, and hiring of, new executives.</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—The Company’s warranty reserve is to cover the products sold. The warranty accrual is based on historical claims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reserve is reviewed and adjusted as necessary on a quarterly basis and is presented within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—Although not technically defined as research and development, a significant amount of time, effort and expense is devoted to</w:t>
      </w:r>
    </w:p>
    <w:p>
      <w:pPr>
        <w:spacing w:after="0" w:line="29" w:lineRule="exact"/>
        <w:rPr>
          <w:sz w:val="20"/>
          <w:szCs w:val="20"/>
          <w:color w:val="auto"/>
        </w:rPr>
      </w:pPr>
    </w:p>
    <w:p>
      <w:pPr>
        <w:ind w:right="140" w:firstLine="8"/>
        <w:spacing w:after="0" w:line="260"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engineering which qualifies products for specific customer applications, (b) developing proprietary process technology and (c) partnering with customers to develop new products.</w:t>
      </w:r>
    </w:p>
    <w:p>
      <w:pPr>
        <w:spacing w:after="0" w:line="17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Accounting Standards Codification (“ASC”) Topic 740, “Income Taxes”. Income tax expense includes federal, state and foreign income taxes.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p>
      <w:pPr>
        <w:ind w:right="200"/>
        <w:spacing w:after="0" w:line="282" w:lineRule="auto"/>
        <w:rPr>
          <w:sz w:val="20"/>
          <w:szCs w:val="20"/>
          <w:color w:val="auto"/>
        </w:rPr>
      </w:pPr>
      <w:r>
        <w:rPr>
          <w:rFonts w:ascii="Times New Roman" w:cs="Times New Roman" w:eastAsia="Times New Roman" w:hAnsi="Times New Roman"/>
          <w:sz w:val="18"/>
          <w:szCs w:val="18"/>
          <w:color w:val="auto"/>
        </w:rPr>
        <w:t>assessment. The amount of the deferred tax assets considered realizable, however, could be reduced in the near term if estimates of future taxable income during the carryforward period are reduced.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—The following table reconciles the numerators and denominators used to calculate basic and diluted earnings per share for 2022,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only in thousands)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FF0FC"/>
          </w:tcPr>
          <w:p>
            <w:pPr>
              <w:spacing w:after="0"/>
              <w:rPr>
                <w:sz w:val="24"/>
                <w:szCs w:val="24"/>
                <w:color w:val="auto"/>
              </w:rPr>
            </w:pPr>
          </w:p>
        </w:tc>
      </w:tr>
      <w:tr>
        <w:trPr>
          <w:trHeight w:val="228"/>
        </w:trPr>
        <w:tc>
          <w:tcPr>
            <w:tcW w:w="6240" w:type="dxa"/>
            <w:vAlign w:val="bottom"/>
            <w:tcBorders>
              <w:top w:val="single" w:sz="8" w:color="CFF0FC"/>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00" w:type="dxa"/>
            <w:vAlign w:val="bottom"/>
          </w:tcPr>
          <w:p>
            <w:pPr>
              <w:spacing w:after="0"/>
              <w:rPr>
                <w:sz w:val="20"/>
                <w:szCs w:val="20"/>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-830580</wp:posOffset>
            </wp:positionV>
            <wp:extent cx="225425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2254250" cy="1797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7747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Options and unvested restricted stock units are included in the computation of diluted earnings per share using the treasury stock method. For 2022, 2021 and 2020, outstanding options and unvested restricted stock units of 1.1 million, 1.8 million and 1.0 million, respectively, were excluded from the computation of diluted earnings per share due to their having an anti-dilutive effect.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Once a restricted stock award vests, it is included in the computation of weighted average shares outstanding for purposes of basic and diluted earnings per share.</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functional currencies of the Company’s foreign subsidiaries are their local currencies and their books and records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expenses are translated into USD at average exchange rates in effect during the period.</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Transactions denominated in other than the local currency are remeasured into the local currency and the resulting exchange gains or losses are included in “Other income (expense), net” line of the Consolidated Statements of Income. Transaction gains (losses) were $6.3 million, $(3.1) million and $1.3 million in 2022, 2021 and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to be Adopted</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The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receivables and certain other assets, and accounts payable, which approximate fair value at December 31, 2022 and 2021, due to their short-term nature or variable, market-driven interest rates.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$112.7 million and $65.5 million at December 31, 2022 and 2021, respectively. The fair value was determined considering market conditions, credit worthiness and the current terms of debt, which is considered Level 2 on the fair value hierarchy.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Company had cash and cash equivalents of $45.5 million and $29.9 million, respectively, of which $31.7 million and $24.8 million, respectively, was held outside of the United States, principally in the Netherlands, United Kingdom, China, and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receivables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71,363</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100" w:type="dxa"/>
            <w:vAlign w:val="bottom"/>
          </w:tcPr>
          <w:p>
            <w:pPr>
              <w:spacing w:after="0"/>
              <w:rPr>
                <w:sz w:val="20"/>
                <w:szCs w:val="20"/>
                <w:color w:val="auto"/>
              </w:rPr>
            </w:pPr>
          </w:p>
        </w:tc>
      </w:tr>
      <w:tr>
        <w:trPr>
          <w:trHeight w:val="247"/>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(4,220 )</w:t>
            </w:r>
          </w:p>
        </w:tc>
        <w:tc>
          <w:tcPr>
            <w:tcW w:w="5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(3,478 )</w:t>
            </w:r>
          </w:p>
        </w:tc>
      </w:tr>
      <w:tr>
        <w:trPr>
          <w:trHeight w:val="276"/>
        </w:trPr>
        <w:tc>
          <w:tcPr>
            <w:tcW w:w="180" w:type="dxa"/>
            <w:vAlign w:val="bottom"/>
            <w:tcBorders>
              <w:bottom w:val="single" w:sz="8" w:color="CFF0FC"/>
            </w:tcBorders>
            <w:shd w:val="clear" w:color="auto" w:fill="CFF0FC"/>
          </w:tcPr>
          <w:p>
            <w:pPr>
              <w:spacing w:after="0"/>
              <w:rPr>
                <w:sz w:val="24"/>
                <w:szCs w:val="24"/>
                <w:color w:val="auto"/>
              </w:rPr>
            </w:pPr>
          </w:p>
        </w:tc>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amounted to approximately $1.6 million and $1.8 million at December 31, 2022 and 2021, respectively.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Provision for credit losses was $1.3 million, $0.7 million and $0.9 million during 2022, 2021 and 2020, respectively, while accounts charged to the allowance were $0.6 million, $0.3 million and $0.4 million during 2022, 2021 and 2020,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20"/>
                <w:szCs w:val="20"/>
                <w:color w:val="auto"/>
              </w:rPr>
            </w:pPr>
          </w:p>
        </w:tc>
      </w:tr>
      <w:tr>
        <w:trPr>
          <w:trHeight w:val="247"/>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r>
      <w:tr>
        <w:trPr>
          <w:trHeight w:val="243"/>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(2,867 )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(2,174 )</w:t>
            </w:r>
          </w:p>
        </w:tc>
      </w:tr>
      <w:tr>
        <w:trPr>
          <w:trHeight w:val="237"/>
        </w:trPr>
        <w:tc>
          <w:tcPr>
            <w:tcW w:w="180" w:type="dxa"/>
            <w:vAlign w:val="bottom"/>
            <w:tcBorders>
              <w:top w:val="single" w:sz="8" w:color="CFF0FC"/>
            </w:tcBorders>
          </w:tcPr>
          <w:p>
            <w:pPr>
              <w:spacing w:after="0"/>
              <w:rPr>
                <w:sz w:val="20"/>
                <w:szCs w:val="20"/>
                <w:color w:val="auto"/>
              </w:rPr>
            </w:pPr>
          </w:p>
        </w:tc>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tcBorders>
              <w:top w:val="single" w:sz="8" w:color="CFF0FC"/>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$0.1 million, $0.1 million and $0.5 million during 2022, 2021 and 2020, respectively. Items charged to the allowance for inventory write-offs were zero, $0.9 million and $0.1 million, during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100" w:type="dxa"/>
            <w:vAlign w:val="bottom"/>
          </w:tcPr>
          <w:p>
            <w:pPr>
              <w:spacing w:after="0"/>
              <w:rPr>
                <w:sz w:val="20"/>
                <w:szCs w:val="20"/>
                <w:color w:val="auto"/>
              </w:rPr>
            </w:pPr>
          </w:p>
        </w:tc>
      </w:tr>
      <w:tr>
        <w:trPr>
          <w:trHeight w:val="243"/>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(24,679 )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(20,882 )</w:t>
            </w:r>
          </w:p>
        </w:tc>
      </w:tr>
      <w:tr>
        <w:trPr>
          <w:trHeight w:val="237"/>
        </w:trPr>
        <w:tc>
          <w:tcPr>
            <w:tcW w:w="180" w:type="dxa"/>
            <w:vAlign w:val="bottom"/>
            <w:tcBorders>
              <w:top w:val="single" w:sz="8" w:color="CFF0FC"/>
            </w:tcBorders>
          </w:tcPr>
          <w:p>
            <w:pPr>
              <w:spacing w:after="0"/>
              <w:rPr>
                <w:sz w:val="20"/>
                <w:szCs w:val="20"/>
                <w:color w:val="auto"/>
              </w:rPr>
            </w:pPr>
          </w:p>
        </w:tc>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tcBorders>
              <w:top w:val="single" w:sz="8" w:color="CFF0FC"/>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-504825</wp:posOffset>
            </wp:positionV>
            <wp:extent cx="6858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$3.6 million, $3.2 million and $2.5 million for 2022, 2021 and 2020,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3"/>
        </w:trPr>
        <w:tc>
          <w:tcPr>
            <w:tcW w:w="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Industrial Process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120" w:type="dxa"/>
            <w:vAlign w:val="bottom"/>
          </w:tcPr>
          <w:p>
            <w:pPr>
              <w:spacing w:after="0"/>
              <w:rPr>
                <w:sz w:val="15"/>
                <w:szCs w:val="15"/>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00" w:type="dxa"/>
            <w:vAlign w:val="bottom"/>
          </w:tcPr>
          <w:p>
            <w:pPr>
              <w:spacing w:after="0"/>
              <w:rPr>
                <w:sz w:val="16"/>
                <w:szCs w:val="16"/>
                <w:color w:val="auto"/>
              </w:rPr>
            </w:pPr>
          </w:p>
        </w:tc>
        <w:tc>
          <w:tcPr>
            <w:tcW w:w="16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6"/>
                <w:szCs w:val="16"/>
                <w:color w:val="auto"/>
              </w:rPr>
            </w:pPr>
          </w:p>
        </w:tc>
        <w:tc>
          <w:tcPr>
            <w:tcW w:w="1560" w:type="dxa"/>
            <w:vAlign w:val="bottom"/>
            <w:gridSpan w:val="3"/>
          </w:tcPr>
          <w:p>
            <w:pPr>
              <w:jc w:val="center"/>
              <w:ind w:right="380"/>
              <w:spacing w:after="0"/>
              <w:rPr>
                <w:sz w:val="20"/>
                <w:szCs w:val="20"/>
                <w:color w:val="auto"/>
              </w:rPr>
            </w:pPr>
            <w:r>
              <w:rPr>
                <w:rFonts w:ascii="Calibri" w:cs="Calibri" w:eastAsia="Calibri" w:hAnsi="Calibri"/>
                <w:sz w:val="14"/>
                <w:szCs w:val="14"/>
                <w:b w:val="1"/>
                <w:bCs w:val="1"/>
                <w:color w:val="auto"/>
              </w:rPr>
              <w:t>s</w:t>
            </w:r>
            <w:r>
              <w:rPr>
                <w:rFonts w:ascii="Times New Roman" w:cs="Times New Roman" w:eastAsia="Times New Roman" w:hAnsi="Times New Roman"/>
                <w:sz w:val="14"/>
                <w:szCs w:val="14"/>
                <w:b w:val="1"/>
                <w:bCs w:val="1"/>
                <w:color w:val="auto"/>
              </w:rPr>
              <w:t>egment</w:t>
            </w:r>
          </w:p>
        </w:tc>
        <w:tc>
          <w:tcPr>
            <w:tcW w:w="32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37"/>
        </w:trPr>
        <w:tc>
          <w:tcPr>
            <w:tcW w:w="6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161,820</w:t>
            </w:r>
          </w:p>
        </w:tc>
        <w:tc>
          <w:tcPr>
            <w:tcW w:w="100" w:type="dxa"/>
            <w:vAlign w:val="bottom"/>
            <w:shd w:val="clear" w:color="auto" w:fill="CFF0FC"/>
          </w:tcPr>
          <w:p>
            <w:pPr>
              <w:spacing w:after="0"/>
              <w:rPr>
                <w:sz w:val="20"/>
                <w:szCs w:val="20"/>
                <w:color w:val="auto"/>
              </w:rPr>
            </w:pPr>
          </w:p>
        </w:tc>
      </w:tr>
      <w:tr>
        <w:trPr>
          <w:trHeight w:val="23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(637 )</w:t>
            </w:r>
          </w:p>
        </w:tc>
      </w:tr>
      <w:tr>
        <w:trPr>
          <w:trHeight w:val="241"/>
        </w:trPr>
        <w:tc>
          <w:tcPr>
            <w:tcW w:w="6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2021</w:t>
            </w:r>
          </w:p>
        </w:tc>
        <w:tc>
          <w:tcPr>
            <w:tcW w:w="1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99,303</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shd w:val="clear" w:color="auto" w:fill="CFF0FC"/>
          </w:tcPr>
          <w:p>
            <w:pPr>
              <w:spacing w:after="0"/>
              <w:rPr>
                <w:sz w:val="20"/>
                <w:szCs w:val="20"/>
                <w:color w:val="auto"/>
              </w:rPr>
            </w:pPr>
          </w:p>
        </w:tc>
      </w:tr>
      <w:tr>
        <w:trPr>
          <w:trHeight w:val="23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tcPr>
          <w:p>
            <w:pPr>
              <w:spacing w:after="0"/>
              <w:rPr>
                <w:sz w:val="20"/>
                <w:szCs w:val="20"/>
                <w:color w:val="auto"/>
              </w:rPr>
            </w:pPr>
          </w:p>
        </w:tc>
      </w:tr>
      <w:tr>
        <w:trPr>
          <w:trHeight w:val="243"/>
        </w:trPr>
        <w:tc>
          <w:tcPr>
            <w:tcW w:w="6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(773 )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(1,298 )</w:t>
            </w:r>
          </w:p>
        </w:tc>
      </w:tr>
      <w:tr>
        <w:trPr>
          <w:trHeight w:val="237"/>
        </w:trPr>
        <w:tc>
          <w:tcPr>
            <w:tcW w:w="62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68,451</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tcBorders>
              <w:top w:val="single" w:sz="8" w:color="CFF0FC"/>
            </w:tcBorders>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-187960</wp:posOffset>
            </wp:positionV>
            <wp:extent cx="7747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has an aggregate amount of goodwill acquired of $243.9 million and $221.9 million, respectively, and an aggregate amount of impairment losses of $60.7 million which was recognized in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indefinite lived intangible assets as of December 31, 2022 and 2021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to finite life classification</w:t>
            </w:r>
          </w:p>
        </w:tc>
        <w:tc>
          <w:tcPr>
            <w:tcW w:w="42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(3,150 )</w:t>
            </w:r>
          </w:p>
        </w:tc>
      </w:tr>
      <w:tr>
        <w:trPr>
          <w:trHeight w:val="24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(121 )</w:t>
            </w:r>
          </w:p>
        </w:tc>
        <w:tc>
          <w:tcPr>
            <w:tcW w:w="5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(158 )</w:t>
            </w:r>
          </w:p>
        </w:tc>
      </w:tr>
      <w:tr>
        <w:trPr>
          <w:trHeight w:val="237"/>
        </w:trPr>
        <w:tc>
          <w:tcPr>
            <w:tcW w:w="7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top w:val="single" w:sz="8" w:color="CFF0FC"/>
            </w:tcBorders>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2021, the Company reassessed the useful lives of certain tradenames and determined that $3.2 million of tradenames would have useful lives of 10 years versus indefinite.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impairment assessment of its goodwill and indefinite life intangible assets on October 1 at the reporting unit level.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the Company's reporting units exceeded their carrying value as of October 1, 2022. There was no goodwill impairment in 2022, 2021 and 2020.</w:t>
      </w:r>
    </w:p>
    <w:p>
      <w:pPr>
        <w:spacing w:after="0" w:line="18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also performed an impairment analysis for all indefinite life intangible assets, which consists of tradenames, as of October 1, 2022. The Company based its measurement of the fair value of the indefinite life intangible assets utilizing the relief from royalty method. The significant assumptions used under the relief from royalty method are projected revenue, royalty rates, terminal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ind w:right="40"/>
        <w:spacing w:after="0" w:line="255" w:lineRule="auto"/>
        <w:rPr>
          <w:sz w:val="20"/>
          <w:szCs w:val="20"/>
          <w:color w:val="auto"/>
        </w:rPr>
      </w:pPr>
      <w:r>
        <w:rPr>
          <w:rFonts w:ascii="Times New Roman" w:cs="Times New Roman" w:eastAsia="Times New Roman" w:hAnsi="Times New Roman"/>
          <w:sz w:val="18"/>
          <w:szCs w:val="18"/>
          <w:color w:val="auto"/>
        </w:rPr>
        <w:t>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segments as of the testing date. Accordingly, the Company recognized no impairment charges in its financial results for the years ended December 31, 2022 and 2021. In 2020, the Company recognized impairment charges of $0.9 million.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the Company's future operating results, the implied fair value of these assets using an income approach by preparing a discounted cash flow analysis and other subjective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finite lived intangible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00" w:type="dxa"/>
            <w:vAlign w:val="bottom"/>
          </w:tcPr>
          <w:p>
            <w:pPr>
              <w:spacing w:after="0"/>
              <w:rPr>
                <w:sz w:val="12"/>
                <w:szCs w:val="12"/>
                <w:color w:val="auto"/>
              </w:rPr>
            </w:pPr>
          </w:p>
        </w:tc>
        <w:tc>
          <w:tcPr>
            <w:tcW w:w="12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102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104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4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0" w:type="dxa"/>
            <w:vAlign w:val="bottom"/>
          </w:tcPr>
          <w:p>
            <w:pPr>
              <w:spacing w:after="0"/>
              <w:rPr>
                <w:sz w:val="1"/>
                <w:szCs w:val="1"/>
                <w:color w:val="auto"/>
              </w:rPr>
            </w:pPr>
          </w:p>
        </w:tc>
      </w:tr>
      <w:tr>
        <w:trPr>
          <w:trHeight w:val="23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(1,864 )</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(2,149 )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37"/>
        </w:trPr>
        <w:tc>
          <w:tcPr>
            <w:tcW w:w="5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finite life intangible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109,916</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$7.0 million, $6.7 million and $7.4 million for 2022, 2021 and 2020, respectively. Amortization over the next five years for finite life intangibles is $6.6 million in 2023, $5.9 million in 2024, $4.9 million in 2025, $3.5 million in 2026, and $3.4 million in 2027.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 consisted of the following:</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1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accounts payable, including amounts due to subcontractors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73,407</w:t>
            </w:r>
          </w:p>
        </w:tc>
        <w:tc>
          <w:tcPr>
            <w:tcW w:w="26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100" w:type="dxa"/>
            <w:vAlign w:val="bottom"/>
          </w:tcPr>
          <w:p>
            <w:pPr>
              <w:spacing w:after="0"/>
              <w:rPr>
                <w:sz w:val="20"/>
                <w:szCs w:val="20"/>
                <w:color w:val="auto"/>
              </w:rPr>
            </w:pPr>
          </w:p>
        </w:tc>
      </w:tr>
      <w:tr>
        <w:trPr>
          <w:trHeight w:val="247"/>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r>
      <w:tr>
        <w:trPr>
          <w:trHeight w:val="247"/>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18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107,198</w:t>
            </w:r>
          </w:p>
        </w:tc>
        <w:tc>
          <w:tcPr>
            <w:tcW w:w="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activity in the Company’s current portion of earnout liability is recorded in Accounts payable and accrued expenses on its Consolidated Balance Sheets, consisted of the following</w:t>
      </w:r>
      <w:r>
        <w:rPr>
          <w:rFonts w:ascii="Times New Roman" w:cs="Times New Roman" w:eastAsia="Times New Roman" w:hAnsi="Times New Roman"/>
          <w:sz w:val="16"/>
          <w:szCs w:val="16"/>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accrued at beginning of year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earnout at acquisition date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4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(229 )</w:t>
            </w: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and other</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(1,037 )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(1,410 )</w:t>
            </w:r>
          </w:p>
        </w:tc>
      </w:tr>
      <w:tr>
        <w:trPr>
          <w:trHeight w:val="237"/>
        </w:trPr>
        <w:tc>
          <w:tcPr>
            <w:tcW w:w="7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Earnout accrued at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FF0FC"/>
            </w:tcBorders>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additional consideration in the acquisition of Compass Water Solutions, Inc. ("Compass"), the former owners of Compass are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is recorded in "Amortization and earnout expenses" on the Consolidated Statement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18"/>
          <w:szCs w:val="18"/>
          <w:color w:val="auto"/>
        </w:rPr>
        <w:t>As additional consideration in the acquisition of Environmental Integrated Solution (“EIS”), the former owners were entitled to earnout payments based upon a multiple of specified financial results through December 31, 2021. During 2021, the Company increased the earnout by $0.7 million based on the estimated fair value at December 31, 2021. The fair value adjustment is recorded in “Amortization and earnout expenses” on the Consolidated Statements of Income. The change in fair value was a result of EIS performing above initial acquisition operational expectations. Earnout payments of $1.0 million and $1.4 million were paid during the years ended December 31, 2022 and 2021, respectively.</w:t>
      </w:r>
    </w:p>
    <w:p>
      <w:pPr>
        <w:sectPr>
          <w:pgSz w:w="11900" w:h="16838" w:orient="portrait"/>
          <w:cols w:equalWidth="0" w:num="1">
            <w:col w:w="11240"/>
          </w:cols>
          <w:pgMar w:left="320" w:top="445" w:right="339" w:bottom="1440" w:gutter="0" w:footer="0" w:header="0"/>
        </w:sectPr>
      </w:pPr>
    </w:p>
    <w:p>
      <w:pPr>
        <w:spacing w:after="0" w:line="17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p>
      <w:pPr>
        <w:spacing w:after="0" w:line="19" w:lineRule="exact"/>
        <w:rPr>
          <w:sz w:val="20"/>
          <w:szCs w:val="20"/>
          <w:color w:val="auto"/>
        </w:rPr>
      </w:pPr>
    </w:p>
    <w:p>
      <w:pPr>
        <w:jc w:val="both"/>
        <w:ind w:left="160" w:right="1300" w:hanging="2"/>
        <w:spacing w:after="0" w:line="255" w:lineRule="auto"/>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 2023, $825 through September 2025 and $1,100 thereafter with balance due upon maturity in December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16510</wp:posOffset>
            </wp:positionV>
            <wp:extent cx="21170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15875</wp:posOffset>
            </wp:positionV>
            <wp:extent cx="21170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7740" w:space="720"/>
            <w:col w:w="278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Term loan</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100" w:type="dxa"/>
            <w:vAlign w:val="bottom"/>
            <w:shd w:val="clear" w:color="auto" w:fill="CFF0FC"/>
          </w:tcPr>
          <w:p>
            <w:pPr>
              <w:spacing w:after="0"/>
              <w:rPr>
                <w:sz w:val="20"/>
                <w:szCs w:val="20"/>
                <w:color w:val="auto"/>
              </w:rPr>
            </w:pPr>
          </w:p>
        </w:tc>
      </w:tr>
      <w:tr>
        <w:trPr>
          <w:trHeight w:val="239"/>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Revolving Credit Loan</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0"/>
                <w:szCs w:val="20"/>
                <w:color w:val="auto"/>
              </w:rPr>
            </w:pPr>
          </w:p>
        </w:tc>
      </w:tr>
      <w:tr>
        <w:trPr>
          <w:trHeight w:val="241"/>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5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102,609</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shd w:val="clear" w:color="auto" w:fill="CFF0FC"/>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5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(1,488 )</w:t>
            </w:r>
          </w:p>
        </w:tc>
        <w:tc>
          <w:tcPr>
            <w:tcW w:w="5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(1,731 )</w:t>
            </w:r>
          </w:p>
        </w:tc>
      </w:tr>
      <w:tr>
        <w:trPr>
          <w:trHeight w:val="237"/>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111,204</w:t>
            </w:r>
          </w:p>
        </w:tc>
        <w:tc>
          <w:tcPr>
            <w:tcW w:w="22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tcBorders>
              <w:top w:val="single" w:sz="8" w:color="CFF0FC"/>
            </w:tcBorders>
          </w:tcPr>
          <w:p>
            <w:pPr>
              <w:spacing w:after="0"/>
              <w:rPr>
                <w:sz w:val="20"/>
                <w:szCs w:val="20"/>
                <w:color w:val="auto"/>
              </w:rPr>
            </w:pPr>
          </w:p>
        </w:tc>
      </w:tr>
      <w:tr>
        <w:trPr>
          <w:trHeight w:val="243"/>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5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(3,579 )</w:t>
            </w:r>
          </w:p>
        </w:tc>
        <w:tc>
          <w:tcPr>
            <w:tcW w:w="5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(2,203 )</w:t>
            </w:r>
          </w:p>
        </w:tc>
      </w:tr>
      <w:tr>
        <w:trPr>
          <w:trHeight w:val="237"/>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22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FF0FC"/>
            </w:tcBorders>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-504825</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$3.6 million in 2023, $4.9 million in 2024, $5.2 million in 2025, $95.1 million in 2026, and $3.9 million in 2027.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17, 2021, the Company entered into Amendment No. 2 to the Second Amended and Restated Credit Agreement (the “Credit Facility”). The Credit Facility amended and restated the Company’s prior credit agreement. Pursuant to the Credit Facility, the lenders provided a term loan in the aggregate principal amount of $44.1 million and a senior secured revolving credit commitment up to an aggregate principal amount of $140.0 million. This revolving credit commitment allows the Company the ability to borrow loans denominated in different currencies. Additionally, the Credit Facility extended the maturity date to December 17, 2026, replaces LIBOR interest with Secured Overnight Financing Rate ("SOFR") interest for USD loans, Sterling Overnight Interbank Average Rate ("SONIA") for GBP loans, and Canadian Dollar Offered Rate ("CDOR") for CAD loans, and redefined certain financial covenants.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2022 and 2021, $18.9 million and $14.5 million of letters of credit were outstanding, respectively. Total unused credit availability under the Company’s senior secured term loan and senior secured revolver loan with sub-facilities for letters of credit, swing-line loans and senior secured multi-currency loans was $59.8 million and $45.9 million at December 31, 2022 and 2021, respectively. Revolving loans may be borrowed, repaid and reborrowed until December 17, 2026, at which time all outstanding balances of the Credit Facility must be repaid.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(a) either the highest of (i) the federal funds rate plus 0.5%, or (ii) the Agent’s prime lending rate, (b) Daily Simple SOFR plus the Daily Simple SOFR Adjustment of 0.11448% plus 1.0%, (c) 1.0%, plus a margin ranging from 1.75% to 2.75% depending on the Company’s Consolidated Leverage Ratio, or (d) a one/three/six-month Term SOFR Rate (as defined in the Credit Agreement) plus the Term SOFR Adjustment ranging from 0.11% to 0.43% plus 1.75% to 2.75% depending on the Company’s Consolidated Leverage Ratio. Interest on swing line loans is the Base Rate.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6.75% and 2.54% at December 31, 2022 and 2021, respectively.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5" w:name="page66"/>
    <w:bookmarkEnd w:id="65"/>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connection with the Credit Facility, the Company paid $0.8 million in customary closing fees during 2021 that were deferred and classified as a debt discount, as a result of the Credit Facility being accounted for as a debt modification.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As of December 31, 2022, $10.0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December 31, 2022 was 6.60%. As of December 31, 2022, the EFM JV was in compliance with all related financial and other restrictive covenants under this loan agreement. This loan balance does not impact the Company’s borrowing capacity or the financial covenants under the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December 31, 2022, $30.4 million in bank guarantees were outstanding. In addition, a subsidiary of the Company located in the Netherlands has a Euro-denominated bank guarantee agreement secured by local assets under which $0.6 million in bank guarantees were outstanding as of December 31, 2022. As of December 31, 2022, the borrowers of these facilities and agreements were in compliance with all related financial and other restrictive covenants.</w:t>
      </w:r>
    </w:p>
    <w:p>
      <w:pPr>
        <w:spacing w:after="0" w:line="18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2022, 2.1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awards under these plans was $3.9 million, $3.3 million and $1.8 million for 2022, 2021 and 2020, respectively. The tax benefit related to share based compensation expense was $0.5 million, $0.8 million and $0.3 million in 2022, 2021 and 2020,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2022, 1.2 million shares remain available for future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employee stock purchase plan expense of $60,000, $60,000 and $20,000 in 2022, 2021 and 2020,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stock options granted during 2020, was $1.98 per option, using the Black-Scholes option-pricing model based on the following assumptions: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The Company utilizes a volatility factor based on the Company’s historical stock prices for a period of time equal to the expected term of the stock option utilizing weekly price observations. For 2020, the Company utilized weighted-average volatility factors of 52.5%.</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Due to limited historical exercise data, the Company utilizes the simplified method of determining the expected term based on the vesting schedules and terms of the stock options. For 2020, the Company utilized weighted-average expected term factors of 5.0 years.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The risk-free interest rate factor utilized is based upon the implied yields currently available on U.S. Treasury zero-coupon issues over the expected term of the stock options. For 2020, the Company utilized a weighted-average risk-free interest rate factor of 0.3%.</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related to all stock options under the 2021 Plan, 2017 Plan and 2007 Plan, and the 2020 Inducement Awards for 2022, 2021 and 2020 is shown in the tables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5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4.9 years</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 w:type="dxa"/>
            <w:vAlign w:val="bottom"/>
            <w:tcBorders>
              <w:top w:val="single" w:sz="8" w:color="CFF0FC"/>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ind w:left="700"/>
              <w:spacing w:after="0"/>
              <w:rPr>
                <w:sz w:val="20"/>
                <w:szCs w:val="20"/>
                <w:color w:val="auto"/>
              </w:rPr>
            </w:pPr>
            <w:r>
              <w:rPr>
                <w:rFonts w:ascii="Times New Roman" w:cs="Times New Roman" w:eastAsia="Times New Roman" w:hAnsi="Times New Roman"/>
                <w:sz w:val="18"/>
                <w:szCs w:val="18"/>
                <w:color w:val="auto"/>
                <w:w w:val="98"/>
              </w:rPr>
              <w:t>4.0 years</w:t>
            </w:r>
          </w:p>
        </w:tc>
        <w:tc>
          <w:tcPr>
            <w:tcW w:w="3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3.6 years</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5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5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5.8 years</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 w:type="dxa"/>
            <w:vAlign w:val="bottom"/>
            <w:tcBorders>
              <w:top w:val="single" w:sz="8" w:color="CFF0FC"/>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ind w:left="700"/>
              <w:spacing w:after="0"/>
              <w:rPr>
                <w:sz w:val="20"/>
                <w:szCs w:val="20"/>
                <w:color w:val="auto"/>
              </w:rPr>
            </w:pPr>
            <w:r>
              <w:rPr>
                <w:rFonts w:ascii="Times New Roman" w:cs="Times New Roman" w:eastAsia="Times New Roman" w:hAnsi="Times New Roman"/>
                <w:sz w:val="18"/>
                <w:szCs w:val="18"/>
                <w:color w:val="auto"/>
                <w:w w:val="98"/>
              </w:rPr>
              <w:t>4.9 years</w:t>
            </w:r>
          </w:p>
        </w:tc>
        <w:tc>
          <w:tcPr>
            <w:tcW w:w="3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4.0 years</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-2459355</wp:posOffset>
            </wp:positionV>
            <wp:extent cx="7747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-2116455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-2099945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-856615</wp:posOffset>
            </wp:positionV>
            <wp:extent cx="7747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-513715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-496570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5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4.7 years</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Pr>
          <w:p>
            <w:pPr>
              <w:spacing w:after="0"/>
              <w:rPr>
                <w:sz w:val="20"/>
                <w:szCs w:val="20"/>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5.8 years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3.0 years</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-367665</wp:posOffset>
            </wp:positionV>
            <wp:extent cx="7747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Information related to restricted stock awards under the 2021 Plan, 2017 Plan, 2007 Plan, and the 2020 Inducement Awards for 2022, 2021 and 2020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80" w:type="dxa"/>
            <w:vAlign w:val="bottom"/>
          </w:tcPr>
          <w:p>
            <w:pPr>
              <w:spacing w:after="0"/>
              <w:rPr>
                <w:sz w:val="12"/>
                <w:szCs w:val="12"/>
                <w:color w:val="auto"/>
              </w:rPr>
            </w:pPr>
          </w:p>
        </w:tc>
        <w:tc>
          <w:tcPr>
            <w:tcW w:w="202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48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(284 )</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(638 )</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(323 )</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(264 )</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8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(355 )</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(255 )</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received $0.4 million, zero and zero of cash from employees exercising options in 2022, 2021 and 2020, respectively. The Company received approximately $13,000 from a non-employee director exercising options during 2021. The intrinsic value of options exercised during 2022, 2021 and 2020 was $0.2 million, $3,000 and zero, respectively.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shares of stock options, restricted stock and performance units was $5.5 million at December 31, 2022 and will be recognized over a weighted average vesting period of 1.6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Through December 31, 2022, the Company has repurchased and retired approximately 1,032,000 shares of common stock at a cost of $7.0 million under the program.</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August 3, 2021, the Company's Board of Directors authorized a share repurchase program under which CECO may purchase up to $5.0 million of its outstanding shares of Company stock. The authorization permitted the Company to repurchase shares in the open market, through accelerated share repurchases, block trades, 10b5-1 plans or through privately negotiated transactions in accordance with applicable laws, rules and regulations. The Company completed its purchases authorized under the plan in October 2021, repurchasing approximately 700,000 shares of common stock at a cost of $5.0 million under the program. All treasury shares were retired following the repurchase.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in any of the years ended December 31, 2022, 2021 or 2020 and currently intends to retain future earnings, if any, to finance the operations, growth and development of its business in the foreseeable future.</w:t>
      </w:r>
    </w:p>
    <w:p>
      <w:pPr>
        <w:spacing w:after="0" w:line="179"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plan changes in benefit obligations, plan assets and funded status on the measurement dates: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38,272</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380" w:type="dxa"/>
            <w:vAlign w:val="bottom"/>
          </w:tcPr>
          <w:p>
            <w:pPr>
              <w:spacing w:after="0"/>
              <w:rPr>
                <w:sz w:val="20"/>
                <w:szCs w:val="20"/>
                <w:color w:val="auto"/>
              </w:rPr>
            </w:pP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(6,540 )</w:t>
            </w:r>
          </w:p>
        </w:tc>
        <w:tc>
          <w:tcPr>
            <w:tcW w:w="220" w:type="dxa"/>
            <w:vAlign w:val="bottom"/>
          </w:tcPr>
          <w:p>
            <w:pPr>
              <w:spacing w:after="0"/>
              <w:rPr>
                <w:sz w:val="20"/>
                <w:szCs w:val="20"/>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(1,936 )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(2,022 )</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(2,070 )</w:t>
            </w:r>
          </w:p>
        </w:tc>
        <w:tc>
          <w:tcPr>
            <w:tcW w:w="60" w:type="dxa"/>
            <w:vAlign w:val="bottom"/>
          </w:tcPr>
          <w:p>
            <w:pPr>
              <w:spacing w:after="0"/>
              <w:rPr>
                <w:sz w:val="21"/>
                <w:szCs w:val="21"/>
                <w:color w:val="auto"/>
              </w:rPr>
            </w:pPr>
          </w:p>
        </w:tc>
      </w:tr>
      <w:tr>
        <w:trPr>
          <w:trHeight w:val="237"/>
        </w:trPr>
        <w:tc>
          <w:tcPr>
            <w:tcW w:w="6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(5,631 )</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contribution</w:t>
            </w:r>
          </w:p>
        </w:tc>
        <w:tc>
          <w:tcPr>
            <w:tcW w:w="380" w:type="dxa"/>
            <w:vAlign w:val="bottom"/>
          </w:tcPr>
          <w:p>
            <w:pPr>
              <w:spacing w:after="0"/>
              <w:rPr>
                <w:sz w:val="20"/>
                <w:szCs w:val="20"/>
                <w:color w:val="auto"/>
              </w:rPr>
            </w:pPr>
          </w:p>
        </w:tc>
        <w:tc>
          <w:tcPr>
            <w:tcW w:w="14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(2,022 )</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(2,070 )</w:t>
            </w:r>
          </w:p>
        </w:tc>
        <w:tc>
          <w:tcPr>
            <w:tcW w:w="60" w:type="dxa"/>
            <w:vAlign w:val="bottom"/>
          </w:tcPr>
          <w:p>
            <w:pPr>
              <w:spacing w:after="0"/>
              <w:rPr>
                <w:sz w:val="21"/>
                <w:szCs w:val="21"/>
                <w:color w:val="auto"/>
              </w:rPr>
            </w:pPr>
          </w:p>
        </w:tc>
      </w:tr>
      <w:tr>
        <w:trPr>
          <w:trHeight w:val="237"/>
        </w:trPr>
        <w:tc>
          <w:tcPr>
            <w:tcW w:w="6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4"/>
                <w:szCs w:val="24"/>
                <w:color w:val="auto"/>
              </w:rPr>
            </w:pPr>
          </w:p>
        </w:tc>
      </w:tr>
      <w:tr>
        <w:trPr>
          <w:trHeight w:val="196"/>
        </w:trPr>
        <w:tc>
          <w:tcPr>
            <w:tcW w:w="6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assumptions used to determine benefit obligations for the year</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2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-1731010</wp:posOffset>
            </wp:positionV>
            <wp:extent cx="7683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-1731010</wp:posOffset>
            </wp:positionV>
            <wp:extent cx="685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-788035</wp:posOffset>
            </wp:positionV>
            <wp:extent cx="7683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-788035</wp:posOffset>
            </wp:positionV>
            <wp:extent cx="6858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4718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19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funded status as of December 31, 2022, 2021 and 2020, was $5.5 million, $5.6 million and $9.7 million, respectively and is recognized in the accompanying Consolidated Balance Sheets within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net periodic benefit cost for pension benefits included in the accompanying Consolidated Statements of Income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(1,560 )</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(1,510 )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(1,594 )</w:t>
            </w: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r>
      <w:tr>
        <w:trPr>
          <w:trHeight w:val="27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income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(263 )</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(411 )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(3,843 )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vMerge w:val="restart"/>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(4,167 )</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340" w:type="dxa"/>
            <w:vAlign w:val="bottom"/>
            <w:vMerge w:val="continue"/>
            <w:shd w:val="clear" w:color="auto" w:fill="CFF0FC"/>
          </w:tcPr>
          <w:p>
            <w:pPr>
              <w:spacing w:after="0"/>
              <w:rPr>
                <w:sz w:val="21"/>
                <w:szCs w:val="21"/>
                <w:color w:val="auto"/>
              </w:rPr>
            </w:pPr>
          </w:p>
        </w:tc>
        <w:tc>
          <w:tcPr>
            <w:tcW w:w="1420" w:type="dxa"/>
            <w:vAlign w:val="bottom"/>
            <w:gridSpan w:val="2"/>
            <w:vMerge w:val="continue"/>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1500" w:type="dxa"/>
            <w:vAlign w:val="bottom"/>
            <w:gridSpan w:val="2"/>
            <w:vMerge w:val="continue"/>
            <w:shd w:val="clear" w:color="auto" w:fill="CFF0FC"/>
          </w:tcPr>
          <w:p>
            <w:pPr>
              <w:spacing w:after="0"/>
              <w:rPr>
                <w:sz w:val="21"/>
                <w:szCs w:val="21"/>
                <w:color w:val="auto"/>
              </w:rPr>
            </w:pPr>
          </w:p>
        </w:tc>
        <w:tc>
          <w:tcPr>
            <w:tcW w:w="340" w:type="dxa"/>
            <w:vAlign w:val="bottom"/>
            <w:vMerge w:val="continue"/>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18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-967740</wp:posOffset>
            </wp:positionV>
            <wp:extent cx="7683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-967740</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-513715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-496570</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-513715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1" w:right="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2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2"/>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2.55%</w:t>
            </w:r>
          </w:p>
        </w:tc>
        <w:tc>
          <w:tcPr>
            <w:tcW w:w="16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4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47"/>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7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8"/>
                <w:szCs w:val="18"/>
                <w:color w:val="auto"/>
                <w:w w:val="98"/>
              </w:rPr>
              <w:t>5.50%</w:t>
            </w:r>
          </w:p>
        </w:tc>
        <w:tc>
          <w:tcPr>
            <w:tcW w:w="17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8"/>
                <w:szCs w:val="18"/>
                <w:color w:val="auto"/>
                <w:w w:val="98"/>
              </w:rPr>
              <w:t>6.00%</w:t>
            </w: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 is not based on wages and, therefore, future wage adjustments have no effect on the projected benefit obligation.</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2022, 2021 and 2020, the Company updated the mortality tables (RP-2021 Total Mortality Table, RP-2020 Total Mortality Table, and RP-2019 Total Mortality Table for each respective year) in the underlying assumptions used to determine the benefit obligation.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defined benefit pension plan asset allocation by asset category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120" w:type="dxa"/>
            <w:vAlign w:val="bottom"/>
          </w:tcPr>
          <w:p>
            <w:pPr>
              <w:spacing w:after="0"/>
              <w:rPr>
                <w:sz w:val="13"/>
                <w:szCs w:val="13"/>
                <w:color w:val="auto"/>
              </w:rPr>
            </w:pPr>
          </w:p>
        </w:tc>
        <w:tc>
          <w:tcPr>
            <w:tcW w:w="2200" w:type="dxa"/>
            <w:vAlign w:val="bottom"/>
            <w:gridSpan w:val="3"/>
          </w:tcPr>
          <w:p>
            <w:pPr>
              <w:jc w:val="center"/>
              <w:ind w:right="103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6"/>
        </w:trPr>
        <w:tc>
          <w:tcPr>
            <w:tcW w:w="618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1050"/>
              <w:spacing w:after="0"/>
              <w:rPr>
                <w:sz w:val="20"/>
                <w:szCs w:val="20"/>
                <w:color w:val="auto"/>
              </w:rPr>
            </w:pPr>
            <w:r>
              <w:rPr>
                <w:rFonts w:ascii="Times New Roman" w:cs="Times New Roman" w:eastAsia="Times New Roman" w:hAnsi="Times New Roman"/>
                <w:sz w:val="14"/>
                <w:szCs w:val="14"/>
                <w:b w:val="1"/>
                <w:bCs w:val="1"/>
                <w:color w:val="auto"/>
              </w:rPr>
              <w:t>Plan Assets</w:t>
            </w:r>
          </w:p>
        </w:tc>
      </w:tr>
      <w:tr>
        <w:trPr>
          <w:trHeight w:val="169"/>
        </w:trPr>
        <w:tc>
          <w:tcPr>
            <w:tcW w:w="6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6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20"/>
                <w:szCs w:val="20"/>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2%</w:t>
            </w:r>
          </w:p>
        </w:tc>
        <w:tc>
          <w:tcPr>
            <w:tcW w:w="220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color w:val="auto"/>
                <w:w w:val="99"/>
              </w:rPr>
              <w:t>1%</w:t>
            </w: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w w:val="96"/>
              </w:rPr>
              <w:t>73%</w:t>
            </w:r>
          </w:p>
        </w:tc>
        <w:tc>
          <w:tcPr>
            <w:tcW w:w="2200" w:type="dxa"/>
            <w:vAlign w:val="bottom"/>
            <w:gridSpan w:val="3"/>
            <w:shd w:val="clear" w:color="auto" w:fill="CFF0FC"/>
          </w:tcPr>
          <w:p>
            <w:pPr>
              <w:jc w:val="center"/>
              <w:ind w:left="539"/>
              <w:spacing w:after="0"/>
              <w:rPr>
                <w:sz w:val="20"/>
                <w:szCs w:val="20"/>
                <w:color w:val="auto"/>
              </w:rPr>
            </w:pPr>
            <w:r>
              <w:rPr>
                <w:rFonts w:ascii="Times New Roman" w:cs="Times New Roman" w:eastAsia="Times New Roman" w:hAnsi="Times New Roman"/>
                <w:sz w:val="18"/>
                <w:szCs w:val="18"/>
                <w:color w:val="auto"/>
              </w:rPr>
              <w:t>77%</w:t>
            </w: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6"/>
              </w:rPr>
              <w:t>25%</w:t>
            </w:r>
          </w:p>
        </w:tc>
        <w:tc>
          <w:tcPr>
            <w:tcW w:w="2200" w:type="dxa"/>
            <w:vAlign w:val="bottom"/>
            <w:gridSpan w:val="3"/>
          </w:tcPr>
          <w:p>
            <w:pPr>
              <w:jc w:val="center"/>
              <w:ind w:left="539"/>
              <w:spacing w:after="0"/>
              <w:rPr>
                <w:sz w:val="20"/>
                <w:szCs w:val="20"/>
                <w:color w:val="auto"/>
              </w:rPr>
            </w:pPr>
            <w:r>
              <w:rPr>
                <w:rFonts w:ascii="Times New Roman" w:cs="Times New Roman" w:eastAsia="Times New Roman" w:hAnsi="Times New Roman"/>
                <w:sz w:val="18"/>
                <w:szCs w:val="18"/>
                <w:color w:val="auto"/>
              </w:rPr>
              <w:t>22%</w:t>
            </w:r>
          </w:p>
        </w:tc>
      </w:tr>
      <w:tr>
        <w:trPr>
          <w:trHeight w:val="276"/>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center"/>
              <w:ind w:left="374"/>
              <w:spacing w:after="0"/>
              <w:rPr>
                <w:sz w:val="20"/>
                <w:szCs w:val="20"/>
                <w:color w:val="auto"/>
              </w:rPr>
            </w:pPr>
            <w:r>
              <w:rPr>
                <w:rFonts w:ascii="Times New Roman" w:cs="Times New Roman" w:eastAsia="Times New Roman" w:hAnsi="Times New Roman"/>
                <w:sz w:val="18"/>
                <w:szCs w:val="18"/>
                <w:color w:val="auto"/>
                <w:w w:val="99"/>
              </w:rPr>
              <w:t>100%</w:t>
            </w:r>
          </w:p>
        </w:tc>
        <w:tc>
          <w:tcPr>
            <w:tcW w:w="48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93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93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93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93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pension plan cash obligations are $2.2 million, $2.2 million, $2.2 million, $2.2 million, and $2.1 million for 2023 through 2027, respectively, and a total of $10.0 million for the years 2028 through 2032.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of Pension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pension assets measured at fair value: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Cash and cash equivalents consist primarily of cash on deposit in money market funds. Cash and cash equivalents are stated at cost, which approximates fair value.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right="8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2022, are summarized in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2021, are summarized in the tables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40" w:lineRule="exact"/>
        <w:rPr>
          <w:sz w:val="20"/>
          <w:szCs w:val="20"/>
          <w:color w:val="auto"/>
        </w:rPr>
      </w:pPr>
    </w:p>
    <w:p>
      <w:pPr>
        <w:ind w:left="1020" w:right="8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6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participation in these plans for the year ended December 31, 2022, is outlined in the table below. The “EIN/Pension Plan Number” column provides the Employer Identification Number and the three-digit plan number, if applicable. Unless otherwise noted, the most recent Pension Protection Act zone status available in 2022 is for the plan’s year-end at December 31, 2021.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w:t>
            </w: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FIF/RP Status</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87"/>
        </w:trPr>
        <w:tc>
          <w:tcPr>
            <w:tcW w:w="3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1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Pending/Implemented</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05"/>
        </w:trPr>
        <w:tc>
          <w:tcPr>
            <w:tcW w:w="386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Sheet Metal Workers’ National Pension Fund</w:t>
            </w:r>
          </w:p>
        </w:tc>
        <w:tc>
          <w:tcPr>
            <w:tcW w:w="12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52-6112463/001</w:t>
            </w:r>
          </w:p>
        </w:tc>
        <w:tc>
          <w:tcPr>
            <w:tcW w:w="1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17"/>
                <w:szCs w:val="17"/>
                <w:color w:val="auto"/>
              </w:rPr>
            </w:pPr>
          </w:p>
        </w:tc>
        <w:tc>
          <w:tcPr>
            <w:tcW w:w="2260" w:type="dxa"/>
            <w:vAlign w:val="bottom"/>
            <w:tcBorders>
              <w:top w:val="single" w:sz="8" w:color="auto"/>
            </w:tcBorders>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FIF: Yes - Implemented</w:t>
            </w:r>
          </w:p>
        </w:tc>
        <w:tc>
          <w:tcPr>
            <w:tcW w:w="1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RP: Yes - Implemented</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Sheet Metal Workers Local 224 Pension Plan</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31-6171353/001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Yellow</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FIF: Yes - Implemented</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Sheet Metal Workers Local No. 177 Pension Fund</w:t>
            </w:r>
          </w:p>
        </w:tc>
        <w:tc>
          <w:tcPr>
            <w:tcW w:w="1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62-6093256/001</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21"/>
                <w:szCs w:val="21"/>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 not subject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2023</w:t>
            </w:r>
          </w:p>
        </w:tc>
        <w:tc>
          <w:tcPr>
            <w:tcW w:w="0" w:type="dxa"/>
            <w:vAlign w:val="bottom"/>
          </w:tcPr>
          <w:p>
            <w:pPr>
              <w:spacing w:after="0"/>
              <w:rPr>
                <w:sz w:val="1"/>
                <w:szCs w:val="1"/>
                <w:color w:val="auto"/>
              </w:rPr>
            </w:pPr>
          </w:p>
        </w:tc>
      </w:tr>
      <w:tr>
        <w:trPr>
          <w:trHeight w:val="648"/>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F-23</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ind w:right="120"/>
        <w:spacing w:after="0" w:line="261" w:lineRule="auto"/>
        <w:rPr>
          <w:sz w:val="20"/>
          <w:szCs w:val="20"/>
          <w:color w:val="auto"/>
        </w:rPr>
      </w:pPr>
      <w:r>
        <w:rPr>
          <w:rFonts w:ascii="Times New Roman" w:cs="Times New Roman" w:eastAsia="Times New Roman" w:hAnsi="Times New Roman"/>
          <w:sz w:val="18"/>
          <w:szCs w:val="18"/>
          <w:color w:val="auto"/>
        </w:rPr>
        <w:t>Kirk and Blum was listed in the Sheet Metal Workers Local No. 177 Pension Fund’s Form 5500 as providing more than five percent of total contributions for the year ended December 31, 2021. The Company was not listed in any of the other plans’ Forms 5500 as providing more than five percent of the total contributions for the plans and plan years. At the date the financial statements were issued, Forms 5500 were not available for the plan years ended December 31, 2022.</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no current intention of withdrawing from any plan and, therefore, no liability has been provided in the accompanying consolidated financial statements.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Amounts charged to pension expense under the above plans including the multi-employer plans totaled $0.4 million, $0.6 million and $1.0 million in 2022, 2021 and 2020,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$1.5 million, $0.9 million, and $1.6 million during 2022, 2021 and 2020, respectively.</w:t>
      </w:r>
    </w:p>
    <w:p>
      <w:pPr>
        <w:spacing w:after="0" w:line="176"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 (a)</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r>
      <w:tr>
        <w:trPr>
          <w:trHeight w:val="247"/>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9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r>
      <w:tr>
        <w:trPr>
          <w:trHeight w:val="277"/>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4,156</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5"/>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includes variable lease costs which are immaterial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0"/>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7"/>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5260" w:type="dxa"/>
            <w:vAlign w:val="bottom"/>
          </w:tcPr>
          <w:p>
            <w:pPr>
              <w:spacing w:after="0"/>
              <w:rPr>
                <w:sz w:val="24"/>
                <w:szCs w:val="24"/>
                <w:color w:val="auto"/>
              </w:rPr>
            </w:pPr>
          </w:p>
        </w:tc>
        <w:tc>
          <w:tcPr>
            <w:tcW w:w="12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F-24</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-2708275</wp:posOffset>
            </wp:positionV>
            <wp:extent cx="7747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-2708275</wp:posOffset>
            </wp:positionV>
            <wp:extent cx="6858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-2382520</wp:posOffset>
            </wp:positionV>
            <wp:extent cx="226314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2263140" cy="1797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-1207770</wp:posOffset>
            </wp:positionV>
            <wp:extent cx="2271395"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2271395" cy="20574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-847725</wp:posOffset>
            </wp:positionV>
            <wp:extent cx="2271395"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2271395" cy="1797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-513715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-496570</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-513715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21"/>
                <w:szCs w:val="21"/>
                <w:color w:val="auto"/>
              </w:rPr>
            </w:pPr>
          </w:p>
        </w:tc>
      </w:tr>
      <w:tr>
        <w:trPr>
          <w:trHeight w:val="23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21"/>
                <w:szCs w:val="21"/>
                <w:color w:val="auto"/>
              </w:rPr>
            </w:pPr>
          </w:p>
        </w:tc>
      </w:tr>
      <w:tr>
        <w:trPr>
          <w:trHeight w:val="237"/>
        </w:trPr>
        <w:tc>
          <w:tcPr>
            <w:tcW w:w="7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20"/>
                <w:szCs w:val="20"/>
                <w:color w:val="auto"/>
              </w:rPr>
            </w:pPr>
          </w:p>
        </w:tc>
      </w:tr>
      <w:tr>
        <w:trPr>
          <w:trHeight w:val="905"/>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as of December 31, 2022 were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center"/>
              <w:ind w:right="80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6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8 years</w:t>
            </w:r>
          </w:p>
        </w:tc>
      </w:tr>
      <w:tr>
        <w:trPr>
          <w:trHeight w:val="27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r>
      <w:tr>
        <w:trPr>
          <w:trHeight w:val="27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420" w:type="dxa"/>
            <w:vAlign w:val="bottom"/>
            <w:shd w:val="clear" w:color="auto" w:fill="CFF0FC"/>
          </w:tcPr>
          <w:p>
            <w:pPr>
              <w:jc w:val="center"/>
              <w:ind w:right="59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maturities of lease liabilities were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2,375</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1"/>
                <w:szCs w:val="2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12,861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(1,134 )</w:t>
            </w: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11,681</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-5185410</wp:posOffset>
            </wp:positionV>
            <wp:extent cx="6858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-4551045</wp:posOffset>
            </wp:positionV>
            <wp:extent cx="6858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-3608070</wp:posOffset>
            </wp:positionV>
            <wp:extent cx="685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cases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December 31, 2022 for cases involving asbestos-related claims were $6.2 million which together with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ind w:right="380"/>
        <w:spacing w:after="0" w:line="282" w:lineRule="auto"/>
        <w:rPr>
          <w:sz w:val="20"/>
          <w:szCs w:val="20"/>
          <w:color w:val="auto"/>
        </w:rPr>
      </w:pPr>
      <w:r>
        <w:rPr>
          <w:rFonts w:ascii="Times New Roman" w:cs="Times New Roman" w:eastAsia="Times New Roman" w:hAnsi="Times New Roman"/>
          <w:sz w:val="18"/>
          <w:szCs w:val="18"/>
          <w:color w:val="auto"/>
        </w:rPr>
        <w:t>legal fees other than corporate counsel expenses have substantially been paid by the Company’s insurers. The average cost per settled claim, excluding legal fees, was approximately $42,000.</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247 cases pending against the Company as of December 31, 2022 (with Illinois, New York, Pennsylvania and West Virginia having the largest number of cases), as compared with 223 cases that were pending as of December 31, 2021. During 2022, 139 new cases were filed against the Company, and the Company was dismissed from 84 cases and settled 31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and routine audits of state and local tax returns arising in the ordinary course of its business.</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the Company records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not aware of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was generated in the United States and globally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FF0FC"/>
          </w:tcPr>
          <w:p>
            <w:pPr>
              <w:spacing w:after="0"/>
              <w:rPr>
                <w:sz w:val="20"/>
                <w:szCs w:val="20"/>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20"/>
                <w:szCs w:val="20"/>
                <w:color w:val="auto"/>
              </w:rPr>
            </w:pPr>
          </w:p>
        </w:tc>
      </w:tr>
      <w:tr>
        <w:trPr>
          <w:trHeight w:val="276"/>
        </w:trPr>
        <w:tc>
          <w:tcPr>
            <w:tcW w:w="6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$1.3 million has been recorded for the deferred taxes on such undistributed foreign earnings as of December 31, 2022. The deferred taxes are attributable primarily to the foreign withholding taxes that would become payable should the Company repatriate cash held in its foreign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r>
      <w:tr>
        <w:trPr>
          <w:trHeight w:val="247"/>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39"/>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20"/>
                <w:szCs w:val="20"/>
                <w:color w:val="auto"/>
              </w:rPr>
            </w:pPr>
          </w:p>
        </w:tc>
      </w:tr>
      <w:tr>
        <w:trPr>
          <w:trHeight w:val="237"/>
        </w:trPr>
        <w:tc>
          <w:tcPr>
            <w:tcW w:w="3500" w:type="dxa"/>
            <w:vAlign w:val="bottom"/>
            <w:tcBorders>
              <w:bottom w:val="single" w:sz="8" w:color="CFF0FC"/>
            </w:tcBorders>
            <w:shd w:val="clear" w:color="auto" w:fill="CFF0FC"/>
          </w:tcPr>
          <w:p>
            <w:pPr>
              <w:spacing w:after="0"/>
              <w:rPr>
                <w:sz w:val="20"/>
                <w:szCs w:val="20"/>
                <w:color w:val="auto"/>
              </w:rPr>
            </w:pPr>
          </w:p>
        </w:tc>
        <w:tc>
          <w:tcPr>
            <w:tcW w:w="26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(3,001 )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FF0FC"/>
          </w:tcPr>
          <w:p>
            <w:pPr>
              <w:spacing w:after="0"/>
              <w:rPr>
                <w:sz w:val="21"/>
                <w:szCs w:val="21"/>
                <w:color w:val="auto"/>
              </w:rPr>
            </w:pPr>
          </w:p>
        </w:tc>
      </w:tr>
      <w:tr>
        <w:trPr>
          <w:trHeight w:val="239"/>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r>
      <w:tr>
        <w:trPr>
          <w:trHeight w:val="243"/>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(913 )</w:t>
            </w:r>
          </w:p>
        </w:tc>
      </w:tr>
      <w:tr>
        <w:trPr>
          <w:trHeight w:val="20"/>
        </w:trPr>
        <w:tc>
          <w:tcPr>
            <w:tcW w:w="350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(2,174 )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0"/>
                <w:szCs w:val="20"/>
                <w:color w:val="auto"/>
              </w:rPr>
            </w:pPr>
          </w:p>
        </w:tc>
      </w:tr>
      <w:tr>
        <w:trPr>
          <w:trHeight w:val="276"/>
        </w:trPr>
        <w:tc>
          <w:tcPr>
            <w:tcW w:w="3500" w:type="dxa"/>
            <w:vAlign w:val="bottom"/>
            <w:tcBorders>
              <w:bottom w:val="single" w:sz="8" w:color="CFF0FC"/>
            </w:tcBorders>
            <w:shd w:val="clear" w:color="auto" w:fill="CFF0FC"/>
          </w:tcPr>
          <w:p>
            <w:pPr>
              <w:spacing w:after="0"/>
              <w:rPr>
                <w:sz w:val="24"/>
                <w:szCs w:val="24"/>
                <w:color w:val="auto"/>
              </w:rPr>
            </w:pPr>
          </w:p>
        </w:tc>
        <w:tc>
          <w:tcPr>
            <w:tcW w:w="2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500" w:type="dxa"/>
            <w:vAlign w:val="bottom"/>
          </w:tcPr>
          <w:p>
            <w:pPr>
              <w:spacing w:after="0"/>
              <w:rPr>
                <w:sz w:val="24"/>
                <w:szCs w:val="24"/>
                <w:color w:val="auto"/>
              </w:rPr>
            </w:pPr>
          </w:p>
        </w:tc>
        <w:tc>
          <w:tcPr>
            <w:tcW w:w="30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F-26</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-1464945</wp:posOffset>
            </wp:positionV>
            <wp:extent cx="68580"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-1464945</wp:posOffset>
            </wp:positionV>
            <wp:extent cx="68580" cy="163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-839470</wp:posOffset>
            </wp:positionV>
            <wp:extent cx="685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685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-513715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-496570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-513715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income tax expense (benefit) differs from the statutory rate due to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FF0FC"/>
          </w:tcPr>
          <w:p>
            <w:pPr>
              <w:spacing w:after="0"/>
              <w:rPr>
                <w:sz w:val="20"/>
                <w:szCs w:val="20"/>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uncertain tax position reserves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rate differences and adjustments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 tax credits and incentives</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(626 )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credits and incentives</w:t>
            </w:r>
          </w:p>
        </w:tc>
        <w:tc>
          <w:tcPr>
            <w:tcW w:w="3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(794 )</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(526 )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withholding taxes on repatriation of foreign earnings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Earnout expense (income)</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(1,341 )</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effect GILTI and FDII</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r>
      <w:tr>
        <w:trPr>
          <w:trHeight w:val="277"/>
        </w:trPr>
        <w:tc>
          <w:tcPr>
            <w:tcW w:w="6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on assets</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Minimum pension</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44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(4,950 )</w:t>
            </w:r>
          </w:p>
        </w:tc>
        <w:tc>
          <w:tcPr>
            <w:tcW w:w="4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(5,476 )</w:t>
            </w:r>
          </w:p>
        </w:tc>
      </w:tr>
      <w:tr>
        <w:trPr>
          <w:trHeight w:val="236"/>
        </w:trPr>
        <w:tc>
          <w:tcPr>
            <w:tcW w:w="7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(727 )</w:t>
            </w: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(881 )</w:t>
            </w: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4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(13,310 )</w:t>
            </w:r>
          </w:p>
        </w:tc>
        <w:tc>
          <w:tcPr>
            <w:tcW w:w="4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(11,501 )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(783 )</w:t>
            </w: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44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(1,254 )</w:t>
            </w:r>
          </w:p>
        </w:tc>
        <w:tc>
          <w:tcPr>
            <w:tcW w:w="4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(2,564 )</w:t>
            </w:r>
          </w:p>
        </w:tc>
        <w:tc>
          <w:tcPr>
            <w:tcW w:w="4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(2,424 )</w:t>
            </w: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recognition</w:t>
            </w:r>
          </w:p>
        </w:tc>
        <w:tc>
          <w:tcPr>
            <w:tcW w:w="44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(1,031 )</w:t>
            </w:r>
          </w:p>
        </w:tc>
        <w:tc>
          <w:tcPr>
            <w:tcW w:w="4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6"/>
        </w:trPr>
        <w:tc>
          <w:tcPr>
            <w:tcW w:w="7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(7,837 )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(7,885 )</w:t>
            </w:r>
          </w:p>
        </w:tc>
      </w:tr>
      <w:tr>
        <w:trPr>
          <w:trHeight w:val="20"/>
        </w:trPr>
        <w:tc>
          <w:tcPr>
            <w:tcW w:w="7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-1439545</wp:posOffset>
            </wp:positionV>
            <wp:extent cx="7747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7747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2022, state and local net operating loss carry forwards total $48.3 million, which expire from 2023 to 2042. The Company has recorded a valuation allowance on certain of these net operating loss carry forwards to reflect expected realization. The Company also has net operating loss carry forwards in foreign jurisdictions totaling $8.8 million. A valuation allowance of $6.1 million has been established against these losses in foreign jurisdictions. As of December 31, 2022 and 2021, the Company has recorded a valuation reserve in the amount of $5.0 million and $5.5 million, respectively. The changes in the valuation allowance resulted in additional income tax expense (benefit) of $(0.5) million, $(0.5) million, and $(0.2) million in 2022, 2021, and 2020, respectively.</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ind w:right="80"/>
        <w:spacing w:after="0" w:line="289" w:lineRule="auto"/>
        <w:rPr>
          <w:sz w:val="20"/>
          <w:szCs w:val="20"/>
          <w:color w:val="auto"/>
        </w:rPr>
      </w:pPr>
      <w:r>
        <w:rPr>
          <w:rFonts w:ascii="Times New Roman" w:cs="Times New Roman" w:eastAsia="Times New Roman" w:hAnsi="Times New Roman"/>
          <w:sz w:val="17"/>
          <w:szCs w:val="17"/>
          <w:color w:val="auto"/>
        </w:rPr>
        <w:t>income, and tax-planning strategies in making this assessment. Based on this assessment, management believes it is more likely than not that the Company will realize the benefits of these deductible differences, net of the existing valuation allowances at December 31, 2022. The amount of the deferred tax assets considered realizable, however, could be reduced in the near term if estimates of future taxable income during the carryforward period are reduced.</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of tax positions taken in prior years</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settlements on tax positions of prior years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7"/>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reserve for uncertain tax positions includes $0.1 million of interest and penalties as of December 31, 2022 and 2021. The favorable settlement of all uncertain tax positions would impact the Company’s effective income tax rate. Tax years going back to 2017 remain open for all significant state and foreign authorities.</w:t>
      </w:r>
    </w:p>
    <w:p>
      <w:pPr>
        <w:spacing w:after="0" w:line="172"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Joint Ventures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Rubber LLC</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fair value ascribed to the equity interest of the former owners of GRC was approximately $4.1 million. As of December 31, 2022, there were $13.4 million in current assets, $27.7 million in long-lived assets, and $29.8 million in total liabilities related to the EFM JV included in the Consolidated Balance Sheets. For the year ended December 31, 2022, EFM JV accounted for $35.8 million in revenue.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553" w:right="339" w:bottom="1440" w:gutter="0" w:footer="0" w:header="0"/>
        </w:sect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$137)</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346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4,963</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459</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11,120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8,380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24,922</w:t>
      </w:r>
      <w:r>
        <w:rPr>
          <w:sz w:val="1"/>
          <w:szCs w:val="1"/>
          <w:color w:val="auto"/>
        </w:rPr>
        <w:drawing>
          <wp:inline distT="0" distB="0" distL="0" distR="0">
            <wp:extent cx="68580" cy="16319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68580" cy="163195"/>
                    </a:xfrm>
                    <a:prstGeom prst="rect">
                      <a:avLst/>
                    </a:prstGeom>
                    <a:noFill/>
                    <a:ln>
                      <a:noFill/>
                    </a:ln>
                  </pic:spPr>
                </pic:pic>
              </a:graphicData>
            </a:graphic>
          </wp:inline>
        </w:drawing>
      </w:r>
    </w:p>
    <w:p>
      <w:pPr>
        <w:jc w:val="right"/>
        <w:ind w:right="40"/>
        <w:spacing w:after="0"/>
        <w:rPr>
          <w:sz w:val="20"/>
          <w:szCs w:val="20"/>
          <w:color w:val="auto"/>
        </w:rPr>
      </w:pPr>
      <w:r>
        <w:rPr>
          <w:rFonts w:ascii="Times New Roman" w:cs="Times New Roman" w:eastAsia="Times New Roman" w:hAnsi="Times New Roman"/>
          <w:sz w:val="18"/>
          <w:szCs w:val="18"/>
          <w:color w:val="auto"/>
        </w:rPr>
        <w:t>(714 )</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(388 )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084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23,820</w:t>
      </w:r>
    </w:p>
    <w:p>
      <w:pPr>
        <w:spacing w:after="0" w:line="240" w:lineRule="exact"/>
        <w:rPr>
          <w:sz w:val="20"/>
          <w:szCs w:val="20"/>
          <w:color w:val="auto"/>
        </w:rPr>
      </w:pPr>
    </w:p>
    <w:p>
      <w:pPr>
        <w:sectPr>
          <w:pgSz w:w="11900" w:h="16838" w:orient="portrait"/>
          <w:cols w:equalWidth="0" w:num="2">
            <w:col w:w="8520" w:space="720"/>
            <w:col w:w="2000"/>
          </w:cols>
          <w:pgMar w:left="320" w:top="553" w:right="339" w:bottom="1440" w:gutter="0" w:footer="0" w:header="0"/>
          <w:type w:val="continuous"/>
        </w:sectPr>
      </w:pP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$7.7 million and $0.7 million, respectively. These assets were determined to have useful lives of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GRC accounted for $11.7 million in revenue and $2.1 million of net income included in the Company’s results.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Compass Water Solutions,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6" w:name="page77"/>
    <w:bookmarkEnd w:id="76"/>
    <w:p>
      <w:pPr>
        <w:ind w:right="120"/>
        <w:spacing w:after="0" w:line="258" w:lineRule="auto"/>
        <w:rPr>
          <w:sz w:val="20"/>
          <w:szCs w:val="20"/>
          <w:color w:val="auto"/>
        </w:rPr>
      </w:pPr>
      <w:r>
        <w:rPr>
          <w:rFonts w:ascii="Times New Roman" w:cs="Times New Roman" w:eastAsia="Times New Roman" w:hAnsi="Times New Roman"/>
          <w:sz w:val="18"/>
          <w:szCs w:val="18"/>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As of December 31, 2022, the earnout liability recorded in “Accounts payable and accrued expenses” on the Consolidated Balance Sheets is $1.2 million.</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553" w:right="339" w:bottom="1440" w:gutter="0" w:footer="0" w:header="0"/>
        </w:sect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$334)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340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4,796</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101</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4,848</w:t>
      </w:r>
    </w:p>
    <w:p>
      <w:pPr>
        <w:spacing w:after="0" w:line="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4,900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14,645</w:t>
      </w:r>
      <w:r>
        <w:rPr>
          <w:sz w:val="1"/>
          <w:szCs w:val="1"/>
          <w:color w:val="auto"/>
        </w:rPr>
        <w:drawing>
          <wp:inline distT="0" distB="0" distL="0" distR="0">
            <wp:extent cx="68580" cy="16319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68580" cy="163195"/>
                    </a:xfrm>
                    <a:prstGeom prst="rect">
                      <a:avLst/>
                    </a:prstGeom>
                    <a:noFill/>
                    <a:ln>
                      <a:noFill/>
                    </a:ln>
                  </pic:spPr>
                </pic:pic>
              </a:graphicData>
            </a:graphic>
          </wp:inline>
        </w:drawing>
      </w:r>
    </w:p>
    <w:p>
      <w:pPr>
        <w:jc w:val="right"/>
        <w:ind w:right="40"/>
        <w:spacing w:after="0"/>
        <w:rPr>
          <w:sz w:val="20"/>
          <w:szCs w:val="20"/>
          <w:color w:val="auto"/>
        </w:rPr>
      </w:pPr>
      <w:r>
        <w:rPr>
          <w:rFonts w:ascii="Times New Roman" w:cs="Times New Roman" w:eastAsia="Times New Roman" w:hAnsi="Times New Roman"/>
          <w:sz w:val="18"/>
          <w:szCs w:val="18"/>
          <w:color w:val="auto"/>
        </w:rPr>
        <w:t>(623 )</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(1,627 )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084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3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12,395</w:t>
      </w:r>
    </w:p>
    <w:p>
      <w:pPr>
        <w:spacing w:after="0" w:line="240" w:lineRule="exact"/>
        <w:rPr>
          <w:sz w:val="20"/>
          <w:szCs w:val="20"/>
          <w:color w:val="auto"/>
        </w:rPr>
      </w:pPr>
    </w:p>
    <w:p>
      <w:pPr>
        <w:sectPr>
          <w:pgSz w:w="11900" w:h="16838" w:orient="portrait"/>
          <w:cols w:equalWidth="0" w:num="2">
            <w:col w:w="8520" w:space="720"/>
            <w:col w:w="2000"/>
          </w:cols>
          <w:pgMar w:left="320" w:top="553" w:right="339" w:bottom="1440" w:gutter="0" w:footer="0" w:header="0"/>
          <w:type w:val="continuous"/>
        </w:sectPr>
      </w:pP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$4.4 million and $0.5 million, respectively. These assets were determined to have useful lives of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2022, Compass accounted for $3.7 million in revenue and $0.1 million of net loss included in the Company’s results.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Air Ducts Ltd.</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22, 2022, the Company acquired 100% of the equity interests of Western Air Ducts Limited for $10.7 million in cash, which was financed with a draw on the Company’s revolving credit facility, and deferred cash consideration of $0.8 million payable in one year. The deferred consideration is recorded in “Accounts payable and accrued expenses” on the Consolidated Balance Sheets.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ectPr>
          <w:pgSz w:w="11900" w:h="16838" w:orient="portrait"/>
          <w:cols w:equalWidth="0" w:num="1">
            <w:col w:w="11240"/>
          </w:cols>
          <w:pgMar w:left="320" w:top="553" w:right="339" w:bottom="1440" w:gutter="0" w:footer="0" w:header="0"/>
          <w:type w:val="continuous"/>
        </w:sect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$1,557)</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346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2,711</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7,344</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3,158</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13,401</w:t>
      </w:r>
      <w:r>
        <w:rPr>
          <w:sz w:val="1"/>
          <w:szCs w:val="1"/>
          <w:color w:val="auto"/>
        </w:rPr>
        <w:drawing>
          <wp:inline distT="0" distB="0" distL="0" distR="0">
            <wp:extent cx="68580" cy="1625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68580" cy="162560"/>
                    </a:xfrm>
                    <a:prstGeom prst="rect">
                      <a:avLst/>
                    </a:prstGeom>
                    <a:noFill/>
                    <a:ln>
                      <a:noFill/>
                    </a:ln>
                  </pic:spPr>
                </pic:pic>
              </a:graphicData>
            </a:graphic>
          </wp:inline>
        </w:drawing>
      </w:r>
    </w:p>
    <w:p>
      <w:pPr>
        <w:jc w:val="right"/>
        <w:ind w:right="40"/>
        <w:spacing w:after="0"/>
        <w:rPr>
          <w:sz w:val="20"/>
          <w:szCs w:val="20"/>
          <w:color w:val="auto"/>
        </w:rPr>
      </w:pPr>
      <w:r>
        <w:rPr>
          <w:rFonts w:ascii="Times New Roman" w:cs="Times New Roman" w:eastAsia="Times New Roman" w:hAnsi="Times New Roman"/>
          <w:sz w:val="18"/>
          <w:szCs w:val="18"/>
          <w:color w:val="auto"/>
        </w:rPr>
        <w:t>(1,127 )</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 w:lineRule="exact"/>
        <w:rPr>
          <w:sz w:val="20"/>
          <w:szCs w:val="20"/>
          <w:color w:val="auto"/>
        </w:rPr>
      </w:pPr>
    </w:p>
    <w:p>
      <w:pPr>
        <w:ind w:left="1380" w:hanging="137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11,450</w:t>
      </w:r>
    </w:p>
    <w:p>
      <w:pPr>
        <w:spacing w:after="0" w:line="240" w:lineRule="exact"/>
        <w:rPr>
          <w:sz w:val="20"/>
          <w:szCs w:val="20"/>
          <w:color w:val="auto"/>
        </w:rPr>
      </w:pPr>
    </w:p>
    <w:p>
      <w:pPr>
        <w:sectPr>
          <w:pgSz w:w="11900" w:h="16838" w:orient="portrait"/>
          <w:cols w:equalWidth="0" w:num="2">
            <w:col w:w="8540" w:space="720"/>
            <w:col w:w="1980"/>
          </w:cols>
          <w:pgMar w:left="320" w:top="553" w:right="339" w:bottom="1440" w:gutter="0" w:footer="0" w:header="0"/>
          <w:type w:val="continuous"/>
        </w:sectPr>
      </w:pP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$2.8 million and $0.4 million, respectively. These assets were determined to have useful lives of 10 years.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Western Air Ducts accounted for $1.5 million in revenue and $0.3 million of net loss included in the Company's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DS21 Co., Ltd.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7" w:name="page78"/>
    <w:bookmarkEnd w:id="77"/>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19, 2022, the Company acquired 100% of the equity interests of DS21 Co., Ltd. ("DS21") for $9.2 million, including $8.9 million in cash, which was financed with a draw on the Company’s revolving credit facility, and deferred cash consideration of $0.3 million payable in one year.</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1"/>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$1,453)</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Pr>
          <w:p>
            <w:pPr>
              <w:spacing w:after="0"/>
              <w:rPr>
                <w:sz w:val="20"/>
                <w:szCs w:val="20"/>
                <w:color w:val="auto"/>
              </w:rPr>
            </w:pPr>
          </w:p>
        </w:tc>
      </w:tr>
      <w:tr>
        <w:trPr>
          <w:trHeight w:val="250"/>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FF0FC"/>
          </w:tcPr>
          <w:p>
            <w:pPr>
              <w:spacing w:after="0"/>
              <w:rPr>
                <w:sz w:val="21"/>
                <w:szCs w:val="21"/>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r>
      <w:tr>
        <w:trPr>
          <w:trHeight w:val="24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r>
      <w:tr>
        <w:trPr>
          <w:trHeight w:val="236"/>
        </w:trPr>
        <w:tc>
          <w:tcPr>
            <w:tcW w:w="9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FF0FC"/>
          </w:tcPr>
          <w:p>
            <w:pPr>
              <w:spacing w:after="0"/>
              <w:rPr>
                <w:sz w:val="20"/>
                <w:szCs w:val="20"/>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8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(1,008 )</w:t>
            </w:r>
          </w:p>
        </w:tc>
      </w:tr>
      <w:tr>
        <w:trPr>
          <w:trHeight w:val="24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37"/>
        </w:trPr>
        <w:tc>
          <w:tcPr>
            <w:tcW w:w="9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top w:val="single" w:sz="8" w:color="CFF0FC"/>
            </w:tcBorders>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9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$0.1 million and $0.3 million, respectively. These assets were determined to have useful lives of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DS21 accounted for $1.9 million in revenue and $0.5 million of net loss included in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Integrated Solutions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4, 2020, the Company acquired 100% of the equity interests of Environmental Integrated Solutions (“EIS”) for $10.3 million in cash, which was financed through the revolving credit facility. As additional consideration, the former owners were entitled to earn-out payments based upon a multiple of specified financial results through December 31, 2021, which was estimated to be $0.6 million at the acquisition date. See Note 7 for additional information on the earnout.</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EIS engineers products that clean air through a variety of technologies including volatile organic compounds (“VOC”) abatement, odor control, regenerative thermal oxidizers, and other air pollution control solutions, which complements the Industrial Process Solutions segment businesses. The following table summarizes the fair values of the assets acquired and liabilities assumed at the date of closing.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$4,212)</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FF0FC"/>
          </w:tcPr>
          <w:p>
            <w:pPr>
              <w:spacing w:after="0"/>
              <w:rPr>
                <w:sz w:val="21"/>
                <w:szCs w:val="21"/>
                <w:color w:val="auto"/>
              </w:rPr>
            </w:pPr>
          </w:p>
        </w:tc>
      </w:tr>
      <w:tr>
        <w:trPr>
          <w:trHeight w:val="239"/>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7"/>
        </w:trPr>
        <w:tc>
          <w:tcPr>
            <w:tcW w:w="9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20"/>
                <w:szCs w:val="20"/>
                <w:color w:val="auto"/>
              </w:rPr>
            </w:pPr>
          </w:p>
        </w:tc>
      </w:tr>
      <w:tr>
        <w:trPr>
          <w:trHeight w:val="247"/>
        </w:trPr>
        <w:tc>
          <w:tcPr>
            <w:tcW w:w="9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8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tcPr>
          <w:p>
            <w:pPr>
              <w:spacing w:after="0"/>
              <w:rPr>
                <w:sz w:val="20"/>
                <w:szCs w:val="20"/>
                <w:color w:val="auto"/>
              </w:rPr>
            </w:pPr>
          </w:p>
        </w:tc>
      </w:tr>
      <w:tr>
        <w:trPr>
          <w:trHeight w:val="247"/>
        </w:trPr>
        <w:tc>
          <w:tcPr>
            <w:tcW w:w="9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8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(6,514 )</w:t>
            </w: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8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r>
      <w:tr>
        <w:trPr>
          <w:trHeight w:val="277"/>
        </w:trPr>
        <w:tc>
          <w:tcPr>
            <w:tcW w:w="8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$4.2 million and $0.6 million, respectively. These assets were determined to have useful lives of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Mader</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July 31, 2020, the Company entered into the JV Agreement with Mader in which CECO contributed the net assets of its Effox-Flextor damper business and Mader contributed the net assets of its damper business. Under the terms of the JV Agreement, CECO will hold 70% of the equity in the joint venture, and 50% voting interest. The Company determined CECO was the primary beneficiary of this variable interest entity and therefore the 30% noncontrolling equity interest is in the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 results of the EFM JV are included in the Engineered Systems segment. The fair value of Mader’s net assets contributed was $1.0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JV agreement date.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$229)</w:t>
            </w:r>
          </w:p>
        </w:tc>
        <w:tc>
          <w:tcPr>
            <w:tcW w:w="8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FF0FC"/>
          </w:tcPr>
          <w:p>
            <w:pPr>
              <w:spacing w:after="0"/>
              <w:rPr>
                <w:sz w:val="21"/>
                <w:szCs w:val="21"/>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4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spacing w:after="0"/>
              <w:rPr>
                <w:sz w:val="21"/>
                <w:szCs w:val="21"/>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r>
      <w:tr>
        <w:trPr>
          <w:trHeight w:val="241"/>
        </w:trPr>
        <w:tc>
          <w:tcPr>
            <w:tcW w:w="9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 assumed</w:t>
            </w:r>
          </w:p>
        </w:tc>
        <w:tc>
          <w:tcPr>
            <w:tcW w:w="8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shd w:val="clear" w:color="auto" w:fill="CFF0FC"/>
          </w:tcPr>
          <w:p>
            <w:pPr>
              <w:spacing w:after="0"/>
              <w:rPr>
                <w:sz w:val="20"/>
                <w:szCs w:val="20"/>
                <w:color w:val="auto"/>
              </w:rPr>
            </w:pP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8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(515 )</w:t>
            </w:r>
          </w:p>
        </w:tc>
      </w:tr>
      <w:tr>
        <w:trPr>
          <w:trHeight w:val="247"/>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3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8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(2,508 )</w:t>
            </w:r>
          </w:p>
        </w:tc>
      </w:tr>
      <w:tr>
        <w:trPr>
          <w:trHeight w:val="281"/>
        </w:trPr>
        <w:tc>
          <w:tcPr>
            <w:tcW w:w="9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approximate fair values of the assets acquired and liabilities assumed related to the acquisitions occurring in 2022 are based on preliminary estimates and assumptions. These preliminary estimates and assumptions could change significantly during the purchase price measurement period as the Company finalizes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Consolidated Statements of Income are related to acquisition activities, which include retention, legal, accounting, banking, and other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 GRC, Compass, Western Air Ducts,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DS21 acquisitions had occurred on January 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 except per share data)</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435,216</w:t>
            </w:r>
          </w:p>
        </w:tc>
        <w:tc>
          <w:tcPr>
            <w:tcW w:w="2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21"/>
                <w:szCs w:val="21"/>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r>
    </w:tbl>
    <w:p>
      <w:pPr>
        <w:spacing w:after="0" w:line="2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The results of the segments are reviewed through to the “Income from operations” line on the Consolidated Statements of Income. The accounting policies of the segments are the same as those in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ind w:left="1020" w:right="40" w:hanging="503"/>
        <w:spacing w:after="0" w:line="26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The Company's Engineered Systems segment serves the power generation, hydrocarbon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water/wastewater treatment, oily water separation and treatment, marine and naval vessels, and midstream oil &amp; gas sectors. The Company is a key part of helping meet the global demand for environmental and equipment protection solutions with its highly engineered platforms including emissions control, fluid bed cyclones, thermal acoustics, separation &amp; filtration, and dampers &amp; expansion joints.</w:t>
      </w:r>
    </w:p>
    <w:p>
      <w:pPr>
        <w:spacing w:after="0" w:line="68"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Process Solutions segment: </w:t>
      </w:r>
      <w:r>
        <w:rPr>
          <w:rFonts w:ascii="Times New Roman" w:cs="Times New Roman" w:eastAsia="Times New Roman" w:hAnsi="Times New Roman"/>
          <w:sz w:val="18"/>
          <w:szCs w:val="18"/>
          <w:color w:val="auto"/>
        </w:rPr>
        <w:t>The Company's Industrial Process Solutions segment serves the broad industrial sector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the Company assists companies maintain clean and safe operations for employees, reduce energy consumption, minimize waste for customers, and ensure they meet regulatory standards for toxic emissions, fumes, volatile organic compounds, and odor elimination through the Company's platforms including duct fabrication &amp; installation, industrial air, and fluid handling.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186,926</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205,494</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1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100" w:type="dxa"/>
            <w:vAlign w:val="bottom"/>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 (1)</w:t>
            </w:r>
          </w:p>
        </w:tc>
        <w:tc>
          <w:tcPr>
            <w:tcW w:w="3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(36,744 )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(30,967 )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(28,044 )</w:t>
            </w:r>
          </w:p>
        </w:tc>
      </w:tr>
      <w:tr>
        <w:trPr>
          <w:trHeight w:val="279"/>
        </w:trPr>
        <w:tc>
          <w:tcPr>
            <w:tcW w:w="6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-1388110</wp:posOffset>
            </wp:positionV>
            <wp:extent cx="76835"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-1388110</wp:posOffset>
            </wp:positionV>
            <wp:extent cx="68580"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1885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420" w:right="980" w:hanging="365"/>
        <w:spacing w:after="0" w:line="282" w:lineRule="auto"/>
        <w:tabs>
          <w:tab w:leader="none" w:pos="4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Includes corporate compensation, professional services, information technology, acquisition and integration expenses, and other general, administrative corporate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1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1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0"/>
                <w:szCs w:val="20"/>
                <w:color w:val="auto"/>
              </w:rPr>
            </w:pPr>
          </w:p>
        </w:tc>
      </w:tr>
      <w:tr>
        <w:trPr>
          <w:trHeight w:val="279"/>
        </w:trPr>
        <w:tc>
          <w:tcPr>
            <w:tcW w:w="4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19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1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r>
      <w:tr>
        <w:trPr>
          <w:trHeight w:val="279"/>
        </w:trPr>
        <w:tc>
          <w:tcPr>
            <w:tcW w:w="4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9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0"/>
        </w:trPr>
        <w:tc>
          <w:tcPr>
            <w:tcW w:w="4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332,820</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262,558</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141,975</w:t>
            </w:r>
          </w:p>
        </w:tc>
        <w:tc>
          <w:tcPr>
            <w:tcW w:w="100" w:type="dxa"/>
            <w:vAlign w:val="bottom"/>
            <w:shd w:val="clear" w:color="auto" w:fill="CFF0FC"/>
          </w:tcPr>
          <w:p>
            <w:pPr>
              <w:spacing w:after="0"/>
              <w:rPr>
                <w:sz w:val="21"/>
                <w:szCs w:val="2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 (2)</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Pr>
          <w:p>
            <w:pPr>
              <w:spacing w:after="0"/>
              <w:rPr>
                <w:sz w:val="21"/>
                <w:szCs w:val="21"/>
                <w:color w:val="auto"/>
              </w:rPr>
            </w:pPr>
          </w:p>
        </w:tc>
      </w:tr>
      <w:tr>
        <w:trPr>
          <w:trHeight w:val="276"/>
        </w:trPr>
        <w:tc>
          <w:tcPr>
            <w:tcW w:w="4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9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71"/>
        </w:trPr>
        <w:tc>
          <w:tcPr>
            <w:tcW w:w="4240" w:type="dxa"/>
            <w:vAlign w:val="bottom"/>
          </w:tcPr>
          <w:p>
            <w:pPr>
              <w:spacing w:after="0"/>
              <w:rPr>
                <w:sz w:val="24"/>
                <w:szCs w:val="24"/>
                <w:color w:val="auto"/>
              </w:rPr>
            </w:pPr>
          </w:p>
        </w:tc>
        <w:tc>
          <w:tcPr>
            <w:tcW w:w="22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F-32</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-3188335</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-3171190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-3188335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-3171190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-1988185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-1971040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-1988185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-668020</wp:posOffset>
            </wp:positionV>
            <wp:extent cx="1371600" cy="1803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137160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ind w:left="420" w:hanging="367"/>
        <w:spacing w:after="0"/>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Corporate assets primarily consist of cash, property, plant and equipment, and income tax related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99,303</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68,451</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Intra-segment and Inter-segment Revenues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divisions that sell to each other within segments (intra-segment sales) and between segments (inter-segment sales) as indicated in the following tables: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6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(14,088 )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40" w:type="dxa"/>
            <w:vAlign w:val="bottom"/>
            <w:shd w:val="clear" w:color="auto" w:fill="CFF0FC"/>
          </w:tcPr>
          <w:p>
            <w:pPr>
              <w:spacing w:after="0"/>
              <w:rPr>
                <w:sz w:val="21"/>
                <w:szCs w:val="21"/>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165,220</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(5,536 )</w:t>
            </w:r>
          </w:p>
        </w:tc>
        <w:tc>
          <w:tcPr>
            <w:tcW w:w="14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443,574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(19,624 )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40" w:type="dxa"/>
            <w:vAlign w:val="bottom"/>
          </w:tcPr>
          <w:p>
            <w:pPr>
              <w:spacing w:after="0"/>
              <w:rPr>
                <w:sz w:val="11"/>
                <w:szCs w:val="11"/>
                <w:color w:val="auto"/>
              </w:rPr>
            </w:pPr>
          </w:p>
        </w:tc>
        <w:tc>
          <w:tcPr>
            <w:tcW w:w="114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4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0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(9,483 )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40" w:type="dxa"/>
            <w:vAlign w:val="bottom"/>
            <w:shd w:val="clear" w:color="auto" w:fill="CFF0FC"/>
          </w:tcPr>
          <w:p>
            <w:pPr>
              <w:spacing w:after="0"/>
              <w:rPr>
                <w:sz w:val="21"/>
                <w:szCs w:val="21"/>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152,886</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(14,533 )</w:t>
            </w:r>
          </w:p>
        </w:tc>
        <w:tc>
          <w:tcPr>
            <w:tcW w:w="14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350,266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(24,016 )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1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6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(11,333 )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40" w:type="dxa"/>
            <w:vAlign w:val="bottom"/>
            <w:shd w:val="clear" w:color="auto" w:fill="CFF0FC"/>
          </w:tcPr>
          <w:p>
            <w:pPr>
              <w:spacing w:after="0"/>
              <w:rPr>
                <w:sz w:val="21"/>
                <w:szCs w:val="21"/>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124,547</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(12,798 )</w:t>
            </w:r>
          </w:p>
        </w:tc>
        <w:tc>
          <w:tcPr>
            <w:tcW w:w="14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(1,232 )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342,837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(24,131 )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(1,232 )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-3136900</wp:posOffset>
            </wp:positionV>
            <wp:extent cx="77470" cy="1885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-3136900</wp:posOffset>
            </wp:positionV>
            <wp:extent cx="68580" cy="1885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-3136900</wp:posOffset>
            </wp:positionV>
            <wp:extent cx="68580"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-3136900</wp:posOffset>
            </wp:positionV>
            <wp:extent cx="6858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-1662430</wp:posOffset>
            </wp:positionV>
            <wp:extent cx="7747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-1662430</wp:posOffset>
            </wp:positionV>
            <wp:extent cx="77470" cy="188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-1662430</wp:posOffset>
            </wp:positionV>
            <wp:extent cx="68580"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-1662430</wp:posOffset>
            </wp:positionV>
            <wp:extent cx="68580"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-187960</wp:posOffset>
            </wp:positionV>
            <wp:extent cx="68580"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greater than 10% of consolidated net sales or accounts receivable for 2022, 2021, or 2020.</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 2022, 2021, and 2020, sales outside the United States accounted for approximately 35%, 38%, and 35%, respectively, of consolidated net sales. The largest portions of sales outside the United States in 2022 were in Europe (20%), and Asia (11%). Of consolidated long-lived assets, $39.9 million and $26.7 million were located outside of the United States as of December 31, 2022 and 2021, respectively. The largest portion of long-lived assets located outside the United States at December 31, 2022 were in Europe ($30.5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10, 2023, the Company completed the acquisition of Wakefield Acoustics, Ltd. ("Wakefield"), based in the United Kingdom. Wakefield is a leading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line="256" w:lineRule="auto"/>
        <w:rPr>
          <w:sz w:val="20"/>
          <w:szCs w:val="20"/>
          <w:color w:val="auto"/>
        </w:rPr>
      </w:pPr>
      <w:r>
        <w:rPr>
          <w:rFonts w:ascii="Times New Roman" w:cs="Times New Roman" w:eastAsia="Times New Roman" w:hAnsi="Times New Roman"/>
          <w:sz w:val="18"/>
          <w:szCs w:val="18"/>
          <w:color w:val="auto"/>
        </w:rPr>
        <w:t>industries. This acquisition advances the Company's leadership position within the industrial silencing and noise attenuation market by adding a range of solutions and access to new geographic markets and industrial segments. The purchase price is approximately $5 million and was financed using a combination of cash and debt under the Company's existing Credit Facility, as well as a potential earnout payment to the sellers. The impact for this acquisition is not included in the Company's results for the year ended December 31, 2022. The initial accounting for the acquisition was not complete at the time the financial statements were issued due to the timing of the acquisition and the filing of this Annual Report on Form 10-K. As a result, complete disclosures required under ASC 805, Business Combinations cannot be made at this time.</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AMENDMENT NO. 2 TO</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AMENDMENT NO. 2 TO SECOND AMENDED AND RESTATED CREDIT</w:t>
      </w:r>
    </w:p>
    <w:p>
      <w:pPr>
        <w:spacing w:after="0" w:line="28"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AGREEMENT dated and effective as of December 17, 2021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BANK OF AMERICA, N.A., in its capacity as the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each of the Subsidiary Guarantors party hereto and each of the Lenders (as defined below) party hereto.</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jc w:val="both"/>
        <w:ind w:left="120" w:right="20" w:firstLine="741"/>
        <w:spacing w:after="0" w:line="249" w:lineRule="auto"/>
        <w:tabs>
          <w:tab w:leader="none" w:pos="16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lenders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have entered into a Second Amended and Restated Credit Agreement dated as of June 11, 2019 (as amended by Amendment No. 1 to Credit Agreement dated as of October 30, 2020, prior to the effectiveness of this Amendment,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Capitalized terms used and not otherwise defined herein shall have the meanings ascribed to them in the Credit Agreement (as defined below).</w:t>
      </w:r>
    </w:p>
    <w:p>
      <w:pPr>
        <w:spacing w:after="0" w:line="206" w:lineRule="exact"/>
        <w:rPr>
          <w:rFonts w:ascii="Times New Roman" w:cs="Times New Roman" w:eastAsia="Times New Roman" w:hAnsi="Times New Roman"/>
          <w:sz w:val="20"/>
          <w:szCs w:val="20"/>
          <w:color w:val="auto"/>
        </w:rPr>
      </w:pPr>
    </w:p>
    <w:p>
      <w:pPr>
        <w:ind w:left="120" w:right="20" w:firstLine="741"/>
        <w:spacing w:after="0" w:line="269" w:lineRule="auto"/>
        <w:tabs>
          <w:tab w:leader="none" w:pos="16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Guarantors and the Administrative Agent have entered into an Amended and Restated Subsidiary Guaranty Agreement dated as of June 11, 2019 (the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20" w:right="20" w:firstLine="741"/>
        <w:spacing w:after="0" w:line="269" w:lineRule="auto"/>
        <w:tabs>
          <w:tab w:leader="none" w:pos="16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advised the Administrative Agent and the Lenders that it desires to amend the Existing Credit Agreement as set forth herein.</w:t>
      </w:r>
    </w:p>
    <w:p>
      <w:pPr>
        <w:spacing w:after="0" w:line="159" w:lineRule="exact"/>
        <w:rPr>
          <w:rFonts w:ascii="Times New Roman" w:cs="Times New Roman" w:eastAsia="Times New Roman" w:hAnsi="Times New Roman"/>
          <w:sz w:val="20"/>
          <w:szCs w:val="20"/>
          <w:color w:val="auto"/>
        </w:rPr>
      </w:pPr>
    </w:p>
    <w:p>
      <w:pPr>
        <w:ind w:left="120" w:right="20" w:firstLine="741"/>
        <w:spacing w:after="0" w:line="269" w:lineRule="auto"/>
        <w:tabs>
          <w:tab w:leader="none" w:pos="16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below, the Administrative Agent and the Lenders party hereto have agreed to so amend the Existing Credit Agreement.</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furtherance of the foregoing, the parties agree as follows:</w:t>
      </w:r>
    </w:p>
    <w:p>
      <w:pPr>
        <w:spacing w:after="0" w:line="216" w:lineRule="exact"/>
        <w:rPr>
          <w:sz w:val="20"/>
          <w:szCs w:val="20"/>
          <w:color w:val="auto"/>
        </w:rPr>
      </w:pPr>
    </w:p>
    <w:p>
      <w:pPr>
        <w:ind w:left="120" w:firstLine="741"/>
        <w:spacing w:after="0" w:line="269" w:lineRule="auto"/>
        <w:tabs>
          <w:tab w:leader="none" w:pos="160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Existing Credit Agreement</w:t>
      </w:r>
      <w:r>
        <w:rPr>
          <w:rFonts w:ascii="Times New Roman" w:cs="Times New Roman" w:eastAsia="Times New Roman" w:hAnsi="Times New Roman"/>
          <w:sz w:val="20"/>
          <w:szCs w:val="20"/>
          <w:color w:val="auto"/>
        </w:rPr>
        <w:t>. Subject to the terms and conditions set forth herein and in reliance upon the representations and warranties set forth herein:</w:t>
      </w:r>
    </w:p>
    <w:p>
      <w:pPr>
        <w:spacing w:after="0" w:line="172" w:lineRule="exact"/>
        <w:rPr>
          <w:rFonts w:ascii="Times New Roman" w:cs="Times New Roman" w:eastAsia="Times New Roman" w:hAnsi="Times New Roman"/>
          <w:sz w:val="20"/>
          <w:szCs w:val="20"/>
          <w:color w:val="auto"/>
        </w:rPr>
      </w:pPr>
    </w:p>
    <w:p>
      <w:pPr>
        <w:ind w:left="120" w:firstLine="741"/>
        <w:spacing w:after="0" w:line="269" w:lineRule="auto"/>
        <w:tabs>
          <w:tab w:leader="none" w:pos="117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(other than the Exhibits and Schedules attached thereto) is hereby amended in its entirety to read in the form of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(as so amended,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20" w:right="240" w:firstLine="741"/>
        <w:spacing w:after="0" w:line="269" w:lineRule="auto"/>
        <w:tabs>
          <w:tab w:leader="none" w:pos="116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new </w:t>
      </w:r>
      <w:r>
        <w:rPr>
          <w:rFonts w:ascii="Times New Roman" w:cs="Times New Roman" w:eastAsia="Times New Roman" w:hAnsi="Times New Roman"/>
          <w:sz w:val="20"/>
          <w:szCs w:val="20"/>
          <w:u w:val="single" w:color="auto"/>
          <w:color w:val="auto"/>
        </w:rPr>
        <w:t>Schedule 2.01LC</w:t>
      </w:r>
      <w:r>
        <w:rPr>
          <w:rFonts w:ascii="Times New Roman" w:cs="Times New Roman" w:eastAsia="Times New Roman" w:hAnsi="Times New Roman"/>
          <w:sz w:val="20"/>
          <w:szCs w:val="20"/>
          <w:color w:val="auto"/>
        </w:rPr>
        <w:t xml:space="preserve"> (L/C Commitments) is hereby added to the Credit Agreement to read in the form thereof included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attached hereto.</w:t>
      </w:r>
    </w:p>
    <w:p>
      <w:pPr>
        <w:spacing w:after="0" w:line="159" w:lineRule="exact"/>
        <w:rPr>
          <w:rFonts w:ascii="Times New Roman" w:cs="Times New Roman" w:eastAsia="Times New Roman" w:hAnsi="Times New Roman"/>
          <w:sz w:val="20"/>
          <w:szCs w:val="20"/>
          <w:color w:val="auto"/>
        </w:rPr>
      </w:pPr>
    </w:p>
    <w:p>
      <w:pPr>
        <w:jc w:val="both"/>
        <w:ind w:left="120" w:firstLine="741"/>
        <w:spacing w:after="0" w:line="254" w:lineRule="auto"/>
        <w:tabs>
          <w:tab w:leader="none" w:pos="117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w:t>
      </w:r>
      <w:r>
        <w:rPr>
          <w:rFonts w:ascii="Times New Roman" w:cs="Times New Roman" w:eastAsia="Times New Roman" w:hAnsi="Times New Roman"/>
          <w:sz w:val="20"/>
          <w:szCs w:val="20"/>
          <w:u w:val="single" w:color="auto"/>
          <w:color w:val="auto"/>
        </w:rPr>
        <w:t>Schedules 2.07(a)</w:t>
      </w:r>
      <w:r>
        <w:rPr>
          <w:rFonts w:ascii="Times New Roman" w:cs="Times New Roman" w:eastAsia="Times New Roman" w:hAnsi="Times New Roman"/>
          <w:sz w:val="20"/>
          <w:szCs w:val="20"/>
          <w:color w:val="auto"/>
        </w:rPr>
        <w:t xml:space="preserve"> (Term Loan Facility Amortization Schedule) and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xml:space="preserve"> (Administrative Agent’s Office; Certain Addresses for Notices) attached to the Existing Credit Agreement is hereby amended in its entirety to read in the form thereof included as part of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 xml:space="preserve"> attachedhereto.</w:t>
      </w:r>
    </w:p>
    <w:p>
      <w:pPr>
        <w:spacing w:after="0" w:line="174" w:lineRule="exact"/>
        <w:rPr>
          <w:rFonts w:ascii="Times New Roman" w:cs="Times New Roman" w:eastAsia="Times New Roman" w:hAnsi="Times New Roman"/>
          <w:sz w:val="20"/>
          <w:szCs w:val="20"/>
          <w:color w:val="auto"/>
        </w:rPr>
      </w:pPr>
    </w:p>
    <w:p>
      <w:pPr>
        <w:jc w:val="both"/>
        <w:ind w:left="120" w:firstLine="741"/>
        <w:spacing w:after="0" w:line="254" w:lineRule="auto"/>
        <w:tabs>
          <w:tab w:leader="none" w:pos="117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w:t>
      </w:r>
      <w:r>
        <w:rPr>
          <w:rFonts w:ascii="Times New Roman" w:cs="Times New Roman" w:eastAsia="Times New Roman" w:hAnsi="Times New Roman"/>
          <w:sz w:val="20"/>
          <w:szCs w:val="20"/>
          <w:u w:val="single" w:color="auto"/>
          <w:color w:val="auto"/>
        </w:rPr>
        <w:t>Exhibits A</w:t>
      </w:r>
      <w:r>
        <w:rPr>
          <w:rFonts w:ascii="Times New Roman" w:cs="Times New Roman" w:eastAsia="Times New Roman" w:hAnsi="Times New Roman"/>
          <w:sz w:val="20"/>
          <w:szCs w:val="20"/>
          <w:color w:val="auto"/>
        </w:rPr>
        <w:t xml:space="preserve"> (Form of Loan Notice),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(Form of Compliance Certificate)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(Form of Notice of Loan Prepayment) attached to the Existing Credit Agreement is hereby amended in its entirety to read in the form thereof included as part of </w:t>
      </w:r>
      <w:r>
        <w:rPr>
          <w:rFonts w:ascii="Times New Roman" w:cs="Times New Roman" w:eastAsia="Times New Roman" w:hAnsi="Times New Roman"/>
          <w:sz w:val="20"/>
          <w:szCs w:val="20"/>
          <w:u w:val="single" w:color="auto"/>
          <w:color w:val="auto"/>
        </w:rPr>
        <w:t>Annex D</w:t>
      </w:r>
      <w:r>
        <w:rPr>
          <w:rFonts w:ascii="Times New Roman" w:cs="Times New Roman" w:eastAsia="Times New Roman" w:hAnsi="Times New Roman"/>
          <w:sz w:val="20"/>
          <w:szCs w:val="20"/>
          <w:color w:val="auto"/>
        </w:rPr>
        <w:t xml:space="preserve"> attachedhereto.</w:t>
      </w:r>
    </w:p>
    <w:p>
      <w:pPr>
        <w:spacing w:after="0" w:line="187" w:lineRule="exact"/>
        <w:rPr>
          <w:rFonts w:ascii="Times New Roman" w:cs="Times New Roman" w:eastAsia="Times New Roman" w:hAnsi="Times New Roman"/>
          <w:sz w:val="20"/>
          <w:szCs w:val="20"/>
          <w:color w:val="auto"/>
        </w:rPr>
      </w:pPr>
    </w:p>
    <w:p>
      <w:pPr>
        <w:jc w:val="both"/>
        <w:ind w:left="120" w:firstLine="741"/>
        <w:spacing w:after="0" w:line="254" w:lineRule="auto"/>
        <w:tabs>
          <w:tab w:leader="none" w:pos="117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acknowledges and agrees that immediately upon the effectiveness of this Amendment all outstanding Revolving Credit Loans denominated in Dollars and Term Loans shall be converted to Daily Simple SOFR Loans, with this </w:t>
      </w:r>
      <w:r>
        <w:rPr>
          <w:rFonts w:ascii="Times New Roman" w:cs="Times New Roman" w:eastAsia="Times New Roman" w:hAnsi="Times New Roman"/>
          <w:sz w:val="20"/>
          <w:szCs w:val="20"/>
          <w:u w:val="single" w:color="auto"/>
          <w:color w:val="auto"/>
        </w:rPr>
        <w:t>Section 1(e)</w:t>
      </w:r>
      <w:r>
        <w:rPr>
          <w:rFonts w:ascii="Times New Roman" w:cs="Times New Roman" w:eastAsia="Times New Roman" w:hAnsi="Times New Roman"/>
          <w:sz w:val="20"/>
          <w:szCs w:val="20"/>
          <w:color w:val="auto"/>
        </w:rPr>
        <w:t xml:space="preserve"> satisfying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 xml:space="preserve">requirement for the delivery of a Loan Notice as contemplated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of the Credit Agreement. As of the effective date of this Amendment, there are no outstanding Revolving Credit Loans denominated in Alternative Currencies.</w:t>
      </w:r>
    </w:p>
    <w:p>
      <w:pPr>
        <w:spacing w:after="0" w:line="17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The amendments to the Existing Credit Agreement and the above referenced Schedules and Exhibits to the Existing Credit Agreement are limited to the extent specifically set forth above and no other terms, covenants or provisions of the Loan Documents are intended to be effected hereby.</w:t>
      </w:r>
    </w:p>
    <w:p>
      <w:pPr>
        <w:spacing w:after="0" w:line="188"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and the amendments contemplated hereby is subject to the satisfaction of the following conditions precedent:</w:t>
      </w:r>
    </w:p>
    <w:p>
      <w:pPr>
        <w:spacing w:after="0" w:line="173" w:lineRule="exact"/>
        <w:rPr>
          <w:sz w:val="20"/>
          <w:szCs w:val="20"/>
          <w:color w:val="auto"/>
        </w:rPr>
      </w:pPr>
    </w:p>
    <w:p>
      <w:pPr>
        <w:ind w:left="1600" w:hanging="739"/>
        <w:spacing w:after="0"/>
        <w:tabs>
          <w:tab w:leader="none" w:pos="16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 shall have received the following:</w:t>
      </w:r>
    </w:p>
    <w:p>
      <w:pPr>
        <w:spacing w:after="0" w:line="202" w:lineRule="exact"/>
        <w:rPr>
          <w:rFonts w:ascii="Times New Roman" w:cs="Times New Roman" w:eastAsia="Times New Roman" w:hAnsi="Times New Roman"/>
          <w:sz w:val="20"/>
          <w:szCs w:val="20"/>
          <w:color w:val="auto"/>
        </w:rPr>
      </w:pPr>
    </w:p>
    <w:p>
      <w:pPr>
        <w:ind w:left="860" w:right="20" w:firstLine="750"/>
        <w:spacing w:after="0" w:line="269" w:lineRule="auto"/>
        <w:tabs>
          <w:tab w:leader="none" w:pos="234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Amendment, duly executed and delivered by the Company, the Subsidiary Guarantors, the Administrative Agent and all of the Lenders;</w:t>
      </w:r>
    </w:p>
    <w:p>
      <w:pPr>
        <w:spacing w:after="0" w:line="186" w:lineRule="exact"/>
        <w:rPr>
          <w:rFonts w:ascii="Times New Roman" w:cs="Times New Roman" w:eastAsia="Times New Roman" w:hAnsi="Times New Roman"/>
          <w:sz w:val="20"/>
          <w:szCs w:val="20"/>
          <w:color w:val="auto"/>
        </w:rPr>
      </w:pPr>
    </w:p>
    <w:p>
      <w:pPr>
        <w:ind w:left="860" w:right="20" w:firstLine="749"/>
        <w:spacing w:after="0" w:line="269" w:lineRule="auto"/>
        <w:tabs>
          <w:tab w:leader="none" w:pos="23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the letter agreement referenced in clause (b) of the definition of “Fee Letter”, duly executed by the Company and Bank of America;</w:t>
      </w:r>
    </w:p>
    <w:p>
      <w:pPr>
        <w:spacing w:after="0" w:line="172" w:lineRule="exact"/>
        <w:rPr>
          <w:rFonts w:ascii="Times New Roman" w:cs="Times New Roman" w:eastAsia="Times New Roman" w:hAnsi="Times New Roman"/>
          <w:sz w:val="20"/>
          <w:szCs w:val="20"/>
          <w:color w:val="auto"/>
        </w:rPr>
      </w:pPr>
    </w:p>
    <w:p>
      <w:pPr>
        <w:jc w:val="both"/>
        <w:ind w:left="860" w:firstLine="749"/>
        <w:spacing w:after="0" w:line="244" w:lineRule="auto"/>
        <w:tabs>
          <w:tab w:leader="none" w:pos="234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of each Loan Party certifying as to (A) copies of the Organization Documents of such Loan Party (or as to no change since last delivered to the Administrative Agent on June 11, 2019) and a good standing (or equivalent) certificate as of a recent date for such Loan Party from the relevant authority of its jurisdiction of incorporation (to the extent applicable), (B) copies of resolutions, written consents or other applicable action authorizing the transactions contemplated the Loan Documents (after giving effect to this Amendment) and (C) the identity, authority, signature and capacity of each Responsible Officer thereof authorized to act as a Responsible Officer in connection with the Loan Documents to which such Loan Party is a party;</w:t>
      </w:r>
    </w:p>
    <w:p>
      <w:pPr>
        <w:spacing w:after="0" w:line="212" w:lineRule="exact"/>
        <w:rPr>
          <w:rFonts w:ascii="Times New Roman" w:cs="Times New Roman" w:eastAsia="Times New Roman" w:hAnsi="Times New Roman"/>
          <w:sz w:val="20"/>
          <w:szCs w:val="20"/>
          <w:color w:val="auto"/>
        </w:rPr>
      </w:pPr>
    </w:p>
    <w:p>
      <w:pPr>
        <w:ind w:left="860" w:firstLine="749"/>
        <w:spacing w:after="0" w:line="269" w:lineRule="auto"/>
        <w:tabs>
          <w:tab w:leader="none" w:pos="23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 the Administrative Agent may reasonably request; and</w:t>
      </w:r>
    </w:p>
    <w:p>
      <w:pPr>
        <w:spacing w:after="0" w:line="172" w:lineRule="exact"/>
        <w:rPr>
          <w:rFonts w:ascii="Times New Roman" w:cs="Times New Roman" w:eastAsia="Times New Roman" w:hAnsi="Times New Roman"/>
          <w:sz w:val="20"/>
          <w:szCs w:val="20"/>
          <w:color w:val="auto"/>
        </w:rPr>
      </w:pPr>
    </w:p>
    <w:p>
      <w:pPr>
        <w:ind w:left="860" w:firstLine="749"/>
        <w:spacing w:after="0" w:line="269" w:lineRule="auto"/>
        <w:tabs>
          <w:tab w:leader="none" w:pos="23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searches of UCC filings as the Administrative Agent may require in the jurisdiction of incorporation or formation, as applicable, of each Loan Party.</w:t>
      </w:r>
    </w:p>
    <w:p>
      <w:pPr>
        <w:spacing w:after="0" w:line="159" w:lineRule="exact"/>
        <w:rPr>
          <w:rFonts w:ascii="Times New Roman" w:cs="Times New Roman" w:eastAsia="Times New Roman" w:hAnsi="Times New Roman"/>
          <w:sz w:val="20"/>
          <w:szCs w:val="20"/>
          <w:color w:val="auto"/>
        </w:rPr>
      </w:pPr>
    </w:p>
    <w:p>
      <w:pPr>
        <w:jc w:val="both"/>
        <w:ind w:left="120" w:firstLine="741"/>
        <w:spacing w:after="0" w:line="249" w:lineRule="auto"/>
        <w:tabs>
          <w:tab w:leader="none" w:pos="16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The Company shall have paid (i) all fees payable to the Arranger and the Lenders pursuant to that certain engagement letter dated as of November 18, 2021 (the “</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 between the Company and the Arranger and (ii) all reasonable and documented out-of-pocket fees, charges and disbursements of counsel to the Administrative Agent (directly to such counsel if requested by the Administrative Agent) to the extent invoiced at least two days prior to the datehereof.</w:t>
      </w:r>
    </w:p>
    <w:p>
      <w:pPr>
        <w:spacing w:after="0" w:line="193" w:lineRule="exact"/>
        <w:rPr>
          <w:rFonts w:ascii="Times New Roman" w:cs="Times New Roman" w:eastAsia="Times New Roman" w:hAnsi="Times New Roman"/>
          <w:sz w:val="20"/>
          <w:szCs w:val="20"/>
          <w:color w:val="auto"/>
        </w:rPr>
      </w:pPr>
    </w:p>
    <w:p>
      <w:pPr>
        <w:jc w:val="both"/>
        <w:ind w:left="120" w:right="20" w:firstLine="741"/>
        <w:spacing w:after="0" w:line="254" w:lineRule="auto"/>
        <w:tabs>
          <w:tab w:leader="none" w:pos="16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Administrative Agent shall have received evidence reasonably satisfactory to it that, concurrently with the closing, all accrued and unpaid interest and fees owing to the Lenders under the Existing Credit Agreement have been paid in full.</w:t>
      </w:r>
    </w:p>
    <w:p>
      <w:pPr>
        <w:spacing w:after="0" w:line="390" w:lineRule="exact"/>
        <w:rPr>
          <w:sz w:val="20"/>
          <w:szCs w:val="20"/>
          <w:color w:val="auto"/>
        </w:rPr>
      </w:pPr>
    </w:p>
    <w:p>
      <w:pPr>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 xml:space="preserve">Upon satisfaction of the conditions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the effectiveness of this Amendment, the Administrative Agent shall provide notice of such effectiveness to the Company and the Lenders.</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20" w:right="20" w:firstLine="741"/>
        <w:spacing w:after="0" w:line="269" w:lineRule="auto"/>
        <w:tabs>
          <w:tab w:leader="none" w:pos="16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the Company represents and warrants to the Administrative Agent and the Lenders as follows:</w:t>
      </w:r>
    </w:p>
    <w:p>
      <w:pPr>
        <w:spacing w:after="0" w:line="172" w:lineRule="exact"/>
        <w:rPr>
          <w:rFonts w:ascii="Times New Roman" w:cs="Times New Roman" w:eastAsia="Times New Roman" w:hAnsi="Times New Roman"/>
          <w:sz w:val="20"/>
          <w:szCs w:val="20"/>
          <w:color w:val="auto"/>
        </w:rPr>
      </w:pPr>
    </w:p>
    <w:p>
      <w:pPr>
        <w:jc w:val="both"/>
        <w:ind w:left="860" w:firstLine="750"/>
        <w:spacing w:after="0" w:line="245" w:lineRule="auto"/>
        <w:tabs>
          <w:tab w:leader="none" w:pos="234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the representations and warranties of the Company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other Loan Document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Amendment,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 of the Credit Agreement.</w:t>
      </w:r>
    </w:p>
    <w:p>
      <w:pPr>
        <w:spacing w:after="0" w:line="184" w:lineRule="exact"/>
        <w:rPr>
          <w:rFonts w:ascii="Times New Roman" w:cs="Times New Roman" w:eastAsia="Times New Roman" w:hAnsi="Times New Roman"/>
          <w:sz w:val="20"/>
          <w:szCs w:val="20"/>
          <w:color w:val="auto"/>
        </w:rPr>
      </w:pPr>
    </w:p>
    <w:p>
      <w:pPr>
        <w:ind w:left="860" w:right="20" w:firstLine="749"/>
        <w:spacing w:after="0" w:line="269" w:lineRule="auto"/>
        <w:tabs>
          <w:tab w:leader="none" w:pos="23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2020, there has been no event or circumstance, either individually or in the aggregate, that has had or could reasonably be expected to have a Material Adverse Effect.</w:t>
      </w:r>
    </w:p>
    <w:p>
      <w:pPr>
        <w:spacing w:after="0" w:line="172" w:lineRule="exact"/>
        <w:rPr>
          <w:rFonts w:ascii="Times New Roman" w:cs="Times New Roman" w:eastAsia="Times New Roman" w:hAnsi="Times New Roman"/>
          <w:sz w:val="20"/>
          <w:szCs w:val="20"/>
          <w:color w:val="auto"/>
        </w:rPr>
      </w:pPr>
    </w:p>
    <w:p>
      <w:pPr>
        <w:ind w:left="2340" w:hanging="730"/>
        <w:spacing w:after="0"/>
        <w:tabs>
          <w:tab w:leader="none" w:pos="23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will exist after giving effect to this</w:t>
      </w:r>
    </w:p>
    <w:p>
      <w:pPr>
        <w:spacing w:after="0" w:line="21"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w:t>
      </w:r>
    </w:p>
    <w:p>
      <w:pPr>
        <w:spacing w:after="0" w:line="193" w:lineRule="exact"/>
        <w:rPr>
          <w:rFonts w:ascii="Times New Roman" w:cs="Times New Roman" w:eastAsia="Times New Roman" w:hAnsi="Times New Roman"/>
          <w:sz w:val="20"/>
          <w:szCs w:val="20"/>
          <w:color w:val="auto"/>
        </w:rPr>
      </w:pPr>
    </w:p>
    <w:p>
      <w:pPr>
        <w:jc w:val="both"/>
        <w:ind w:left="120" w:firstLine="741"/>
        <w:spacing w:after="0" w:line="246" w:lineRule="auto"/>
        <w:tabs>
          <w:tab w:leader="none" w:pos="160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each of the Company and each Subsidiary Guarantor represents and warrants to the Administrative Agent and the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98" w:lineRule="exact"/>
        <w:rPr>
          <w:sz w:val="20"/>
          <w:szCs w:val="20"/>
          <w:color w:val="auto"/>
        </w:rPr>
      </w:pPr>
    </w:p>
    <w:p>
      <w:pPr>
        <w:ind w:left="860"/>
        <w:spacing w:after="0"/>
        <w:tabs>
          <w:tab w:leader="none" w:pos="20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20" w:firstLine="741"/>
        <w:spacing w:after="0" w:line="245" w:lineRule="auto"/>
        <w:tabs>
          <w:tab w:leader="none" w:pos="11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and Confirmation of Loan Documents</w:t>
      </w:r>
      <w:r>
        <w:rPr>
          <w:rFonts w:ascii="Times New Roman" w:cs="Times New Roman" w:eastAsia="Times New Roman" w:hAnsi="Times New Roman"/>
          <w:sz w:val="20"/>
          <w:szCs w:val="20"/>
          <w:color w:val="auto"/>
        </w:rPr>
        <w:t>. Each of the Company and each Subsidiary Guarantor hereby consents, acknowledges and agrees to the amendments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contemplated hereby.</w:t>
      </w:r>
    </w:p>
    <w:p>
      <w:pPr>
        <w:spacing w:after="0" w:line="197" w:lineRule="exact"/>
        <w:rPr>
          <w:rFonts w:ascii="Times New Roman" w:cs="Times New Roman" w:eastAsia="Times New Roman" w:hAnsi="Times New Roman"/>
          <w:sz w:val="20"/>
          <w:szCs w:val="20"/>
          <w:color w:val="auto"/>
        </w:rPr>
      </w:pPr>
    </w:p>
    <w:p>
      <w:pPr>
        <w:jc w:val="both"/>
        <w:ind w:left="120" w:firstLine="741"/>
        <w:spacing w:after="0" w:line="249" w:lineRule="auto"/>
        <w:tabs>
          <w:tab w:leader="none" w:pos="11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and documented fees and out-of-pocket expenses of counsel for the Administrative Agent, in each case, as set forth in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color w:val="auto"/>
        </w:rPr>
        <w:t xml:space="preserve"> of the Credit Agreement.</w:t>
      </w:r>
    </w:p>
    <w:p>
      <w:pPr>
        <w:spacing w:after="0" w:line="179" w:lineRule="exact"/>
        <w:rPr>
          <w:rFonts w:ascii="Times New Roman" w:cs="Times New Roman" w:eastAsia="Times New Roman" w:hAnsi="Times New Roman"/>
          <w:sz w:val="20"/>
          <w:szCs w:val="20"/>
          <w:color w:val="auto"/>
        </w:rPr>
      </w:pPr>
    </w:p>
    <w:p>
      <w:pPr>
        <w:ind w:left="120" w:firstLine="741"/>
        <w:spacing w:after="0" w:line="269" w:lineRule="auto"/>
        <w:tabs>
          <w:tab w:leader="none" w:pos="11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220" w:right="20" w:firstLine="746"/>
        <w:spacing w:after="0" w:line="254"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Waiver of Jury Trial; Etc</w:t>
      </w:r>
      <w:r>
        <w:rPr>
          <w:rFonts w:ascii="Times New Roman" w:cs="Times New Roman" w:eastAsia="Times New Roman" w:hAnsi="Times New Roman"/>
          <w:sz w:val="20"/>
          <w:szCs w:val="20"/>
          <w:color w:val="auto"/>
        </w:rPr>
        <w:t xml:space="preserve">. This Amendment shall be governed by and construed in accordance with the laws of the State 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74" w:lineRule="exact"/>
        <w:rPr>
          <w:rFonts w:ascii="Times New Roman" w:cs="Times New Roman" w:eastAsia="Times New Roman" w:hAnsi="Times New Roman"/>
          <w:sz w:val="20"/>
          <w:szCs w:val="20"/>
          <w:color w:val="auto"/>
        </w:rPr>
      </w:pPr>
    </w:p>
    <w:p>
      <w:pPr>
        <w:jc w:val="both"/>
        <w:ind w:left="220" w:firstLine="746"/>
        <w:spacing w:after="0" w:line="249"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93" w:lineRule="exact"/>
        <w:rPr>
          <w:rFonts w:ascii="Times New Roman" w:cs="Times New Roman" w:eastAsia="Times New Roman" w:hAnsi="Times New Roman"/>
          <w:sz w:val="20"/>
          <w:szCs w:val="20"/>
          <w:color w:val="auto"/>
        </w:rPr>
      </w:pPr>
    </w:p>
    <w:p>
      <w:pPr>
        <w:jc w:val="both"/>
        <w:ind w:left="220" w:firstLine="746"/>
        <w:spacing w:after="0" w:line="243"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Engagement Letter and the other Loan Documents (collectively,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189" w:lineRule="exact"/>
        <w:rPr>
          <w:rFonts w:ascii="Times New Roman" w:cs="Times New Roman" w:eastAsia="Times New Roman" w:hAnsi="Times New Roman"/>
          <w:sz w:val="20"/>
          <w:szCs w:val="20"/>
          <w:color w:val="auto"/>
        </w:rPr>
      </w:pPr>
    </w:p>
    <w:p>
      <w:pPr>
        <w:ind w:left="220" w:right="20" w:firstLine="745"/>
        <w:spacing w:after="0" w:line="269"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72" w:lineRule="exact"/>
        <w:rPr>
          <w:rFonts w:ascii="Times New Roman" w:cs="Times New Roman" w:eastAsia="Times New Roman" w:hAnsi="Times New Roman"/>
          <w:sz w:val="20"/>
          <w:szCs w:val="20"/>
          <w:color w:val="auto"/>
        </w:rPr>
      </w:pPr>
    </w:p>
    <w:p>
      <w:pPr>
        <w:ind w:left="220" w:firstLine="746"/>
        <w:spacing w:after="0" w:line="269"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Amendment shall be binding upon and inure to the benefit of the parties hereto and their respective successors and assigns (subject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7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Pages Follow]</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EX-10.25</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parties have caused this Amendment to be executed as of the date first written above.</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60" w:lineRule="exact"/>
        <w:rPr>
          <w:sz w:val="20"/>
          <w:szCs w:val="20"/>
          <w:color w:val="auto"/>
        </w:rPr>
      </w:pPr>
    </w:p>
    <w:tbl>
      <w:tblPr>
        <w:tblLayout w:type="fixed"/>
        <w:tblInd w:w="5660" w:type="dxa"/>
        <w:tblCellMar>
          <w:top w:w="0" w:type="dxa"/>
          <w:left w:w="0" w:type="dxa"/>
          <w:bottom w:w="0" w:type="dxa"/>
          <w:right w:w="0" w:type="dxa"/>
        </w:tblCellMar>
      </w:tblPr>
      <w:tr>
        <w:trPr>
          <w:trHeight w:val="25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Matthew Eckl</w:t>
            </w:r>
          </w:p>
        </w:tc>
      </w:tr>
      <w:tr>
        <w:trPr>
          <w:trHeight w:val="220"/>
        </w:trPr>
        <w:tc>
          <w:tcPr>
            <w:tcW w:w="7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Matthew Eckl</w:t>
            </w:r>
          </w:p>
        </w:tc>
      </w:t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AARDING THERMAL ACOUSTICS USA INC.</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CECO ENVIRONMENTAL IP INC.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CECO GROUP, INC.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CECO INDUSTRIAL SOLUTIONS, INC.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CECO MEXICO HOLDINGS LLC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EMTROL LLC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FKI, LLC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H.M. WHITE, INC.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MET-PRO TECHNOLOGIES LLC</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PEERLESS MFG. CO.</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THE KIRK &amp; BLUM MANUFACTURING COMPANY</w:t>
      </w:r>
    </w:p>
    <w:p>
      <w:pPr>
        <w:spacing w:after="0" w:line="200" w:lineRule="exact"/>
        <w:rPr>
          <w:sz w:val="20"/>
          <w:szCs w:val="20"/>
          <w:color w:val="auto"/>
        </w:rPr>
      </w:pPr>
    </w:p>
    <w:p>
      <w:pPr>
        <w:spacing w:after="0" w:line="284" w:lineRule="exact"/>
        <w:rPr>
          <w:sz w:val="20"/>
          <w:szCs w:val="20"/>
          <w:color w:val="auto"/>
        </w:rPr>
      </w:pPr>
    </w:p>
    <w:tbl>
      <w:tblPr>
        <w:tblLayout w:type="fixed"/>
        <w:tblInd w:w="5660" w:type="dxa"/>
        <w:tblCellMar>
          <w:top w:w="0" w:type="dxa"/>
          <w:left w:w="0" w:type="dxa"/>
          <w:bottom w:w="0" w:type="dxa"/>
          <w:right w:w="0" w:type="dxa"/>
        </w:tblCellMar>
      </w:tblPr>
      <w:tr>
        <w:trPr>
          <w:trHeight w:val="25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Matthew Eckl</w:t>
            </w:r>
          </w:p>
        </w:tc>
      </w:tr>
      <w:tr>
        <w:trPr>
          <w:trHeight w:val="220"/>
        </w:trPr>
        <w:tc>
          <w:tcPr>
            <w:tcW w:w="7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Matthew Eckl</w:t>
            </w:r>
          </w:p>
        </w:tc>
      </w:t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 and Treasurer</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EX-10.25</w:t>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88"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Kyle D Harding</w:t>
            </w: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Kyle D Harding</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EX-10.25</w:t>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25400</wp:posOffset>
            </wp:positionV>
            <wp:extent cx="3549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w:t>
      </w:r>
    </w:p>
    <w:p>
      <w:pPr>
        <w:spacing w:after="0" w:line="287"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Gregg Bush</w:t>
            </w:r>
          </w:p>
        </w:tc>
      </w:tr>
      <w:tr>
        <w:trPr>
          <w:trHeight w:val="26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Gregg Bush</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EX-10.25</w:t>
      </w:r>
    </w:p>
    <w:p>
      <w:pPr>
        <w:spacing w:after="0" w:line="3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17"/>
          <w:szCs w:val="17"/>
          <w:color w:val="auto"/>
        </w:rPr>
        <w:t>, as a Lender</w:t>
      </w:r>
    </w:p>
    <w:p>
      <w:pPr>
        <w:spacing w:after="0" w:line="200" w:lineRule="exact"/>
        <w:rPr>
          <w:sz w:val="20"/>
          <w:szCs w:val="20"/>
          <w:color w:val="auto"/>
        </w:rPr>
      </w:pPr>
    </w:p>
    <w:p>
      <w:pPr>
        <w:spacing w:after="0" w:line="317" w:lineRule="exact"/>
        <w:rPr>
          <w:sz w:val="20"/>
          <w:szCs w:val="20"/>
          <w:color w:val="auto"/>
        </w:rPr>
      </w:pPr>
    </w:p>
    <w:p>
      <w:pPr>
        <w:ind w:left="564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Cynthia Matje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31115</wp:posOffset>
            </wp:positionV>
            <wp:extent cx="29743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4" w:lineRule="exact"/>
        <w:rPr>
          <w:sz w:val="20"/>
          <w:szCs w:val="20"/>
          <w:color w:val="auto"/>
        </w:rPr>
      </w:pPr>
    </w:p>
    <w:p>
      <w:pPr>
        <w:ind w:left="564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20"/>
          <w:szCs w:val="20"/>
          <w:color w:val="auto"/>
        </w:rPr>
        <w:t>Cynthia Matje</w:t>
      </w:r>
    </w:p>
    <w:p>
      <w:pPr>
        <w:spacing w:after="0" w:line="28" w:lineRule="exact"/>
        <w:rPr>
          <w:sz w:val="20"/>
          <w:szCs w:val="20"/>
          <w:color w:val="auto"/>
        </w:rPr>
      </w:pPr>
    </w:p>
    <w:p>
      <w:pPr>
        <w:ind w:left="56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AMENDMENT NO. 2 TO SECOND AMENDED AND RESTATED CREDIT AGREEMENT</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EX-10.25</w:t>
      </w: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317"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Torres</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John Torres</w:t>
            </w: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w:t>
            </w: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EX-10.25</w:t>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FIFTH THIRD BANK, NATIONAL</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ASSOCIATION</w:t>
      </w:r>
      <w:r>
        <w:rPr>
          <w:rFonts w:ascii="Times New Roman" w:cs="Times New Roman" w:eastAsia="Times New Roman" w:hAnsi="Times New Roman"/>
          <w:sz w:val="20"/>
          <w:szCs w:val="20"/>
          <w:color w:val="auto"/>
        </w:rPr>
        <w:t>, as a Lender</w:t>
      </w: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R. Gray</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John R. Gray</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EX-10.25</w:t>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BMO HARRIS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76"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James Stephens</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James Stephens</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EX-10.25</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Lender</w:t>
      </w:r>
    </w:p>
    <w:p>
      <w:pPr>
        <w:spacing w:after="0" w:line="200" w:lineRule="exact"/>
        <w:rPr>
          <w:sz w:val="20"/>
          <w:szCs w:val="20"/>
          <w:color w:val="auto"/>
        </w:rPr>
      </w:pPr>
    </w:p>
    <w:p>
      <w:pPr>
        <w:spacing w:after="0" w:line="284"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Mark Haddad</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Mark Haddad</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EX-10.25</w:t>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HSBC BANK USA, NATIONAL</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57" w:lineRule="exact"/>
        <w:rPr>
          <w:sz w:val="20"/>
          <w:szCs w:val="20"/>
          <w:color w:val="auto"/>
        </w:rPr>
      </w:pPr>
    </w:p>
    <w:tbl>
      <w:tblPr>
        <w:tblLayout w:type="fixed"/>
        <w:tblInd w:w="5640" w:type="dxa"/>
        <w:tblCellMar>
          <w:top w:w="0" w:type="dxa"/>
          <w:left w:w="0" w:type="dxa"/>
          <w:bottom w:w="0" w:type="dxa"/>
          <w:right w:w="0" w:type="dxa"/>
        </w:tblCellMar>
      </w:tblPr>
      <w:tr>
        <w:trPr>
          <w:trHeight w:val="25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Cynthia Nwaubani</w:t>
            </w:r>
          </w:p>
        </w:tc>
      </w:tr>
      <w:tr>
        <w:trPr>
          <w:trHeight w:val="220"/>
        </w:trPr>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Cynthia Nwaubani</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EX-10.25</w:t>
      </w:r>
    </w:p>
    <w:p>
      <w:pPr>
        <w:spacing w:after="0" w:line="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i w:val="1"/>
          <w:iCs w:val="1"/>
          <w:color w:val="auto"/>
        </w:rPr>
        <w:t>[See attached.]</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EX-10.25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Published Deal CUSIP Number: 12514DAJ4 Published</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Revolving Credit Facility CUSIPNumber: 12514DAK1 Published Term Loan Facility</w:t>
      </w:r>
    </w:p>
    <w:p>
      <w:pPr>
        <w:jc w:val="right"/>
        <w:spacing w:after="0"/>
        <w:rPr>
          <w:sz w:val="20"/>
          <w:szCs w:val="20"/>
          <w:color w:val="auto"/>
        </w:rPr>
      </w:pPr>
      <w:r>
        <w:rPr>
          <w:rFonts w:ascii="Times New Roman" w:cs="Times New Roman" w:eastAsia="Times New Roman" w:hAnsi="Times New Roman"/>
          <w:sz w:val="20"/>
          <w:szCs w:val="20"/>
          <w:color w:val="auto"/>
        </w:rPr>
        <w:t>CUSIPNumber: 12514DAL9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Dated as of June 11, 2019 among</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CECO ENVIRONMENTAL CORP.</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and</w:t>
      </w:r>
    </w:p>
    <w:p>
      <w:pPr>
        <w:jc w:val="center"/>
        <w:ind w:right="-179"/>
        <w:spacing w:after="0"/>
        <w:rPr>
          <w:sz w:val="20"/>
          <w:szCs w:val="20"/>
          <w:color w:val="auto"/>
        </w:rPr>
      </w:pPr>
      <w:r>
        <w:rPr>
          <w:rFonts w:ascii="Times New Roman" w:cs="Times New Roman" w:eastAsia="Times New Roman" w:hAnsi="Times New Roman"/>
          <w:sz w:val="20"/>
          <w:szCs w:val="20"/>
          <w:color w:val="auto"/>
        </w:rPr>
        <w:t>CERTAIN SUBSIDIARIES,</w:t>
      </w:r>
    </w:p>
    <w:p>
      <w:pPr>
        <w:jc w:val="center"/>
        <w:ind w:right="-199"/>
        <w:spacing w:after="0"/>
        <w:rPr>
          <w:sz w:val="20"/>
          <w:szCs w:val="20"/>
          <w:color w:val="auto"/>
        </w:rPr>
      </w:pPr>
      <w:r>
        <w:rPr>
          <w:rFonts w:ascii="Times New Roman" w:cs="Times New Roman" w:eastAsia="Times New Roman" w:hAnsi="Times New Roman"/>
          <w:sz w:val="20"/>
          <w:szCs w:val="20"/>
          <w:color w:val="auto"/>
        </w:rPr>
        <w:t>as Borrowers,</w:t>
      </w:r>
    </w:p>
    <w:p>
      <w:pPr>
        <w:jc w:val="center"/>
        <w:ind w:right="-139"/>
        <w:spacing w:after="0"/>
        <w:rPr>
          <w:sz w:val="20"/>
          <w:szCs w:val="20"/>
          <w:color w:val="auto"/>
        </w:rPr>
      </w:pPr>
      <w:r>
        <w:rPr>
          <w:rFonts w:ascii="Times New Roman" w:cs="Times New Roman" w:eastAsia="Times New Roman" w:hAnsi="Times New Roman"/>
          <w:sz w:val="20"/>
          <w:szCs w:val="20"/>
          <w:color w:val="auto"/>
        </w:rPr>
        <w:t>THE LENDERS PARTY HERETO, BANK OF AMERICA,</w:t>
      </w:r>
    </w:p>
    <w:p>
      <w:pPr>
        <w:jc w:val="center"/>
        <w:ind w:right="-179"/>
        <w:spacing w:after="0"/>
        <w:rPr>
          <w:sz w:val="20"/>
          <w:szCs w:val="20"/>
          <w:color w:val="auto"/>
        </w:rPr>
      </w:pPr>
      <w:r>
        <w:rPr>
          <w:rFonts w:ascii="Times New Roman" w:cs="Times New Roman" w:eastAsia="Times New Roman" w:hAnsi="Times New Roman"/>
          <w:sz w:val="20"/>
          <w:szCs w:val="20"/>
          <w:color w:val="auto"/>
        </w:rPr>
        <w:t>N.A.,</w:t>
      </w:r>
    </w:p>
    <w:p>
      <w:pPr>
        <w:jc w:val="center"/>
        <w:ind w:right="-179"/>
        <w:spacing w:after="0"/>
        <w:rPr>
          <w:sz w:val="20"/>
          <w:szCs w:val="20"/>
          <w:color w:val="auto"/>
        </w:rPr>
      </w:pPr>
      <w:r>
        <w:rPr>
          <w:rFonts w:ascii="Times New Roman" w:cs="Times New Roman" w:eastAsia="Times New Roman" w:hAnsi="Times New Roman"/>
          <w:sz w:val="20"/>
          <w:szCs w:val="20"/>
          <w:color w:val="auto"/>
        </w:rPr>
        <w:t>as Administrative Agent, Swing Line Lender and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an L/C Issuer,</w:t>
      </w:r>
    </w:p>
    <w:p>
      <w:pPr>
        <w:spacing w:after="0" w:line="21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and CITIBANK, N.A.,</w:t>
      </w:r>
    </w:p>
    <w:p>
      <w:pPr>
        <w:ind w:left="456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as Documentation Agent, and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2"/>
                <w:szCs w:val="22"/>
                <w:color w:val="auto"/>
              </w:rPr>
            </w:pPr>
          </w:p>
        </w:tc>
        <w:tc>
          <w:tcPr>
            <w:tcW w:w="9320" w:type="dxa"/>
            <w:vAlign w:val="bottom"/>
          </w:tcPr>
          <w:p>
            <w:pPr>
              <w:ind w:left="3800"/>
              <w:spacing w:after="0"/>
              <w:rPr>
                <w:sz w:val="20"/>
                <w:szCs w:val="20"/>
                <w:color w:val="auto"/>
              </w:rPr>
            </w:pPr>
            <w:r>
              <w:rPr>
                <w:rFonts w:ascii="Times New Roman" w:cs="Times New Roman" w:eastAsia="Times New Roman" w:hAnsi="Times New Roman"/>
                <w:sz w:val="20"/>
                <w:szCs w:val="20"/>
                <w:color w:val="auto"/>
              </w:rPr>
              <w:t>TABLE OF CONTENTS</w:t>
            </w:r>
          </w:p>
        </w:tc>
        <w:tc>
          <w:tcPr>
            <w:tcW w:w="1120" w:type="dxa"/>
            <w:vAlign w:val="bottom"/>
          </w:tcPr>
          <w:p>
            <w:pPr>
              <w:spacing w:after="0"/>
              <w:rPr>
                <w:sz w:val="22"/>
                <w:szCs w:val="22"/>
                <w:color w:val="auto"/>
              </w:rPr>
            </w:pPr>
          </w:p>
        </w:tc>
      </w:tr>
      <w:tr>
        <w:trPr>
          <w:trHeight w:val="438"/>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Section</w:t>
            </w:r>
          </w:p>
        </w:tc>
        <w:tc>
          <w:tcPr>
            <w:tcW w:w="9320" w:type="dxa"/>
            <w:vAlign w:val="bottom"/>
          </w:tcPr>
          <w:p>
            <w:pPr>
              <w:spacing w:after="0"/>
              <w:rPr>
                <w:sz w:val="24"/>
                <w:szCs w:val="24"/>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00" w:type="dxa"/>
            <w:vAlign w:val="bottom"/>
          </w:tcPr>
          <w:p>
            <w:pPr>
              <w:spacing w:after="0"/>
              <w:rPr>
                <w:sz w:val="18"/>
                <w:szCs w:val="18"/>
                <w:color w:val="auto"/>
              </w:rPr>
            </w:pPr>
          </w:p>
        </w:tc>
        <w:tc>
          <w:tcPr>
            <w:tcW w:w="9320" w:type="dxa"/>
            <w:vAlign w:val="bottom"/>
          </w:tcPr>
          <w:p>
            <w:pPr>
              <w:jc w:val="center"/>
              <w:ind w:left="122"/>
              <w:spacing w:after="0"/>
              <w:rPr>
                <w:sz w:val="20"/>
                <w:szCs w:val="20"/>
                <w:color w:val="auto"/>
              </w:rPr>
            </w:pPr>
            <w:r>
              <w:rPr>
                <w:rFonts w:ascii="Times New Roman" w:cs="Times New Roman" w:eastAsia="Times New Roman" w:hAnsi="Times New Roman"/>
                <w:sz w:val="18"/>
                <w:szCs w:val="18"/>
                <w:color w:val="auto"/>
                <w:w w:val="98"/>
              </w:rPr>
              <w:t>ARTICLE I.</w:t>
            </w:r>
          </w:p>
        </w:tc>
        <w:tc>
          <w:tcPr>
            <w:tcW w:w="1120" w:type="dxa"/>
            <w:vAlign w:val="bottom"/>
          </w:tcPr>
          <w:p>
            <w:pPr>
              <w:spacing w:after="0"/>
              <w:rPr>
                <w:sz w:val="18"/>
                <w:szCs w:val="18"/>
                <w:color w:val="auto"/>
              </w:rPr>
            </w:pPr>
          </w:p>
        </w:tc>
      </w:tr>
      <w:tr>
        <w:trPr>
          <w:trHeight w:val="220"/>
        </w:trPr>
        <w:tc>
          <w:tcPr>
            <w:tcW w:w="800" w:type="dxa"/>
            <w:vAlign w:val="bottom"/>
          </w:tcPr>
          <w:p>
            <w:pPr>
              <w:spacing w:after="0"/>
              <w:rPr>
                <w:sz w:val="19"/>
                <w:szCs w:val="19"/>
                <w:color w:val="auto"/>
              </w:rPr>
            </w:pPr>
          </w:p>
        </w:tc>
        <w:tc>
          <w:tcPr>
            <w:tcW w:w="9320" w:type="dxa"/>
            <w:vAlign w:val="bottom"/>
          </w:tcPr>
          <w:p>
            <w:pPr>
              <w:jc w:val="center"/>
              <w:ind w:left="102"/>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120" w:type="dxa"/>
            <w:vAlign w:val="bottom"/>
          </w:tcPr>
          <w:p>
            <w:pPr>
              <w:spacing w:after="0"/>
              <w:rPr>
                <w:sz w:val="19"/>
                <w:szCs w:val="19"/>
                <w:color w:val="auto"/>
              </w:rPr>
            </w:pP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Defined Terms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Accounting Terms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Rounding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Times of Day</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Letter of Credit Amounts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Adjustments for Specified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Alternative Currencies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of Currency</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4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Rates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800" w:type="dxa"/>
            <w:vAlign w:val="bottom"/>
          </w:tcPr>
          <w:p>
            <w:pPr>
              <w:spacing w:after="0"/>
              <w:rPr>
                <w:sz w:val="19"/>
                <w:szCs w:val="19"/>
                <w:color w:val="auto"/>
              </w:rPr>
            </w:pPr>
          </w:p>
        </w:tc>
        <w:tc>
          <w:tcPr>
            <w:tcW w:w="9320" w:type="dxa"/>
            <w:vAlign w:val="bottom"/>
          </w:tcPr>
          <w:p>
            <w:pPr>
              <w:jc w:val="center"/>
              <w:ind w:left="102"/>
              <w:spacing w:after="0"/>
              <w:rPr>
                <w:sz w:val="20"/>
                <w:szCs w:val="20"/>
                <w:color w:val="auto"/>
              </w:rPr>
            </w:pPr>
            <w:r>
              <w:rPr>
                <w:rFonts w:ascii="Times New Roman" w:cs="Times New Roman" w:eastAsia="Times New Roman" w:hAnsi="Times New Roman"/>
                <w:sz w:val="18"/>
                <w:szCs w:val="18"/>
                <w:color w:val="auto"/>
                <w:w w:val="98"/>
              </w:rPr>
              <w:t>ARTICLE II.</w:t>
            </w:r>
          </w:p>
        </w:tc>
        <w:tc>
          <w:tcPr>
            <w:tcW w:w="1120" w:type="dxa"/>
            <w:vAlign w:val="bottom"/>
          </w:tcPr>
          <w:p>
            <w:pPr>
              <w:spacing w:after="0"/>
              <w:rPr>
                <w:sz w:val="19"/>
                <w:szCs w:val="19"/>
                <w:color w:val="auto"/>
              </w:rPr>
            </w:pPr>
          </w:p>
        </w:tc>
      </w:tr>
      <w:tr>
        <w:trPr>
          <w:trHeight w:val="225"/>
        </w:trPr>
        <w:tc>
          <w:tcPr>
            <w:tcW w:w="800" w:type="dxa"/>
            <w:vAlign w:val="bottom"/>
          </w:tcPr>
          <w:p>
            <w:pPr>
              <w:spacing w:after="0"/>
              <w:rPr>
                <w:sz w:val="19"/>
                <w:szCs w:val="19"/>
                <w:color w:val="auto"/>
              </w:rPr>
            </w:pPr>
          </w:p>
        </w:tc>
        <w:tc>
          <w:tcPr>
            <w:tcW w:w="9320" w:type="dxa"/>
            <w:vAlign w:val="bottom"/>
          </w:tcPr>
          <w:p>
            <w:pPr>
              <w:jc w:val="center"/>
              <w:ind w:left="102"/>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1120" w:type="dxa"/>
            <w:vAlign w:val="bottom"/>
          </w:tcPr>
          <w:p>
            <w:pPr>
              <w:spacing w:after="0"/>
              <w:rPr>
                <w:sz w:val="19"/>
                <w:szCs w:val="19"/>
                <w:color w:val="auto"/>
              </w:rPr>
            </w:pP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Loans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Letters of Credit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Swing Line Loans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 or Reduction of Revolving Credit Commitments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Loans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Computation of Interest and Fees; Retroactive Adjustments of Applicable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Evidence of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2.13</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2.14</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Designated Borrowers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Increase Option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2.16</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2.17</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Defaulting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2.18</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Designation of Unrestricted and Restricted Subsidiaries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4"/>
        </w:trPr>
        <w:tc>
          <w:tcPr>
            <w:tcW w:w="800" w:type="dxa"/>
            <w:vAlign w:val="bottom"/>
          </w:tcPr>
          <w:p>
            <w:pPr>
              <w:spacing w:after="0"/>
              <w:rPr>
                <w:sz w:val="20"/>
                <w:szCs w:val="20"/>
                <w:color w:val="auto"/>
              </w:rPr>
            </w:pPr>
          </w:p>
        </w:tc>
        <w:tc>
          <w:tcPr>
            <w:tcW w:w="9320" w:type="dxa"/>
            <w:vAlign w:val="bottom"/>
          </w:tcPr>
          <w:p>
            <w:pPr>
              <w:jc w:val="center"/>
              <w:ind w:left="122"/>
              <w:spacing w:after="0"/>
              <w:rPr>
                <w:sz w:val="20"/>
                <w:szCs w:val="20"/>
                <w:color w:val="auto"/>
              </w:rPr>
            </w:pPr>
            <w:r>
              <w:rPr>
                <w:rFonts w:ascii="Times New Roman" w:cs="Times New Roman" w:eastAsia="Times New Roman" w:hAnsi="Times New Roman"/>
                <w:sz w:val="18"/>
                <w:szCs w:val="18"/>
                <w:color w:val="auto"/>
                <w:w w:val="99"/>
              </w:rPr>
              <w:t>ARTICLE III.</w:t>
            </w:r>
          </w:p>
        </w:tc>
        <w:tc>
          <w:tcPr>
            <w:tcW w:w="1120" w:type="dxa"/>
            <w:vAlign w:val="bottom"/>
          </w:tcPr>
          <w:p>
            <w:pPr>
              <w:spacing w:after="0"/>
              <w:rPr>
                <w:sz w:val="20"/>
                <w:szCs w:val="20"/>
                <w:color w:val="auto"/>
              </w:rPr>
            </w:pPr>
          </w:p>
        </w:tc>
      </w:tr>
      <w:tr>
        <w:trPr>
          <w:trHeight w:val="342"/>
        </w:trPr>
        <w:tc>
          <w:tcPr>
            <w:tcW w:w="800" w:type="dxa"/>
            <w:vAlign w:val="bottom"/>
          </w:tcPr>
          <w:p>
            <w:pPr>
              <w:spacing w:after="0"/>
              <w:rPr>
                <w:sz w:val="24"/>
                <w:szCs w:val="24"/>
                <w:color w:val="auto"/>
              </w:rPr>
            </w:pPr>
          </w:p>
        </w:tc>
        <w:tc>
          <w:tcPr>
            <w:tcW w:w="9320" w:type="dxa"/>
            <w:vAlign w:val="bottom"/>
          </w:tcPr>
          <w:p>
            <w:pPr>
              <w:jc w:val="center"/>
              <w:ind w:left="122"/>
              <w:spacing w:after="0"/>
              <w:rPr>
                <w:sz w:val="20"/>
                <w:szCs w:val="20"/>
                <w:color w:val="auto"/>
              </w:rPr>
            </w:pPr>
            <w:r>
              <w:rPr>
                <w:rFonts w:ascii="Times New Roman" w:cs="Times New Roman" w:eastAsia="Times New Roman" w:hAnsi="Times New Roman"/>
                <w:sz w:val="18"/>
                <w:szCs w:val="18"/>
                <w:color w:val="auto"/>
                <w:w w:val="99"/>
              </w:rPr>
              <w:t>TAXES, YIELD PROTECTION AND ILLEGALITY</w:t>
            </w:r>
          </w:p>
        </w:tc>
        <w:tc>
          <w:tcPr>
            <w:tcW w:w="1120" w:type="dxa"/>
            <w:vAlign w:val="bottom"/>
          </w:tcPr>
          <w:p>
            <w:pPr>
              <w:spacing w:after="0"/>
              <w:rPr>
                <w:sz w:val="24"/>
                <w:szCs w:val="24"/>
                <w:color w:val="auto"/>
              </w:rPr>
            </w:pP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Illegality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Increased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Compensation for Losses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4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9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Survival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EX-10.25</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IV.</w:t>
      </w:r>
    </w:p>
    <w:p>
      <w:pPr>
        <w:jc w:val="center"/>
        <w:ind w:right="-79"/>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Conditions of Initial Credit Extension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565"/>
        </w:trPr>
        <w:tc>
          <w:tcPr>
            <w:tcW w:w="440" w:type="dxa"/>
            <w:vAlign w:val="bottom"/>
          </w:tcPr>
          <w:p>
            <w:pPr>
              <w:spacing w:after="0"/>
              <w:rPr>
                <w:sz w:val="24"/>
                <w:szCs w:val="24"/>
                <w:color w:val="auto"/>
              </w:rPr>
            </w:pPr>
          </w:p>
        </w:tc>
        <w:tc>
          <w:tcPr>
            <w:tcW w:w="89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ARTICLE V. REPRESENTATIONS AND</w:t>
            </w:r>
          </w:p>
        </w:tc>
        <w:tc>
          <w:tcPr>
            <w:tcW w:w="1840" w:type="dxa"/>
            <w:vAlign w:val="bottom"/>
          </w:tcPr>
          <w:p>
            <w:pPr>
              <w:spacing w:after="0"/>
              <w:rPr>
                <w:sz w:val="24"/>
                <w:szCs w:val="24"/>
                <w:color w:val="auto"/>
              </w:rPr>
            </w:pPr>
          </w:p>
        </w:tc>
      </w:tr>
      <w:tr>
        <w:trPr>
          <w:trHeight w:val="258"/>
        </w:trPr>
        <w:tc>
          <w:tcPr>
            <w:tcW w:w="440" w:type="dxa"/>
            <w:vAlign w:val="bottom"/>
          </w:tcPr>
          <w:p>
            <w:pPr>
              <w:spacing w:after="0"/>
              <w:rPr>
                <w:sz w:val="22"/>
                <w:szCs w:val="22"/>
                <w:color w:val="auto"/>
              </w:rPr>
            </w:pPr>
          </w:p>
        </w:tc>
        <w:tc>
          <w:tcPr>
            <w:tcW w:w="8920" w:type="dxa"/>
            <w:vAlign w:val="bottom"/>
          </w:tcPr>
          <w:p>
            <w:pPr>
              <w:ind w:left="2400"/>
              <w:spacing w:after="0"/>
              <w:rPr>
                <w:sz w:val="20"/>
                <w:szCs w:val="20"/>
                <w:color w:val="auto"/>
              </w:rPr>
            </w:pPr>
            <w:r>
              <w:rPr>
                <w:rFonts w:ascii="Times New Roman" w:cs="Times New Roman" w:eastAsia="Times New Roman" w:hAnsi="Times New Roman"/>
                <w:sz w:val="20"/>
                <w:szCs w:val="20"/>
                <w:color w:val="auto"/>
              </w:rPr>
              <w:t>WARRANTIES</w:t>
            </w:r>
          </w:p>
        </w:tc>
        <w:tc>
          <w:tcPr>
            <w:tcW w:w="1840" w:type="dxa"/>
            <w:vAlign w:val="bottom"/>
          </w:tcPr>
          <w:p>
            <w:pPr>
              <w:spacing w:after="0"/>
              <w:rPr>
                <w:sz w:val="22"/>
                <w:szCs w:val="22"/>
                <w:color w:val="auto"/>
              </w:rPr>
            </w:pPr>
          </w:p>
        </w:tc>
      </w:tr>
      <w:tr>
        <w:trPr>
          <w:trHeight w:val="44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Binding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Litigation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Default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Environmental Compliance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5.11</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ERISA Compliance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 Equity Investments; Loan Parties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Disclosure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Compliance with Laws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OFAC</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5.19</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Solvency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5.21</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Labor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Collateral Documents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5.23</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Representations as to Foreign Obligors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5.24</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Anti-Corruption Laws; Sanctions; Use of Proceeds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5.25</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Affected Financial Institution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5.26</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Borrower ERISA Status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5.27</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5.28</w:t>
            </w:r>
          </w:p>
        </w:tc>
        <w:tc>
          <w:tcPr>
            <w:tcW w:w="8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Covered Entity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EX-10.25</w:t>
            </w:r>
          </w:p>
        </w:tc>
        <w:tc>
          <w:tcPr>
            <w:tcW w:w="7940" w:type="dxa"/>
            <w:vAlign w:val="bottom"/>
          </w:tcPr>
          <w:p>
            <w:pPr>
              <w:spacing w:after="0"/>
              <w:rPr>
                <w:sz w:val="20"/>
                <w:szCs w:val="20"/>
                <w:color w:val="auto"/>
              </w:rPr>
            </w:pPr>
          </w:p>
        </w:tc>
      </w:tr>
      <w:tr>
        <w:trPr>
          <w:trHeight w:val="531"/>
        </w:trPr>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940" w:type="dxa"/>
            <w:vAlign w:val="bottom"/>
          </w:tcPr>
          <w:p>
            <w:pPr>
              <w:jc w:val="right"/>
              <w:ind w:right="4329"/>
              <w:spacing w:after="0"/>
              <w:rPr>
                <w:sz w:val="20"/>
                <w:szCs w:val="20"/>
                <w:color w:val="auto"/>
              </w:rPr>
            </w:pPr>
            <w:r>
              <w:rPr>
                <w:rFonts w:ascii="Times New Roman" w:cs="Times New Roman" w:eastAsia="Times New Roman" w:hAnsi="Times New Roman"/>
                <w:sz w:val="20"/>
                <w:szCs w:val="20"/>
                <w:color w:val="auto"/>
              </w:rPr>
              <w:t>ARTICLE VI. AFFIRMATIVE</w:t>
            </w:r>
          </w:p>
        </w:tc>
      </w:tr>
      <w:tr>
        <w:trPr>
          <w:trHeight w:val="258"/>
        </w:trPr>
        <w:tc>
          <w:tcPr>
            <w:tcW w:w="4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7940" w:type="dxa"/>
            <w:vAlign w:val="bottom"/>
          </w:tcPr>
          <w:p>
            <w:pPr>
              <w:jc w:val="right"/>
              <w:ind w:right="6429"/>
              <w:spacing w:after="0"/>
              <w:rPr>
                <w:sz w:val="20"/>
                <w:szCs w:val="20"/>
                <w:color w:val="auto"/>
              </w:rPr>
            </w:pPr>
            <w:r>
              <w:rPr>
                <w:rFonts w:ascii="Times New Roman" w:cs="Times New Roman" w:eastAsia="Times New Roman" w:hAnsi="Times New Roman"/>
                <w:sz w:val="20"/>
                <w:szCs w:val="20"/>
                <w:color w:val="auto"/>
              </w:rPr>
              <w:t>COVENANTS</w:t>
            </w:r>
          </w:p>
        </w:tc>
      </w:tr>
      <w:tr>
        <w:trPr>
          <w:trHeight w:val="44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Statements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Notices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 of Obligations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Maintenance of Insurance</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Compliance with Laws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Books and Records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6.10</w:t>
            </w:r>
          </w:p>
        </w:tc>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Inspection Rights</w:t>
            </w:r>
          </w:p>
        </w:tc>
        <w:tc>
          <w:tcPr>
            <w:tcW w:w="7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EX-10.25</w:t>
            </w:r>
          </w:p>
        </w:tc>
        <w:tc>
          <w:tcPr>
            <w:tcW w:w="2020" w:type="dxa"/>
            <w:vAlign w:val="bottom"/>
          </w:tcPr>
          <w:p>
            <w:pPr>
              <w:spacing w:after="0"/>
              <w:rPr>
                <w:sz w:val="20"/>
                <w:szCs w:val="20"/>
                <w:color w:val="auto"/>
              </w:rPr>
            </w:pPr>
          </w:p>
        </w:tc>
      </w:tr>
      <w:tr>
        <w:trPr>
          <w:trHeight w:val="450"/>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Use of Proceeds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Additional Subsidiaries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Further Assurances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Approvals and Authorizations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Anti-Corruption Laws; Sanctions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594"/>
        </w:trPr>
        <w:tc>
          <w:tcPr>
            <w:tcW w:w="460" w:type="dxa"/>
            <w:vAlign w:val="bottom"/>
          </w:tcPr>
          <w:p>
            <w:pPr>
              <w:spacing w:after="0"/>
              <w:rPr>
                <w:sz w:val="24"/>
                <w:szCs w:val="24"/>
                <w:color w:val="auto"/>
              </w:rPr>
            </w:pPr>
          </w:p>
        </w:tc>
        <w:tc>
          <w:tcPr>
            <w:tcW w:w="8740" w:type="dxa"/>
            <w:vAlign w:val="bottom"/>
          </w:tcPr>
          <w:p>
            <w:pPr>
              <w:jc w:val="center"/>
              <w:ind w:left="1561"/>
              <w:spacing w:after="0"/>
              <w:rPr>
                <w:sz w:val="20"/>
                <w:szCs w:val="20"/>
                <w:color w:val="auto"/>
              </w:rPr>
            </w:pPr>
            <w:r>
              <w:rPr>
                <w:rFonts w:ascii="Times New Roman" w:cs="Times New Roman" w:eastAsia="Times New Roman" w:hAnsi="Times New Roman"/>
                <w:sz w:val="20"/>
                <w:szCs w:val="20"/>
                <w:color w:val="auto"/>
                <w:w w:val="98"/>
              </w:rPr>
              <w:t>ARTICLE VII. NEGATIVE COVENANTS</w:t>
            </w:r>
          </w:p>
        </w:tc>
        <w:tc>
          <w:tcPr>
            <w:tcW w:w="2020" w:type="dxa"/>
            <w:vAlign w:val="bottom"/>
          </w:tcPr>
          <w:p>
            <w:pPr>
              <w:spacing w:after="0"/>
              <w:rPr>
                <w:sz w:val="24"/>
                <w:szCs w:val="24"/>
                <w:color w:val="auto"/>
              </w:rPr>
            </w:pPr>
          </w:p>
        </w:tc>
      </w:tr>
      <w:tr>
        <w:trPr>
          <w:trHeight w:val="44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Liens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Indebtedness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Fundamental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Dispositions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Restricted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7.9</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Burdensome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Use of Proceeds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Amendment or Modification of Organization Documents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Accounting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Post-Closing 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579"/>
        </w:trPr>
        <w:tc>
          <w:tcPr>
            <w:tcW w:w="460" w:type="dxa"/>
            <w:vAlign w:val="bottom"/>
          </w:tcPr>
          <w:p>
            <w:pPr>
              <w:spacing w:after="0"/>
              <w:rPr>
                <w:sz w:val="24"/>
                <w:szCs w:val="24"/>
                <w:color w:val="auto"/>
              </w:rPr>
            </w:pPr>
          </w:p>
        </w:tc>
        <w:tc>
          <w:tcPr>
            <w:tcW w:w="8740" w:type="dxa"/>
            <w:vAlign w:val="bottom"/>
          </w:tcPr>
          <w:p>
            <w:pPr>
              <w:jc w:val="center"/>
              <w:ind w:left="1561"/>
              <w:spacing w:after="0"/>
              <w:rPr>
                <w:sz w:val="20"/>
                <w:szCs w:val="20"/>
                <w:color w:val="auto"/>
              </w:rPr>
            </w:pPr>
            <w:r>
              <w:rPr>
                <w:rFonts w:ascii="Times New Roman" w:cs="Times New Roman" w:eastAsia="Times New Roman" w:hAnsi="Times New Roman"/>
                <w:sz w:val="20"/>
                <w:szCs w:val="20"/>
                <w:color w:val="auto"/>
                <w:w w:val="99"/>
              </w:rPr>
              <w:t>ARTICLE VIII.</w:t>
            </w:r>
          </w:p>
        </w:tc>
        <w:tc>
          <w:tcPr>
            <w:tcW w:w="2020" w:type="dxa"/>
            <w:vAlign w:val="bottom"/>
          </w:tcPr>
          <w:p>
            <w:pPr>
              <w:spacing w:after="0"/>
              <w:rPr>
                <w:sz w:val="24"/>
                <w:szCs w:val="24"/>
                <w:color w:val="auto"/>
              </w:rPr>
            </w:pPr>
          </w:p>
        </w:tc>
      </w:tr>
      <w:tr>
        <w:trPr>
          <w:trHeight w:val="258"/>
        </w:trPr>
        <w:tc>
          <w:tcPr>
            <w:tcW w:w="460" w:type="dxa"/>
            <w:vAlign w:val="bottom"/>
          </w:tcPr>
          <w:p>
            <w:pPr>
              <w:spacing w:after="0"/>
              <w:rPr>
                <w:sz w:val="22"/>
                <w:szCs w:val="22"/>
                <w:color w:val="auto"/>
              </w:rPr>
            </w:pPr>
          </w:p>
        </w:tc>
        <w:tc>
          <w:tcPr>
            <w:tcW w:w="8740" w:type="dxa"/>
            <w:vAlign w:val="bottom"/>
          </w:tcPr>
          <w:p>
            <w:pPr>
              <w:jc w:val="center"/>
              <w:ind w:left="1561"/>
              <w:spacing w:after="0"/>
              <w:rPr>
                <w:sz w:val="20"/>
                <w:szCs w:val="20"/>
                <w:color w:val="auto"/>
              </w:rPr>
            </w:pPr>
            <w:r>
              <w:rPr>
                <w:rFonts w:ascii="Times New Roman" w:cs="Times New Roman" w:eastAsia="Times New Roman" w:hAnsi="Times New Roman"/>
                <w:sz w:val="20"/>
                <w:szCs w:val="20"/>
                <w:color w:val="auto"/>
                <w:w w:val="97"/>
              </w:rPr>
              <w:t>EVENTS OF DEFAULT AND REMEDIES</w:t>
            </w:r>
          </w:p>
        </w:tc>
        <w:tc>
          <w:tcPr>
            <w:tcW w:w="2020" w:type="dxa"/>
            <w:vAlign w:val="bottom"/>
          </w:tcPr>
          <w:p>
            <w:pPr>
              <w:spacing w:after="0"/>
              <w:rPr>
                <w:sz w:val="22"/>
                <w:szCs w:val="22"/>
                <w:color w:val="auto"/>
              </w:rPr>
            </w:pPr>
          </w:p>
        </w:tc>
      </w:tr>
      <w:tr>
        <w:trPr>
          <w:trHeight w:val="44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Application of Funds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594"/>
        </w:trPr>
        <w:tc>
          <w:tcPr>
            <w:tcW w:w="460" w:type="dxa"/>
            <w:vAlign w:val="bottom"/>
          </w:tcPr>
          <w:p>
            <w:pPr>
              <w:spacing w:after="0"/>
              <w:rPr>
                <w:sz w:val="24"/>
                <w:szCs w:val="24"/>
                <w:color w:val="auto"/>
              </w:rPr>
            </w:pPr>
          </w:p>
        </w:tc>
        <w:tc>
          <w:tcPr>
            <w:tcW w:w="8740" w:type="dxa"/>
            <w:vAlign w:val="bottom"/>
          </w:tcPr>
          <w:p>
            <w:pPr>
              <w:jc w:val="center"/>
              <w:ind w:left="1581"/>
              <w:spacing w:after="0"/>
              <w:rPr>
                <w:sz w:val="20"/>
                <w:szCs w:val="20"/>
                <w:color w:val="auto"/>
              </w:rPr>
            </w:pPr>
            <w:r>
              <w:rPr>
                <w:rFonts w:ascii="Times New Roman" w:cs="Times New Roman" w:eastAsia="Times New Roman" w:hAnsi="Times New Roman"/>
                <w:sz w:val="20"/>
                <w:szCs w:val="20"/>
                <w:color w:val="auto"/>
                <w:w w:val="98"/>
              </w:rPr>
              <w:t>ARTICLE IX. ADMINISTRATIVE AGENT</w:t>
            </w:r>
          </w:p>
        </w:tc>
        <w:tc>
          <w:tcPr>
            <w:tcW w:w="2020" w:type="dxa"/>
            <w:vAlign w:val="bottom"/>
          </w:tcPr>
          <w:p>
            <w:pPr>
              <w:spacing w:after="0"/>
              <w:rPr>
                <w:sz w:val="24"/>
                <w:szCs w:val="24"/>
                <w:color w:val="auto"/>
              </w:rPr>
            </w:pPr>
          </w:p>
        </w:tc>
      </w:tr>
      <w:tr>
        <w:trPr>
          <w:trHeight w:val="444"/>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Rights as a Lender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Exculpatory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Delegation of Duties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Non-Reliance on Administrative Agent, Arranger and Other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9.8</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Other Duties,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Agent May File Proofs of Claim; Credit Bidding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9.10</w:t>
            </w:r>
          </w:p>
        </w:tc>
        <w:tc>
          <w:tcPr>
            <w:tcW w:w="8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87"/>
        </w:trPr>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w:t>
            </w:r>
          </w:p>
        </w:tc>
        <w:tc>
          <w:tcPr>
            <w:tcW w:w="87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EX-10.25</w:t>
            </w:r>
          </w:p>
        </w:tc>
        <w:tc>
          <w:tcPr>
            <w:tcW w:w="4060" w:type="dxa"/>
            <w:vAlign w:val="bottom"/>
          </w:tcPr>
          <w:p>
            <w:pPr>
              <w:spacing w:after="0"/>
              <w:rPr>
                <w:sz w:val="18"/>
                <w:szCs w:val="18"/>
                <w:color w:val="auto"/>
              </w:rPr>
            </w:pPr>
          </w:p>
        </w:tc>
      </w:tr>
      <w:tr>
        <w:trPr>
          <w:trHeight w:val="22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9.11   Permitted Standalone Letters of Credit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9.12</w:t>
            </w: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ERISA Matters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8"/>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9.13</w:t>
            </w:r>
          </w:p>
        </w:tc>
        <w:tc>
          <w:tcPr>
            <w:tcW w:w="6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58"/>
        </w:trPr>
        <w:tc>
          <w:tcPr>
            <w:tcW w:w="640" w:type="dxa"/>
            <w:vAlign w:val="bottom"/>
          </w:tcPr>
          <w:p>
            <w:pPr>
              <w:spacing w:after="0"/>
              <w:rPr>
                <w:sz w:val="22"/>
                <w:szCs w:val="22"/>
                <w:color w:val="auto"/>
              </w:rPr>
            </w:pPr>
          </w:p>
        </w:tc>
        <w:tc>
          <w:tcPr>
            <w:tcW w:w="8240" w:type="dxa"/>
            <w:vAlign w:val="bottom"/>
          </w:tcPr>
          <w:p>
            <w:pPr>
              <w:ind w:left="3560"/>
              <w:spacing w:after="0"/>
              <w:rPr>
                <w:sz w:val="20"/>
                <w:szCs w:val="20"/>
                <w:color w:val="auto"/>
              </w:rPr>
            </w:pPr>
            <w:r>
              <w:rPr>
                <w:rFonts w:ascii="Times New Roman" w:cs="Times New Roman" w:eastAsia="Times New Roman" w:hAnsi="Times New Roman"/>
                <w:sz w:val="20"/>
                <w:szCs w:val="20"/>
                <w:color w:val="auto"/>
              </w:rPr>
              <w:t>ARTICLE X. MISCELLANEOUS</w:t>
            </w:r>
          </w:p>
        </w:tc>
        <w:tc>
          <w:tcPr>
            <w:tcW w:w="2200" w:type="dxa"/>
            <w:vAlign w:val="bottom"/>
          </w:tcPr>
          <w:p>
            <w:pPr>
              <w:spacing w:after="0"/>
              <w:rPr>
                <w:sz w:val="22"/>
                <w:szCs w:val="22"/>
                <w:color w:val="auto"/>
              </w:rPr>
            </w:pPr>
          </w:p>
        </w:tc>
      </w:tr>
      <w:tr>
        <w:trPr>
          <w:trHeight w:val="44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Amendments,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Notices; Effectiveness; Electronic Communication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Payments Set Aside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Successors and Assigns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 of Setoff</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Rate Limitation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Replacement of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Waiver of Jury Trial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Electronic Execution; Electronic Records; 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USA PATRIOT Act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Keepwell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Judgment Currency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Amendment and Restatement; No Novation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8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1.01A</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Specified Existing Capital Leases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1.01B</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Commitments and Applicable Percentages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2.01LC</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L/C Commitments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2.07(a)</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Term Loan Facility Amortization Schedule</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2.18</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Unrestricted Subsidiaries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5.12(d)</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Pension Plans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5.13</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Subsidiaries; Equity Investments; Loan Parties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5.21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Collective Bargaining Agreements and Multiemployer Plans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1.2</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1.3</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43"/>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7.14</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Post-Closing Actions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51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Administrative Agent’s Office; Certain Addresses for Notices</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Form of</w:t>
      </w:r>
    </w:p>
    <w:p>
      <w:pPr>
        <w:spacing w:after="0" w:line="28" w:lineRule="exact"/>
        <w:rPr>
          <w:sz w:val="20"/>
          <w:szCs w:val="20"/>
          <w:color w:val="auto"/>
        </w:rPr>
      </w:pPr>
    </w:p>
    <w:p>
      <w:pPr>
        <w:ind w:left="1160" w:hanging="1139"/>
        <w:spacing w:after="0"/>
        <w:tabs>
          <w:tab w:leader="none" w:pos="11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Notice</w:t>
      </w:r>
    </w:p>
    <w:p>
      <w:pPr>
        <w:spacing w:after="0" w:line="13" w:lineRule="exact"/>
        <w:rPr>
          <w:sz w:val="20"/>
          <w:szCs w:val="20"/>
          <w:color w:val="auto"/>
        </w:rPr>
      </w:pPr>
    </w:p>
    <w:p>
      <w:pPr>
        <w:ind w:left="1160" w:hanging="1139"/>
        <w:spacing w:after="0"/>
        <w:tabs>
          <w:tab w:leader="none" w:pos="11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Loan Notice</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D-1</w:t>
            </w:r>
          </w:p>
        </w:tc>
        <w:tc>
          <w:tcPr>
            <w:tcW w:w="222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7"/>
              </w:rPr>
              <w:t>Revolving Credit Note</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D-2</w:t>
            </w:r>
          </w:p>
        </w:tc>
        <w:tc>
          <w:tcPr>
            <w:tcW w:w="2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Term Loan Note</w:t>
            </w:r>
          </w:p>
        </w:tc>
      </w:tr>
    </w:tbl>
    <w:p>
      <w:pPr>
        <w:ind w:left="1160" w:hanging="1139"/>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w:t>
      </w:r>
    </w:p>
    <w:p>
      <w:pPr>
        <w:spacing w:after="0" w:line="13" w:lineRule="exact"/>
        <w:rPr>
          <w:sz w:val="20"/>
          <w:szCs w:val="20"/>
          <w:color w:val="auto"/>
        </w:rPr>
      </w:pPr>
    </w:p>
    <w:p>
      <w:pPr>
        <w:ind w:left="1160" w:hanging="1139"/>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 and Assumption</w:t>
      </w:r>
    </w:p>
    <w:p>
      <w:pPr>
        <w:spacing w:after="0" w:line="13" w:lineRule="exact"/>
        <w:rPr>
          <w:sz w:val="20"/>
          <w:szCs w:val="20"/>
          <w:color w:val="auto"/>
        </w:rPr>
      </w:pPr>
    </w:p>
    <w:p>
      <w:pPr>
        <w:ind w:left="1160" w:hanging="1139"/>
        <w:spacing w:after="0"/>
        <w:tabs>
          <w:tab w:leader="none" w:pos="11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Tax Compliance Certificates</w:t>
      </w:r>
    </w:p>
    <w:p>
      <w:pPr>
        <w:spacing w:after="0" w:line="13" w:lineRule="exact"/>
        <w:rPr>
          <w:sz w:val="20"/>
          <w:szCs w:val="20"/>
          <w:color w:val="auto"/>
        </w:rPr>
      </w:pPr>
    </w:p>
    <w:p>
      <w:pPr>
        <w:ind w:left="1160" w:hanging="1139"/>
        <w:spacing w:after="0"/>
        <w:tabs>
          <w:tab w:leader="none" w:pos="11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Report</w:t>
      </w:r>
    </w:p>
    <w:p>
      <w:pPr>
        <w:spacing w:after="0" w:line="13" w:lineRule="exact"/>
        <w:rPr>
          <w:sz w:val="20"/>
          <w:szCs w:val="20"/>
          <w:color w:val="auto"/>
        </w:rPr>
      </w:pPr>
    </w:p>
    <w:p>
      <w:pPr>
        <w:ind w:left="1160" w:hanging="1139"/>
        <w:spacing w:after="0"/>
        <w:tabs>
          <w:tab w:leader="none" w:pos="11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Request and Assumption Agreement</w:t>
      </w:r>
    </w:p>
    <w:p>
      <w:pPr>
        <w:spacing w:after="0" w:line="13" w:lineRule="exact"/>
        <w:rPr>
          <w:rFonts w:ascii="Times New Roman" w:cs="Times New Roman" w:eastAsia="Times New Roman" w:hAnsi="Times New Roman"/>
          <w:sz w:val="20"/>
          <w:szCs w:val="20"/>
          <w:color w:val="auto"/>
        </w:rPr>
      </w:pPr>
    </w:p>
    <w:p>
      <w:pPr>
        <w:ind w:left="1160" w:hanging="1139"/>
        <w:spacing w:after="0"/>
        <w:tabs>
          <w:tab w:leader="none" w:pos="11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Notice</w:t>
      </w:r>
    </w:p>
    <w:p>
      <w:pPr>
        <w:spacing w:after="0" w:line="13" w:lineRule="exact"/>
        <w:rPr>
          <w:sz w:val="20"/>
          <w:szCs w:val="20"/>
          <w:color w:val="auto"/>
        </w:rPr>
      </w:pPr>
    </w:p>
    <w:p>
      <w:pPr>
        <w:ind w:left="1160" w:hanging="1139"/>
        <w:spacing w:after="0"/>
        <w:tabs>
          <w:tab w:leader="none" w:pos="11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Loan Prepayment</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SECOND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w:t>
      </w:r>
    </w:p>
    <w:p>
      <w:pPr>
        <w:spacing w:after="0" w:line="22"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entered into as of June 11, 2019,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Restricted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BANK OF AMERICA, N.A., as Administrative Agent, Swing Line Lender and an L/C Issuer, and each other L/C Issuer from time to time party hereto.</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left="120" w:firstLine="741"/>
        <w:spacing w:after="0" w:line="254" w:lineRule="auto"/>
        <w:tabs>
          <w:tab w:leader="none" w:pos="160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lenders party thereto and the Administrative Agent have entered into that certain Amended and Restated Credit Agreement, dated as of September 3, 2015 (as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20" w:firstLine="741"/>
        <w:spacing w:after="0" w:line="254" w:lineRule="auto"/>
        <w:tabs>
          <w:tab w:leader="none" w:pos="160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DEFINITIONS AND ACCOUNTING TERMS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1.01 Defined Terms. As used in this Agreement, the following terms shall have the meanings set forth below:</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Aarding B.V.</w:t>
      </w:r>
      <w:r>
        <w:rPr>
          <w:rFonts w:ascii="Times New Roman" w:cs="Times New Roman" w:eastAsia="Times New Roman" w:hAnsi="Times New Roman"/>
          <w:sz w:val="20"/>
          <w:szCs w:val="20"/>
          <w:color w:val="auto"/>
        </w:rPr>
        <w:t>” means Aarding Thermal Acoustics B.V., a private limited company incorporated in the Netherlands.</w:t>
      </w:r>
    </w:p>
    <w:p>
      <w:pPr>
        <w:spacing w:after="0" w:line="229"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Commitments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Commitments 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Commitments Limit</w:t>
      </w:r>
      <w:r>
        <w:rPr>
          <w:rFonts w:ascii="Times New Roman" w:cs="Times New Roman" w:eastAsia="Times New Roman" w:hAnsi="Times New Roman"/>
          <w:sz w:val="19"/>
          <w:szCs w:val="19"/>
          <w:color w:val="auto"/>
        </w:rPr>
        <w:t>” means, as of any date of determination, an amount equal to the greater of (a) $75,000,000 and</w:t>
      </w:r>
    </w:p>
    <w:p>
      <w:pPr>
        <w:spacing w:after="0" w:line="33" w:lineRule="exact"/>
        <w:rPr>
          <w:sz w:val="20"/>
          <w:szCs w:val="20"/>
          <w:color w:val="auto"/>
        </w:rPr>
      </w:pPr>
    </w:p>
    <w:p>
      <w:pPr>
        <w:ind w:left="120" w:right="20" w:hanging="9"/>
        <w:spacing w:after="0" w:line="246" w:lineRule="auto"/>
        <w:tabs>
          <w:tab w:leader="none" w:pos="41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additional Consolidated Funded Indebtedness that would cause the Consolidated Net Leverage Ratio to equal 3.00 to 1.00 (calculated as of the last day of the most</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 xml:space="preserve">recently ended fiscal quarter for which financial information is available, but giving pro forma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and, without duplication, assuming that all other Additional Loans outstanding on such date of determination were outstanding as of the last day of such fiscal quarter).</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19"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hereafter may designate by written notice to the Company and the Lenders.</w:t>
      </w:r>
    </w:p>
    <w:p>
      <w:pPr>
        <w:spacing w:after="0" w:line="147"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substantially the form provided by the Administrative Agent or any other form approved by the Administrative Agent.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62" w:lineRule="exact"/>
        <w:rPr>
          <w:sz w:val="20"/>
          <w:szCs w:val="20"/>
          <w:color w:val="auto"/>
        </w:rPr>
      </w:pPr>
    </w:p>
    <w:p>
      <w:pPr>
        <w:jc w:val="both"/>
        <w:ind w:left="120" w:right="20" w:firstLine="7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 w:lineRule="exact"/>
        <w:rPr>
          <w:sz w:val="20"/>
          <w:szCs w:val="20"/>
          <w:color w:val="auto"/>
        </w:rPr>
      </w:pPr>
    </w:p>
    <w:p>
      <w:pPr>
        <w:ind w:left="860" w:right="86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 “</w:t>
      </w:r>
      <w:r>
        <w:rPr>
          <w:rFonts w:ascii="Times New Roman" w:cs="Times New Roman" w:eastAsia="Times New Roman" w:hAnsi="Times New Roman"/>
          <w:sz w:val="20"/>
          <w:szCs w:val="20"/>
          <w:u w:val="single" w:color="auto"/>
          <w:color w:val="auto"/>
        </w:rPr>
        <w:t>Aggregate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the Revolving Credit Commitments of all</w:t>
      </w:r>
    </w:p>
    <w:p>
      <w:pPr>
        <w:ind w:left="120"/>
        <w:spacing w:after="0"/>
        <w:rPr>
          <w:sz w:val="20"/>
          <w:szCs w:val="20"/>
          <w:color w:val="auto"/>
        </w:rPr>
      </w:pPr>
      <w:r>
        <w:rPr>
          <w:rFonts w:ascii="Times New Roman" w:cs="Times New Roman" w:eastAsia="Times New Roman" w:hAnsi="Times New Roman"/>
          <w:sz w:val="20"/>
          <w:szCs w:val="20"/>
          <w:color w:val="auto"/>
        </w:rPr>
        <w:t>Revolving Credit Lenders.</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w:t>
      </w:r>
    </w:p>
    <w:p>
      <w:pPr>
        <w:spacing w:after="0" w:line="189" w:lineRule="exact"/>
        <w:rPr>
          <w:sz w:val="20"/>
          <w:szCs w:val="20"/>
          <w:color w:val="auto"/>
        </w:rPr>
      </w:pPr>
    </w:p>
    <w:p>
      <w:pPr>
        <w:jc w:val="both"/>
        <w:ind w:left="120" w:right="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(a) with respect to Revolving Credit Loans, (i) Euro, Sterling and Canadian Dollars and (ii) 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Revolving Credit Loans and (b) with respect to Letters of Credit issued by any L/C Issuer pursuant to the Revolving Credit Facility, (i) Euro, Sterling, Canadian Dollars and Rupees and</w:t>
      </w:r>
    </w:p>
    <w:p>
      <w:pPr>
        <w:spacing w:after="0" w:line="1" w:lineRule="exact"/>
        <w:rPr>
          <w:sz w:val="20"/>
          <w:szCs w:val="20"/>
          <w:color w:val="auto"/>
        </w:rPr>
      </w:pPr>
    </w:p>
    <w:p>
      <w:pPr>
        <w:ind w:left="120" w:right="240" w:hanging="8"/>
        <w:spacing w:after="0" w:line="246" w:lineRule="auto"/>
        <w:tabs>
          <w:tab w:leader="none" w:pos="45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Letters of Credit issued by such L/C Issuer.</w:t>
      </w:r>
    </w:p>
    <w:p>
      <w:pPr>
        <w:spacing w:after="0" w:line="1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120" w:right="460" w:firstLine="741"/>
        <w:spacing w:after="0" w:line="269" w:lineRule="auto"/>
        <w:tabs>
          <w:tab w:leader="none" w:pos="159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Sterling, the rate per annum equal to SONIA determined pursuant to the definition thereof plus the SONIA Adjustment; and</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1"/>
        <w:spacing w:after="0" w:line="249" w:lineRule="auto"/>
        <w:tabs>
          <w:tab w:leader="none" w:pos="160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plus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201"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Revolving Credit Loan that bears interest at a rate based on the definition of “Alternative Currency Daily Rate.” All Alternative Currency Daily Rate Loans must be denominated in an Alternative Currency.</w:t>
      </w:r>
    </w:p>
    <w:p>
      <w:pPr>
        <w:spacing w:after="0" w:line="173" w:lineRule="exact"/>
        <w:rPr>
          <w:sz w:val="20"/>
          <w:szCs w:val="20"/>
          <w:color w:val="auto"/>
        </w:rPr>
      </w:pPr>
    </w:p>
    <w:p>
      <w:pPr>
        <w:jc w:val="both"/>
        <w:ind w:left="120" w:firstLine="747"/>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no such rate is available, the “Alternative Currency Equivalent” shall be determined by the Administrative Agent or the applicable L/C Issuer, as the case may be, using any reasonable method of determination its deems appropriate in its sole discretion (and such determination shall be conclusive absent manifesterror).</w:t>
      </w:r>
    </w:p>
    <w:p>
      <w:pPr>
        <w:spacing w:after="0" w:line="18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Sublimit</w:t>
      </w:r>
      <w:r>
        <w:rPr>
          <w:rFonts w:ascii="Times New Roman" w:cs="Times New Roman" w:eastAsia="Times New Roman" w:hAnsi="Times New Roman"/>
          <w:sz w:val="20"/>
          <w:szCs w:val="20"/>
          <w:color w:val="auto"/>
        </w:rPr>
        <w:t>” means an amount equal to the lesser of (a) the Aggregate Revolving Credit Commitments and</w:t>
      </w:r>
    </w:p>
    <w:p>
      <w:pPr>
        <w:spacing w:after="0" w:line="22" w:lineRule="exact"/>
        <w:rPr>
          <w:sz w:val="20"/>
          <w:szCs w:val="20"/>
          <w:color w:val="auto"/>
        </w:rPr>
      </w:pPr>
    </w:p>
    <w:p>
      <w:pPr>
        <w:ind w:left="860" w:right="480" w:hanging="749"/>
        <w:spacing w:after="0" w:line="474" w:lineRule="auto"/>
        <w:tabs>
          <w:tab w:leader="none" w:pos="39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The Alternative Currency Sublimit is part of, and not in addition to, the Aggregate Revolving Credit Commitments. “</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1" w:lineRule="exact"/>
        <w:rPr>
          <w:rFonts w:ascii="Times New Roman" w:cs="Times New Roman" w:eastAsia="Times New Roman" w:hAnsi="Times New Roman"/>
          <w:sz w:val="20"/>
          <w:szCs w:val="20"/>
          <w:color w:val="auto"/>
        </w:rPr>
      </w:pPr>
    </w:p>
    <w:p>
      <w:pPr>
        <w:jc w:val="both"/>
        <w:ind w:left="860" w:firstLine="750"/>
        <w:spacing w:after="0" w:line="249" w:lineRule="auto"/>
        <w:tabs>
          <w:tab w:leader="none" w:pos="234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206" w:lineRule="exact"/>
        <w:rPr>
          <w:rFonts w:ascii="Times New Roman" w:cs="Times New Roman" w:eastAsia="Times New Roman" w:hAnsi="Times New Roman"/>
          <w:sz w:val="20"/>
          <w:szCs w:val="20"/>
          <w:color w:val="auto"/>
        </w:rPr>
      </w:pPr>
    </w:p>
    <w:p>
      <w:pPr>
        <w:jc w:val="both"/>
        <w:ind w:left="860" w:firstLine="749"/>
        <w:spacing w:after="0" w:line="249" w:lineRule="auto"/>
        <w:tabs>
          <w:tab w:leader="none" w:pos="234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Canadian Dollar Offered Rate (“</w:t>
      </w:r>
      <w:r>
        <w:rPr>
          <w:rFonts w:ascii="Times New Roman" w:cs="Times New Roman" w:eastAsia="Times New Roman" w:hAnsi="Times New Roman"/>
          <w:sz w:val="20"/>
          <w:szCs w:val="20"/>
          <w:u w:val="single" w:color="auto"/>
          <w:color w:val="auto"/>
        </w:rPr>
        <w:t>CDOR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CDOR Rate</w:t>
      </w:r>
      <w:r>
        <w:rPr>
          <w:rFonts w:ascii="Times New Roman" w:cs="Times New Roman" w:eastAsia="Times New Roman" w:hAnsi="Times New Roman"/>
          <w:sz w:val="20"/>
          <w:szCs w:val="20"/>
          <w:color w:val="auto"/>
        </w:rPr>
        <w:t>”) on the Rate Determination Date with a term equivalent to such Interest Period; or</w:t>
      </w:r>
    </w:p>
    <w:p>
      <w:pPr>
        <w:spacing w:after="0" w:line="193" w:lineRule="exact"/>
        <w:rPr>
          <w:rFonts w:ascii="Times New Roman" w:cs="Times New Roman" w:eastAsia="Times New Roman" w:hAnsi="Times New Roman"/>
          <w:sz w:val="20"/>
          <w:szCs w:val="20"/>
          <w:color w:val="auto"/>
        </w:rPr>
      </w:pPr>
    </w:p>
    <w:p>
      <w:pPr>
        <w:jc w:val="both"/>
        <w:ind w:left="860" w:firstLine="749"/>
        <w:spacing w:after="0" w:line="249" w:lineRule="auto"/>
        <w:tabs>
          <w:tab w:leader="none" w:pos="234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86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Term Rate shall be less than zero, such rate shall be deemed zero for purposes of this Agreement.</w:t>
      </w:r>
    </w:p>
    <w:p>
      <w:pPr>
        <w:spacing w:after="0" w:line="173" w:lineRule="exact"/>
        <w:rPr>
          <w:sz w:val="20"/>
          <w:szCs w:val="20"/>
          <w:color w:val="auto"/>
        </w:rPr>
      </w:pPr>
    </w:p>
    <w:p>
      <w:pPr>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Revolving Credit Loan that bears interest at a rate based on the definition of “Alternative Currency Term Rate.” All Alternative Currency Term Rate Loans must be denominated in an Alternative Currency.</w:t>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 means December 17, 2021.</w:t>
      </w:r>
    </w:p>
    <w:p>
      <w:pPr>
        <w:spacing w:after="0" w:line="216" w:lineRule="exact"/>
        <w:rPr>
          <w:sz w:val="20"/>
          <w:szCs w:val="20"/>
          <w:color w:val="auto"/>
        </w:rPr>
      </w:pPr>
    </w:p>
    <w:p>
      <w:pPr>
        <w:ind w:left="120" w:right="20" w:firstLine="7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and</w:t>
      </w:r>
    </w:p>
    <w:p>
      <w:pPr>
        <w:spacing w:after="0" w:line="2" w:lineRule="exact"/>
        <w:rPr>
          <w:sz w:val="20"/>
          <w:szCs w:val="20"/>
          <w:color w:val="auto"/>
        </w:rPr>
      </w:pPr>
    </w:p>
    <w:p>
      <w:pPr>
        <w:ind w:left="120" w:hanging="9"/>
        <w:spacing w:after="0" w:line="246" w:lineRule="auto"/>
        <w:tabs>
          <w:tab w:leader="none" w:pos="42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Alternative Currency, the applicable administrator for the Relevant Rate for such Alternative Currency or any Governmental Authority having jurisdiction over the Administrative Agent or such administrator.</w:t>
      </w:r>
    </w:p>
    <w:p>
      <w:pPr>
        <w:spacing w:after="0" w:line="195"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(a) in respect of the Term Loan Facility, with respect to any Term Loan Lender at any time, the percentage (carried out to the ninth decimal place) of the Term Loan Facility represented by (i) on or prior to the funding of its Term Loan on the Closing Date, the sum of such Lender’s Term Loan Commitment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principal amount of such Term Loan Lender’s Term Loan outstanding at such time and (ii) thereafter, the aggregate principal amount of such Term Loan Lender’s Term Loans outstanding at such time and (b) in respect of the Revolving Credit Facility, with respect to any Revolving Credit Lender at any time, the percentage (carried out to the ninth decimal place) of the Aggregate Revolving Credit Commitments represented by such Revolving Credit Lender’s Revolving Credit Commitment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If the commitment of each Revolving Credit Lender to make Revolving Credit Loans and the obligation of each L/C Issuer to make L/C Credit Extensions have been terminated, or if the Aggregate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On and after the Amendment No. 2 Effective Date, the initial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55"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154305</wp:posOffset>
            </wp:positionV>
            <wp:extent cx="702310" cy="13627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02310" cy="1362710"/>
                    </a:xfrm>
                    <a:prstGeom prst="rect">
                      <a:avLst/>
                    </a:prstGeom>
                    <a:noFill/>
                  </pic:spPr>
                </pic:pic>
              </a:graphicData>
            </a:graphic>
          </wp:anchor>
        </w:drawing>
      </w:r>
    </w:p>
    <w:p>
      <w:pPr>
        <w:spacing w:after="0" w:line="223" w:lineRule="exact"/>
        <w:rPr>
          <w:sz w:val="20"/>
          <w:szCs w:val="20"/>
          <w:color w:val="auto"/>
        </w:rPr>
      </w:pPr>
    </w:p>
    <w:tbl>
      <w:tblPr>
        <w:tblLayout w:type="fixed"/>
        <w:tblInd w:w="470" w:type="dxa"/>
        <w:tblCellMar>
          <w:top w:w="0" w:type="dxa"/>
          <w:left w:w="0" w:type="dxa"/>
          <w:bottom w:w="0" w:type="dxa"/>
          <w:right w:w="0" w:type="dxa"/>
        </w:tblCellMar>
      </w:tblPr>
      <w:tr>
        <w:trPr>
          <w:trHeight w:val="247"/>
        </w:trPr>
        <w:tc>
          <w:tcPr>
            <w:tcW w:w="1060" w:type="dxa"/>
            <w:vAlign w:val="bottom"/>
          </w:tcPr>
          <w:p>
            <w:pPr>
              <w:spacing w:after="0"/>
              <w:rPr>
                <w:sz w:val="21"/>
                <w:szCs w:val="21"/>
                <w:color w:val="auto"/>
              </w:rPr>
            </w:pPr>
          </w:p>
        </w:tc>
        <w:tc>
          <w:tcPr>
            <w:tcW w:w="3360" w:type="dxa"/>
            <w:vAlign w:val="bottom"/>
            <w:tcBorders>
              <w:top w:val="single" w:sz="8" w:color="auto"/>
              <w:right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Term SOFRLoans, Daily</w:t>
            </w:r>
          </w:p>
        </w:tc>
        <w:tc>
          <w:tcPr>
            <w:tcW w:w="1940" w:type="dxa"/>
            <w:vAlign w:val="bottom"/>
            <w:tcBorders>
              <w:top w:val="single" w:sz="8" w:color="auto"/>
              <w:right w:val="single" w:sz="8" w:color="auto"/>
            </w:tcBorders>
          </w:tcPr>
          <w:p>
            <w:pPr>
              <w:spacing w:after="0"/>
              <w:rPr>
                <w:sz w:val="21"/>
                <w:szCs w:val="21"/>
                <w:color w:val="auto"/>
              </w:rPr>
            </w:pPr>
          </w:p>
        </w:tc>
      </w:tr>
      <w:tr>
        <w:trPr>
          <w:trHeight w:val="229"/>
        </w:trPr>
        <w:tc>
          <w:tcPr>
            <w:tcW w:w="106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SOFRLoans, Alternative</w:t>
            </w:r>
          </w:p>
        </w:tc>
        <w:tc>
          <w:tcPr>
            <w:tcW w:w="1940" w:type="dxa"/>
            <w:vAlign w:val="bottom"/>
            <w:tcBorders>
              <w:right w:val="single" w:sz="8" w:color="auto"/>
            </w:tcBorders>
          </w:tcPr>
          <w:p>
            <w:pPr>
              <w:spacing w:after="0"/>
              <w:rPr>
                <w:sz w:val="19"/>
                <w:szCs w:val="19"/>
                <w:color w:val="auto"/>
              </w:rPr>
            </w:pPr>
          </w:p>
        </w:tc>
      </w:tr>
      <w:tr>
        <w:trPr>
          <w:trHeight w:val="230"/>
        </w:trPr>
        <w:tc>
          <w:tcPr>
            <w:tcW w:w="106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Currency Daily Rate Loans,</w:t>
            </w:r>
          </w:p>
        </w:tc>
        <w:tc>
          <w:tcPr>
            <w:tcW w:w="1940" w:type="dxa"/>
            <w:vAlign w:val="bottom"/>
            <w:tcBorders>
              <w:right w:val="single" w:sz="8" w:color="auto"/>
            </w:tcBorders>
          </w:tcPr>
          <w:p>
            <w:pPr>
              <w:spacing w:after="0"/>
              <w:rPr>
                <w:sz w:val="19"/>
                <w:szCs w:val="19"/>
                <w:color w:val="auto"/>
              </w:rPr>
            </w:pPr>
          </w:p>
        </w:tc>
      </w:tr>
      <w:tr>
        <w:trPr>
          <w:trHeight w:val="230"/>
        </w:trPr>
        <w:tc>
          <w:tcPr>
            <w:tcW w:w="106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Alternative Currency Term</w:t>
            </w:r>
          </w:p>
        </w:tc>
        <w:tc>
          <w:tcPr>
            <w:tcW w:w="1940" w:type="dxa"/>
            <w:vAlign w:val="bottom"/>
            <w:tcBorders>
              <w:right w:val="single" w:sz="8" w:color="auto"/>
            </w:tcBorders>
          </w:tcPr>
          <w:p>
            <w:pPr>
              <w:spacing w:after="0"/>
              <w:rPr>
                <w:sz w:val="19"/>
                <w:szCs w:val="19"/>
                <w:color w:val="auto"/>
              </w:rPr>
            </w:pPr>
          </w:p>
        </w:tc>
      </w:tr>
      <w:tr>
        <w:trPr>
          <w:trHeight w:val="230"/>
        </w:trPr>
        <w:tc>
          <w:tcPr>
            <w:tcW w:w="106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Rate Loans and Letter of</w:t>
            </w:r>
          </w:p>
        </w:tc>
        <w:tc>
          <w:tcPr>
            <w:tcW w:w="1940" w:type="dxa"/>
            <w:vAlign w:val="bottom"/>
            <w:tcBorders>
              <w:right w:val="single" w:sz="8" w:color="auto"/>
            </w:tcBorders>
          </w:tcPr>
          <w:p>
            <w:pPr>
              <w:spacing w:after="0"/>
              <w:rPr>
                <w:sz w:val="19"/>
                <w:szCs w:val="19"/>
                <w:color w:val="auto"/>
              </w:rPr>
            </w:pPr>
          </w:p>
        </w:tc>
      </w:tr>
      <w:tr>
        <w:trPr>
          <w:trHeight w:val="258"/>
        </w:trPr>
        <w:tc>
          <w:tcPr>
            <w:tcW w:w="106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CreditFee</w:t>
            </w:r>
          </w:p>
        </w:tc>
        <w:tc>
          <w:tcPr>
            <w:tcW w:w="1940" w:type="dxa"/>
            <w:vAlign w:val="bottom"/>
            <w:tcBorders>
              <w:right w:val="single" w:sz="8" w:color="auto"/>
            </w:tcBorders>
          </w:tcPr>
          <w:p>
            <w:pPr>
              <w:spacing w:after="0"/>
              <w:rPr>
                <w:sz w:val="22"/>
                <w:szCs w:val="22"/>
                <w:color w:val="auto"/>
              </w:rPr>
            </w:pPr>
          </w:p>
        </w:tc>
      </w:tr>
      <w:tr>
        <w:trPr>
          <w:trHeight w:val="403"/>
        </w:trPr>
        <w:tc>
          <w:tcPr>
            <w:tcW w:w="106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rPr>
              <w:t>Pricing</w:t>
            </w:r>
          </w:p>
        </w:tc>
        <w:tc>
          <w:tcPr>
            <w:tcW w:w="336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Consolidated Net Leverage Ratio</w:t>
            </w:r>
          </w:p>
        </w:tc>
        <w:tc>
          <w:tcPr>
            <w:tcW w:w="174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Commitment Fee</w:t>
            </w:r>
          </w:p>
        </w:tc>
        <w:tc>
          <w:tcPr>
            <w:tcW w:w="24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Base Rate</w:t>
            </w:r>
          </w:p>
        </w:tc>
      </w:tr>
      <w:tr>
        <w:trPr>
          <w:trHeight w:val="259"/>
        </w:trPr>
        <w:tc>
          <w:tcPr>
            <w:tcW w:w="10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6"/>
              </w:rPr>
              <w:t>Level</w:t>
            </w:r>
          </w:p>
        </w:tc>
        <w:tc>
          <w:tcPr>
            <w:tcW w:w="336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right"/>
              <w:ind w:right="1081"/>
              <w:spacing w:after="0"/>
              <w:rPr>
                <w:sz w:val="20"/>
                <w:szCs w:val="20"/>
                <w:color w:val="auto"/>
              </w:rPr>
            </w:pPr>
            <w:r>
              <w:rPr>
                <w:rFonts w:ascii="Times New Roman" w:cs="Times New Roman" w:eastAsia="Times New Roman" w:hAnsi="Times New Roman"/>
                <w:sz w:val="20"/>
                <w:szCs w:val="20"/>
                <w:color w:val="auto"/>
              </w:rPr>
              <w:t>Loans</w:t>
            </w:r>
          </w:p>
        </w:tc>
      </w:tr>
      <w:tr>
        <w:trPr>
          <w:trHeight w:val="304"/>
        </w:trPr>
        <w:tc>
          <w:tcPr>
            <w:tcW w:w="106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I</w:t>
            </w:r>
          </w:p>
        </w:tc>
        <w:tc>
          <w:tcPr>
            <w:tcW w:w="3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Less than 1.50 to 1.00</w:t>
            </w:r>
          </w:p>
        </w:tc>
        <w:tc>
          <w:tcPr>
            <w:tcW w:w="1740" w:type="dxa"/>
            <w:vAlign w:val="bottom"/>
            <w:tcBorders>
              <w:top w:val="single" w:sz="8" w:color="auto"/>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0.20%</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1940" w:type="dxa"/>
            <w:vAlign w:val="bottom"/>
            <w:tcBorders>
              <w:top w:val="single" w:sz="8" w:color="auto"/>
              <w:bottom w:val="single" w:sz="8" w:color="auto"/>
              <w:right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color w:val="auto"/>
              </w:rPr>
              <w:t>0.75%</w:t>
            </w:r>
          </w:p>
        </w:tc>
      </w:tr>
    </w:tbl>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1"/>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EX-10.25</w:t>
            </w:r>
          </w:p>
        </w:tc>
        <w:tc>
          <w:tcPr>
            <w:tcW w:w="3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r>
      <w:tr>
        <w:trPr>
          <w:trHeight w:val="247"/>
        </w:trPr>
        <w:tc>
          <w:tcPr>
            <w:tcW w:w="4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1.50 to 1.00</w:t>
            </w:r>
          </w:p>
        </w:tc>
        <w:tc>
          <w:tcPr>
            <w:tcW w:w="174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0.25%</w:t>
            </w:r>
          </w:p>
        </w:tc>
        <w:tc>
          <w:tcPr>
            <w:tcW w:w="246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2.00%</w:t>
            </w:r>
          </w:p>
        </w:tc>
        <w:tc>
          <w:tcPr>
            <w:tcW w:w="1940" w:type="dxa"/>
            <w:vAlign w:val="bottom"/>
            <w:tcBorders>
              <w:right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but less than 2.00 to 1.00</w:t>
            </w:r>
          </w:p>
        </w:tc>
        <w:tc>
          <w:tcPr>
            <w:tcW w:w="17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r>
      <w:tr>
        <w:trPr>
          <w:trHeight w:val="196"/>
        </w:trPr>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r>
      <w:tr>
        <w:trPr>
          <w:trHeight w:val="241"/>
        </w:trPr>
        <w:tc>
          <w:tcPr>
            <w:tcW w:w="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2.00 to 1.00</w:t>
            </w:r>
          </w:p>
        </w:tc>
        <w:tc>
          <w:tcPr>
            <w:tcW w:w="1740" w:type="dxa"/>
            <w:vAlign w:val="bottom"/>
            <w:tcBorders>
              <w:top w:val="single" w:sz="8" w:color="auto"/>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0.30%</w:t>
            </w:r>
          </w:p>
        </w:tc>
        <w:tc>
          <w:tcPr>
            <w:tcW w:w="2460" w:type="dxa"/>
            <w:vAlign w:val="bottom"/>
            <w:tcBorders>
              <w:top w:val="single" w:sz="8" w:color="auto"/>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2.25%</w:t>
            </w:r>
          </w:p>
        </w:tc>
        <w:tc>
          <w:tcPr>
            <w:tcW w:w="1940" w:type="dxa"/>
            <w:vAlign w:val="bottom"/>
            <w:tcBorders>
              <w:top w:val="single" w:sz="8" w:color="auto"/>
              <w:right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1.25%</w:t>
            </w:r>
          </w:p>
        </w:tc>
      </w:tr>
      <w:tr>
        <w:trPr>
          <w:trHeight w:val="258"/>
        </w:trPr>
        <w:tc>
          <w:tcPr>
            <w:tcW w:w="4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but less than 2.50 to 1.00</w:t>
            </w:r>
          </w:p>
        </w:tc>
        <w:tc>
          <w:tcPr>
            <w:tcW w:w="17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r>
      <w:tr>
        <w:trPr>
          <w:trHeight w:val="241"/>
        </w:trPr>
        <w:tc>
          <w:tcPr>
            <w:tcW w:w="4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IV</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2.50 to 1.00</w:t>
            </w:r>
          </w:p>
        </w:tc>
        <w:tc>
          <w:tcPr>
            <w:tcW w:w="174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0.35%</w:t>
            </w:r>
          </w:p>
        </w:tc>
        <w:tc>
          <w:tcPr>
            <w:tcW w:w="246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2.50%</w:t>
            </w:r>
          </w:p>
        </w:tc>
        <w:tc>
          <w:tcPr>
            <w:tcW w:w="1940" w:type="dxa"/>
            <w:vAlign w:val="bottom"/>
            <w:tcBorders>
              <w:right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1.50%</w:t>
            </w:r>
          </w:p>
        </w:tc>
      </w:tr>
      <w:tr>
        <w:trPr>
          <w:trHeight w:val="258"/>
        </w:trPr>
        <w:tc>
          <w:tcPr>
            <w:tcW w:w="4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but less than 3.00 to 1.00</w:t>
            </w:r>
          </w:p>
        </w:tc>
        <w:tc>
          <w:tcPr>
            <w:tcW w:w="1740" w:type="dxa"/>
            <w:vAlign w:val="bottom"/>
            <w:tcBorders>
              <w:right w:val="single" w:sz="8" w:color="auto"/>
            </w:tcBorders>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r>
      <w:tr>
        <w:trPr>
          <w:trHeight w:val="223"/>
        </w:trPr>
        <w:tc>
          <w:tcPr>
            <w:tcW w:w="480" w:type="dxa"/>
            <w:vAlign w:val="bottom"/>
            <w:tcBorders>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r>
      <w:tr>
        <w:trPr>
          <w:trHeight w:val="270"/>
        </w:trPr>
        <w:tc>
          <w:tcPr>
            <w:tcW w:w="48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33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Greater than or equal to 3.00 to 1.00</w:t>
            </w:r>
          </w:p>
        </w:tc>
        <w:tc>
          <w:tcPr>
            <w:tcW w:w="1740" w:type="dxa"/>
            <w:vAlign w:val="bottom"/>
            <w:tcBorders>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0.40%</w:t>
            </w:r>
          </w:p>
        </w:tc>
        <w:tc>
          <w:tcPr>
            <w:tcW w:w="2460" w:type="dxa"/>
            <w:vAlign w:val="bottom"/>
            <w:tcBorders>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2.75%</w:t>
            </w:r>
          </w:p>
        </w:tc>
        <w:tc>
          <w:tcPr>
            <w:tcW w:w="1940" w:type="dxa"/>
            <w:vAlign w:val="bottom"/>
            <w:tcBorders>
              <w:right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color w:val="auto"/>
              </w:rPr>
              <w:t>1.75%</w:t>
            </w:r>
          </w:p>
        </w:tc>
      </w:tr>
      <w:tr>
        <w:trPr>
          <w:trHeight w:val="217"/>
        </w:trPr>
        <w:tc>
          <w:tcPr>
            <w:tcW w:w="480" w:type="dxa"/>
            <w:vAlign w:val="bottom"/>
            <w:tcBorders>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-1751965</wp:posOffset>
            </wp:positionV>
            <wp:extent cx="702310" cy="4972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02310" cy="497205"/>
                    </a:xfrm>
                    <a:prstGeom prst="rect">
                      <a:avLst/>
                    </a:prstGeom>
                    <a:noFill/>
                  </pic:spPr>
                </pic:pic>
              </a:graphicData>
            </a:graphic>
          </wp:anchor>
        </w:drawing>
      </w:r>
    </w:p>
    <w:p>
      <w:pPr>
        <w:spacing w:after="0" w:line="173" w:lineRule="exact"/>
        <w:rPr>
          <w:sz w:val="20"/>
          <w:szCs w:val="20"/>
          <w:color w:val="auto"/>
        </w:rPr>
      </w:pPr>
    </w:p>
    <w:p>
      <w:pPr>
        <w:jc w:val="both"/>
        <w:ind w:left="120" w:firstLine="747"/>
        <w:spacing w:after="0" w:line="243"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Compliance Certificate is not delivered when due in accordance with such Section, then, upon the request of the Required Term Loan Lenders (in the case of the Term Loan Facility) or the Required Revolving Credit Lenders (in the case of the Revolving Credit Facility), as the case may be, Pricing Level V shall apply in respect of the Term Loan Facility and the Revolving Credit Facility, as applicable, in each case as of the first Business Day after the date on which such Compliance Certificate was required to have been delivered until the first Business Day after such Compliance Certificate is delivered. The Applicable Rate in effect from the Amendment No. 2 Effective Date until the first Business Day following the delivery of the Compliance Certificate for the fiscal quarter ending December 31, 2021, shall be determined based upon Pricing Level III.</w:t>
      </w:r>
    </w:p>
    <w:p>
      <w:pPr>
        <w:spacing w:after="0" w:line="199"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means with respect to any Revolving Credit Lender at any time, such Revolving Credit Lender’s Applicable Percentage in respect of the Revolving Credit Facility at such time.</w:t>
      </w:r>
    </w:p>
    <w:p>
      <w:pPr>
        <w:spacing w:after="0" w:line="186" w:lineRule="exact"/>
        <w:rPr>
          <w:sz w:val="20"/>
          <w:szCs w:val="20"/>
          <w:color w:val="auto"/>
        </w:rPr>
      </w:pPr>
    </w:p>
    <w:p>
      <w:pPr>
        <w:jc w:val="both"/>
        <w:ind w:left="120" w:right="20" w:firstLine="74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Time</w:t>
      </w:r>
      <w:r>
        <w:rPr>
          <w:rFonts w:ascii="Times New Roman" w:cs="Times New Roman" w:eastAsia="Times New Roman" w:hAnsi="Times New Roman"/>
          <w:sz w:val="19"/>
          <w:szCs w:val="19"/>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0" w:right="20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6"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MarkitClear or other electronic platform) approved by the Administrative Agent.</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9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for the fiscal year ended December 31, 2018, and the related consolidated statements of income or operations, shareholders’ equity and cash flows for such fiscal year of the Company and its Subsidiaries, including the notes thereto.</w:t>
      </w:r>
    </w:p>
    <w:p>
      <w:pPr>
        <w:spacing w:after="0" w:line="201"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(b) the date of termination of the Aggregate Revolving Credit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Revolving Credit Lender to make Revolving Credit Loans and of the obligation of each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for any day a fluctuating rate of interest per annum equal to the highest of</w:t>
      </w:r>
    </w:p>
    <w:p>
      <w:pPr>
        <w:spacing w:after="0" w:line="22" w:lineRule="exact"/>
        <w:rPr>
          <w:sz w:val="20"/>
          <w:szCs w:val="20"/>
          <w:color w:val="auto"/>
        </w:rPr>
      </w:pPr>
    </w:p>
    <w:p>
      <w:pPr>
        <w:jc w:val="both"/>
        <w:ind w:left="120" w:hanging="8"/>
        <w:spacing w:after="0"/>
        <w:tabs>
          <w:tab w:leader="none" w:pos="86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Federal Funds Rate plus 1/2 of 1%, (b) the rate of interest in effect for such day as publicly announced from time to time by Bank of America as its “prime rate,” (c) Daily Simple SOFR for such date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are only available to U.S.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Borrowers and shall be denominated in Dollars.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Revolving Credit Loan</w:t>
      </w:r>
      <w:r>
        <w:rPr>
          <w:rFonts w:ascii="Times New Roman" w:cs="Times New Roman" w:eastAsia="Times New Roman" w:hAnsi="Times New Roman"/>
          <w:sz w:val="20"/>
          <w:szCs w:val="20"/>
          <w:color w:val="auto"/>
        </w:rPr>
        <w:t>” means a Revolving Credit Loan that is a Base Rate Loan.</w:t>
      </w:r>
    </w:p>
    <w:p>
      <w:pPr>
        <w:spacing w:after="0" w:line="202" w:lineRule="exact"/>
        <w:rPr>
          <w:sz w:val="20"/>
          <w:szCs w:val="20"/>
          <w:color w:val="auto"/>
        </w:rPr>
      </w:pPr>
    </w:p>
    <w:p>
      <w:pPr>
        <w:ind w:left="120" w:right="78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 hereto.</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0" w:right="76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a Swing Line Borrowing or a Term Loan Borrowing, as the context may require.</w:t>
      </w:r>
    </w:p>
    <w:p>
      <w:pPr>
        <w:spacing w:after="0" w:line="159" w:lineRule="exact"/>
        <w:rPr>
          <w:sz w:val="20"/>
          <w:szCs w:val="20"/>
          <w:color w:val="auto"/>
        </w:rPr>
      </w:pPr>
    </w:p>
    <w:p>
      <w:pPr>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73" w:lineRule="exact"/>
        <w:rPr>
          <w:sz w:val="20"/>
          <w:szCs w:val="20"/>
          <w:color w:val="auto"/>
        </w:rPr>
      </w:pPr>
    </w:p>
    <w:p>
      <w:pPr>
        <w:jc w:val="both"/>
        <w:ind w:left="860" w:firstLine="749"/>
        <w:spacing w:after="0" w:line="249" w:lineRule="auto"/>
        <w:tabs>
          <w:tab w:leader="none" w:pos="234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93" w:lineRule="exact"/>
        <w:rPr>
          <w:rFonts w:ascii="Times New Roman" w:cs="Times New Roman" w:eastAsia="Times New Roman" w:hAnsi="Times New Roman"/>
          <w:sz w:val="20"/>
          <w:szCs w:val="20"/>
          <w:color w:val="auto"/>
        </w:rPr>
      </w:pPr>
    </w:p>
    <w:p>
      <w:pPr>
        <w:jc w:val="both"/>
        <w:ind w:left="860" w:firstLine="750"/>
        <w:spacing w:after="0" w:line="254" w:lineRule="auto"/>
        <w:tabs>
          <w:tab w:leader="none" w:pos="23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201" w:lineRule="exact"/>
        <w:rPr>
          <w:rFonts w:ascii="Times New Roman" w:cs="Times New Roman" w:eastAsia="Times New Roman" w:hAnsi="Times New Roman"/>
          <w:sz w:val="20"/>
          <w:szCs w:val="20"/>
          <w:color w:val="auto"/>
        </w:rPr>
      </w:pPr>
    </w:p>
    <w:p>
      <w:pPr>
        <w:jc w:val="both"/>
        <w:ind w:left="860" w:firstLine="749"/>
        <w:spacing w:after="0" w:line="246" w:lineRule="auto"/>
        <w:tabs>
          <w:tab w:leader="none" w:pos="234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 the lawful currency of Canada.</w:t>
      </w:r>
    </w:p>
    <w:p>
      <w:pPr>
        <w:spacing w:after="0" w:line="216"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88" w:lineRule="exact"/>
        <w:rPr>
          <w:sz w:val="20"/>
          <w:szCs w:val="20"/>
          <w:color w:val="auto"/>
        </w:rPr>
      </w:pPr>
    </w:p>
    <w:p>
      <w:pPr>
        <w:jc w:val="both"/>
        <w:ind w:left="120" w:firstLine="747"/>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one or more of the L/C Issuers, the Revolving Credit Lenders or PSLOC Banks, as collateral for L/C Obligations, Secured Permitted Standalone Letters of Credit or obligations of the Revolving Credit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firstLine="741"/>
        <w:spacing w:after="0" w:line="254" w:lineRule="auto"/>
        <w:tabs>
          <w:tab w:leader="none" w:pos="160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187" w:lineRule="exact"/>
        <w:rPr>
          <w:rFonts w:ascii="Times New Roman" w:cs="Times New Roman" w:eastAsia="Times New Roman" w:hAnsi="Times New Roman"/>
          <w:sz w:val="20"/>
          <w:szCs w:val="20"/>
          <w:color w:val="auto"/>
        </w:rPr>
      </w:pPr>
    </w:p>
    <w:p>
      <w:pPr>
        <w:jc w:val="both"/>
        <w:ind w:left="120" w:firstLine="741"/>
        <w:spacing w:after="0" w:line="250" w:lineRule="auto"/>
        <w:tabs>
          <w:tab w:leader="none" w:pos="160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 (A) is a Lender or (B) is organized under the laws of the United States, any state thereof or the District of Columbia or is the principal banking</w:t>
      </w:r>
    </w:p>
    <w:p>
      <w:pPr>
        <w:spacing w:after="0" w:line="2"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0"/>
          <w:szCs w:val="20"/>
          <w:color w:val="auto"/>
        </w:rPr>
        <w:t xml:space="preserve">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definition and (iii) has combined capital and surplus of at least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$1,000,000,000, in each case with maturities of not more than 90 days from the date of acquisition thereof;</w:t>
      </w:r>
    </w:p>
    <w:p>
      <w:pPr>
        <w:spacing w:after="0" w:line="221" w:lineRule="exact"/>
        <w:rPr>
          <w:sz w:val="20"/>
          <w:szCs w:val="20"/>
          <w:color w:val="auto"/>
        </w:rPr>
      </w:pPr>
    </w:p>
    <w:p>
      <w:pPr>
        <w:jc w:val="both"/>
        <w:ind w:left="120" w:firstLine="741"/>
        <w:spacing w:after="0" w:line="254" w:lineRule="auto"/>
        <w:tabs>
          <w:tab w:leader="none" w:pos="16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187" w:lineRule="exact"/>
        <w:rPr>
          <w:rFonts w:ascii="Times New Roman" w:cs="Times New Roman" w:eastAsia="Times New Roman" w:hAnsi="Times New Roman"/>
          <w:sz w:val="20"/>
          <w:szCs w:val="20"/>
          <w:color w:val="auto"/>
        </w:rPr>
      </w:pPr>
    </w:p>
    <w:p>
      <w:pPr>
        <w:jc w:val="both"/>
        <w:ind w:left="120" w:firstLine="741"/>
        <w:spacing w:after="0" w:line="249" w:lineRule="auto"/>
        <w:tabs>
          <w:tab w:leader="none" w:pos="16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w:t>
      </w:r>
    </w:p>
    <w:p>
      <w:pPr>
        <w:spacing w:after="0" w:line="180"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93"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CECO B.V.</w:t>
      </w:r>
      <w:r>
        <w:rPr>
          <w:rFonts w:ascii="Times New Roman" w:cs="Times New Roman" w:eastAsia="Times New Roman" w:hAnsi="Times New Roman"/>
          <w:sz w:val="20"/>
          <w:szCs w:val="20"/>
          <w:color w:val="auto"/>
        </w:rPr>
        <w:t>” means CECO Environmental Netherlands B.V., a private limited company incorporated in the Netherlands.</w:t>
      </w:r>
    </w:p>
    <w:p>
      <w:pPr>
        <w:spacing w:after="0" w:line="229" w:lineRule="exact"/>
        <w:rPr>
          <w:sz w:val="20"/>
          <w:szCs w:val="20"/>
          <w:color w:val="auto"/>
        </w:rPr>
      </w:pPr>
    </w:p>
    <w:p>
      <w:pPr>
        <w:jc w:val="both"/>
        <w:ind w:left="120" w:firstLine="74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Amendment No. 2 Effective Date,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02" w:lineRule="exact"/>
        <w:rPr>
          <w:sz w:val="20"/>
          <w:szCs w:val="20"/>
          <w:color w:val="auto"/>
        </w:rPr>
      </w:pPr>
    </w:p>
    <w:p>
      <w:pPr>
        <w:jc w:val="both"/>
        <w:ind w:left="860" w:firstLine="750"/>
        <w:spacing w:after="0" w:line="243" w:lineRule="auto"/>
        <w:tabs>
          <w:tab w:leader="none" w:pos="234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0"/>
          <w:szCs w:val="20"/>
          <w:u w:val="single" w:color="auto"/>
          <w:color w:val="auto"/>
        </w:rPr>
        <w:t>option right</w:t>
      </w:r>
      <w:r>
        <w:rPr>
          <w:rFonts w:ascii="Times New Roman" w:cs="Times New Roman" w:eastAsia="Times New Roman" w:hAnsi="Times New Roman"/>
          <w:sz w:val="20"/>
          <w:szCs w:val="20"/>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212" w:lineRule="exact"/>
        <w:rPr>
          <w:rFonts w:ascii="Times New Roman" w:cs="Times New Roman" w:eastAsia="Times New Roman" w:hAnsi="Times New Roman"/>
          <w:sz w:val="20"/>
          <w:szCs w:val="20"/>
          <w:color w:val="auto"/>
        </w:rPr>
      </w:pPr>
    </w:p>
    <w:p>
      <w:pPr>
        <w:jc w:val="both"/>
        <w:ind w:left="860" w:firstLine="749"/>
        <w:spacing w:after="0" w:line="244" w:lineRule="auto"/>
        <w:tabs>
          <w:tab w:leader="none" w:pos="234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w:t>
      </w:r>
    </w:p>
    <w:p>
      <w:pPr>
        <w:spacing w:after="0" w:line="199" w:lineRule="exact"/>
        <w:rPr>
          <w:sz w:val="20"/>
          <w:szCs w:val="20"/>
          <w:color w:val="auto"/>
        </w:rPr>
      </w:pPr>
    </w:p>
    <w:p>
      <w:pPr>
        <w:ind w:left="120" w:right="60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02"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59"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Term Loan Commitment or a Revolving Credit Commitment, as the context may require.</w:t>
      </w:r>
    </w:p>
    <w:p>
      <w:pPr>
        <w:spacing w:after="0" w:line="243"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Guaranty</w:t>
      </w:r>
      <w:r>
        <w:rPr>
          <w:rFonts w:ascii="Times New Roman" w:cs="Times New Roman" w:eastAsia="Times New Roman" w:hAnsi="Times New Roman"/>
          <w:sz w:val="20"/>
          <w:szCs w:val="20"/>
          <w:color w:val="auto"/>
        </w:rPr>
        <w:t>” means the Amended and Restated Company Guaranty Agreement dated as of the Closing Date, made by the Company in favor of the Administrative Agent for the benefit of the Secured Parties.</w:t>
      </w:r>
    </w:p>
    <w:p>
      <w:pPr>
        <w:spacing w:after="0" w:line="17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 any Person (a “</w:t>
      </w:r>
      <w:r>
        <w:rPr>
          <w:rFonts w:ascii="Times New Roman" w:cs="Times New Roman" w:eastAsia="Times New Roman" w:hAnsi="Times New Roman"/>
          <w:sz w:val="20"/>
          <w:szCs w:val="20"/>
          <w:u w:val="single" w:color="auto"/>
          <w:color w:val="auto"/>
        </w:rPr>
        <w:t>Direct Competitor</w:t>
      </w:r>
      <w:r>
        <w:rPr>
          <w:rFonts w:ascii="Times New Roman" w:cs="Times New Roman" w:eastAsia="Times New Roman" w:hAnsi="Times New Roman"/>
          <w:sz w:val="20"/>
          <w:szCs w:val="20"/>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2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SONIA or any proposed Successor Rate for an Agreed Currency, Daily Simple SOFR or Term SOFR, as applicable, any conforming changes to the definitions of “Base Rate”, “SOFR”, “SONIA”, “Daily Simple SOFR”, “Term SOFR”, “Interest Period”,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20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8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for the Company and its Restricted Subsidiaries on a consolidated basis,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 amount equal to:</w:t>
      </w:r>
    </w:p>
    <w:p>
      <w:pPr>
        <w:spacing w:after="0" w:line="159" w:lineRule="exact"/>
        <w:rPr>
          <w:sz w:val="20"/>
          <w:szCs w:val="20"/>
          <w:color w:val="auto"/>
        </w:rPr>
      </w:pPr>
    </w:p>
    <w:p>
      <w:pPr>
        <w:ind w:left="2000" w:hanging="391"/>
        <w:spacing w:after="0"/>
        <w:tabs>
          <w:tab w:leader="none" w:pos="20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8" w:lineRule="exact"/>
        <w:rPr>
          <w:rFonts w:ascii="Times New Roman" w:cs="Times New Roman" w:eastAsia="Times New Roman" w:hAnsi="Times New Roman"/>
          <w:sz w:val="20"/>
          <w:szCs w:val="20"/>
          <w:color w:val="auto"/>
        </w:rPr>
      </w:pPr>
    </w:p>
    <w:p>
      <w:pPr>
        <w:ind w:left="2300" w:hanging="691"/>
        <w:spacing w:after="0"/>
        <w:tabs>
          <w:tab w:leader="none" w:pos="2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deducted in calculating such Consolidated Net Income (without duplication):</w:t>
      </w:r>
    </w:p>
    <w:p>
      <w:pPr>
        <w:spacing w:after="0" w:line="213" w:lineRule="exact"/>
        <w:rPr>
          <w:rFonts w:ascii="Times New Roman" w:cs="Times New Roman" w:eastAsia="Times New Roman" w:hAnsi="Times New Roman"/>
          <w:sz w:val="20"/>
          <w:szCs w:val="20"/>
          <w:color w:val="auto"/>
        </w:rPr>
      </w:pPr>
    </w:p>
    <w:p>
      <w:pPr>
        <w:ind w:left="3060" w:hanging="702"/>
        <w:spacing w:after="0"/>
        <w:tabs>
          <w:tab w:leader="none" w:pos="30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Charges for such period,</w:t>
      </w:r>
    </w:p>
    <w:p>
      <w:pPr>
        <w:spacing w:after="0" w:line="242" w:lineRule="exact"/>
        <w:rPr>
          <w:rFonts w:ascii="Times New Roman" w:cs="Times New Roman" w:eastAsia="Times New Roman" w:hAnsi="Times New Roman"/>
          <w:sz w:val="20"/>
          <w:szCs w:val="20"/>
          <w:color w:val="auto"/>
        </w:rPr>
      </w:pPr>
    </w:p>
    <w:p>
      <w:pPr>
        <w:ind w:left="1600" w:firstLine="758"/>
        <w:spacing w:after="0" w:line="269" w:lineRule="auto"/>
        <w:tabs>
          <w:tab w:leader="none" w:pos="303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 by the Company and its Restricted Subsidiaries for such period,</w:t>
      </w:r>
    </w:p>
    <w:p>
      <w:pPr>
        <w:spacing w:after="0" w:line="172" w:lineRule="exact"/>
        <w:rPr>
          <w:rFonts w:ascii="Times New Roman" w:cs="Times New Roman" w:eastAsia="Times New Roman" w:hAnsi="Times New Roman"/>
          <w:sz w:val="20"/>
          <w:szCs w:val="20"/>
          <w:color w:val="auto"/>
        </w:rPr>
      </w:pPr>
    </w:p>
    <w:p>
      <w:pPr>
        <w:ind w:left="3100" w:hanging="742"/>
        <w:spacing w:after="0"/>
        <w:tabs>
          <w:tab w:leader="none" w:pos="31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15" w:lineRule="exact"/>
        <w:rPr>
          <w:rFonts w:ascii="Times New Roman" w:cs="Times New Roman" w:eastAsia="Times New Roman" w:hAnsi="Times New Roman"/>
          <w:sz w:val="20"/>
          <w:szCs w:val="20"/>
          <w:color w:val="auto"/>
        </w:rPr>
      </w:pPr>
    </w:p>
    <w:p>
      <w:pPr>
        <w:ind w:left="1600" w:firstLine="758"/>
        <w:spacing w:after="0" w:line="269" w:lineRule="auto"/>
        <w:tabs>
          <w:tab w:leader="none" w:pos="303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“earn-out” or deferred purchase price and similar expenses in connection with Investments permitted hereby that reduced Consolidated Net Income for such period,</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600" w:firstLine="758"/>
        <w:spacing w:after="0" w:line="245" w:lineRule="auto"/>
        <w:tabs>
          <w:tab w:leader="none" w:pos="30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non-recurring cash expenses (including, without limitation, as part of a restructuring, business optimization, consolidation, relocation or integration);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permitted to be added back pursuant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with respect to any particular period of four consecutive fiscal quarters shall not exceed the greater of (A) $5,000,000 or (B) 10% of Consolidated EBITDA for such period (calculated without giving effect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1.07(b)</w:t>
      </w:r>
      <w:r>
        <w:rPr>
          <w:rFonts w:ascii="Times New Roman" w:cs="Times New Roman" w:eastAsia="Times New Roman" w:hAnsi="Times New Roman"/>
          <w:sz w:val="20"/>
          <w:szCs w:val="20"/>
          <w:color w:val="auto"/>
        </w:rPr>
        <w:t xml:space="preserve"> or the last paragraph of this definition which deems Consolidated EBITDA to be a certain amount for certain fiscal quarters),</w:t>
      </w:r>
    </w:p>
    <w:p>
      <w:pPr>
        <w:spacing w:after="0" w:line="184" w:lineRule="exact"/>
        <w:rPr>
          <w:rFonts w:ascii="Times New Roman" w:cs="Times New Roman" w:eastAsia="Times New Roman" w:hAnsi="Times New Roman"/>
          <w:sz w:val="20"/>
          <w:szCs w:val="20"/>
          <w:color w:val="auto"/>
        </w:rPr>
      </w:pPr>
    </w:p>
    <w:p>
      <w:pPr>
        <w:jc w:val="both"/>
        <w:ind w:left="1600" w:firstLine="758"/>
        <w:spacing w:after="0" w:line="254" w:lineRule="auto"/>
        <w:tabs>
          <w:tab w:leader="none" w:pos="30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associated with foreign exchange remeasurements;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permitted to be added back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with respect to any particular period of four consecutive fiscal quarters shall not exceed $1,000,000,</w:t>
      </w:r>
    </w:p>
    <w:p>
      <w:pPr>
        <w:spacing w:after="0" w:line="187" w:lineRule="exact"/>
        <w:rPr>
          <w:rFonts w:ascii="Times New Roman" w:cs="Times New Roman" w:eastAsia="Times New Roman" w:hAnsi="Times New Roman"/>
          <w:sz w:val="20"/>
          <w:szCs w:val="20"/>
          <w:color w:val="auto"/>
        </w:rPr>
      </w:pPr>
    </w:p>
    <w:p>
      <w:pPr>
        <w:jc w:val="both"/>
        <w:ind w:left="1600" w:firstLine="758"/>
        <w:spacing w:after="0" w:line="254" w:lineRule="auto"/>
        <w:tabs>
          <w:tab w:leader="none" w:pos="30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187" w:lineRule="exact"/>
        <w:rPr>
          <w:rFonts w:ascii="Times New Roman" w:cs="Times New Roman" w:eastAsia="Times New Roman" w:hAnsi="Times New Roman"/>
          <w:sz w:val="20"/>
          <w:szCs w:val="20"/>
          <w:color w:val="auto"/>
        </w:rPr>
      </w:pPr>
    </w:p>
    <w:p>
      <w:pPr>
        <w:ind w:left="1600" w:firstLine="758"/>
        <w:spacing w:after="0" w:line="269" w:lineRule="auto"/>
        <w:tabs>
          <w:tab w:leader="none" w:pos="30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incurred in connection with this Agreement and the transactions contemplated hereby,</w:t>
      </w:r>
    </w:p>
    <w:p>
      <w:pPr>
        <w:spacing w:after="0" w:line="186" w:lineRule="exact"/>
        <w:rPr>
          <w:rFonts w:ascii="Times New Roman" w:cs="Times New Roman" w:eastAsia="Times New Roman" w:hAnsi="Times New Roman"/>
          <w:sz w:val="20"/>
          <w:szCs w:val="20"/>
          <w:color w:val="auto"/>
        </w:rPr>
      </w:pPr>
    </w:p>
    <w:p>
      <w:pPr>
        <w:jc w:val="both"/>
        <w:ind w:left="1600" w:firstLine="758"/>
        <w:spacing w:after="0" w:line="249" w:lineRule="auto"/>
        <w:tabs>
          <w:tab w:leader="none" w:pos="30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193" w:lineRule="exact"/>
        <w:rPr>
          <w:rFonts w:ascii="Times New Roman" w:cs="Times New Roman" w:eastAsia="Times New Roman" w:hAnsi="Times New Roman"/>
          <w:sz w:val="20"/>
          <w:szCs w:val="20"/>
          <w:color w:val="auto"/>
        </w:rPr>
      </w:pPr>
    </w:p>
    <w:p>
      <w:pPr>
        <w:jc w:val="both"/>
        <w:ind w:left="1600" w:firstLine="758"/>
        <w:spacing w:after="0" w:line="254" w:lineRule="auto"/>
        <w:tabs>
          <w:tab w:leader="none" w:pos="30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1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2360" w:hanging="751"/>
        <w:spacing w:after="0"/>
        <w:tabs>
          <w:tab w:leader="none" w:pos="2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included in calculating such Consolidated Net Income:</w:t>
      </w:r>
    </w:p>
    <w:p>
      <w:pPr>
        <w:spacing w:after="0" w:line="242" w:lineRule="exact"/>
        <w:rPr>
          <w:rFonts w:ascii="Times New Roman" w:cs="Times New Roman" w:eastAsia="Times New Roman" w:hAnsi="Times New Roman"/>
          <w:sz w:val="20"/>
          <w:szCs w:val="20"/>
          <w:color w:val="auto"/>
        </w:rPr>
      </w:pPr>
    </w:p>
    <w:p>
      <w:pPr>
        <w:ind w:left="3040" w:hanging="682"/>
        <w:spacing w:after="0"/>
        <w:tabs>
          <w:tab w:leader="none" w:pos="304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state, local and foreign income tax credits of the Company and its Restricted Subsidiaries for</w:t>
      </w:r>
    </w:p>
    <w:p>
      <w:pPr>
        <w:spacing w:after="0" w:line="33" w:lineRule="exact"/>
        <w:rPr>
          <w:rFonts w:ascii="Times New Roman" w:cs="Times New Roman" w:eastAsia="Times New Roman" w:hAnsi="Times New Roman"/>
          <w:sz w:val="19"/>
          <w:szCs w:val="19"/>
          <w:color w:val="auto"/>
        </w:rPr>
      </w:pPr>
    </w:p>
    <w:p>
      <w:pPr>
        <w:ind w:left="16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such period,</w:t>
      </w:r>
    </w:p>
    <w:p>
      <w:pPr>
        <w:spacing w:after="0" w:line="207" w:lineRule="exact"/>
        <w:rPr>
          <w:rFonts w:ascii="Times New Roman" w:cs="Times New Roman" w:eastAsia="Times New Roman" w:hAnsi="Times New Roman"/>
          <w:sz w:val="19"/>
          <w:szCs w:val="19"/>
          <w:color w:val="auto"/>
        </w:rPr>
      </w:pPr>
    </w:p>
    <w:p>
      <w:pPr>
        <w:ind w:left="3100" w:hanging="742"/>
        <w:spacing w:after="0"/>
        <w:tabs>
          <w:tab w:leader="none" w:pos="31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benefit associated with foreign exchange remeasurements, and</w:t>
      </w:r>
    </w:p>
    <w:p>
      <w:pPr>
        <w:spacing w:after="0" w:line="215" w:lineRule="exact"/>
        <w:rPr>
          <w:rFonts w:ascii="Times New Roman" w:cs="Times New Roman" w:eastAsia="Times New Roman" w:hAnsi="Times New Roman"/>
          <w:sz w:val="20"/>
          <w:szCs w:val="20"/>
          <w:color w:val="auto"/>
        </w:rPr>
      </w:pPr>
    </w:p>
    <w:p>
      <w:pPr>
        <w:ind w:left="3100" w:hanging="742"/>
        <w:spacing w:after="0"/>
        <w:tabs>
          <w:tab w:leader="none" w:pos="31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items increasing Consolidated Net Income for such period.</w:t>
      </w:r>
    </w:p>
    <w:p>
      <w:pPr>
        <w:spacing w:after="0" w:line="24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solely for purposes of determining compliance with the maintenance financial covenants pursuant to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not for any other purpose (including, without limitation, any incurrence tests or determining the Applicable Rate), for each four-quarter period ending next following the consummation of the General Rubber Joint Venture Investment, Consolidated EBITDA shall be increased by an amount equal to (a) $3,500,000, in the case of the first such four-quarter period, (b)</w:t>
      </w:r>
    </w:p>
    <w:p>
      <w:pPr>
        <w:spacing w:after="0" w:line="1"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$2,625,000, in the case of the second such four-quarter period, (c) $1,750,000, in the case of the third such four-quarter period and (d) $875,000, in the fourth such four-quarter period, in each case net of any cash dividends or distributions received by the Company or any of its Restricted Subsidiaries on account of the General Rubber Joint Venture Investment and only to the extent that the Administrative Agent has</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completed a reasonably satisfactory review of the final quality of earnings report with respect to the Person contemplated to be acquired with the proceeds of the General Rubber Joint Venture Investment and the results of the relevant joint venture are not otherwise included in the results of the Company and its Restricted Subsidiaries (e.g. the joint venture entity is a Restricted Subsidiary); it being agreed and acknowledged that the form and scope of the draft quality of earnings report shared with the Administrative Agent on December 6, 2021 is reasonably satisfactory to the Administrative Agent.</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means, as of any date of determination, the ratio of</w:t>
      </w:r>
    </w:p>
    <w:p>
      <w:pPr>
        <w:spacing w:after="0" w:line="22" w:lineRule="exact"/>
        <w:rPr>
          <w:sz w:val="20"/>
          <w:szCs w:val="20"/>
          <w:color w:val="auto"/>
        </w:rPr>
      </w:pPr>
    </w:p>
    <w:p>
      <w:pPr>
        <w:jc w:val="both"/>
        <w:ind w:left="120" w:hanging="9"/>
        <w:spacing w:after="0"/>
        <w:tabs>
          <w:tab w:leader="none" w:pos="44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remainder of (i) Consolidated EBITDA for the period of the four fiscal quarters most recently ended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Capital Expenditures during such period (excluding (A) Capital Expenditures constituting payments in respect of capital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Federal, state, localand foreign income taxes paid by the Company and its Restricted Subsidiaries during such period to (b) Consolidated Fixed Charges for such period.</w:t>
      </w:r>
    </w:p>
    <w:p>
      <w:pPr>
        <w:spacing w:after="0" w:line="218"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Charges</w:t>
      </w:r>
      <w:r>
        <w:rPr>
          <w:rFonts w:ascii="Times New Roman" w:cs="Times New Roman" w:eastAsia="Times New Roman" w:hAnsi="Times New Roman"/>
          <w:sz w:val="20"/>
          <w:szCs w:val="20"/>
          <w:color w:val="auto"/>
        </w:rPr>
        <w:t xml:space="preserve">” means, for any period, for the Company and its Restricted Subsidiaries on a consolidated basis, the sum of (a) Consolidated Interest Charges paid in cash during such period, (b) scheduled principal payments of Consolidated Funded Indebtedness during such period (it being acknowledged and agreed that, solely for purposes of calculating the foregoing, (i) scheduled principal payments of Consolidated Funded Indebtedness (other than in respect of the Term Loans) shall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and (ii) scheduled principal payments of the Term Loans shall be those set forth on </w:t>
      </w:r>
      <w:r>
        <w:rPr>
          <w:rFonts w:ascii="Times New Roman" w:cs="Times New Roman" w:eastAsia="Times New Roman" w:hAnsi="Times New Roman"/>
          <w:sz w:val="20"/>
          <w:szCs w:val="20"/>
          <w:u w:val="single" w:color="auto"/>
          <w:color w:val="auto"/>
        </w:rPr>
        <w:t>Schedule 2.07(a)</w:t>
      </w:r>
      <w:r>
        <w:rPr>
          <w:rFonts w:ascii="Times New Roman" w:cs="Times New Roman" w:eastAsia="Times New Roman" w:hAnsi="Times New Roman"/>
          <w:sz w:val="20"/>
          <w:szCs w:val="20"/>
          <w:color w:val="auto"/>
        </w:rPr>
        <w:t xml:space="preserve"> as of the Amendment No. 2 Effective Date, except that, to the extent any prepayment of the Term Loans is made after the Amendment No. 2 Effective Date, such scheduled principal payments shall be reduced by an amount equal to the lesser of (A) the actual reduction to such scheduled principal payments from such prepayment and (B) the amount by which such scheduled principal payment would have been reduced if the prepayment had been applied on a pro rata basis to all remaining scheduled principal payments (including the final payment due at maturity) of the Term Loans (regardless of the actual application of such prepayment), (c) dividends and distributions paid in cash by the Company to its shareholders or cash redemptions by the Company of its Equity Interests during such period and (d) any “earn-out” or deferred purchase price and similar payments in connection with Investments that are paid in cash during such period.</w:t>
      </w:r>
    </w:p>
    <w:p>
      <w:pPr>
        <w:spacing w:after="0" w:line="208" w:lineRule="exact"/>
        <w:rPr>
          <w:sz w:val="20"/>
          <w:szCs w:val="20"/>
          <w:color w:val="auto"/>
        </w:rPr>
      </w:pPr>
    </w:p>
    <w:p>
      <w:pPr>
        <w:jc w:val="both"/>
        <w:ind w:left="120" w:firstLine="747"/>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Indebtedness</w:t>
      </w:r>
      <w:r>
        <w:rPr>
          <w:rFonts w:ascii="Times New Roman" w:cs="Times New Roman" w:eastAsia="Times New Roman" w:hAnsi="Times New Roman"/>
          <w:sz w:val="19"/>
          <w:szCs w:val="19"/>
          <w:color w:val="auto"/>
        </w:rPr>
        <w:t>”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 based bank guarantees, (iii) performance-based surety bonds on which no claims have been asserted and</w:t>
      </w:r>
    </w:p>
    <w:p>
      <w:pPr>
        <w:spacing w:after="0" w:line="4" w:lineRule="exact"/>
        <w:rPr>
          <w:sz w:val="20"/>
          <w:szCs w:val="20"/>
          <w:color w:val="auto"/>
        </w:rPr>
      </w:pPr>
    </w:p>
    <w:p>
      <w:pPr>
        <w:jc w:val="both"/>
        <w:ind w:left="120" w:hanging="8"/>
        <w:spacing w:after="0" w:line="241" w:lineRule="auto"/>
        <w:tabs>
          <w:tab w:leader="none" w:pos="91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 xml:space="preserve">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 leases and Synthetic Lease Obligations (for the purpose of calculating the Consolidated Net Leverage Ratio only, excluding (i) the Specified Existing Capital Leases and (ii) any Attributable Indebtedness from capital leases arising from any sale-leaseback transaction permitted hereunder the Net Cash Proceeds of which are used substantially contemporaneously with the receipt thereof to prepay Term Loans hereunder pursuant to </w:t>
      </w:r>
      <w:r>
        <w:rPr>
          <w:rFonts w:ascii="Times New Roman" w:cs="Times New Roman" w:eastAsia="Times New Roman" w:hAnsi="Times New Roman"/>
          <w:sz w:val="19"/>
          <w:szCs w:val="19"/>
          <w:u w:val="single" w:color="auto"/>
          <w:color w:val="auto"/>
        </w:rPr>
        <w:t>Section 2.05(b)(i)</w:t>
      </w:r>
      <w:r>
        <w:rPr>
          <w:rFonts w:ascii="Times New Roman" w:cs="Times New Roman" w:eastAsia="Times New Roman" w:hAnsi="Times New Roman"/>
          <w:sz w:val="19"/>
          <w:szCs w:val="19"/>
          <w:color w:val="auto"/>
        </w:rPr>
        <w:t>), (f) without duplication, all Guarantees with respect to outstanding Indebtedness of the types specified in clauses (a) through (e) above of Persons other than the Company or any Restricted Subsidiary, and</w:t>
      </w:r>
    </w:p>
    <w:p>
      <w:pPr>
        <w:spacing w:after="0" w:line="4" w:lineRule="exact"/>
        <w:rPr>
          <w:sz w:val="20"/>
          <w:szCs w:val="20"/>
          <w:color w:val="auto"/>
        </w:rPr>
      </w:pPr>
    </w:p>
    <w:p>
      <w:pPr>
        <w:jc w:val="both"/>
        <w:ind w:left="120" w:hanging="9"/>
        <w:spacing w:after="0"/>
        <w:tabs>
          <w:tab w:leader="none" w:pos="40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205"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xml:space="preserve">”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 leases (subject to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that is treated as interest in accordance with GAAP.</w:t>
      </w:r>
    </w:p>
    <w:p>
      <w:pPr>
        <w:spacing w:after="0" w:line="184"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for the Company and its Restricted Subsidiaries on a consolidated basis,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the net income (or loss) of the Company and its Restricted Subsidiaries for such period determined on a consolidated basis in accordance with GAAP, but excluding therefrom (to the extent otherwise included therein) (a) any extraordinary gains or losses, (b) any gains attributable to a sale of assets (other than inventory sold in the ordinary course of business) and the write- up of assets, (c) any equity interest of the Company or any Restricted Subsidiary of the Company in the unremitted earnings of any Person that is not a Restricted Subsidiary, (d) the net income of any Restricted Subsidiary to the extent that the declaration or payment of dividends or similar distributions by such Restricted Subsidiary of such income is not permitted by operation of the terms of its Organization Documents or any agreement, instrument or Law applicable to such Restricted Subsidiary, except that the Company’s equity in any net loss of any such Restricted Subsidiary shall be included in determining Consolidated Net Income and (e) any income (or loss) of any Person accrued prior to the date it becomes a Restricted Subsidiary or is merged into or consolidated with the Company or any Restricted Subsidiary or the date that such Person’s assets are acquired by the Company or any 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to the extent not already included therein, Consolidated Net Income for any period shall be increased by the amount of cash dividends or other distributions actually paid to the Company or any Restricted Subsidiary by any Person that is not a Restricted Subsidiary during such period in respect of the income earned by such Person in such period or in any prior period (to the extent not previously included in Consolidated Net Income) (and in the case of a dividend or other distribution to a Restricted Subsidiary, such Restricted Subsidiary is not precluded from further distributing such amount to the Company as described in the foregoing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20" w:right="40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as of any date of determination, the ratio of (a) the difference of (i) Consolidated Funded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100% of unrestricted cash or</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580"/>
        <w:spacing w:after="0" w:line="269" w:lineRule="auto"/>
        <w:rPr>
          <w:sz w:val="20"/>
          <w:szCs w:val="20"/>
          <w:color w:val="auto"/>
        </w:rPr>
      </w:pPr>
      <w:r>
        <w:rPr>
          <w:rFonts w:ascii="Times New Roman" w:cs="Times New Roman" w:eastAsia="Times New Roman" w:hAnsi="Times New Roman"/>
          <w:sz w:val="20"/>
          <w:szCs w:val="20"/>
          <w:color w:val="auto"/>
        </w:rPr>
        <w:t>Cash Equivalents of the Loan Parties maintained in the United States or Canada with a Lender to (b) Consolidated EBITDA for the period of the four fiscal quarters most recently ended.</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any date of determination, the net book value of all assets of the Company and its Subsidiaries on such date determined on a consolidated basis in accordance with GAAP.</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0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means the rate per annum equal to SOFR determined for any day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Daily Simple SOFR Adjustment. Any change in Daily Simple SOFR shall be effective from and including the date of such change without further notice. If the rate as sodetermined would be less than zero, such rate shall be deemed to be zero for purposes of this Agreement.</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Adjustment</w:t>
      </w:r>
      <w:r>
        <w:rPr>
          <w:rFonts w:ascii="Times New Roman" w:cs="Times New Roman" w:eastAsia="Times New Roman" w:hAnsi="Times New Roman"/>
          <w:sz w:val="20"/>
          <w:szCs w:val="20"/>
          <w:color w:val="auto"/>
        </w:rPr>
        <w:t>” means, with respect to Daily Simple SOFR, 0.11448% (11.448 basis points).</w:t>
      </w:r>
    </w:p>
    <w:p>
      <w:pPr>
        <w:spacing w:after="0" w:line="24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at a rate based on Daily SOFR (other than pursuant to clause (c) of the definition of Base Rate).</w:t>
      </w:r>
    </w:p>
    <w:p>
      <w:pPr>
        <w:spacing w:after="0" w:line="17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1"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46"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SOFR Loan or an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85" w:lineRule="exact"/>
        <w:rPr>
          <w:sz w:val="20"/>
          <w:szCs w:val="20"/>
          <w:color w:val="auto"/>
        </w:rPr>
      </w:pPr>
    </w:p>
    <w:p>
      <w:pPr>
        <w:jc w:val="both"/>
        <w:ind w:left="120" w:firstLine="747"/>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the case of any Revolving Credit Lender, in respect of its participation in Letters of Credit or Swing Line Loans) within two Business Days of the date when due, (b) has notified the Company, the Administrative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9"/>
          <w:szCs w:val="19"/>
          <w:color w:val="auto"/>
        </w:rPr>
        <w:t>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Divided LLC</w:t>
      </w:r>
      <w:r>
        <w:rPr>
          <w:rFonts w:ascii="Times New Roman" w:cs="Times New Roman" w:eastAsia="Times New Roman" w:hAnsi="Times New Roman"/>
          <w:sz w:val="20"/>
          <w:szCs w:val="20"/>
          <w:color w:val="auto"/>
        </w:rPr>
        <w:t>” means any Delaware LLC which has been formed upon consummation of a Delaware LLC Division.</w:t>
      </w:r>
    </w:p>
    <w:p>
      <w:pPr>
        <w:spacing w:after="0" w:line="229" w:lineRule="exact"/>
        <w:rPr>
          <w:sz w:val="20"/>
          <w:szCs w:val="20"/>
          <w:color w:val="auto"/>
        </w:rPr>
      </w:pPr>
    </w:p>
    <w:p>
      <w:pPr>
        <w:ind w:left="120" w:right="50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Non-U.S. Borrower Sublimit</w:t>
      </w:r>
      <w:r>
        <w:rPr>
          <w:rFonts w:ascii="Times New Roman" w:cs="Times New Roman" w:eastAsia="Times New Roman" w:hAnsi="Times New Roman"/>
          <w:sz w:val="20"/>
          <w:szCs w:val="20"/>
          <w:color w:val="auto"/>
        </w:rPr>
        <w:t>” means an amount equal to the lesser of (a) the Aggregate Revolving Credit Commitments and (b) $50,000,000. The Designated Non-U.S. Borrower Sublimit is part of, and not in addition to, the Aggregate Revolving Credit Commitments.</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Sanction.</w:t>
      </w:r>
    </w:p>
    <w:p>
      <w:pPr>
        <w:spacing w:after="0" w:line="207"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Person, including any sale, assignment, transfer</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80"/>
        <w:spacing w:after="0" w:line="269" w:lineRule="auto"/>
        <w:rPr>
          <w:sz w:val="20"/>
          <w:szCs w:val="20"/>
          <w:color w:val="auto"/>
        </w:rPr>
      </w:pPr>
      <w:r>
        <w:rPr>
          <w:rFonts w:ascii="Times New Roman" w:cs="Times New Roman" w:eastAsia="Times New Roman" w:hAnsi="Times New Roman"/>
          <w:sz w:val="20"/>
          <w:szCs w:val="20"/>
          <w:color w:val="auto"/>
        </w:rPr>
        <w:t>or other disposal, with or without recourse, of any notes or accounts receivable or any rights and claims associated therewith and including any disposition of property to a Delaware Divided LLC pursuant to a Delaware LLC Division.</w:t>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02" w:lineRule="exact"/>
        <w:rPr>
          <w:sz w:val="20"/>
          <w:szCs w:val="20"/>
          <w:color w:val="auto"/>
        </w:rPr>
      </w:pPr>
    </w:p>
    <w:p>
      <w:pPr>
        <w:jc w:val="both"/>
        <w:ind w:left="120" w:right="60" w:firstLine="74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above shall be conclusive absent manifest error.</w:t>
      </w: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political subdivision of the United States.</w:t>
      </w:r>
    </w:p>
    <w:p>
      <w:pPr>
        <w:spacing w:after="0" w:line="229" w:lineRule="exact"/>
        <w:rPr>
          <w:sz w:val="20"/>
          <w:szCs w:val="20"/>
          <w:color w:val="auto"/>
        </w:rPr>
      </w:pPr>
    </w:p>
    <w:p>
      <w:pPr>
        <w:jc w:val="both"/>
        <w:ind w:left="120" w:right="60" w:firstLine="747"/>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2" w:lineRule="exact"/>
        <w:rPr>
          <w:sz w:val="20"/>
          <w:szCs w:val="20"/>
          <w:color w:val="auto"/>
        </w:rPr>
      </w:pPr>
    </w:p>
    <w:p>
      <w:pPr>
        <w:jc w:val="both"/>
        <w:ind w:left="120" w:right="80" w:firstLine="747"/>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shall have the meaning specified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20" w:right="1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86" w:lineRule="exact"/>
        <w:rPr>
          <w:sz w:val="20"/>
          <w:szCs w:val="20"/>
          <w:color w:val="auto"/>
        </w:rPr>
      </w:pPr>
    </w:p>
    <w:p>
      <w:pPr>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8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 xml:space="preserve">Administrative Agent (in the case of any Revolving Credit Loans to be denominated in an Alternative Currency) or the applicable L/C Issuer (in the case of any Letter of Credit to be denominated in an Alternative Currency), (a) such currency no longer being readily available, freely transferable and convertible into Dollars, (b) a Dollar Equivalent being no longer readily calculable with respect to such currency or (c) providing such currency being impracticable for the Lenders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Disqualifying 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203"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207"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theforegoing.</w:t>
      </w:r>
    </w:p>
    <w:p>
      <w:pPr>
        <w:spacing w:after="0" w:line="198"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any Environmental Law.</w:t>
      </w:r>
    </w:p>
    <w:p>
      <w:pPr>
        <w:spacing w:after="0" w:line="159"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88" w:lineRule="exact"/>
        <w:rPr>
          <w:sz w:val="20"/>
          <w:szCs w:val="20"/>
          <w:color w:val="auto"/>
        </w:rPr>
      </w:pPr>
    </w:p>
    <w:p>
      <w:pPr>
        <w:jc w:val="both"/>
        <w:ind w:left="120" w:firstLine="747"/>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ind w:left="120" w:right="20" w:hanging="9"/>
        <w:spacing w:after="0" w:line="246" w:lineRule="auto"/>
        <w:tabs>
          <w:tab w:leader="none" w:pos="4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or partial withdrawal by the Company or any ERISA Affiliate from a Multiemployer Plan or notification that a Multiemployer Plan is in reorganization; (d) the filing of a notice of intent to terminate,</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98" w:lineRule="exact"/>
        <w:rPr>
          <w:sz w:val="20"/>
          <w:szCs w:val="20"/>
          <w:color w:val="auto"/>
        </w:rPr>
      </w:pPr>
    </w:p>
    <w:p>
      <w:pPr>
        <w:ind w:left="120" w:right="3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217" w:lineRule="exact"/>
        <w:rPr>
          <w:sz w:val="20"/>
          <w:szCs w:val="20"/>
          <w:color w:val="auto"/>
        </w:rPr>
      </w:pPr>
    </w:p>
    <w:p>
      <w:pPr>
        <w:jc w:val="both"/>
        <w:ind w:left="120" w:firstLine="74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1" w:lineRule="exact"/>
        <w:rPr>
          <w:sz w:val="20"/>
          <w:szCs w:val="20"/>
          <w:color w:val="auto"/>
        </w:rPr>
      </w:pPr>
    </w:p>
    <w:p>
      <w:pPr>
        <w:jc w:val="both"/>
        <w:ind w:left="120" w:hanging="9"/>
        <w:spacing w:after="0" w:line="241" w:lineRule="auto"/>
        <w:tabs>
          <w:tab w:leader="none" w:pos="37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and (d) any Taxes imposed pursuant to FATCA.</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Recital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described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EX-10.25</w:t>
      </w:r>
    </w:p>
    <w:p>
      <w:pPr>
        <w:spacing w:after="0" w:line="302" w:lineRule="exact"/>
        <w:rPr>
          <w:sz w:val="20"/>
          <w:szCs w:val="20"/>
          <w:color w:val="auto"/>
        </w:rPr>
      </w:pPr>
    </w:p>
    <w:p>
      <w:pPr>
        <w:jc w:val="right"/>
        <w:ind w:right="9419"/>
        <w:spacing w:after="0"/>
        <w:rPr>
          <w:sz w:val="20"/>
          <w:szCs w:val="20"/>
          <w:color w:val="auto"/>
        </w:rPr>
      </w:pPr>
      <w:r>
        <w:rPr>
          <w:rFonts w:ascii="Times New Roman" w:cs="Times New Roman" w:eastAsia="Times New Roman" w:hAnsi="Times New Roman"/>
          <w:sz w:val="20"/>
          <w:szCs w:val="20"/>
          <w:color w:val="auto"/>
        </w:rPr>
        <w:t>require.</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the Term Loan Facility or the Revolving Credit Facility, as the context may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Facility Termination Date</w:t>
      </w:r>
      <w:r>
        <w:rPr>
          <w:rFonts w:ascii="Times New Roman" w:cs="Times New Roman" w:eastAsia="Times New Roman" w:hAnsi="Times New Roman"/>
          <w:sz w:val="19"/>
          <w:szCs w:val="19"/>
          <w:color w:val="auto"/>
        </w:rPr>
        <w:t>” means the date as of which all of the following shall have occurred:</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p>
      <w:pPr>
        <w:jc w:val="both"/>
        <w:ind w:left="120" w:hanging="8"/>
        <w:spacing w:after="0"/>
        <w:tabs>
          <w:tab w:leader="none" w:pos="86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Board.</w:t>
      </w:r>
    </w:p>
    <w:p>
      <w:pPr>
        <w:spacing w:after="0" w:line="180"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applicable intergovernmental agreements with respect to the foregoing.</w:t>
      </w:r>
    </w:p>
    <w:p>
      <w:pPr>
        <w:spacing w:after="0" w:line="207"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98"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means (a) the letter agreement dated as of November 18, 2021, between the Company and the Arranger, as amended, and (b) the letter agreement dated as of the Amendment No. 2 Effective Date, between the Company and Bank of America, as amended.</w:t>
      </w:r>
    </w:p>
    <w:p>
      <w:pPr>
        <w:spacing w:after="0" w:line="201"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43" w:lineRule="exact"/>
        <w:rPr>
          <w:sz w:val="20"/>
          <w:szCs w:val="20"/>
          <w:color w:val="auto"/>
        </w:rPr>
      </w:pPr>
    </w:p>
    <w:p>
      <w:pPr>
        <w:jc w:val="both"/>
        <w:ind w:left="120" w:firstLine="7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Times New Roman" w:cs="Times New Roman" w:eastAsia="Times New Roman" w:hAnsi="Times New Roman"/>
          <w:sz w:val="20"/>
          <w:szCs w:val="20"/>
          <w:u w:val="single" w:color="auto"/>
          <w:color w:val="auto"/>
        </w:rPr>
        <w:t>clause</w:t>
      </w:r>
    </w:p>
    <w:p>
      <w:pPr>
        <w:spacing w:after="0" w:line="2" w:lineRule="exact"/>
        <w:rPr>
          <w:sz w:val="20"/>
          <w:szCs w:val="20"/>
          <w:color w:val="auto"/>
        </w:rPr>
      </w:pPr>
    </w:p>
    <w:p>
      <w:pPr>
        <w:ind w:left="380" w:hanging="269"/>
        <w:spacing w:after="0"/>
        <w:tabs>
          <w:tab w:leader="none" w:pos="380" w:val="left"/>
        </w:tabs>
        <w:numPr>
          <w:ilvl w:val="0"/>
          <w:numId w:val="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(c) any Subsidiary of any Subsidiary of the type described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02"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Revolving Credit Lender, (a) with respect to any L/C Issuer, such Defaulting Lender’s Applicable Percentage of the outstanding L/C Obligations on account of Letters of Credit issued by such L/C Issuer other than L/C Obligations as to which such Defaulting Lender’s participation obligation has been reallocated to other</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20"/>
          <w:szCs w:val="20"/>
          <w:color w:val="auto"/>
        </w:rPr>
        <w:t>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in accordance with the terms hereof.</w:t>
      </w:r>
    </w:p>
    <w:p>
      <w:pPr>
        <w:spacing w:after="0" w:line="188" w:lineRule="exact"/>
        <w:rPr>
          <w:sz w:val="20"/>
          <w:szCs w:val="20"/>
          <w:color w:val="auto"/>
        </w:rPr>
      </w:pPr>
    </w:p>
    <w:p>
      <w:pPr>
        <w:jc w:val="both"/>
        <w:ind w:left="18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86" w:lineRule="exact"/>
        <w:rPr>
          <w:sz w:val="20"/>
          <w:szCs w:val="20"/>
          <w:color w:val="auto"/>
        </w:rPr>
      </w:pPr>
    </w:p>
    <w:p>
      <w:pPr>
        <w:jc w:val="right"/>
        <w:ind w:left="12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93" w:lineRule="exact"/>
        <w:rPr>
          <w:sz w:val="20"/>
          <w:szCs w:val="20"/>
          <w:color w:val="auto"/>
        </w:rPr>
      </w:pPr>
    </w:p>
    <w:p>
      <w:pPr>
        <w:jc w:val="both"/>
        <w:ind w:left="18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Rubber Joint Venture Investment</w:t>
      </w:r>
      <w:r>
        <w:rPr>
          <w:rFonts w:ascii="Times New Roman" w:cs="Times New Roman" w:eastAsia="Times New Roman" w:hAnsi="Times New Roman"/>
          <w:sz w:val="20"/>
          <w:szCs w:val="20"/>
          <w:color w:val="auto"/>
        </w:rPr>
        <w:t>” means a one-time loan made by a Loan Party to EFM Equipment Company, LLC, a Delaware limited liability company (“</w:t>
      </w:r>
      <w:r>
        <w:rPr>
          <w:rFonts w:ascii="Times New Roman" w:cs="Times New Roman" w:eastAsia="Times New Roman" w:hAnsi="Times New Roman"/>
          <w:sz w:val="20"/>
          <w:szCs w:val="20"/>
          <w:u w:val="single" w:color="auto"/>
          <w:color w:val="auto"/>
        </w:rPr>
        <w:t>EFM</w:t>
      </w:r>
      <w:r>
        <w:rPr>
          <w:rFonts w:ascii="Times New Roman" w:cs="Times New Roman" w:eastAsia="Times New Roman" w:hAnsi="Times New Roman"/>
          <w:sz w:val="20"/>
          <w:szCs w:val="20"/>
          <w:color w:val="auto"/>
        </w:rPr>
        <w:t>”), the proceeds of which shall be used, substantially concurrently with the making of such loan, in connection with the Acquisition by EFM of General Rubber Corporation, so long as the aggregate principal amount of such loan does not exceed</w:t>
      </w:r>
    </w:p>
    <w:p>
      <w:pPr>
        <w:spacing w:after="0" w:line="1" w:lineRule="exact"/>
        <w:rPr>
          <w:sz w:val="20"/>
          <w:szCs w:val="20"/>
          <w:color w:val="auto"/>
        </w:rPr>
      </w:pPr>
    </w:p>
    <w:p>
      <w:pPr>
        <w:jc w:val="both"/>
        <w:ind w:left="180"/>
        <w:spacing w:after="0" w:line="242" w:lineRule="auto"/>
        <w:rPr>
          <w:sz w:val="20"/>
          <w:szCs w:val="20"/>
          <w:color w:val="auto"/>
        </w:rPr>
      </w:pPr>
      <w:r>
        <w:rPr>
          <w:rFonts w:ascii="Times New Roman" w:cs="Times New Roman" w:eastAsia="Times New Roman" w:hAnsi="Times New Roman"/>
          <w:sz w:val="20"/>
          <w:szCs w:val="20"/>
          <w:color w:val="auto"/>
        </w:rPr>
        <w:t>$20,000,000, the making of such loan and consummation of such acquisition each occur on or prior to June 30, 2022 (or such later date as the Administrative Agent may agree) and such loan is evidenced by a note in form and substance reasonably satisfactory to the Administrative Agent and pledged and delivered to the Administrative Agent pursuant to the Collateral Documents.</w:t>
      </w:r>
    </w:p>
    <w:p>
      <w:pPr>
        <w:spacing w:after="0" w:line="187" w:lineRule="exact"/>
        <w:rPr>
          <w:sz w:val="20"/>
          <w:szCs w:val="20"/>
          <w:color w:val="auto"/>
        </w:rPr>
      </w:pPr>
    </w:p>
    <w:p>
      <w:pPr>
        <w:jc w:val="both"/>
        <w:ind w:left="18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212" w:lineRule="exact"/>
        <w:rPr>
          <w:sz w:val="20"/>
          <w:szCs w:val="20"/>
          <w:color w:val="auto"/>
        </w:rPr>
      </w:pPr>
    </w:p>
    <w:p>
      <w:pPr>
        <w:jc w:val="both"/>
        <w:ind w:left="180" w:firstLine="74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7" w:lineRule="exact"/>
        <w:rPr>
          <w:sz w:val="20"/>
          <w:szCs w:val="20"/>
          <w:color w:val="auto"/>
        </w:rPr>
      </w:pPr>
    </w:p>
    <w:p>
      <w:pPr>
        <w:jc w:val="both"/>
        <w:ind w:left="180" w:hanging="6"/>
        <w:spacing w:after="0"/>
        <w:tabs>
          <w:tab w:leader="none" w:pos="49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means, collectively, the Company Guaranty and the Subsidiary Guaranties.</w:t>
      </w:r>
    </w:p>
    <w:p>
      <w:pPr>
        <w:spacing w:after="0" w:line="202"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01"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(a) at the time it enters into a Swap Contract not prohibited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is a Lender or an Affiliate of a Lender, or (b) at the time it (or its Affiliate) becomes a Lender, is party to a Swap Contract, in each case, in its capacity as a party to such Swap Contract.</w:t>
      </w:r>
    </w:p>
    <w:p>
      <w:pPr>
        <w:spacing w:after="0" w:line="188"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86" w:lineRule="exact"/>
        <w:rPr>
          <w:sz w:val="20"/>
          <w:szCs w:val="20"/>
          <w:color w:val="auto"/>
        </w:rPr>
      </w:pPr>
    </w:p>
    <w:p>
      <w:pPr>
        <w:ind w:left="860" w:firstLine="749"/>
        <w:spacing w:after="0" w:line="269" w:lineRule="auto"/>
        <w:tabs>
          <w:tab w:leader="none" w:pos="234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72" w:lineRule="exact"/>
        <w:rPr>
          <w:rFonts w:ascii="Times New Roman" w:cs="Times New Roman" w:eastAsia="Times New Roman" w:hAnsi="Times New Roman"/>
          <w:sz w:val="20"/>
          <w:szCs w:val="20"/>
          <w:color w:val="auto"/>
        </w:rPr>
      </w:pPr>
    </w:p>
    <w:p>
      <w:pPr>
        <w:ind w:left="860" w:right="20" w:firstLine="750"/>
        <w:spacing w:after="0" w:line="269" w:lineRule="auto"/>
        <w:tabs>
          <w:tab w:leader="none" w:pos="234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59" w:lineRule="exact"/>
        <w:rPr>
          <w:rFonts w:ascii="Times New Roman" w:cs="Times New Roman" w:eastAsia="Times New Roman" w:hAnsi="Times New Roman"/>
          <w:sz w:val="20"/>
          <w:szCs w:val="20"/>
          <w:color w:val="auto"/>
        </w:rPr>
      </w:pPr>
    </w:p>
    <w:p>
      <w:pPr>
        <w:ind w:left="2360" w:hanging="751"/>
        <w:spacing w:after="0"/>
        <w:tabs>
          <w:tab w:leader="none" w:pos="2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29" w:lineRule="exact"/>
        <w:rPr>
          <w:rFonts w:ascii="Times New Roman" w:cs="Times New Roman" w:eastAsia="Times New Roman" w:hAnsi="Times New Roman"/>
          <w:sz w:val="20"/>
          <w:szCs w:val="20"/>
          <w:color w:val="auto"/>
        </w:rPr>
      </w:pPr>
    </w:p>
    <w:p>
      <w:pPr>
        <w:jc w:val="both"/>
        <w:ind w:left="860" w:right="20" w:firstLine="750"/>
        <w:spacing w:after="0" w:line="249" w:lineRule="auto"/>
        <w:tabs>
          <w:tab w:leader="none" w:pos="234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that are (i) not past due for more than 90 days after the date on which such trade account payable was created or (ii) being contested in good faith by appropriate proceedings diligently conducted and adequate reserves in accordance with GAAP are being maintained by the applicable Person);</w:t>
      </w:r>
    </w:p>
    <w:p>
      <w:pPr>
        <w:spacing w:after="0" w:line="206" w:lineRule="exact"/>
        <w:rPr>
          <w:rFonts w:ascii="Times New Roman" w:cs="Times New Roman" w:eastAsia="Times New Roman" w:hAnsi="Times New Roman"/>
          <w:sz w:val="20"/>
          <w:szCs w:val="20"/>
          <w:color w:val="auto"/>
        </w:rPr>
      </w:pPr>
    </w:p>
    <w:p>
      <w:pPr>
        <w:jc w:val="both"/>
        <w:ind w:left="860" w:firstLine="749"/>
        <w:spacing w:after="0" w:line="254" w:lineRule="auto"/>
        <w:tabs>
          <w:tab w:leader="none" w:pos="234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7" w:lineRule="exact"/>
        <w:rPr>
          <w:rFonts w:ascii="Times New Roman" w:cs="Times New Roman" w:eastAsia="Times New Roman" w:hAnsi="Times New Roman"/>
          <w:sz w:val="20"/>
          <w:szCs w:val="20"/>
          <w:color w:val="auto"/>
        </w:rPr>
      </w:pPr>
    </w:p>
    <w:p>
      <w:pPr>
        <w:ind w:left="2360" w:hanging="751"/>
        <w:spacing w:after="0"/>
        <w:tabs>
          <w:tab w:leader="none" w:pos="2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leases and Synthetic Lease Obligations;</w:t>
      </w:r>
    </w:p>
    <w:p>
      <w:pPr>
        <w:spacing w:after="0" w:line="242" w:lineRule="exact"/>
        <w:rPr>
          <w:rFonts w:ascii="Times New Roman" w:cs="Times New Roman" w:eastAsia="Times New Roman" w:hAnsi="Times New Roman"/>
          <w:sz w:val="20"/>
          <w:szCs w:val="20"/>
          <w:color w:val="auto"/>
        </w:rPr>
      </w:pPr>
    </w:p>
    <w:p>
      <w:pPr>
        <w:jc w:val="both"/>
        <w:ind w:left="860" w:firstLine="749"/>
        <w:spacing w:after="0" w:line="254" w:lineRule="auto"/>
        <w:tabs>
          <w:tab w:leader="none" w:pos="234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 and</w:t>
      </w:r>
    </w:p>
    <w:p>
      <w:pPr>
        <w:spacing w:after="0" w:line="174" w:lineRule="exact"/>
        <w:rPr>
          <w:rFonts w:ascii="Times New Roman" w:cs="Times New Roman" w:eastAsia="Times New Roman" w:hAnsi="Times New Roman"/>
          <w:sz w:val="20"/>
          <w:szCs w:val="20"/>
          <w:color w:val="auto"/>
        </w:rPr>
      </w:pPr>
    </w:p>
    <w:p>
      <w:pPr>
        <w:ind w:left="2360" w:hanging="751"/>
        <w:spacing w:after="0"/>
        <w:tabs>
          <w:tab w:leader="none" w:pos="2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29"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480" w:firstLine="7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w:t>
      </w:r>
    </w:p>
    <w:p>
      <w:pPr>
        <w:spacing w:after="0" w:line="2" w:lineRule="exact"/>
        <w:rPr>
          <w:sz w:val="20"/>
          <w:szCs w:val="20"/>
          <w:color w:val="auto"/>
        </w:rPr>
      </w:pPr>
    </w:p>
    <w:p>
      <w:pPr>
        <w:ind w:left="620" w:right="3660" w:hanging="508"/>
        <w:spacing w:after="0" w:line="243" w:lineRule="auto"/>
        <w:tabs>
          <w:tab w:leader="none" w:pos="6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described in clause (a), Other Taxes.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right"/>
        <w:ind w:left="14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and Condemnation Event</w:t>
      </w:r>
      <w:r>
        <w:rPr>
          <w:rFonts w:ascii="Times New Roman" w:cs="Times New Roman" w:eastAsia="Times New Roman" w:hAnsi="Times New Roman"/>
          <w:sz w:val="20"/>
          <w:szCs w:val="20"/>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207" w:lineRule="exact"/>
        <w:rPr>
          <w:sz w:val="20"/>
          <w:szCs w:val="20"/>
          <w:color w:val="auto"/>
        </w:rPr>
      </w:pPr>
    </w:p>
    <w:p>
      <w:pPr>
        <w:jc w:val="both"/>
        <w:ind w:left="120" w:firstLine="747"/>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xml:space="preserve">” means, (a) as to any Term SOFR Loan, the last day of each Interest Period applicable to such Loan and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any Interest Period for a Term SOFR Loan exceeds three months, the respective dates that fall every three months after the beginning of such Interest Period shall also be Interest Payment Dates; (b) as to any Daily Simple SOFR Loan, the last Business Day of each month and the Maturity Date; (c) as to any Base Rate Loan (including a Swing Line Loan), the last Business Day of each March, June, September and December and the Maturity Date; (d) as to any Swing Line Loan, such other date as may be specified in any Treasury Management Agreement; (e) as to any Alternative Currency Daily Rate Loan, the last Business Day of each month and the Maturity Date; and (f) as to any Alternative Currency Term Rate Loan, the last day of each Interest Period applicable to such Loan and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89"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Alternative Currency Term Rate Loan or Term SOFR Loan, the period commencing on the date such Alternative Currency Term Rate Loan or Term SOFR Loan, as applicable, is disbursed or converted to or continued as an Alternative Currency Term Rate Loan or Term SOFR Loan, as applicable, and ending on the date one, three or six months thereafter (in each case subject to availability for the interest rate applicable to the relevant currency), as selected by the Company in its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sz w:val="20"/>
          <w:szCs w:val="20"/>
          <w:color w:val="auto"/>
        </w:rPr>
      </w:pPr>
    </w:p>
    <w:p>
      <w:pPr>
        <w:jc w:val="both"/>
        <w:ind w:left="860" w:firstLine="749"/>
        <w:spacing w:after="0" w:line="254" w:lineRule="auto"/>
        <w:tabs>
          <w:tab w:leader="none" w:pos="234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next preceding Business Day;</w:t>
      </w:r>
    </w:p>
    <w:p>
      <w:pPr>
        <w:spacing w:after="0" w:line="187" w:lineRule="exact"/>
        <w:rPr>
          <w:rFonts w:ascii="Times New Roman" w:cs="Times New Roman" w:eastAsia="Times New Roman" w:hAnsi="Times New Roman"/>
          <w:sz w:val="20"/>
          <w:szCs w:val="20"/>
          <w:color w:val="auto"/>
        </w:rPr>
      </w:pPr>
    </w:p>
    <w:p>
      <w:pPr>
        <w:jc w:val="both"/>
        <w:ind w:left="860" w:firstLine="749"/>
        <w:spacing w:after="0" w:line="249" w:lineRule="auto"/>
        <w:tabs>
          <w:tab w:leader="none" w:pos="234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206" w:lineRule="exact"/>
        <w:rPr>
          <w:rFonts w:ascii="Times New Roman" w:cs="Times New Roman" w:eastAsia="Times New Roman" w:hAnsi="Times New Roman"/>
          <w:sz w:val="20"/>
          <w:szCs w:val="20"/>
          <w:color w:val="auto"/>
        </w:rPr>
      </w:pPr>
    </w:p>
    <w:p>
      <w:pPr>
        <w:ind w:left="2360" w:hanging="751"/>
        <w:spacing w:after="0"/>
        <w:tabs>
          <w:tab w:leader="none" w:pos="23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29"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20"/>
          <w:szCs w:val="20"/>
          <w:color w:val="auto"/>
        </w:rPr>
        <w:t>compliance, the amount of any Investment shall be the amount actually invested, without adjustment for subsequent increases or decreases in the value of such Investment.</w:t>
      </w:r>
    </w:p>
    <w:p>
      <w:pPr>
        <w:spacing w:after="0" w:line="173"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Amount</w:t>
      </w:r>
      <w:r>
        <w:rPr>
          <w:rFonts w:ascii="Times New Roman" w:cs="Times New Roman" w:eastAsia="Times New Roman" w:hAnsi="Times New Roman"/>
          <w:sz w:val="20"/>
          <w:szCs w:val="20"/>
          <w:color w:val="auto"/>
        </w:rPr>
        <w:t xml:space="preserve">” means the sum of (a) $20,000,000,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cumulative amount of all dividends and distributions received in cash by the Company or any Restricted Subsidiary after the Amendment No. 2 Effective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cumulative amount of all gains received in cash by the Company or any Restricted Subsidiary after the Amendment No. 2 Effective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as a result of the sale, transfer or other disposition of its ownership interest in any such Investment.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86"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88"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8"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has the meaning specified in the definition of “L/C Issuer”.</w:t>
      </w:r>
    </w:p>
    <w:p>
      <w:pPr>
        <w:spacing w:after="0" w:line="21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individually or collectively as the context may indicate, (a) Bank of America, in its capacity as an issuer of Letters of Credit hereunder or any successor to Bank of America in its capacity as an issuer of Letters of Credit hereunder, (b) Citibank, N.A., in its capacity as an issuer of Letters of Credit hereunder or any successor to Citibank, N.A. in its capacity as an issuer of Letters of Credit hereunder and</w:t>
      </w:r>
    </w:p>
    <w:p>
      <w:pPr>
        <w:spacing w:after="0" w:line="1" w:lineRule="exact"/>
        <w:rPr>
          <w:sz w:val="20"/>
          <w:szCs w:val="20"/>
          <w:color w:val="auto"/>
        </w:rPr>
      </w:pPr>
    </w:p>
    <w:p>
      <w:pPr>
        <w:jc w:val="both"/>
        <w:ind w:left="120" w:hanging="8"/>
        <w:spacing w:after="0" w:line="241" w:lineRule="auto"/>
        <w:tabs>
          <w:tab w:leader="none" w:pos="86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approved by the Administrative Agent in its sole discretion, any other Revolving Credit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 Credit hereunder or any successor to such Lender in its capacity as an issuer of Letters of Credit hereunder, each with the commitment set forth opposite such L/C Issuer’s name on </w:t>
      </w:r>
      <w:r>
        <w:rPr>
          <w:rFonts w:ascii="Times New Roman" w:cs="Times New Roman" w:eastAsia="Times New Roman" w:hAnsi="Times New Roman"/>
          <w:sz w:val="20"/>
          <w:szCs w:val="20"/>
          <w:u w:val="single" w:color="auto"/>
          <w:color w:val="auto"/>
        </w:rPr>
        <w:t>Schedule 2.01LC</w:t>
      </w:r>
      <w:r>
        <w:rPr>
          <w:rFonts w:ascii="Times New Roman" w:cs="Times New Roman" w:eastAsia="Times New Roman" w:hAnsi="Times New Roman"/>
          <w:sz w:val="20"/>
          <w:szCs w:val="20"/>
          <w:color w:val="auto"/>
        </w:rPr>
        <w:t xml:space="preserve"> under the caption</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“L/C Commitment” or in the joinder agreement pursuant to which such L/C Issuer becomes a party hereto as an L/C Issuer, as applicable, as such amount may be adjusted from time to time in accordance with this Agreement (each such commitment, a “</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Any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193"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11"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hereto and, unless the context requires otherwise, includes the Swing Line Lender.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 Line Lenders and the L/C Issuers.</w:t>
      </w:r>
    </w:p>
    <w:p>
      <w:pPr>
        <w:spacing w:after="0" w:line="202"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212"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and shall include the Existing Letters of Credit. Letters of Credit may be issued in Dollars or in an Alternative Currency.</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applicable L/C Issuer.</w:t>
      </w:r>
    </w:p>
    <w:p>
      <w:pPr>
        <w:spacing w:after="0" w:line="14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the Aggregate Revolving Credit Commitments and (b) $75,000,000. The Letter of Credit Sublimit is part of, and not in addition to, the Aggregate Revolving Credit Commitments.</w:t>
      </w:r>
    </w:p>
    <w:p>
      <w:pPr>
        <w:spacing w:after="0" w:line="173"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7"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Credit Loan, a Swing Line Loan or a Term Loan.</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means a notice of (a) a Term Loan Borrowing, (b) a Revolving Credit Borrowing,</w:t>
      </w:r>
    </w:p>
    <w:p>
      <w:pPr>
        <w:spacing w:after="0" w:line="22" w:lineRule="exact"/>
        <w:rPr>
          <w:sz w:val="20"/>
          <w:szCs w:val="20"/>
          <w:color w:val="auto"/>
        </w:rPr>
      </w:pPr>
    </w:p>
    <w:p>
      <w:pPr>
        <w:jc w:val="both"/>
        <w:ind w:left="120" w:hanging="8"/>
        <w:spacing w:after="0" w:line="241" w:lineRule="auto"/>
        <w:tabs>
          <w:tab w:leader="none" w:pos="86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conversion of Loans from one Type to the other, or (d) a continuation of Term SOFR Loans or Alternative Currency Term Rate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Company, each Subsidiary Guarantor and each Designated Borrower.</w:t>
      </w:r>
    </w:p>
    <w:p>
      <w:pPr>
        <w:spacing w:after="0" w:line="202"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financial condition of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212"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(ii) the assets and revenues of a Subsidiary shall be deemed to include the assets andrevenues of its Subsidiaries.</w:t>
      </w:r>
    </w:p>
    <w:p>
      <w:pPr>
        <w:spacing w:after="0" w:line="199"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December 17, 2026;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Mefiag B.V.</w:t>
      </w:r>
      <w:r>
        <w:rPr>
          <w:rFonts w:ascii="Times New Roman" w:cs="Times New Roman" w:eastAsia="Times New Roman" w:hAnsi="Times New Roman"/>
          <w:sz w:val="20"/>
          <w:szCs w:val="20"/>
          <w:color w:val="auto"/>
        </w:rPr>
        <w:t>” means Mefiag B.V., a private limited company incorporated in the Netherlands.</w:t>
      </w:r>
    </w:p>
    <w:p>
      <w:pPr>
        <w:spacing w:after="0" w:line="216"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103% of the Outstanding Amount of all L/C Obligations, and (c) otherwise, an amount determined by the Administrative Agent and the L/C Issuers in their sole discretion.</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jc w:val="both"/>
        <w:ind w:left="120" w:firstLine="741"/>
        <w:spacing w:after="0" w:line="256" w:lineRule="auto"/>
        <w:tabs>
          <w:tab w:leader="none" w:pos="1663"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w:t>
      </w:r>
    </w:p>
    <w:p>
      <w:pPr>
        <w:spacing w:after="0" w:line="4" w:lineRule="exact"/>
        <w:rPr>
          <w:rFonts w:ascii="Times New Roman" w:cs="Times New Roman" w:eastAsia="Times New Roman" w:hAnsi="Times New Roman"/>
          <w:sz w:val="19"/>
          <w:szCs w:val="19"/>
          <w:color w:val="auto"/>
        </w:rPr>
      </w:pPr>
    </w:p>
    <w:p>
      <w:pPr>
        <w:jc w:val="both"/>
        <w:ind w:left="120" w:hanging="8"/>
        <w:spacing w:after="0" w:line="241" w:lineRule="auto"/>
        <w:tabs>
          <w:tab w:leader="none" w:pos="43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amount of any estimated taxes pursuant to </w:t>
      </w:r>
      <w:r>
        <w:rPr>
          <w:rFonts w:ascii="Times New Roman" w:cs="Times New Roman" w:eastAsia="Times New Roman" w:hAnsi="Times New Roman"/>
          <w:sz w:val="20"/>
          <w:szCs w:val="20"/>
          <w:u w:val="single" w:color="auto"/>
          <w:color w:val="auto"/>
        </w:rPr>
        <w:t>subclause (C)</w:t>
      </w:r>
      <w:r>
        <w:rPr>
          <w:rFonts w:ascii="Times New Roman" w:cs="Times New Roman" w:eastAsia="Times New Roman" w:hAnsi="Times New Roman"/>
          <w:sz w:val="20"/>
          <w:szCs w:val="20"/>
          <w:color w:val="auto"/>
        </w:rPr>
        <w:t xml:space="preserve"> exceeds the amount of taxes actually required to be paid in cash in respect of such transaction, the aggregate amount of such excess shall constitute Net Cash Proceeds; and</w:t>
      </w:r>
    </w:p>
    <w:p>
      <w:pPr>
        <w:spacing w:after="0" w:line="213" w:lineRule="exact"/>
        <w:rPr>
          <w:rFonts w:ascii="Times New Roman" w:cs="Times New Roman" w:eastAsia="Times New Roman" w:hAnsi="Times New Roman"/>
          <w:sz w:val="20"/>
          <w:szCs w:val="20"/>
          <w:color w:val="auto"/>
        </w:rPr>
      </w:pPr>
    </w:p>
    <w:p>
      <w:pPr>
        <w:jc w:val="both"/>
        <w:ind w:left="120" w:firstLine="741"/>
        <w:spacing w:after="0" w:line="249" w:lineRule="auto"/>
        <w:tabs>
          <w:tab w:leader="none" w:pos="166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incurrence or issuance of any Indebtedness by the Company or any of its Restricted Subsidiaries, the excess of (i) 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Designated Borrowers</w:t>
      </w:r>
      <w:r>
        <w:rPr>
          <w:rFonts w:ascii="Times New Roman" w:cs="Times New Roman" w:eastAsia="Times New Roman" w:hAnsi="Times New Roman"/>
          <w:sz w:val="20"/>
          <w:szCs w:val="20"/>
          <w:color w:val="auto"/>
        </w:rPr>
        <w:t>” means, collectively, CECO B.V., Aarding B.V. and Mefiag</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B.V.</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means, as applicable, (a) any Lender that does not approve any consent,</w:t>
      </w:r>
    </w:p>
    <w:p>
      <w:pPr>
        <w:spacing w:after="0" w:line="28"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waiver or amendment that (i)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(ii) has been approved by the Required Lenders, (b) any Revolving Credit Lender that does not approve any consent, waiver or amendment that (i) requires the approval of all Revolving Credit Lenders or all affected Revolving Credit Lenders in accordance with the terms of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and (ii) has been approved by the Required Revolving Credit Lenders or (c) any Term Loan Lender that does not approve any consent, waiver or amendment that (i) requires the approval of all Term Loan Lenders or all affected Term Loan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(ii) has been approved by the Required Term Loan Lenders.</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time.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Term Loan Note or a Revolving Credit Note, as the context may require.</w:t>
      </w:r>
    </w:p>
    <w:p>
      <w:pPr>
        <w:spacing w:after="0" w:line="216"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“Obligations” of a Subsidiary Guarantor shall exclude any Excluded Swap Obligations with respect to such Subsidiary Guarantor.</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or association and, as applicable,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9"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1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98"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Act</w:t>
      </w:r>
      <w:r>
        <w:rPr>
          <w:rFonts w:ascii="Times New Roman" w:cs="Times New Roman" w:eastAsia="Times New Roman" w:hAnsi="Times New Roman"/>
          <w:sz w:val="20"/>
          <w:szCs w:val="20"/>
          <w:color w:val="auto"/>
        </w:rPr>
        <w:t>” means the Pension Protection Act of 2006.</w:t>
      </w:r>
    </w:p>
    <w:p>
      <w:pPr>
        <w:spacing w:after="0" w:line="229"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432 and 436 of the Code and Sections 302, 303, 304 and 305 of ERISA.</w:t>
      </w:r>
    </w:p>
    <w:p>
      <w:pPr>
        <w:spacing w:after="0" w:line="186"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9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the Company or any Restricted Subsidiary as to which the following conditions are satisfied:</w:t>
      </w:r>
    </w:p>
    <w:p>
      <w:pPr>
        <w:spacing w:after="0" w:line="159" w:lineRule="exact"/>
        <w:rPr>
          <w:sz w:val="20"/>
          <w:szCs w:val="20"/>
          <w:color w:val="auto"/>
        </w:rPr>
      </w:pPr>
    </w:p>
    <w:p>
      <w:pPr>
        <w:ind w:left="860" w:firstLine="750"/>
        <w:spacing w:after="0" w:line="269" w:lineRule="auto"/>
        <w:tabs>
          <w:tab w:leader="none" w:pos="231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immediately after giving effect to any such Acquisition (including any assumption or incurrence of Indebtedness in connection therewith), no Event of Default shall have occurred and be continuing;</w:t>
      </w:r>
    </w:p>
    <w:p>
      <w:pPr>
        <w:spacing w:after="0" w:line="145" w:lineRule="exact"/>
        <w:rPr>
          <w:rFonts w:ascii="Times New Roman" w:cs="Times New Roman" w:eastAsia="Times New Roman" w:hAnsi="Times New Roman"/>
          <w:sz w:val="20"/>
          <w:szCs w:val="20"/>
          <w:color w:val="auto"/>
        </w:rPr>
      </w:pPr>
    </w:p>
    <w:p>
      <w:pPr>
        <w:jc w:val="both"/>
        <w:ind w:left="860" w:right="20" w:firstLine="749"/>
        <w:spacing w:after="0" w:line="249" w:lineRule="auto"/>
        <w:tabs>
          <w:tab w:leader="none" w:pos="231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the required majority of the Board of Directors (or other equivalent governing body) of the Person so to be acquired (or that owns the assets to be acquired) incumbent at the time such Acquisition is proposed has acquiesced to such Acquisition, or such Acquisition is otherwise deemed in the reasonable judgment of the Administrative Agent to be a “friendly” Acquisition;</w:t>
      </w:r>
    </w:p>
    <w:p>
      <w:pPr>
        <w:spacing w:after="0" w:line="206" w:lineRule="exact"/>
        <w:rPr>
          <w:rFonts w:ascii="Times New Roman" w:cs="Times New Roman" w:eastAsia="Times New Roman" w:hAnsi="Times New Roman"/>
          <w:sz w:val="20"/>
          <w:szCs w:val="20"/>
          <w:color w:val="auto"/>
        </w:rPr>
      </w:pPr>
    </w:p>
    <w:p>
      <w:pPr>
        <w:ind w:left="2320" w:hanging="711"/>
        <w:spacing w:after="0"/>
        <w:tabs>
          <w:tab w:leader="none" w:pos="23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lines of business of the Person to be (or the property of which is to be) so acquired shall be permitted by</w:t>
      </w:r>
    </w:p>
    <w:p>
      <w:pPr>
        <w:spacing w:after="0" w:line="21"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and</w:t>
      </w:r>
    </w:p>
    <w:p>
      <w:pPr>
        <w:spacing w:after="0" w:line="180" w:lineRule="exact"/>
        <w:rPr>
          <w:rFonts w:ascii="Times New Roman" w:cs="Times New Roman" w:eastAsia="Times New Roman" w:hAnsi="Times New Roman"/>
          <w:sz w:val="20"/>
          <w:szCs w:val="20"/>
          <w:color w:val="auto"/>
        </w:rPr>
      </w:pPr>
    </w:p>
    <w:p>
      <w:pPr>
        <w:jc w:val="both"/>
        <w:ind w:left="860" w:firstLine="750"/>
        <w:spacing w:after="0" w:line="256" w:lineRule="auto"/>
        <w:tabs>
          <w:tab w:leader="none" w:pos="231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and its Restricted Subsidiaries shall be in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compliance with the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Acquisition or series of related Acquisitions involving aggregate consideration of $15,000,000 or more, the Company shall have delivered to the Administrative Agent a Compliance Certificate demonstrating the pro forma compliance required by this </w:t>
      </w:r>
      <w:r>
        <w:rPr>
          <w:rFonts w:ascii="Times New Roman" w:cs="Times New Roman" w:eastAsia="Times New Roman" w:hAnsi="Times New Roman"/>
          <w:sz w:val="19"/>
          <w:szCs w:val="19"/>
          <w:u w:val="single" w:color="auto"/>
          <w:color w:val="auto"/>
        </w:rPr>
        <w:t>clause</w:t>
      </w:r>
    </w:p>
    <w:p>
      <w:pPr>
        <w:spacing w:after="0" w:line="4" w:lineRule="exact"/>
        <w:rPr>
          <w:rFonts w:ascii="Times New Roman" w:cs="Times New Roman" w:eastAsia="Times New Roman" w:hAnsi="Times New Roman"/>
          <w:sz w:val="19"/>
          <w:szCs w:val="19"/>
          <w:color w:val="auto"/>
        </w:rPr>
      </w:pPr>
    </w:p>
    <w:p>
      <w:pPr>
        <w:ind w:left="8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the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Standalone Letter of Credit</w:t>
      </w:r>
      <w:r>
        <w:rPr>
          <w:rFonts w:ascii="Times New Roman" w:cs="Times New Roman" w:eastAsia="Times New Roman" w:hAnsi="Times New Roman"/>
          <w:sz w:val="20"/>
          <w:szCs w:val="20"/>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bankers’ acceptances and bank guarantees shall not exceed $65,000,000 at any time.</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Agreements</w:t>
      </w:r>
      <w:r>
        <w:rPr>
          <w:rFonts w:ascii="Times New Roman" w:cs="Times New Roman" w:eastAsia="Times New Roman" w:hAnsi="Times New Roman"/>
          <w:sz w:val="20"/>
          <w:szCs w:val="20"/>
          <w:color w:val="auto"/>
        </w:rPr>
        <w:t>” means, collectively, (a) the Amended and Restated Securities Pledge Agreement (the “</w:t>
      </w:r>
      <w:r>
        <w:rPr>
          <w:rFonts w:ascii="Times New Roman" w:cs="Times New Roman" w:eastAsia="Times New Roman" w:hAnsi="Times New Roman"/>
          <w:sz w:val="20"/>
          <w:szCs w:val="20"/>
          <w:u w:val="single" w:color="auto"/>
          <w:color w:val="auto"/>
        </w:rPr>
        <w:t>U.S. Pledge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98"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 Supplement</w:t>
      </w:r>
      <w:r>
        <w:rPr>
          <w:rFonts w:ascii="Times New Roman" w:cs="Times New Roman" w:eastAsia="Times New Roman" w:hAnsi="Times New Roman"/>
          <w:sz w:val="20"/>
          <w:szCs w:val="20"/>
          <w:color w:val="auto"/>
        </w:rPr>
        <w:t>” means each Pledge Agreement Supplement, substantially in the form thereof attached to a Pledge Agreement, executed and delivered by a Loan Party to the Administrative Agent.</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Joinder Agreement</w:t>
      </w:r>
      <w:r>
        <w:rPr>
          <w:rFonts w:ascii="Times New Roman" w:cs="Times New Roman" w:eastAsia="Times New Roman" w:hAnsi="Times New Roman"/>
          <w:sz w:val="20"/>
          <w:szCs w:val="20"/>
          <w:color w:val="auto"/>
        </w:rPr>
        <w:t>” means each Pledge Joinder Agreement, substantially in the form thereof attached to a Pledge Agreement, executed and delivered by a Restricted Subsidiary to the Administrative Agent.</w:t>
      </w:r>
    </w:p>
    <w:p>
      <w:pPr>
        <w:spacing w:after="0" w:line="186"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PSLOC Bank</w:t>
      </w:r>
      <w:r>
        <w:rPr>
          <w:rFonts w:ascii="Times New Roman" w:cs="Times New Roman" w:eastAsia="Times New Roman" w:hAnsi="Times New Roman"/>
          <w:sz w:val="20"/>
          <w:szCs w:val="20"/>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88"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Supply Chain Finance Program</w:t>
      </w:r>
      <w:r>
        <w:rPr>
          <w:rFonts w:ascii="Times New Roman" w:cs="Times New Roman" w:eastAsia="Times New Roman" w:hAnsi="Times New Roman"/>
          <w:sz w:val="20"/>
          <w:szCs w:val="20"/>
          <w:color w:val="auto"/>
        </w:rPr>
        <w:t xml:space="preserve">” means a supply chain finance program offered to vendors of the Company or any Restricted Subsidiary, pursuant to which program the Company or a Restricted Subsidiary sells accounts receivable owing to the Company or a Restricted Subsidiary by such vendors;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the sale of such accounts receivable is made without recourse for credit risk to the Company or its Subsidiaries and otherwise on terms customary for supply chain finance arrangements (as determined in good faith by the Company), but which shall not constitute a factoring or financing or securitization transaction and (b) any Liens arising under any Qualified Supply Chain Finance Program shall not at any time encumber any property other than the identified accounts receivable (and related assets customarily included in such transactions) sold pursuant thereto.</w:t>
      </w:r>
    </w:p>
    <w:p>
      <w:pPr>
        <w:spacing w:after="0" w:line="199"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6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any L/C Issuer or any other recipient of any payment to be made by or on account of any obligation of any Loan Party hereunder.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8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Daily Simple SOFR, Term SOFR or SOFR, as applicable, (b) Sterling, SONIA, (c) Euros, EURIBOR, and (d) Canadian Dollars, the CDOR Rate, as applicable.</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w:t>
      </w:r>
    </w:p>
    <w:p>
      <w:pPr>
        <w:spacing w:after="0" w:line="216"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Revolving Credit Loans or Term Loans, a Loan Notice, (b) with respect to an L/C Credit Extension, a Letter of Credit Application, and (c) with respect to a Swing Line Loan, a Swing Line Loan Notice.</w:t>
      </w:r>
    </w:p>
    <w:p>
      <w:pPr>
        <w:spacing w:after="0" w:line="188"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Facility Lenders</w:t>
      </w:r>
      <w:r>
        <w:rPr>
          <w:rFonts w:ascii="Times New Roman" w:cs="Times New Roman" w:eastAsia="Times New Roman" w:hAnsi="Times New Roman"/>
          <w:sz w:val="20"/>
          <w:szCs w:val="20"/>
          <w:color w:val="auto"/>
        </w:rPr>
        <w:t>” means (a) for the Revolving Credit Facility, the Required Revolving Credit Lenders and (b) for the Term Loan Facility, the Required Term Loan Lenders.</w:t>
      </w:r>
    </w:p>
    <w:p>
      <w:pPr>
        <w:spacing w:after="0" w:line="186"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any Defaulting Lender which is a Revolving Credit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211"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Credit Lenders</w:t>
      </w:r>
      <w:r>
        <w:rPr>
          <w:rFonts w:ascii="Times New Roman" w:cs="Times New Roman" w:eastAsia="Times New Roman" w:hAnsi="Times New Roman"/>
          <w:sz w:val="20"/>
          <w:szCs w:val="20"/>
          <w:color w:val="auto"/>
        </w:rPr>
        <w:t xml:space="preserve">” means, at any time, Lenders having more than 50% of the sum of the aggregate Revolving Credit Exposure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unused Revolving Credit Commitments. The Revolving Credit Exposure and unused Revolving Credit Commitment of any Defaulting Lender shall be disregarded in determining Required Revolving Credit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198"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Term Loan Lenders</w:t>
      </w:r>
      <w:r>
        <w:rPr>
          <w:rFonts w:ascii="Times New Roman" w:cs="Times New Roman" w:eastAsia="Times New Roman" w:hAnsi="Times New Roman"/>
          <w:sz w:val="20"/>
          <w:szCs w:val="20"/>
          <w:color w:val="auto"/>
        </w:rPr>
        <w:t xml:space="preserve">” means, at any time, Lenders having more than 50% of the sum of the Outstanding Amount of Term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unfunded Term Loan Commitments. The Outstanding Amount of Term Loans and unfunded Term Loan Commitments of any Defaulting Lender shall be disregarded in determining Required Term Loan Lenders at any time.</w:t>
      </w:r>
    </w:p>
    <w:p>
      <w:pPr>
        <w:spacing w:after="0" w:line="2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86"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chief financial officer, treasurer, assistant treasurer or controller of a Loan Party, or in the case of a Netherlands Designated Borrower, an authorized signatory, solely for purposes of the delivery of incumbency certificates pursuant</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99"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Company that is not an Unrestricted Subsidiary.</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means (a) with respect to any Revolving Credit Loan, each of the following:</w:t>
      </w:r>
    </w:p>
    <w:p>
      <w:pPr>
        <w:spacing w:after="0" w:line="22" w:lineRule="exact"/>
        <w:rPr>
          <w:sz w:val="20"/>
          <w:szCs w:val="20"/>
          <w:color w:val="auto"/>
        </w:rPr>
      </w:pPr>
    </w:p>
    <w:p>
      <w:pPr>
        <w:jc w:val="both"/>
        <w:ind w:left="120" w:hanging="9"/>
        <w:spacing w:after="0"/>
        <w:tabs>
          <w:tab w:leader="none" w:pos="36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(iii) such additional dates as the Administrative Agent shall in good faith and reasonably determine or the Required Revolving Credit Lenders shall in good faith and reasonably require; and (b)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(iii) in the case of all Existing Letters of Credit denominated in Alternative Currencies, the Closing Date and (iv) such additional dates as the Administrative Agent or any L/C Issuer shall in good faith and reasonably determine or the Required Revolving Credit Lenders shall in good faith and reasonably require.</w:t>
      </w:r>
    </w:p>
    <w:p>
      <w:pPr>
        <w:spacing w:after="0" w:line="217"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xml:space="preserve">” means a borrowing consisting of simultaneous Revolving Credit Loans of the same Type, in the same currency and, in the case of Term SOFR Loans and Alternative Currency Term Rate Loans, having the same Interest Period made by each of the Lenders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each Lender, its obligation to (a) make Revolving Credit Loans to the Borrowers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211"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the aggregate principal amount at such time of its outstanding Revolving Credit Loans and such Lender’s participations in L/C Obligations and Swing Line Loans at such time.</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at any time, the revolving credit facility provided in this Agreement pursuant to the Aggregate Revolving Credit Commitments, including the participations in L/C Obligations and Swing Line Loans thereunder.</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Credit Commitment or Revolving Credit Exposure at such time.</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Note</w:t>
      </w:r>
      <w:r>
        <w:rPr>
          <w:rFonts w:ascii="Times New Roman" w:cs="Times New Roman" w:eastAsia="Times New Roman" w:hAnsi="Times New Roman"/>
          <w:sz w:val="20"/>
          <w:szCs w:val="20"/>
          <w:color w:val="auto"/>
        </w:rPr>
        <w:t xml:space="preserve">” means a promissory note made by a Borrower in favor of a Revolving Credit Lender evidencing Revolving Credit Loans made by such Revolving Credit Lender to such Borrower,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Rupees</w:t>
      </w:r>
      <w:r>
        <w:rPr>
          <w:rFonts w:ascii="Times New Roman" w:cs="Times New Roman" w:eastAsia="Times New Roman" w:hAnsi="Times New Roman"/>
          <w:sz w:val="20"/>
          <w:szCs w:val="20"/>
          <w:color w:val="auto"/>
        </w:rPr>
        <w:t>” means the lawful currency of India.</w:t>
      </w:r>
    </w:p>
    <w:p>
      <w:pPr>
        <w:spacing w:after="0" w:line="216"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9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international economic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that isentered into by and between any Loan Party and any Cash Management Bank.</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Swap Contract permitted hereunder that is entered into by and between any Loan Party and any Hedge Bank.</w:t>
      </w:r>
    </w:p>
    <w:p>
      <w:pPr>
        <w:spacing w:after="0" w:line="159"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and the other Persons the Obligations owing to which are or are purported to be secured by the Collateral under the terms of the Collateral Documents.</w:t>
      </w:r>
    </w:p>
    <w:p>
      <w:pPr>
        <w:spacing w:after="0" w:line="193" w:lineRule="exact"/>
        <w:rPr>
          <w:sz w:val="20"/>
          <w:szCs w:val="20"/>
          <w:color w:val="auto"/>
        </w:rPr>
      </w:pPr>
    </w:p>
    <w:p>
      <w:pPr>
        <w:jc w:val="both"/>
        <w:ind w:left="120" w:right="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Permitted Standalone Letter of Credit</w:t>
      </w:r>
      <w:r>
        <w:rPr>
          <w:rFonts w:ascii="Times New Roman" w:cs="Times New Roman" w:eastAsia="Times New Roman" w:hAnsi="Times New Roman"/>
          <w:sz w:val="20"/>
          <w:szCs w:val="20"/>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Permitted Standalone Letter of Credit be a Secured Permitted Standalone Letter of Credit if it is secured by Liens permitted by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Agreements</w:t>
      </w:r>
      <w:r>
        <w:rPr>
          <w:rFonts w:ascii="Times New Roman" w:cs="Times New Roman" w:eastAsia="Times New Roman" w:hAnsi="Times New Roman"/>
          <w:sz w:val="20"/>
          <w:szCs w:val="20"/>
          <w:color w:val="auto"/>
        </w:rPr>
        <w:t>” means, collectively, (a) the Amended and Restated Security Agreement (the “</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and (b)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198"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Joinder Agreement</w:t>
      </w:r>
      <w:r>
        <w:rPr>
          <w:rFonts w:ascii="Times New Roman" w:cs="Times New Roman" w:eastAsia="Times New Roman" w:hAnsi="Times New Roman"/>
          <w:sz w:val="20"/>
          <w:szCs w:val="20"/>
          <w:color w:val="auto"/>
        </w:rPr>
        <w:t>” means each Security Joinder Agreement, substantially in the form thereof attached to a Security Agreement, executed and delivered by a Restricted Subsidiary to the Administrative Agent.</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73"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w:t>
      </w:r>
    </w:p>
    <w:p>
      <w:pPr>
        <w:spacing w:after="0" w:line="201"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Business Day immediately priorthereto.</w:t>
      </w:r>
    </w:p>
    <w:p>
      <w:pPr>
        <w:spacing w:after="0" w:line="19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3"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means any disposition of all or substantially all of the assets or Equity Interests of any Subsidiary of the Company or any division, business unit, product line or line of business.</w:t>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Existing Capital Leases</w:t>
      </w:r>
      <w:r>
        <w:rPr>
          <w:rFonts w:ascii="Times New Roman" w:cs="Times New Roman" w:eastAsia="Times New Roman" w:hAnsi="Times New Roman"/>
          <w:sz w:val="20"/>
          <w:szCs w:val="20"/>
          <w:color w:val="auto"/>
        </w:rPr>
        <w:t xml:space="preserve">” means those capital leases described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Transactions</w:t>
      </w:r>
      <w:r>
        <w:rPr>
          <w:rFonts w:ascii="Times New Roman" w:cs="Times New Roman" w:eastAsia="Times New Roman" w:hAnsi="Times New Roman"/>
          <w:sz w:val="20"/>
          <w:szCs w:val="20"/>
          <w:color w:val="auto"/>
        </w:rPr>
        <w:t>” means (a) any Specified Disposition and (b) any Permitted Acquisition.</w:t>
      </w:r>
    </w:p>
    <w:p>
      <w:pPr>
        <w:spacing w:after="0" w:line="202"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98"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collectively, the Subsidiaries party to a Subsidiary Guaranty (including by execution of a Subsidiary Guaranty Joinder Agreement).</w:t>
      </w:r>
    </w:p>
    <w:p>
      <w:pPr>
        <w:spacing w:after="0" w:line="159"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Guaranties</w:t>
      </w:r>
      <w:r>
        <w:rPr>
          <w:rFonts w:ascii="Times New Roman" w:cs="Times New Roman" w:eastAsia="Times New Roman" w:hAnsi="Times New Roman"/>
          <w:sz w:val="20"/>
          <w:szCs w:val="20"/>
          <w:color w:val="auto"/>
        </w:rPr>
        <w:t>” means, collectively, (a) the Amended and Restated Subsidiary Guaranty Agreement (the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dated as of the date hereof, made by certain Restricted Subsidiaries of the Company in favor of the Administrative Agent for the benefit of the Secured Parties specified therein and (b) means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98"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 Joinder Agreement</w:t>
      </w:r>
      <w:r>
        <w:rPr>
          <w:rFonts w:ascii="Times New Roman" w:cs="Times New Roman" w:eastAsia="Times New Roman" w:hAnsi="Times New Roman"/>
          <w:sz w:val="20"/>
          <w:szCs w:val="20"/>
          <w:color w:val="auto"/>
        </w:rPr>
        <w:t>” means each Subsidiary Guaranty Joinder Agreement, substantially in the form thereof attached to a Subsidiary Guaranty, executed and delivered by a Restricted Subsidiary to the Administrative Agent.</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20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Subsidiary Guarantor, any obligation to pay or perform under any agreement, contract or transaction that constitutes a “swap” within the meaning of Section 1a(47) of the Commodity Exchange Act.</w:t>
      </w:r>
    </w:p>
    <w:p>
      <w:pPr>
        <w:spacing w:after="0" w:line="173"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20" w:right="5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in its capacity as provider of Swing Line Loans, or any successor swing line lender hereunder.</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at any time, an amount equal to the lesser of (a) $10,000,000 and</w:t>
      </w:r>
    </w:p>
    <w:p>
      <w:pPr>
        <w:spacing w:after="0" w:line="22" w:lineRule="exact"/>
        <w:rPr>
          <w:sz w:val="20"/>
          <w:szCs w:val="20"/>
          <w:color w:val="auto"/>
        </w:rPr>
      </w:pPr>
    </w:p>
    <w:p>
      <w:pPr>
        <w:ind w:left="120" w:right="700" w:hanging="8"/>
        <w:spacing w:after="0" w:line="246" w:lineRule="auto"/>
        <w:tabs>
          <w:tab w:leader="none" w:pos="85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Revolving Credit Commitments. The Swing Line Sublimit is part of, and not in addition to, the Aggregate Revolving Credit Commitments.</w:t>
      </w:r>
    </w:p>
    <w:p>
      <w:pPr>
        <w:spacing w:after="0" w:line="195"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207"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payment system which utilizes a single shared platform and which was launched on November 19, 2007.</w:t>
      </w:r>
    </w:p>
    <w:p>
      <w:pPr>
        <w:spacing w:after="0" w:line="14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86"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Borrowing</w:t>
      </w:r>
      <w:r>
        <w:rPr>
          <w:rFonts w:ascii="Times New Roman" w:cs="Times New Roman" w:eastAsia="Times New Roman" w:hAnsi="Times New Roman"/>
          <w:sz w:val="20"/>
          <w:szCs w:val="20"/>
          <w:color w:val="auto"/>
        </w:rPr>
        <w:t xml:space="preserve">” means a borrowing consisting of simultaneous Term Loans of the same Type and, in the case of Term SOFR Loans, having the same Interest Period made by each of the Term Loan Lenders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means, as to each Lender, its obligation to make a Term Loan to the Company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2.01(b)</w:t>
      </w:r>
      <w:r>
        <w:rPr>
          <w:rFonts w:ascii="Times New Roman" w:cs="Times New Roman" w:eastAsia="Times New Roman" w:hAnsi="Times New Roman"/>
          <w:sz w:val="20"/>
          <w:szCs w:val="20"/>
          <w:color w:val="auto"/>
        </w:rPr>
        <w:t xml:space="preserve"> on the Closing Date in a principal amount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ind w:left="860"/>
        <w:spacing w:after="0"/>
        <w:tabs>
          <w:tab w:leader="none" w:pos="79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Facility</w:t>
      </w:r>
      <w:r>
        <w:rPr>
          <w:rFonts w:ascii="Times New Roman" w:cs="Times New Roman" w:eastAsia="Times New Roman" w:hAnsi="Times New Roman"/>
          <w:sz w:val="20"/>
          <w:szCs w:val="20"/>
          <w:color w:val="auto"/>
        </w:rPr>
        <w:t>” means, at any time, the term loan facility provided pursuant to</w:t>
      </w:r>
      <w:r>
        <w:rPr>
          <w:sz w:val="20"/>
          <w:szCs w:val="20"/>
          <w:color w:val="auto"/>
        </w:rPr>
        <w:tab/>
      </w:r>
      <w:r>
        <w:rPr>
          <w:rFonts w:ascii="Times New Roman" w:cs="Times New Roman" w:eastAsia="Times New Roman" w:hAnsi="Times New Roman"/>
          <w:sz w:val="19"/>
          <w:szCs w:val="19"/>
          <w:u w:val="single" w:color="auto"/>
          <w:color w:val="auto"/>
        </w:rPr>
        <w:t>Section</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2.01(b)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20" w:right="74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Lender</w:t>
      </w:r>
      <w:r>
        <w:rPr>
          <w:rFonts w:ascii="Times New Roman" w:cs="Times New Roman" w:eastAsia="Times New Roman" w:hAnsi="Times New Roman"/>
          <w:sz w:val="20"/>
          <w:szCs w:val="20"/>
          <w:color w:val="auto"/>
        </w:rPr>
        <w:t>” means, at any time, any Lender that has a Term Loan Commitment or an outstanding Term Loan at such time.</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24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xml:space="preserve">” means a promissory note made by the Company in favor of a Term Loan Lender evidencing the Term Loan made by such Term Loan Lender, substantially in the form of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means,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plus the Term SOFR Adjustment for such Interest Period;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Term SOFR determined in accordance with the foregoing provisions of this definition would otherwise be less than zero, the Term SOFR shall be deemed zero for purposes of this Agreement.</w:t>
      </w:r>
    </w:p>
    <w:p>
      <w:pPr>
        <w:spacing w:after="0" w:line="211"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 with respect to Term SOFR, (a) 0.11448% (11.448 basis points) for an Interest Period of one-month’s duration, (b) 0.26161% (26.161 basis points) for an Interest Period of three-months’ duration and (c) 0.42826% (42.826 basis points) for an Interest Period of six-months’ duration.</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SOFR.</w:t>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EX-10.25</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the definition of Term</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Screen Rate</w:t>
      </w:r>
      <w:r>
        <w:rPr>
          <w:rFonts w:ascii="Times New Roman" w:cs="Times New Roman" w:eastAsia="Times New Roman" w:hAnsi="Times New Roman"/>
          <w:sz w:val="19"/>
          <w:szCs w:val="19"/>
          <w:color w:val="auto"/>
        </w:rPr>
        <w:t>” means the forward-looking SOFR term rate administered by CME (or</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$7,500,000.</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Term Loans of such Lender at suchtime.</w:t>
      </w:r>
    </w:p>
    <w:p>
      <w:pPr>
        <w:spacing w:after="0" w:line="18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Outstandings</w:t>
      </w:r>
      <w:r>
        <w:rPr>
          <w:rFonts w:ascii="Times New Roman" w:cs="Times New Roman" w:eastAsia="Times New Roman" w:hAnsi="Times New Roman"/>
          <w:sz w:val="20"/>
          <w:szCs w:val="20"/>
          <w:color w:val="auto"/>
        </w:rPr>
        <w:t>” means the aggregate Outstanding Amount of all Revolving Credit Loans, Swing Line Loans and L/C Obligations.</w:t>
      </w:r>
    </w:p>
    <w:p>
      <w:pPr>
        <w:spacing w:after="0" w:line="173"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treasury management services, autoborrow, sweep or similar agreement entered into between the Company and the Swing Line Lender from time totime.</w:t>
      </w:r>
    </w:p>
    <w:p>
      <w:pPr>
        <w:spacing w:after="0" w:line="186"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a Daily Simple SOFR Loan, a Term SOFR Loan, an Alternative Currency Daily Rate Loan or an Alternative Currency Term Rate Loan.</w:t>
      </w:r>
    </w:p>
    <w:p>
      <w:pPr>
        <w:spacing w:after="0" w:line="173"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 perfection or priority.</w:t>
      </w:r>
    </w:p>
    <w:p>
      <w:pPr>
        <w:spacing w:after="0" w:line="207"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investmentfirms.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6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74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any Subsidiary that has been designated as an “Unrestricted Subsidiary”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has not been re-designated as a Restricted Subsidiary in accordance with such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As of the Amendment No. 2 Effective Date, each of EFM Equipment Company, LLC, Effox-Flextor-Mader Inc. and Flextor, Inc. are Unrestricted Subsidiaries.</w:t>
      </w:r>
    </w:p>
    <w:p>
      <w:pPr>
        <w:spacing w:after="0" w:line="174"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means, collectively, the Company and each Designated Borrower that is a Domestic Subsidiary (other than a Domestic Subsidiary of the type described in clause (b) or (c) of the definition of Foreign Subsidiary).</w:t>
      </w:r>
    </w:p>
    <w:p>
      <w:pPr>
        <w:spacing w:after="0" w:line="173"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93"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Loan Party</w:t>
      </w:r>
      <w:r>
        <w:rPr>
          <w:rFonts w:ascii="Times New Roman" w:cs="Times New Roman" w:eastAsia="Times New Roman" w:hAnsi="Times New Roman"/>
          <w:sz w:val="20"/>
          <w:szCs w:val="20"/>
          <w:color w:val="auto"/>
        </w:rPr>
        <w:t>” means, collectively, each U.S. Borrower and each other Loan Party that is a Domestic Subsidiary (other than a Domestic Subsidiary of the type described in clause (b) or (c) of the definition of Foreign Subsidiary).</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Pledge Agreement</w:t>
      </w:r>
      <w:r>
        <w:rPr>
          <w:rFonts w:ascii="Times New Roman" w:cs="Times New Roman" w:eastAsia="Times New Roman" w:hAnsi="Times New Roman"/>
          <w:sz w:val="20"/>
          <w:szCs w:val="20"/>
          <w:color w:val="auto"/>
        </w:rPr>
        <w:t>” has the meaning specified in the definition of Pledge Agreements.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has the meaning specified in the definition of Security Agreements.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 Guaranty</w:t>
      </w:r>
      <w:r>
        <w:rPr>
          <w:rFonts w:ascii="Times New Roman" w:cs="Times New Roman" w:eastAsia="Times New Roman" w:hAnsi="Times New Roman"/>
          <w:sz w:val="20"/>
          <w:szCs w:val="20"/>
          <w:color w:val="auto"/>
        </w:rPr>
        <w:t>” has the meaning specified in the definition of Subsidiary Guaranties.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left="120" w:firstLine="74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3" w:lineRule="exact"/>
        <w:rPr>
          <w:sz w:val="20"/>
          <w:szCs w:val="20"/>
          <w:color w:val="auto"/>
        </w:rPr>
      </w:pPr>
    </w:p>
    <w:p>
      <w:pPr>
        <w:jc w:val="both"/>
        <w:ind w:left="120" w:right="20" w:firstLine="749"/>
        <w:spacing w:after="0" w:line="269" w:lineRule="auto"/>
        <w:rPr>
          <w:sz w:val="20"/>
          <w:szCs w:val="20"/>
          <w:color w:val="auto"/>
        </w:rPr>
      </w:pPr>
      <w:r>
        <w:rPr>
          <w:rFonts w:ascii="Times New Roman" w:cs="Times New Roman" w:eastAsia="Times New Roman" w:hAnsi="Times New Roman"/>
          <w:sz w:val="20"/>
          <w:szCs w:val="20"/>
          <w:color w:val="auto"/>
        </w:rPr>
        <w:t>1.2 Other Interpretive Provisions. With reference to this Agreement and each other Loan Document, unlessotherwisespecifiedherein or insuchother Loan Document:</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55" w:lineRule="auto"/>
        <w:tabs>
          <w:tab w:leader="none" w:pos="178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9"/>
          <w:szCs w:val="19"/>
          <w:u w:val="single" w:color="auto"/>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including</w:t>
      </w:r>
      <w:r>
        <w:rPr>
          <w:rFonts w:ascii="Times New Roman" w:cs="Times New Roman" w:eastAsia="Times New Roman" w:hAnsi="Times New Roman"/>
          <w:sz w:val="19"/>
          <w:szCs w:val="19"/>
          <w:color w:val="auto"/>
        </w:rPr>
        <w:t>” shall be deemed to be followed by the phrase “without limitation.” The word “</w:t>
      </w:r>
      <w:r>
        <w:rPr>
          <w:rFonts w:ascii="Times New Roman" w:cs="Times New Roman" w:eastAsia="Times New Roman" w:hAnsi="Times New Roman"/>
          <w:sz w:val="19"/>
          <w:szCs w:val="19"/>
          <w:u w:val="single" w:color="auto"/>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u w:val="single" w:color="auto"/>
          <w:color w:val="auto"/>
        </w:rPr>
        <w:t>shall</w:t>
      </w:r>
      <w:r>
        <w:rPr>
          <w:rFonts w:ascii="Times New Roman" w:cs="Times New Roman" w:eastAsia="Times New Roman" w:hAnsi="Times New Roman"/>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9"/>
          <w:szCs w:val="19"/>
          <w:u w:val="single" w:color="auto"/>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hereunder</w:t>
      </w:r>
      <w:r>
        <w:rPr>
          <w:rFonts w:ascii="Times New Roman" w:cs="Times New Roman" w:eastAsia="Times New Roman" w:hAnsi="Times New Roman"/>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9"/>
          <w:szCs w:val="19"/>
          <w:u w:val="single" w:color="auto"/>
          <w:color w:val="auto"/>
        </w:rPr>
        <w:t>asset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shall be construed to have the same meaning and effect and to refer to any and all tangible and intangible assets and properties, including cash, securities, accounts and contract rights.</w:t>
      </w:r>
    </w:p>
    <w:p>
      <w:pPr>
        <w:spacing w:after="0" w:line="190" w:lineRule="exact"/>
        <w:rPr>
          <w:rFonts w:ascii="Times New Roman" w:cs="Times New Roman" w:eastAsia="Times New Roman" w:hAnsi="Times New Roman"/>
          <w:sz w:val="19"/>
          <w:szCs w:val="19"/>
          <w:color w:val="auto"/>
        </w:rPr>
      </w:pPr>
    </w:p>
    <w:p>
      <w:pPr>
        <w:ind w:left="300" w:right="20" w:firstLine="748"/>
        <w:spacing w:after="0" w:line="269" w:lineRule="auto"/>
        <w:tabs>
          <w:tab w:leader="none" w:pos="178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interpretationof this Agreement or any other Loan Document.</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Accounting Terms.</w:t>
      </w:r>
    </w:p>
    <w:p>
      <w:pPr>
        <w:spacing w:after="0" w:line="243" w:lineRule="exact"/>
        <w:rPr>
          <w:sz w:val="20"/>
          <w:szCs w:val="20"/>
          <w:color w:val="auto"/>
        </w:rPr>
      </w:pPr>
    </w:p>
    <w:p>
      <w:pPr>
        <w:jc w:val="both"/>
        <w:ind w:left="300" w:firstLine="748"/>
        <w:spacing w:after="0" w:line="259" w:lineRule="auto"/>
        <w:tabs>
          <w:tab w:leader="none" w:pos="1789" w:val="left"/>
        </w:tabs>
        <w:numPr>
          <w:ilvl w:val="0"/>
          <w:numId w:val="8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9"/>
          <w:szCs w:val="19"/>
          <w:u w:val="single" w:color="auto"/>
          <w:color w:val="auto"/>
        </w:rPr>
        <w:t>except</w:t>
      </w:r>
      <w:r>
        <w:rPr>
          <w:rFonts w:ascii="Times New Roman" w:cs="Times New Roman" w:eastAsia="Times New Roman" w:hAnsi="Times New Roman"/>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w:t>
      </w: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2" w:lineRule="auto"/>
        <w:tabs>
          <w:tab w:leader="none" w:pos="1789" w:val="left"/>
        </w:tabs>
        <w:numPr>
          <w:ilvl w:val="0"/>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(including, for the avoidance of doubt, as a result of new set of standards in FASB ASC 842), unless the parties hereto shall enter into a mutually acceptable amendment addressing such changes, as provided for above (it being understood that until so amended, the Company shall comply with the proviso to the immediately preceding sentence).</w:t>
      </w:r>
    </w:p>
    <w:p>
      <w:pPr>
        <w:spacing w:after="0" w:line="200" w:lineRule="exact"/>
        <w:rPr>
          <w:rFonts w:ascii="Times New Roman" w:cs="Times New Roman" w:eastAsia="Times New Roman" w:hAnsi="Times New Roman"/>
          <w:sz w:val="20"/>
          <w:szCs w:val="20"/>
          <w:u w:val="single" w:color="auto"/>
          <w:color w:val="auto"/>
        </w:rPr>
      </w:pPr>
    </w:p>
    <w:p>
      <w:pPr>
        <w:jc w:val="both"/>
        <w:ind w:left="300" w:firstLine="748"/>
        <w:spacing w:after="0" w:line="249" w:lineRule="auto"/>
        <w:tabs>
          <w:tab w:leader="none" w:pos="1789" w:val="left"/>
        </w:tabs>
        <w:numPr>
          <w:ilvl w:val="0"/>
          <w:numId w:val="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207"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1.4 Rounding.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nearestnumber).</w:t>
      </w:r>
    </w:p>
    <w:p>
      <w:pPr>
        <w:spacing w:after="0" w:line="193" w:lineRule="exact"/>
        <w:rPr>
          <w:sz w:val="20"/>
          <w:szCs w:val="20"/>
          <w:color w:val="auto"/>
        </w:rPr>
      </w:pPr>
    </w:p>
    <w:p>
      <w:pPr>
        <w:jc w:val="both"/>
        <w:ind w:left="120" w:right="20" w:firstLine="749"/>
        <w:spacing w:after="0" w:line="269" w:lineRule="auto"/>
        <w:rPr>
          <w:sz w:val="20"/>
          <w:szCs w:val="20"/>
          <w:color w:val="auto"/>
        </w:rPr>
      </w:pPr>
      <w:r>
        <w:rPr>
          <w:rFonts w:ascii="Times New Roman" w:cs="Times New Roman" w:eastAsia="Times New Roman" w:hAnsi="Times New Roman"/>
          <w:sz w:val="20"/>
          <w:szCs w:val="20"/>
          <w:color w:val="auto"/>
        </w:rPr>
        <w:t>1.5 Times of Day. Unless otherwise specified, all references herein to times of day shall be references to Eastern time (daylight or standard, as applicable).</w:t>
      </w:r>
    </w:p>
    <w:p>
      <w:pPr>
        <w:spacing w:after="0" w:line="186"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1.6 Letter of Credit Amounts.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9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1.7 Adjustments for Specified Transactions. For each four-quarter period ending next following the date of any Specified Transaction, for purposes of determining the Consolidated Net Leverage Ratio, Consolidated EBITDA shall be computed as if such Specified Transaction (and all other Specified Transactions that have been consummated during the applicable period) occurred as of the first day of the applicable period of measurement and:</w:t>
      </w:r>
    </w:p>
    <w:p>
      <w:pPr>
        <w:spacing w:after="0" w:line="207" w:lineRule="exact"/>
        <w:rPr>
          <w:sz w:val="20"/>
          <w:szCs w:val="20"/>
          <w:color w:val="auto"/>
        </w:rPr>
      </w:pPr>
    </w:p>
    <w:p>
      <w:pPr>
        <w:jc w:val="both"/>
        <w:ind w:left="300" w:firstLine="748"/>
        <w:spacing w:after="0" w:line="246" w:lineRule="auto"/>
        <w:tabs>
          <w:tab w:leader="none" w:pos="178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income statement items (whether positive or negative) attributable to the property or person disposed of in a Specified Disposition shall be excluded and all income statement items(whether positive or negative) attributable to the property or person acquired in a Permitted Acquisition shall be included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firstLine="748"/>
        <w:spacing w:after="0" w:line="269" w:lineRule="auto"/>
        <w:tabs>
          <w:tab w:leader="none" w:pos="178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costs, extraordinary expenses and other pro forma adjustments attributable to such transaction may be included to the extent that such costs, expenses oradjustments:</w:t>
      </w:r>
    </w:p>
    <w:p>
      <w:pPr>
        <w:spacing w:after="0" w:line="172"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reasonably expected to be realized within twelve (12) months of such Specified Transaction as set forth in reasonable detail on a certificate of a Responsible Officer of the Company delivered to the Administrative Agent; and</w:t>
      </w:r>
    </w:p>
    <w:p>
      <w:pPr>
        <w:spacing w:after="0" w:line="186"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calculated on a basis consistent with GAAP and Regulation S-X of the Securities Exchange Act of</w:t>
      </w:r>
    </w:p>
    <w:p>
      <w:pPr>
        <w:spacing w:after="0" w:line="21" w:lineRule="exact"/>
        <w:rPr>
          <w:rFonts w:ascii="Times New Roman" w:cs="Times New Roman" w:eastAsia="Times New Roman" w:hAnsi="Times New Roman"/>
          <w:sz w:val="20"/>
          <w:szCs w:val="20"/>
          <w:color w:val="auto"/>
        </w:rPr>
      </w:pPr>
    </w:p>
    <w:p>
      <w:pPr>
        <w:ind w:left="10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1934;</w:t>
      </w:r>
    </w:p>
    <w:p>
      <w:pPr>
        <w:spacing w:after="0" w:line="20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costs, expenses and adjustments shall be without duplication of any costs, expenses or adjustments that are already included in the calculation of Consolidated EBITDA or clause (a) above.</w:t>
      </w:r>
    </w:p>
    <w:p>
      <w:pPr>
        <w:spacing w:after="0" w:line="159"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Exchange Rates; Currency Equivalents.</w:t>
      </w:r>
    </w:p>
    <w:p>
      <w:pPr>
        <w:spacing w:after="0" w:line="229" w:lineRule="exact"/>
        <w:rPr>
          <w:sz w:val="20"/>
          <w:szCs w:val="20"/>
          <w:color w:val="auto"/>
        </w:rPr>
      </w:pPr>
    </w:p>
    <w:p>
      <w:pPr>
        <w:jc w:val="both"/>
        <w:ind w:left="300" w:firstLine="748"/>
        <w:spacing w:after="0" w:line="245" w:lineRule="auto"/>
        <w:tabs>
          <w:tab w:leader="none" w:pos="178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maybe.</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Additional Alternative Currencies.</w:t>
      </w:r>
    </w:p>
    <w:p>
      <w:pPr>
        <w:spacing w:after="0" w:line="243" w:lineRule="exact"/>
        <w:rPr>
          <w:sz w:val="20"/>
          <w:szCs w:val="20"/>
          <w:color w:val="auto"/>
        </w:rPr>
      </w:pPr>
    </w:p>
    <w:p>
      <w:pPr>
        <w:jc w:val="both"/>
        <w:ind w:left="300" w:firstLine="748"/>
        <w:spacing w:after="0" w:line="259" w:lineRule="auto"/>
        <w:tabs>
          <w:tab w:leader="none" w:pos="178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requested currency is an Eligible Currency. In the case of any such request with respect to the making of Alternative Currency Loans, such request shall be subject to the approval of the Administrative Agent and the Revolving Credit Lenders; and in the case of any such request with respect to the issuance of Letters of Credit, such request shall be subject to the approval of the Administrative Agent and at least one of the L/C Issuers (it being acknowledged and agreed that no L/C Issuer shall be obligated to issue any Letter of Credit denominated in a currency requested by the Company pursuant to this </w:t>
      </w:r>
      <w:r>
        <w:rPr>
          <w:rFonts w:ascii="Times New Roman" w:cs="Times New Roman" w:eastAsia="Times New Roman" w:hAnsi="Times New Roman"/>
          <w:sz w:val="19"/>
          <w:szCs w:val="19"/>
          <w:u w:val="single" w:color="auto"/>
          <w:color w:val="auto"/>
        </w:rPr>
        <w:t>Section 1.09(a)</w:t>
      </w:r>
      <w:r>
        <w:rPr>
          <w:rFonts w:ascii="Times New Roman" w:cs="Times New Roman" w:eastAsia="Times New Roman" w:hAnsi="Times New Roman"/>
          <w:sz w:val="19"/>
          <w:szCs w:val="19"/>
          <w:color w:val="auto"/>
        </w:rPr>
        <w:t xml:space="preserve"> if such currency has not been approved by such L/CIssuer).</w:t>
      </w:r>
    </w:p>
    <w:p>
      <w:pPr>
        <w:spacing w:after="0" w:line="185" w:lineRule="exact"/>
        <w:rPr>
          <w:rFonts w:ascii="Times New Roman" w:cs="Times New Roman" w:eastAsia="Times New Roman" w:hAnsi="Times New Roman"/>
          <w:sz w:val="19"/>
          <w:szCs w:val="19"/>
          <w:color w:val="auto"/>
        </w:rPr>
      </w:pPr>
    </w:p>
    <w:p>
      <w:pPr>
        <w:jc w:val="both"/>
        <w:ind w:left="300" w:firstLine="748"/>
        <w:spacing w:after="0" w:line="245" w:lineRule="auto"/>
        <w:tabs>
          <w:tab w:leader="none" w:pos="178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Revolving Credit Lender thereof; and in the case of any such request pertaining to Letters of Credit, the Administrative Agent shall promptly notify the L/C Issuers thereof. Each Revolving Credit Lender (in the case of any</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such request pertaining to Alternative Currency Loans) or each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93" w:lineRule="exact"/>
        <w:rPr>
          <w:sz w:val="20"/>
          <w:szCs w:val="20"/>
          <w:color w:val="auto"/>
        </w:rPr>
      </w:pPr>
    </w:p>
    <w:p>
      <w:pPr>
        <w:jc w:val="both"/>
        <w:ind w:left="300" w:firstLine="748"/>
        <w:spacing w:after="0" w:line="241" w:lineRule="auto"/>
        <w:tabs>
          <w:tab w:leader="none" w:pos="178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Revolving Credit Lender or an L/C Issuer, as the case may be, to respond to such request within the time period specified in the last sentence of </w:t>
      </w:r>
      <w:r>
        <w:rPr>
          <w:rFonts w:ascii="Times New Roman" w:cs="Times New Roman" w:eastAsia="Times New Roman" w:hAnsi="Times New Roman"/>
          <w:sz w:val="20"/>
          <w:szCs w:val="20"/>
          <w:u w:val="single" w:color="auto"/>
          <w:color w:val="auto"/>
        </w:rPr>
        <w:t>Section 1.09(b)</w:t>
      </w:r>
      <w:r>
        <w:rPr>
          <w:rFonts w:ascii="Times New Roman" w:cs="Times New Roman" w:eastAsia="Times New Roman" w:hAnsi="Times New Roman"/>
          <w:sz w:val="20"/>
          <w:szCs w:val="20"/>
          <w:color w:val="auto"/>
        </w:rPr>
        <w:t xml:space="preserve"> shall be deemed to be a refusal by such Lender or such L/C Issuer, as the case may be, to permit Alternative Currency Loans to be made or Letters of Credit to be issued in such requested currency. If the Administrative Agent and all the Revolving Credit Lenders consent to making Alternative Currency Loans in such requested currency and the Administrative Agent and such Revolving Credit Lenders reasonably determine that an appropriate interest rate is available to be used for such requested currency, the Administrative Agent shall so notify the Company and (i) the Administrative Agent and such Revolving Credit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at least one of the L/C Issuers consent to the issuance of Letters of Credit in such requested currency, the Administrative Agent shall so notify the Company and (iii) pursuant to the terms hereof, the Administrative Agent and the L/C Issuers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the consenting L/C Issuers.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the Administrative Agent shall promptly so notify the Company.</w:t>
      </w:r>
    </w:p>
    <w:p>
      <w:pPr>
        <w:spacing w:after="0" w:line="189"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Change of Currency.</w:t>
      </w:r>
    </w:p>
    <w:p>
      <w:pPr>
        <w:spacing w:after="0" w:line="243" w:lineRule="exact"/>
        <w:rPr>
          <w:sz w:val="20"/>
          <w:szCs w:val="20"/>
          <w:color w:val="auto"/>
        </w:rPr>
      </w:pPr>
    </w:p>
    <w:p>
      <w:pPr>
        <w:jc w:val="both"/>
        <w:ind w:left="300" w:firstLine="748"/>
        <w:spacing w:after="0" w:line="243" w:lineRule="auto"/>
        <w:tabs>
          <w:tab w:leader="none" w:pos="178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189"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187"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change in currency of any other country and any relevant market conventions or practices relating to the change in currency.</w:t>
      </w:r>
    </w:p>
    <w:p>
      <w:pPr>
        <w:spacing w:after="0" w:line="229" w:lineRule="exact"/>
        <w:rPr>
          <w:sz w:val="20"/>
          <w:szCs w:val="20"/>
          <w:color w:val="auto"/>
        </w:rPr>
      </w:pPr>
    </w:p>
    <w:p>
      <w:pPr>
        <w:jc w:val="both"/>
        <w:ind w:left="120" w:firstLine="749"/>
        <w:spacing w:after="0" w:line="241" w:lineRule="auto"/>
        <w:rPr>
          <w:sz w:val="20"/>
          <w:szCs w:val="20"/>
          <w:color w:val="auto"/>
        </w:rPr>
      </w:pPr>
      <w:r>
        <w:rPr>
          <w:rFonts w:ascii="Times New Roman" w:cs="Times New Roman" w:eastAsia="Times New Roman" w:hAnsi="Times New Roman"/>
          <w:sz w:val="20"/>
          <w:szCs w:val="20"/>
          <w:color w:val="auto"/>
        </w:rPr>
        <w:t>1.11 Interest Rates.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orservice.</w:t>
      </w: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II.</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COMMITMENTS AND CREDIT EXTENSIONS</w:t>
      </w:r>
    </w:p>
    <w:p>
      <w:pPr>
        <w:spacing w:after="0" w:line="21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Loans.</w:t>
      </w:r>
    </w:p>
    <w:p>
      <w:pPr>
        <w:spacing w:after="0" w:line="229" w:lineRule="exact"/>
        <w:rPr>
          <w:sz w:val="20"/>
          <w:szCs w:val="20"/>
          <w:color w:val="auto"/>
        </w:rPr>
      </w:pPr>
    </w:p>
    <w:p>
      <w:pPr>
        <w:jc w:val="both"/>
        <w:ind w:left="300" w:firstLine="748"/>
        <w:spacing w:after="0" w:line="242" w:lineRule="auto"/>
        <w:tabs>
          <w:tab w:leader="none" w:pos="1789"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Borrowings</w:t>
      </w:r>
      <w:r>
        <w:rPr>
          <w:rFonts w:ascii="Times New Roman" w:cs="Times New Roman" w:eastAsia="Times New Roman" w:hAnsi="Times New Roman"/>
          <w:sz w:val="20"/>
          <w:szCs w:val="20"/>
          <w:color w:val="auto"/>
        </w:rPr>
        <w:t>. Subject to the terms and conditions set forth herein, each Revolving Credit Lender severally agrees to make loans (each such loan, a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after giving effect to any Revolving Credit Borrowing, (i) the Total Revolving Credit Outstandings shall not exceed the Aggregate Revolving Credit Commitments, (ii) the Revolving Credit Exposure of any Revolving Credit Lender shall not exceed such Lender’s Revolving Credit Commitment, (iii) the aggregate Outstanding Amount of all Revolving Credit Loans made to Designated Borrowers that are not U.S. Borrowers shall not exceed, when taken together with the aggregate outstanding amount of Additional Term Loans made to Designated Borrowers that are not U.S. Borrowers, the Designated Non-U.S. Borrower Sublimit and</w:t>
      </w:r>
    </w:p>
    <w:p>
      <w:pPr>
        <w:jc w:val="both"/>
        <w:ind w:left="300" w:hanging="2"/>
        <w:spacing w:after="0" w:line="241" w:lineRule="auto"/>
        <w:tabs>
          <w:tab w:leader="none" w:pos="66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Amount of all Revolving Credit Loans denominated in Alternative Currencies shall not exceed the Alternative Currency Sublimit.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Revolving Credit Loans may be Base Rate Loans, Daily Simple SOFR Loans, Term SOFR Loans, Alternative Currency Daily Rate Loans or Alternative Currency Term Rate Loans, as further provided herein.</w:t>
      </w:r>
    </w:p>
    <w:p>
      <w:pPr>
        <w:spacing w:after="0" w:line="213"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 Borrowing</w:t>
      </w:r>
      <w:r>
        <w:rPr>
          <w:rFonts w:ascii="Times New Roman" w:cs="Times New Roman" w:eastAsia="Times New Roman" w:hAnsi="Times New Roman"/>
          <w:sz w:val="20"/>
          <w:szCs w:val="20"/>
          <w:color w:val="auto"/>
        </w:rPr>
        <w:t>. Subject to the terms and conditions set forth herein, each Term Loan Lender severally agrees to make a single loan (each such loan, a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to the Company, in Dollars, on the Closing Date in an amount not to exceed such Lender’s Term Loan Commitment. Amounts borrowed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and repaid or prepaid may not be reborrowed. Term Loans may be Base Rate Loans, Daily Simple SOFR Loans or Term SOFR Loans, as further providedherein.</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Borrowings, Conversions and Continuations of Loans.</w:t>
      </w:r>
    </w:p>
    <w:p>
      <w:pPr>
        <w:spacing w:after="0" w:line="229" w:lineRule="exact"/>
        <w:rPr>
          <w:sz w:val="20"/>
          <w:szCs w:val="20"/>
          <w:color w:val="auto"/>
        </w:rPr>
      </w:pPr>
    </w:p>
    <w:p>
      <w:pPr>
        <w:jc w:val="both"/>
        <w:ind w:left="300" w:firstLine="748"/>
        <w:spacing w:after="0"/>
        <w:tabs>
          <w:tab w:leader="none" w:pos="17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Borrowing, each Term Loan Borrowing, each conversion of Loans from one Type to the other, and each continuation of Term SOFR Loans or Alternative Currency Term Rate Loans shall be made upon the Company’s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Administrative Agent of a Loan Notice. Each such notice must be received by the Administrative Agent not later than 11:00 a.m. (i) two Business Days prior to the requested date of any Borrowing of, conversion to or continuation of Term SOFR Loans denominated in Dollars or of any conversion of Term SOFR Loans denominated in Dollars to Base Rate Loans, (ii) one Business Day prior to the requested date of any Borrowing of, or conversion to, Daily Simple SOFR Loans denominated in Dollars or of any conversion of Daily Simple SOFR Loans denominated in Dollars to Base Rate Loans, (iii) three Business Days (or five Business Days in the case of a Special Notice Currency) prior to the requested date of any Borrowing or, in the case of Alternative Currency Term Rate Loans, continuation of Alternative Currency Loans and (iv) on the requested date of any Borrowing of Base Rate Loans. Each telephonic notice by the Company pursuant to this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must be confirmed promptly by delivery to the Administrative Agent of a written Loan Notice, appropriately completed and signed by a Responsible Officer of the Company. Each Borrowing of, or conversion to Daily Simple SOFR Loans, and each Borrowing of, conversion to or continuation of Term SOFR Loans or Alternative Currency Loans shall be in a principal amount of the Dollar Equivalent of $1,000,000 or a whole multiple of the Dollar Equivalent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each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Term Loan Borrowing, a Revolving Credit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(vi) if applicable, the currency of the Revolving Credit Loans to be borrowed, and (vii) if applicable, the Designated Borrower. If the Company fails to specify a currency in a Loan Notice requesting a Revolving Credit Borrowing, then the Revolving Credit Loans so requested shall be made in Dollars. If the Company fails to specify a Type of Loan in a Loan Notice or if the Company fails to give a timely notice requesting a conversion or continuation, then the applicable Term Loans or Revolving Credit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a failure to timely request a continuation of Revolving Credit Loans denominated in an Alternative Currency, such Loans shall be continued as Alternative Currency Term Rate Loans in their original currency with an Interest Period of one month. Any such automatic conversion to Base Rate Loans shall be effective as of the last day of the Interest Period then in effect with respect to the applicable Term SOFR Loans. If the Company requests a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20"/>
          <w:szCs w:val="20"/>
          <w:u w:val="single" w:color="auto"/>
          <w:color w:val="auto"/>
        </w:rPr>
        <w:t>Sections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226" w:lineRule="exact"/>
        <w:rPr>
          <w:rFonts w:ascii="Times New Roman" w:cs="Times New Roman" w:eastAsia="Times New Roman" w:hAnsi="Times New Roman"/>
          <w:sz w:val="20"/>
          <w:szCs w:val="20"/>
          <w:color w:val="auto"/>
        </w:rPr>
      </w:pPr>
    </w:p>
    <w:p>
      <w:pPr>
        <w:jc w:val="both"/>
        <w:ind w:left="300" w:firstLine="748"/>
        <w:spacing w:after="0" w:line="250" w:lineRule="auto"/>
        <w:tabs>
          <w:tab w:leader="none" w:pos="178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receipt of a Loan Notice for a Facility, the Administrative Agent shall promptly notify each Lender under such Facility of the amount (and, if applicable, the currency) of its Applicable Percentage under such Facility of the applicable Loans,</w:t>
      </w:r>
    </w:p>
    <w:p>
      <w:pPr>
        <w:spacing w:after="0" w:line="2" w:lineRule="exact"/>
        <w:rPr>
          <w:sz w:val="20"/>
          <w:szCs w:val="20"/>
          <w:color w:val="auto"/>
        </w:rPr>
      </w:pPr>
    </w:p>
    <w:p>
      <w:pPr>
        <w:ind w:left="300"/>
        <w:spacing w:after="0" w:line="246" w:lineRule="auto"/>
        <w:rPr>
          <w:sz w:val="20"/>
          <w:szCs w:val="20"/>
          <w:color w:val="auto"/>
        </w:rPr>
      </w:pPr>
      <w:r>
        <w:rPr>
          <w:rFonts w:ascii="Times New Roman" w:cs="Times New Roman" w:eastAsia="Times New Roman" w:hAnsi="Times New Roman"/>
          <w:sz w:val="20"/>
          <w:szCs w:val="20"/>
          <w:color w:val="auto"/>
        </w:rPr>
        <w:t>and if no timely notice of a conversion or continuation is provided by the Company, the Administrative Agent shall notify each Lender under</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9"/>
          <w:szCs w:val="19"/>
          <w:color w:val="auto"/>
        </w:rPr>
        <w:t xml:space="preserve">the applicable Facility of the details of any automatic conversion to Base Rate Loans or continuation of Alternative Currency Term Rate Loans, in each case as described in the preceding subsection. In the case of a Term Loan Borrowing or a Revolving Credit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(and, if such Borrowing is the initial Credit Extension,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on the date a Loan Notice with respect to a Revolving Credit Borrowing is given by the Company, there are L/C Borrowings outstanding, then the proceeds of such Revolving Credit Borrowing,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shall be applied to the payment in full of any such L/C Borrowings,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shall be made available to the applicable Borrower as provided above.</w:t>
      </w:r>
    </w:p>
    <w:p>
      <w:pPr>
        <w:spacing w:after="0" w:line="168" w:lineRule="exact"/>
        <w:rPr>
          <w:sz w:val="20"/>
          <w:szCs w:val="20"/>
          <w:color w:val="auto"/>
        </w:rPr>
      </w:pPr>
    </w:p>
    <w:p>
      <w:pPr>
        <w:jc w:val="both"/>
        <w:ind w:left="300" w:firstLine="748"/>
        <w:spacing w:after="0" w:line="244" w:lineRule="auto"/>
        <w:tabs>
          <w:tab w:leader="none" w:pos="178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each of a Term SOFR Loan and an Alternative Currency Term Rate Loan may be continued or converted only on the last day of an Interest Period for such Loan. During the existence of an Event of Default, no Loans may be requested as, or converted to Daily Simple SOFR Loans or Alternative Currency Daily Rate Loans or requested as, converted to or continued as Term SOFR Loans or Alternative Currency Term Rate Loans, as applicable (whether in Dollars or any Alternative Currency) without the consent of the Required Lenders, and unless otherwise consented by the Required Lenders all of the then outstanding Alternative Currency Term Rate Loans shall be redenominated into Dollars in the amount of the Dollar Equivalent thereof and converted into Base Rate Loans on the last day of the then current Interest Period with respect thereto.</w:t>
      </w:r>
    </w:p>
    <w:p>
      <w:pPr>
        <w:spacing w:after="0" w:line="212"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Term SOFR Loans or Alternative Currency Term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206"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 After giving effect to all Term Loan Borrowings, all conversions of Term Loans from one Type to the other, and all continuations of Term Loans as the same Type, there shall not be more than ten Interest Periods in effect with respect to Term Loans.</w:t>
      </w:r>
    </w:p>
    <w:p>
      <w:pPr>
        <w:spacing w:after="0" w:line="198" w:lineRule="exact"/>
        <w:rPr>
          <w:rFonts w:ascii="Times New Roman" w:cs="Times New Roman" w:eastAsia="Times New Roman" w:hAnsi="Times New Roman"/>
          <w:sz w:val="20"/>
          <w:szCs w:val="20"/>
          <w:color w:val="auto"/>
        </w:rPr>
      </w:pPr>
    </w:p>
    <w:p>
      <w:pPr>
        <w:jc w:val="both"/>
        <w:ind w:left="300" w:firstLine="748"/>
        <w:spacing w:after="0" w:line="274" w:lineRule="auto"/>
        <w:tabs>
          <w:tab w:leader="none" w:pos="178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69" w:lineRule="exact"/>
        <w:rPr>
          <w:rFonts w:ascii="Times New Roman" w:cs="Times New Roman" w:eastAsia="Times New Roman" w:hAnsi="Times New Roman"/>
          <w:sz w:val="19"/>
          <w:szCs w:val="19"/>
          <w:color w:val="auto"/>
        </w:rPr>
      </w:pPr>
    </w:p>
    <w:p>
      <w:pPr>
        <w:jc w:val="both"/>
        <w:ind w:left="300" w:right="20" w:firstLine="748"/>
        <w:spacing w:after="0" w:line="249" w:lineRule="auto"/>
        <w:tabs>
          <w:tab w:leader="none" w:pos="178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 xml:space="preserve">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Letters of Credit.</w:t>
      </w:r>
    </w:p>
    <w:p>
      <w:pPr>
        <w:spacing w:after="0" w:line="243" w:lineRule="exact"/>
        <w:rPr>
          <w:sz w:val="20"/>
          <w:szCs w:val="20"/>
          <w:color w:val="auto"/>
        </w:rPr>
      </w:pPr>
    </w:p>
    <w:p>
      <w:pPr>
        <w:ind w:left="1800" w:hanging="752"/>
        <w:spacing w:after="0"/>
        <w:tabs>
          <w:tab w:leader="none" w:pos="18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2540" w:hanging="743"/>
        <w:spacing w:after="0"/>
        <w:tabs>
          <w:tab w:leader="none" w:pos="25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 each L/C Issuer agrees, in reliance upon the</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 xml:space="preserve">agreements of the Revolving Credit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jc w:val="both"/>
        <w:ind w:left="1040" w:firstLine="7"/>
        <w:spacing w:after="0" w:line="239" w:lineRule="auto"/>
        <w:tabs>
          <w:tab w:leader="none" w:pos="13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and (2) to honor drawings under the Letters of Credit; and</w:t>
      </w:r>
    </w:p>
    <w:p>
      <w:pPr>
        <w:spacing w:after="0" w:line="1" w:lineRule="exact"/>
        <w:rPr>
          <w:rFonts w:ascii="Times New Roman" w:cs="Times New Roman" w:eastAsia="Times New Roman" w:hAnsi="Times New Roman"/>
          <w:sz w:val="20"/>
          <w:szCs w:val="20"/>
          <w:color w:val="auto"/>
        </w:rPr>
      </w:pPr>
    </w:p>
    <w:p>
      <w:pPr>
        <w:jc w:val="both"/>
        <w:ind w:left="10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the Revolving Credit Lenders severally agree to participate in Letters of Credit issued for the account of the Company or its Restricted Subsidiaries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Revolving Credit Commitments, (y) the Revolving Credit Exposure of any Lender shall not exceed such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214"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issue any Letter of Credit if the expiry date of the requested Letter of Credit would occur after the Letter of Credit Expiration Date, unless (A) all the Revolving Credit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198"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any Letter of Credit if:</w:t>
      </w:r>
    </w:p>
    <w:p>
      <w:pPr>
        <w:spacing w:after="0" w:line="242" w:lineRule="exact"/>
        <w:rPr>
          <w:rFonts w:ascii="Times New Roman" w:cs="Times New Roman" w:eastAsia="Times New Roman" w:hAnsi="Times New Roman"/>
          <w:sz w:val="20"/>
          <w:szCs w:val="20"/>
          <w:color w:val="auto"/>
        </w:rPr>
      </w:pPr>
    </w:p>
    <w:p>
      <w:pPr>
        <w:jc w:val="both"/>
        <w:ind w:left="1800" w:firstLine="745"/>
        <w:spacing w:after="0" w:line="244" w:lineRule="auto"/>
        <w:tabs>
          <w:tab w:leader="none" w:pos="3287"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800" w:right="40"/>
        <w:spacing w:after="0" w:line="269" w:lineRule="auto"/>
        <w:rPr>
          <w:sz w:val="20"/>
          <w:szCs w:val="20"/>
          <w:color w:val="auto"/>
        </w:rPr>
      </w:pPr>
      <w:r>
        <w:rPr>
          <w:rFonts w:ascii="Times New Roman" w:cs="Times New Roman" w:eastAsia="Times New Roman" w:hAnsi="Times New Roman"/>
          <w:sz w:val="20"/>
          <w:szCs w:val="20"/>
          <w:color w:val="auto"/>
        </w:rPr>
        <w:t>unreimbursed loss, cost or expense that was not applicable on the Closing Date and that such L/C Issuer in good faith deems material to it;</w:t>
      </w:r>
    </w:p>
    <w:p>
      <w:pPr>
        <w:spacing w:after="0" w:line="173" w:lineRule="exact"/>
        <w:rPr>
          <w:sz w:val="20"/>
          <w:szCs w:val="20"/>
          <w:color w:val="auto"/>
        </w:rPr>
      </w:pPr>
    </w:p>
    <w:p>
      <w:pPr>
        <w:ind w:left="1800" w:right="20" w:firstLine="745"/>
        <w:spacing w:after="0" w:line="269" w:lineRule="auto"/>
        <w:tabs>
          <w:tab w:leader="none" w:pos="32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L/C Issuer applicable to letters of credit generally;</w:t>
      </w:r>
    </w:p>
    <w:p>
      <w:pPr>
        <w:spacing w:after="0" w:line="172" w:lineRule="exact"/>
        <w:rPr>
          <w:rFonts w:ascii="Times New Roman" w:cs="Times New Roman" w:eastAsia="Times New Roman" w:hAnsi="Times New Roman"/>
          <w:sz w:val="20"/>
          <w:szCs w:val="20"/>
          <w:color w:val="auto"/>
        </w:rPr>
      </w:pPr>
    </w:p>
    <w:p>
      <w:pPr>
        <w:ind w:left="1800" w:right="20" w:firstLine="745"/>
        <w:spacing w:after="0" w:line="269" w:lineRule="auto"/>
        <w:tabs>
          <w:tab w:leader="none" w:pos="32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L/C Issuer, such Letter of Credit is in an initial stated amount less than $25,000;</w:t>
      </w:r>
    </w:p>
    <w:p>
      <w:pPr>
        <w:spacing w:after="0" w:line="159" w:lineRule="exact"/>
        <w:rPr>
          <w:rFonts w:ascii="Times New Roman" w:cs="Times New Roman" w:eastAsia="Times New Roman" w:hAnsi="Times New Roman"/>
          <w:sz w:val="20"/>
          <w:szCs w:val="20"/>
          <w:color w:val="auto"/>
        </w:rPr>
      </w:pPr>
    </w:p>
    <w:p>
      <w:pPr>
        <w:ind w:left="1800" w:right="20" w:firstLine="745"/>
        <w:spacing w:after="0" w:line="269" w:lineRule="auto"/>
        <w:tabs>
          <w:tab w:leader="none" w:pos="32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to be denominated in a currency other than Dollars or an Alternative Currency applicable to such L/C Issuer;</w:t>
      </w:r>
    </w:p>
    <w:p>
      <w:pPr>
        <w:spacing w:after="0" w:line="186" w:lineRule="exact"/>
        <w:rPr>
          <w:rFonts w:ascii="Times New Roman" w:cs="Times New Roman" w:eastAsia="Times New Roman" w:hAnsi="Times New Roman"/>
          <w:sz w:val="20"/>
          <w:szCs w:val="20"/>
          <w:color w:val="auto"/>
        </w:rPr>
      </w:pPr>
    </w:p>
    <w:p>
      <w:pPr>
        <w:ind w:left="1800" w:right="20" w:firstLine="745"/>
        <w:spacing w:after="0" w:line="269" w:lineRule="auto"/>
        <w:tabs>
          <w:tab w:leader="none" w:pos="3286"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L/C Issuer does not as of the issuance date of the requested Letter of Credit issue letters of credit in the requested currency;</w:t>
      </w:r>
    </w:p>
    <w:p>
      <w:pPr>
        <w:spacing w:after="0" w:line="172" w:lineRule="exact"/>
        <w:rPr>
          <w:rFonts w:ascii="Times New Roman" w:cs="Times New Roman" w:eastAsia="Times New Roman" w:hAnsi="Times New Roman"/>
          <w:sz w:val="20"/>
          <w:szCs w:val="20"/>
          <w:color w:val="auto"/>
        </w:rPr>
      </w:pPr>
    </w:p>
    <w:p>
      <w:pPr>
        <w:jc w:val="both"/>
        <w:ind w:left="1800" w:firstLine="746"/>
        <w:spacing w:after="0" w:line="245" w:lineRule="auto"/>
        <w:tabs>
          <w:tab w:leader="none" w:pos="328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Credit Lender is at that time a Defaulting Lender, unless the L/C Issuers have entered into arrangements, including the delivery of Cash Collateral, satisfactory to the L/C Issuers (in their sole discretion) with the Company or such Revolving Credit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84" w:lineRule="exact"/>
        <w:rPr>
          <w:rFonts w:ascii="Times New Roman" w:cs="Times New Roman" w:eastAsia="Times New Roman" w:hAnsi="Times New Roman"/>
          <w:sz w:val="20"/>
          <w:szCs w:val="20"/>
          <w:color w:val="auto"/>
        </w:rPr>
      </w:pPr>
    </w:p>
    <w:p>
      <w:pPr>
        <w:ind w:left="1800" w:firstLine="745"/>
        <w:spacing w:after="0" w:line="269" w:lineRule="auto"/>
        <w:tabs>
          <w:tab w:leader="none" w:pos="32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the requested Letter of Credit would occur more than twelve months after the date of issuance or last extension; or</w:t>
      </w:r>
    </w:p>
    <w:p>
      <w:pPr>
        <w:spacing w:after="0" w:line="145" w:lineRule="exact"/>
        <w:rPr>
          <w:rFonts w:ascii="Times New Roman" w:cs="Times New Roman" w:eastAsia="Times New Roman" w:hAnsi="Times New Roman"/>
          <w:sz w:val="20"/>
          <w:szCs w:val="20"/>
          <w:color w:val="auto"/>
        </w:rPr>
      </w:pPr>
    </w:p>
    <w:p>
      <w:pPr>
        <w:ind w:left="1800" w:right="400" w:firstLine="745"/>
        <w:spacing w:after="0" w:line="269" w:lineRule="auto"/>
        <w:tabs>
          <w:tab w:leader="none" w:pos="3287"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w:t>
      </w:r>
    </w:p>
    <w:p>
      <w:pPr>
        <w:spacing w:after="0" w:line="186" w:lineRule="exact"/>
        <w:rPr>
          <w:rFonts w:ascii="Times New Roman" w:cs="Times New Roman" w:eastAsia="Times New Roman" w:hAnsi="Times New Roman"/>
          <w:sz w:val="20"/>
          <w:szCs w:val="20"/>
          <w:color w:val="auto"/>
        </w:rPr>
      </w:pPr>
    </w:p>
    <w:p>
      <w:pPr>
        <w:ind w:left="1040" w:firstLine="757"/>
        <w:spacing w:after="0" w:line="269" w:lineRule="auto"/>
        <w:tabs>
          <w:tab w:leader="none" w:pos="252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amend any Letter of Credit if such L/C Issuer would not be permitted at such time to issue such Letter of Credit in its amended form under the terms hereof.</w:t>
      </w:r>
    </w:p>
    <w:p>
      <w:pPr>
        <w:spacing w:after="0" w:line="186"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5" w:lineRule="auto"/>
        <w:tabs>
          <w:tab w:leader="none" w:pos="252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such L/C Issuer with respect to such acts or omissions, and (B) as additionally provided herein with respect to such L/C Issuer.</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EX-10.25</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Procedures for Issuance and Amendment of Letters of Credit; Auto-Extension Letters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-10795</wp:posOffset>
            </wp:positionV>
            <wp:extent cx="45389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45389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80" w:firstLine="752"/>
        <w:spacing w:after="0" w:line="254" w:lineRule="auto"/>
        <w:tabs>
          <w:tab w:leader="none" w:pos="1639"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spacing w:after="0" w:line="1" w:lineRule="exact"/>
        <w:rPr>
          <w:rFonts w:ascii="Times New Roman" w:cs="Times New Roman" w:eastAsia="Times New Roman" w:hAnsi="Times New Roman"/>
          <w:sz w:val="19"/>
          <w:szCs w:val="19"/>
          <w:color w:val="auto"/>
        </w:rPr>
      </w:pPr>
    </w:p>
    <w:p>
      <w:pPr>
        <w:jc w:val="both"/>
        <w:ind w:left="80" w:firstLine="3"/>
        <w:spacing w:after="0"/>
        <w:tabs>
          <w:tab w:leader="none" w:pos="41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204" w:lineRule="exact"/>
        <w:rPr>
          <w:rFonts w:ascii="Times New Roman" w:cs="Times New Roman" w:eastAsia="Times New Roman" w:hAnsi="Times New Roman"/>
          <w:sz w:val="20"/>
          <w:szCs w:val="20"/>
          <w:color w:val="auto"/>
        </w:rPr>
      </w:pPr>
    </w:p>
    <w:p>
      <w:pPr>
        <w:jc w:val="both"/>
        <w:ind w:left="80" w:firstLine="752"/>
        <w:spacing w:after="0" w:line="242" w:lineRule="auto"/>
        <w:tabs>
          <w:tab w:leader="none" w:pos="1639"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216" w:lineRule="exact"/>
        <w:rPr>
          <w:rFonts w:ascii="Times New Roman" w:cs="Times New Roman" w:eastAsia="Times New Roman" w:hAnsi="Times New Roman"/>
          <w:sz w:val="20"/>
          <w:szCs w:val="20"/>
          <w:color w:val="auto"/>
        </w:rPr>
      </w:pPr>
    </w:p>
    <w:p>
      <w:pPr>
        <w:jc w:val="both"/>
        <w:ind w:left="80" w:firstLine="752"/>
        <w:spacing w:after="0" w:line="254" w:lineRule="auto"/>
        <w:tabs>
          <w:tab w:leader="none" w:pos="1639"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Letter of Credit Application, each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such L/C Issuer to prevent any such extension</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9"/>
          <w:szCs w:val="19"/>
          <w:color w:val="auto"/>
        </w:rPr>
        <w:t>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u w:val="single" w:color="auto"/>
          <w:color w:val="auto"/>
        </w:rPr>
        <w:t>Non- Extension Notice Date</w:t>
      </w:r>
      <w:r>
        <w:rPr>
          <w:rFonts w:ascii="Times New Roman" w:cs="Times New Roman" w:eastAsia="Times New Roman" w:hAnsi="Times New Roman"/>
          <w:sz w:val="19"/>
          <w:szCs w:val="19"/>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2.03(a)</w:t>
      </w:r>
      <w:r>
        <w:rPr>
          <w:rFonts w:ascii="Times New Roman" w:cs="Times New Roman" w:eastAsia="Times New Roman" w:hAnsi="Times New Roman"/>
          <w:sz w:val="19"/>
          <w:szCs w:val="19"/>
          <w:color w:val="auto"/>
        </w:rPr>
        <w:t xml:space="preserve"> or otherwise), or</w:t>
      </w:r>
    </w:p>
    <w:p>
      <w:pPr>
        <w:spacing w:after="0" w:line="7" w:lineRule="exact"/>
        <w:rPr>
          <w:sz w:val="20"/>
          <w:szCs w:val="20"/>
          <w:color w:val="auto"/>
        </w:rPr>
      </w:pPr>
    </w:p>
    <w:p>
      <w:pPr>
        <w:jc w:val="both"/>
        <w:ind w:left="1040" w:firstLine="7"/>
        <w:spacing w:after="0" w:line="241" w:lineRule="auto"/>
        <w:tabs>
          <w:tab w:leader="none" w:pos="136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has received notice (which may be by telephone or in writing) on or before the day that is seven Business Days before the Non-Extension Notice Date (1) from the Administrative Agent that the Required Revolving Credit Lenders have elected not to permit such extension or (2) from the Administrative Agent, any Revolving Credit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such L/C Issuer not to permit such extension.</w:t>
      </w:r>
    </w:p>
    <w:p>
      <w:pPr>
        <w:spacing w:after="0" w:line="200"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201" w:lineRule="exact"/>
        <w:rPr>
          <w:sz w:val="20"/>
          <w:szCs w:val="20"/>
          <w:color w:val="auto"/>
        </w:rPr>
      </w:pPr>
    </w:p>
    <w:p>
      <w:pPr>
        <w:ind w:left="1800" w:hanging="752"/>
        <w:spacing w:after="0"/>
        <w:tabs>
          <w:tab w:leader="none" w:pos="18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40" w:firstLine="757"/>
        <w:spacing w:after="0" w:line="241" w:lineRule="auto"/>
        <w:tabs>
          <w:tab w:leader="none" w:pos="2528"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42" w:lineRule="auto"/>
        <w:rPr>
          <w:sz w:val="20"/>
          <w:szCs w:val="20"/>
          <w:color w:val="auto"/>
        </w:rPr>
      </w:pPr>
      <w:r>
        <w:rPr>
          <w:rFonts w:ascii="Times New Roman" w:cs="Times New Roman" w:eastAsia="Times New Roman" w:hAnsi="Times New Roman"/>
          <w:sz w:val="20"/>
          <w:szCs w:val="20"/>
          <w:color w:val="auto"/>
        </w:rPr>
        <w:t>the full amount of the drawing. If the Company fails to so reimburse the applicable L/C Issuer by such time,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Revolving Credit Lender’s Applicable Revolving Credit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Aggregate Revolving Credit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Loan Notice). Any notice given by the applicable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203" w:lineRule="exact"/>
        <w:rPr>
          <w:sz w:val="20"/>
          <w:szCs w:val="20"/>
          <w:color w:val="auto"/>
        </w:rPr>
      </w:pPr>
    </w:p>
    <w:p>
      <w:pPr>
        <w:jc w:val="both"/>
        <w:ind w:left="1040" w:firstLine="757"/>
        <w:spacing w:after="0" w:line="244" w:lineRule="auto"/>
        <w:tabs>
          <w:tab w:leader="none" w:pos="25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Revolving Credit Lender that so makes funds available shall be deemed to have made a Base Rate Revolving Credit Loan to the Company in such amount. The Administrative Agent shall remit the funds so received to the applicable L/C Issuer in Dollars.</w:t>
      </w:r>
    </w:p>
    <w:p>
      <w:pPr>
        <w:spacing w:after="0" w:line="212"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Credit Lender funds its Revolving Credit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59" w:lineRule="auto"/>
        <w:tabs>
          <w:tab w:leader="none" w:pos="252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Credit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Revolving Credit Lender’s obligation to make Revolving Credit Loans pursuant to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is subject to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(other</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20"/>
          <w:szCs w:val="20"/>
          <w:color w:val="auto"/>
        </w:rPr>
        <w:t>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88" w:lineRule="exact"/>
        <w:rPr>
          <w:sz w:val="20"/>
          <w:szCs w:val="20"/>
          <w:color w:val="auto"/>
        </w:rPr>
      </w:pPr>
    </w:p>
    <w:p>
      <w:pPr>
        <w:jc w:val="both"/>
        <w:ind w:left="1040" w:firstLine="757"/>
        <w:spacing w:after="0" w:line="242" w:lineRule="auto"/>
        <w:tabs>
          <w:tab w:leader="none" w:pos="252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maybe. A certificate of the applicable L/C Issuer submitted to any Revolving Credit Lender (through the Administrative Agent) with respect to any amounts owing under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shall be conclusive absent manifest error.</w:t>
      </w:r>
    </w:p>
    <w:p>
      <w:pPr>
        <w:spacing w:after="0" w:line="216"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45" w:lineRule="auto"/>
        <w:tabs>
          <w:tab w:leader="none" w:pos="252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Revolving Credit Percentage thereof in Dollars and in the same funds as those received by the Administrative Agent.</w:t>
      </w:r>
    </w:p>
    <w:p>
      <w:pPr>
        <w:spacing w:after="0" w:line="211" w:lineRule="exact"/>
        <w:rPr>
          <w:rFonts w:ascii="Times New Roman" w:cs="Times New Roman" w:eastAsia="Times New Roman" w:hAnsi="Times New Roman"/>
          <w:sz w:val="20"/>
          <w:szCs w:val="20"/>
          <w:color w:val="auto"/>
        </w:rPr>
      </w:pPr>
    </w:p>
    <w:p>
      <w:pPr>
        <w:jc w:val="both"/>
        <w:ind w:left="1040" w:firstLine="757"/>
        <w:spacing w:after="0" w:line="244" w:lineRule="auto"/>
        <w:tabs>
          <w:tab w:leader="none" w:pos="2528"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any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212"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187"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validity or enforceability of such Letter of Credit, this Agreement, or any other Loan Document;</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firstLine="757"/>
        <w:spacing w:after="0" w:line="246" w:lineRule="auto"/>
        <w:tabs>
          <w:tab w:leader="none" w:pos="252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98" w:lineRule="exact"/>
        <w:rPr>
          <w:rFonts w:ascii="Times New Roman" w:cs="Times New Roman" w:eastAsia="Times New Roman" w:hAnsi="Times New Roman"/>
          <w:sz w:val="20"/>
          <w:szCs w:val="20"/>
          <w:color w:val="auto"/>
        </w:rPr>
      </w:pPr>
    </w:p>
    <w:p>
      <w:pPr>
        <w:jc w:val="both"/>
        <w:ind w:left="1040" w:right="20" w:firstLine="757"/>
        <w:spacing w:after="0" w:line="274" w:lineRule="auto"/>
        <w:tabs>
          <w:tab w:leader="none" w:pos="2527"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Times New Roman" w:cs="Times New Roman" w:eastAsia="Times New Roman" w:hAnsi="Times New Roman"/>
          <w:sz w:val="19"/>
          <w:szCs w:val="19"/>
          <w:color w:val="auto"/>
        </w:rPr>
      </w:pPr>
    </w:p>
    <w:p>
      <w:pPr>
        <w:ind w:left="1040" w:right="20" w:firstLine="757"/>
        <w:spacing w:after="0" w:line="269" w:lineRule="auto"/>
        <w:tabs>
          <w:tab w:leader="none" w:pos="252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any L/C Issuer of any requirement that exists for such L/C Issuer’s protection and not the protection of the Company or any waiver by any L/C Issuer which does not in fact materially prejudice the Company;</w:t>
      </w:r>
    </w:p>
    <w:p>
      <w:pPr>
        <w:spacing w:after="0" w:line="172" w:lineRule="exact"/>
        <w:rPr>
          <w:rFonts w:ascii="Times New Roman" w:cs="Times New Roman" w:eastAsia="Times New Roman" w:hAnsi="Times New Roman"/>
          <w:sz w:val="20"/>
          <w:szCs w:val="20"/>
          <w:color w:val="auto"/>
        </w:rPr>
      </w:pPr>
    </w:p>
    <w:p>
      <w:pPr>
        <w:ind w:left="1040" w:firstLine="757"/>
        <w:spacing w:after="0" w:line="269" w:lineRule="auto"/>
        <w:tabs>
          <w:tab w:leader="none" w:pos="252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86"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any L/C Issuer in respect of an otherwise complying item presented after the date specified as the expiration date of, or the date by which documentsmust be received under such Letter of Credit if presentation after such date is authorized by the UCC or the ISP, as applicable;</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211"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Company or any Subsidiary or in the relevant currency markets generally; or</w:t>
      </w:r>
    </w:p>
    <w:p>
      <w:pPr>
        <w:spacing w:after="0" w:line="172" w:lineRule="exact"/>
        <w:rPr>
          <w:rFonts w:ascii="Times New Roman" w:cs="Times New Roman" w:eastAsia="Times New Roman" w:hAnsi="Times New Roman"/>
          <w:sz w:val="20"/>
          <w:szCs w:val="20"/>
          <w:color w:val="auto"/>
        </w:rPr>
      </w:pPr>
    </w:p>
    <w:p>
      <w:pPr>
        <w:jc w:val="both"/>
        <w:ind w:left="1040" w:right="20" w:firstLine="757"/>
        <w:spacing w:after="0" w:line="254" w:lineRule="auto"/>
        <w:tabs>
          <w:tab w:leader="none" w:pos="252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201"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98"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tabs>
          <w:tab w:leader="none" w:pos="178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Issuers</w:t>
      </w:r>
      <w:r>
        <w:rPr>
          <w:rFonts w:ascii="Times New Roman" w:cs="Times New Roman" w:eastAsia="Times New Roman" w:hAnsi="Times New Roman"/>
          <w:sz w:val="20"/>
          <w:szCs w:val="20"/>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218"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Limitation of Liability</w:t>
      </w:r>
      <w:r>
        <w:rPr>
          <w:rFonts w:ascii="Times New Roman" w:cs="Times New Roman" w:eastAsia="Times New Roman" w:hAnsi="Times New Roman"/>
          <w:sz w:val="20"/>
          <w:szCs w:val="20"/>
          <w:color w:val="auto"/>
        </w:rPr>
        <w:t>. Unless otherwise expressly agreed by the applicable L/C Issuer and the Company when a Letter of Credit is issued (including any such agreement applicable to an Existing Letter of Credit), the rules of the ISP shall apply to each standby Letter of Credit issued by such L/C Issuer.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12"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9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Company shall pay to the Administrative Agent for the account of each Revolving Credit Lender in accordance,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with its Applicable Revolving Credit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daily amount available to be drawn under such Letter of Credit. For purposes of computing the Dollar Equivalent of the daily amount available to be drawn under any Letter of Credit, the amount of such Letter of Credit shall be determined</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Credit Lenders, while any Event of Default exists, all Letter of Credit Fees shall accrue at the Default Rate.</w:t>
      </w:r>
    </w:p>
    <w:p>
      <w:pPr>
        <w:spacing w:after="0" w:line="199" w:lineRule="exact"/>
        <w:rPr>
          <w:sz w:val="20"/>
          <w:szCs w:val="20"/>
          <w:color w:val="auto"/>
        </w:rPr>
      </w:pPr>
    </w:p>
    <w:p>
      <w:pPr>
        <w:jc w:val="both"/>
        <w:ind w:left="300" w:firstLine="748"/>
        <w:spacing w:after="0" w:line="245" w:lineRule="auto"/>
        <w:tabs>
          <w:tab w:leader="none" w:pos="1789"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an L/C Issuer</w:t>
      </w:r>
      <w:r>
        <w:rPr>
          <w:rFonts w:ascii="Times New Roman" w:cs="Times New Roman" w:eastAsia="Times New Roman" w:hAnsi="Times New Roman"/>
          <w:sz w:val="20"/>
          <w:szCs w:val="20"/>
          <w:color w:val="auto"/>
        </w:rPr>
        <w:t>. The Company shall pay directly to each L/C Issuer for its own account, in Dollars, a fronting fee with respect to each Letter of Credit issued by (A) Bank of America in its capacity as an L/C Issuer, at the rate per annum specified in the Fee Letter to which Bank of America is a party, computed on the Dollar Equivalent of the daily amount available to be drawn under such Letter of Credit on a quarterly basis in arrears and</w:t>
      </w:r>
    </w:p>
    <w:p>
      <w:pPr>
        <w:jc w:val="both"/>
        <w:ind w:left="300" w:hanging="2"/>
        <w:spacing w:after="0"/>
        <w:tabs>
          <w:tab w:leader="none" w:pos="62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L/C Issuer, at a rate separately agreed between the Company and such L/C Issuer,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9"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Reports</w:t>
      </w:r>
      <w:r>
        <w:rPr>
          <w:rFonts w:ascii="Times New Roman" w:cs="Times New Roman" w:eastAsia="Times New Roman" w:hAnsi="Times New Roman"/>
          <w:sz w:val="20"/>
          <w:szCs w:val="20"/>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appropriately completed with the information for every outstanding Letter of Credit issued by such L/C Issuer.</w:t>
      </w:r>
    </w:p>
    <w:p>
      <w:pPr>
        <w:spacing w:after="0" w:line="206"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any L/C Issuer</w:t>
      </w:r>
      <w:r>
        <w:rPr>
          <w:rFonts w:ascii="Times New Roman" w:cs="Times New Roman" w:eastAsia="Times New Roman" w:hAnsi="Times New Roman"/>
          <w:sz w:val="20"/>
          <w:szCs w:val="20"/>
          <w:color w:val="auto"/>
        </w:rPr>
        <w:t>. Any L/C Issuer may be replaced at any time by written agreement between the Company, the Administrative Agent, the replaced L/C Issuer and the successor L/C Issuer. The Administrative Agent shall notify the Lenders of any such replacement of an L/C Issuer.</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20"/>
          <w:szCs w:val="20"/>
          <w:color w:val="auto"/>
        </w:rPr>
        <w:t xml:space="preserve">At the time any such replacement shall become effective, the Company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2.03(i)</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99"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Swing Line Loans.</w:t>
      </w:r>
    </w:p>
    <w:p>
      <w:pPr>
        <w:spacing w:after="0" w:line="243" w:lineRule="exact"/>
        <w:rPr>
          <w:sz w:val="20"/>
          <w:szCs w:val="20"/>
          <w:color w:val="auto"/>
        </w:rPr>
      </w:pPr>
    </w:p>
    <w:p>
      <w:pPr>
        <w:jc w:val="both"/>
        <w:ind w:left="300" w:firstLine="748"/>
        <w:spacing w:after="0" w:line="241" w:lineRule="auto"/>
        <w:tabs>
          <w:tab w:leader="none" w:pos="1789"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Revolving Credit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Swing Line Loan, (i) the Total Revolving Credit Outstandings shall not exceed the Aggregate Revolving Credit Commitments, and (ii) the Revolving Credit Exposure of any Lender shall not exceed such Lender’s Revolving Credit Commitment,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Swing Line Loan.</w:t>
      </w:r>
    </w:p>
    <w:p>
      <w:pPr>
        <w:spacing w:after="0" w:line="207"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Swing Line Borrowing shall be made upon the Company’s irrevocable notice to the Swing Line Lender and the Administrative Agent, which may be given by: (A) telephone or (B) a Swing Line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1" w:lineRule="exact"/>
        <w:rPr>
          <w:rFonts w:ascii="Times New Roman" w:cs="Times New Roman" w:eastAsia="Times New Roman" w:hAnsi="Times New Roman"/>
          <w:sz w:val="19"/>
          <w:szCs w:val="19"/>
          <w:color w:val="auto"/>
        </w:rPr>
      </w:pPr>
    </w:p>
    <w:p>
      <w:pPr>
        <w:jc w:val="both"/>
        <w:ind w:left="300" w:hanging="1"/>
        <w:spacing w:after="0" w:line="242" w:lineRule="auto"/>
        <w:tabs>
          <w:tab w:leader="none" w:pos="63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 xml:space="preserve">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180" w:lineRule="exact"/>
        <w:rPr>
          <w:sz w:val="20"/>
          <w:szCs w:val="20"/>
          <w:color w:val="auto"/>
        </w:rPr>
      </w:pPr>
    </w:p>
    <w:p>
      <w:pPr>
        <w:ind w:left="1800" w:hanging="752"/>
        <w:spacing w:after="0"/>
        <w:tabs>
          <w:tab w:leader="none" w:pos="18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41" w:lineRule="auto"/>
        <w:tabs>
          <w:tab w:leader="none" w:pos="25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Company (which hereby irrevocably authorizes the Swing Line Lender to so request on its behalf), that each Revolving Credit Lender make a Base Rate Revolving Credit Loan in an amount equal to such Revolving Credit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andmultiples specified therein for the principal amount of Base Rate Loans, but subject to the unutilized portion of the Aggregate Revolving Credit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Company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Credit Lender that so makes funds available shall be deemed to have made a Base Rate Revolving Credit Loan to the Company in such amount. The Administrative Agent shall remit the funds so received to the Swing Line Lender.</w:t>
      </w:r>
    </w:p>
    <w:p>
      <w:pPr>
        <w:spacing w:after="0" w:line="222" w:lineRule="exact"/>
        <w:rPr>
          <w:rFonts w:ascii="Times New Roman" w:cs="Times New Roman" w:eastAsia="Times New Roman" w:hAnsi="Times New Roman"/>
          <w:sz w:val="20"/>
          <w:szCs w:val="20"/>
          <w:color w:val="auto"/>
        </w:rPr>
      </w:pPr>
    </w:p>
    <w:p>
      <w:pPr>
        <w:jc w:val="both"/>
        <w:ind w:left="1040" w:firstLine="757"/>
        <w:spacing w:after="0" w:line="245" w:lineRule="auto"/>
        <w:tabs>
          <w:tab w:leader="none" w:pos="25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Credit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Revolving Credit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97" w:lineRule="exact"/>
        <w:rPr>
          <w:rFonts w:ascii="Times New Roman" w:cs="Times New Roman" w:eastAsia="Times New Roman" w:hAnsi="Times New Roman"/>
          <w:sz w:val="20"/>
          <w:szCs w:val="20"/>
          <w:color w:val="auto"/>
        </w:rPr>
      </w:pPr>
    </w:p>
    <w:p>
      <w:pPr>
        <w:jc w:val="both"/>
        <w:ind w:left="1040" w:firstLine="757"/>
        <w:spacing w:after="0" w:line="242" w:lineRule="auto"/>
        <w:tabs>
          <w:tab w:leader="none" w:pos="25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Credit Lender pays such amount (with interest and fees as aforesaid), the amount so paid shall constitute such Revolving Credit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firstLine="757"/>
        <w:spacing w:after="0" w:line="247" w:lineRule="auto"/>
        <w:tabs>
          <w:tab w:leader="none" w:pos="252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w:t>
      </w:r>
    </w:p>
    <w:p>
      <w:pPr>
        <w:jc w:val="both"/>
        <w:ind w:left="1040" w:firstLine="8"/>
        <w:spacing w:after="0"/>
        <w:tabs>
          <w:tab w:leader="none" w:pos="140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Credit Lender’s obligation to make Revolving Credit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Company to repay Swing Line Loans, together with interest as provided herein.</w:t>
      </w:r>
    </w:p>
    <w:p>
      <w:pPr>
        <w:spacing w:after="0" w:line="218" w:lineRule="exact"/>
        <w:rPr>
          <w:sz w:val="20"/>
          <w:szCs w:val="20"/>
          <w:color w:val="auto"/>
        </w:rPr>
      </w:pPr>
    </w:p>
    <w:p>
      <w:pPr>
        <w:ind w:left="1800" w:hanging="752"/>
        <w:spacing w:after="0"/>
        <w:tabs>
          <w:tab w:leader="none" w:pos="18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93"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216"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Company for interest on the Swing Line Loans. Until each Revolving Credit Lender funds its Base Rate Revolving Credit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98" w:lineRule="exact"/>
        <w:rPr>
          <w:rFonts w:ascii="Times New Roman" w:cs="Times New Roman" w:eastAsia="Times New Roman" w:hAnsi="Times New Roman"/>
          <w:sz w:val="20"/>
          <w:szCs w:val="20"/>
          <w:color w:val="auto"/>
        </w:rPr>
      </w:pPr>
    </w:p>
    <w:p>
      <w:pPr>
        <w:ind w:left="300" w:firstLine="748"/>
        <w:spacing w:after="0" w:line="269" w:lineRule="auto"/>
        <w:tabs>
          <w:tab w:leader="none" w:pos="178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Company shall make all payments of principal and interest in respect of the Swing Line Loans directly to the Swing Line Lender.</w:t>
      </w:r>
    </w:p>
    <w:p>
      <w:pPr>
        <w:spacing w:after="0" w:line="159"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Prepayments.</w:t>
      </w:r>
    </w:p>
    <w:p>
      <w:pPr>
        <w:spacing w:after="0" w:line="243" w:lineRule="exact"/>
        <w:rPr>
          <w:sz w:val="20"/>
          <w:szCs w:val="20"/>
          <w:color w:val="auto"/>
        </w:rPr>
      </w:pPr>
    </w:p>
    <w:p>
      <w:pPr>
        <w:ind w:left="1800" w:hanging="752"/>
        <w:spacing w:after="0"/>
        <w:tabs>
          <w:tab w:leader="none" w:pos="18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upon notice from the Company to the Administrative Agent pursuant to delivery to the Administrative Agent of a Notice of Loan Prepayment, at any time or from time to time voluntarily prepay Revolving Credit Loans and Term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(1) two Business Days prior to any date of prepayment of Term SOFR Loans denominated in Dollars, (2) three Business Days prior to any</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45" w:lineRule="auto"/>
        <w:rPr>
          <w:sz w:val="20"/>
          <w:szCs w:val="20"/>
          <w:color w:val="auto"/>
        </w:rPr>
      </w:pPr>
      <w:r>
        <w:rPr>
          <w:rFonts w:ascii="Times New Roman" w:cs="Times New Roman" w:eastAsia="Times New Roman" w:hAnsi="Times New Roman"/>
          <w:sz w:val="20"/>
          <w:szCs w:val="20"/>
          <w:color w:val="auto"/>
        </w:rPr>
        <w:t>date of prepayment of Daily Simple SOFR Loans denominated in Dollars, (3) four Business Days (or five, in the case of prepayment of Loans denominated in Special Notice Currencies) prior to any date of prepayment of Alternative Currency Loans and (4) on the date of prepayment of Base Rate Loans; (B) any prepayment of Daily Simple SOFR Loans or Term SOFR Loans denominated in Dollars shall be in a principal amount of $1,000,000 or a whole multiple of</w:t>
      </w:r>
    </w:p>
    <w:p>
      <w:pPr>
        <w:spacing w:after="0" w:line="1" w:lineRule="exact"/>
        <w:rPr>
          <w:sz w:val="20"/>
          <w:szCs w:val="20"/>
          <w:color w:val="auto"/>
        </w:rPr>
      </w:pPr>
    </w:p>
    <w:p>
      <w:pPr>
        <w:jc w:val="both"/>
        <w:ind w:left="1040"/>
        <w:spacing w:after="0"/>
        <w:rPr>
          <w:sz w:val="20"/>
          <w:szCs w:val="20"/>
          <w:color w:val="auto"/>
        </w:rPr>
      </w:pPr>
      <w:r>
        <w:rPr>
          <w:rFonts w:ascii="Times New Roman" w:cs="Times New Roman" w:eastAsia="Times New Roman" w:hAnsi="Times New Roman"/>
          <w:sz w:val="20"/>
          <w:szCs w:val="20"/>
          <w:color w:val="auto"/>
        </w:rPr>
        <w:t xml:space="preserve">$1,000,000 in excess thereof; (C) any prepayment of Alternative Currency Loans shall be in a minimum principal amount of the Dollar Equivalent of $1,000,000 or a whole multiple thereof; and (D) any prepayment of Base Rate Loans shall be in a principal amount of $500,000 or a whole multiple of $100,000 in excess thereof or, in each case, if less, the entire principal amount thereof then outstanding. Each such notice shall specify the date, amount and currency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Each prepayment of the outstanding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principal repayment installments thereof on a pro rata basis (excluding from such calculation the final payment due at maturity).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such prepayment shall be paid to the Lenders in accordance with their respective Applicable Percentages in respect of each of the relevant Facilities.</w:t>
      </w:r>
    </w:p>
    <w:p>
      <w:pPr>
        <w:spacing w:after="0" w:line="201" w:lineRule="exact"/>
        <w:rPr>
          <w:sz w:val="20"/>
          <w:szCs w:val="20"/>
          <w:color w:val="auto"/>
        </w:rPr>
      </w:pPr>
    </w:p>
    <w:p>
      <w:pPr>
        <w:jc w:val="both"/>
        <w:ind w:left="1040" w:firstLine="757"/>
        <w:spacing w:after="0" w:line="243" w:lineRule="auto"/>
        <w:tabs>
          <w:tab w:leader="none" w:pos="252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212"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42" w:lineRule="auto"/>
        <w:tabs>
          <w:tab w:leader="none" w:pos="2528" w:val="left"/>
        </w:tabs>
        <w:numPr>
          <w:ilvl w:val="1"/>
          <w:numId w:val="1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Dispositions of Property</w:t>
      </w:r>
      <w:r>
        <w:rPr>
          <w:rFonts w:ascii="Times New Roman" w:cs="Times New Roman" w:eastAsia="Times New Roman" w:hAnsi="Times New Roman"/>
          <w:sz w:val="20"/>
          <w:szCs w:val="20"/>
          <w:color w:val="auto"/>
        </w:rPr>
        <w:t xml:space="preserve">. If the Company or any of its Restricted Subsidiaries Disposes of any property (other than any Disposition of any property permitted by </w:t>
      </w:r>
      <w:r>
        <w:rPr>
          <w:rFonts w:ascii="Times New Roman" w:cs="Times New Roman" w:eastAsia="Times New Roman" w:hAnsi="Times New Roman"/>
          <w:sz w:val="20"/>
          <w:szCs w:val="20"/>
          <w:u w:val="single" w:color="auto"/>
          <w:color w:val="auto"/>
        </w:rPr>
        <w:t>Section 7.05(a)</w:t>
      </w:r>
      <w:r>
        <w:rPr>
          <w:rFonts w:ascii="Times New Roman" w:cs="Times New Roman" w:eastAsia="Times New Roman" w:hAnsi="Times New Roman"/>
          <w:sz w:val="20"/>
          <w:szCs w:val="20"/>
          <w:color w:val="auto"/>
        </w:rPr>
        <w:t xml:space="preserve"> (but only to the extent the Net Cash Proceeds of any such Disposition (or series of related Dispositions) does not exceed $1,000,000),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which results in the realization by such Person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and/or Cash Collateralizations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Net Cash Proceeds realized under a Disposition described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2.05(b)(i)</w:t>
      </w:r>
      <w:r>
        <w:rPr>
          <w:rFonts w:ascii="Times New Roman" w:cs="Times New Roman" w:eastAsia="Times New Roman" w:hAnsi="Times New Roman"/>
          <w:sz w:val="20"/>
          <w:szCs w:val="20"/>
          <w:color w:val="auto"/>
        </w:rPr>
        <w:t>, at the election of the Company (as notified by the Company to the Administrative Agent on or prior to the date of such Disposition), and so long as no Event of Default shall have occurred and be continuing, the Company or such Restricted Subsidiary may</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43" w:lineRule="auto"/>
        <w:rPr>
          <w:sz w:val="20"/>
          <w:szCs w:val="20"/>
          <w:color w:val="auto"/>
        </w:rPr>
      </w:pPr>
      <w:r>
        <w:rPr>
          <w:rFonts w:ascii="Times New Roman" w:cs="Times New Roman" w:eastAsia="Times New Roman" w:hAnsi="Times New Roman"/>
          <w:sz w:val="20"/>
          <w:szCs w:val="20"/>
          <w:color w:val="auto"/>
        </w:rPr>
        <w:t xml:space="preserve">reinvest all or any portion of such Net Cash Proceeds in operating assets used in the business of the Company and its Restricted Subsidiaries so long as (A) within 270 days after the receipt of such Net Cash Proceeds, a definitive agreement for the purchase of such assets shall have been entered into and (B) within 360 days after the receipt of such Net Cash Proceeds, such purchase shall have been consummated (as certified by the Company in writing to the Administrative Agent);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amount equal to any Net Cash Proceeds not subject to such definitive agreement or so reinvested shall be immediately applied to the mandatory prepayments and/or Cash Collateralizations as set forth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$5,000,000 of the Net Cash Proceeds resulting from the Dispositions described above from the prepayment and/or Cash Collateralization requirements contemplated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1040" w:firstLine="757"/>
        <w:spacing w:after="0" w:line="245" w:lineRule="auto"/>
        <w:tabs>
          <w:tab w:leader="none" w:pos="2528"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Incurrence of Indebtedness</w:t>
      </w:r>
      <w:r>
        <w:rPr>
          <w:rFonts w:ascii="Times New Roman" w:cs="Times New Roman" w:eastAsia="Times New Roman" w:hAnsi="Times New Roman"/>
          <w:sz w:val="20"/>
          <w:szCs w:val="20"/>
          <w:color w:val="auto"/>
        </w:rPr>
        <w:t xml:space="preserve">. Upon the incurrence or issuance by the Company or any of its Restricted Subsidiaries of any Indebtedness (other than Indebtedness expressly permitted to be incurred or issued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and/or Cash Collateralizations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all Net Cash Proceeds received therefrom immediately upon receipt thereof by the Company or such Restricted Subsidiary.</w:t>
      </w:r>
    </w:p>
    <w:p>
      <w:pPr>
        <w:spacing w:after="0" w:line="211" w:lineRule="exact"/>
        <w:rPr>
          <w:rFonts w:ascii="Times New Roman" w:cs="Times New Roman" w:eastAsia="Times New Roman" w:hAnsi="Times New Roman"/>
          <w:sz w:val="20"/>
          <w:szCs w:val="20"/>
          <w:u w:val="single" w:color="auto"/>
          <w:color w:val="auto"/>
        </w:rPr>
      </w:pPr>
    </w:p>
    <w:p>
      <w:pPr>
        <w:jc w:val="both"/>
        <w:ind w:left="1040" w:firstLine="757"/>
        <w:spacing w:after="0" w:line="241" w:lineRule="auto"/>
        <w:tabs>
          <w:tab w:leader="none" w:pos="2528"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Insurance and Condemnation Events</w:t>
      </w:r>
      <w:r>
        <w:rPr>
          <w:rFonts w:ascii="Times New Roman" w:cs="Times New Roman" w:eastAsia="Times New Roman" w:hAnsi="Times New Roman"/>
          <w:sz w:val="20"/>
          <w:szCs w:val="20"/>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and/or Cash Collateralizations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the Company or such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such Net Cash Proceeds, at the election of the Company (as notified by the Company to the Administrative Agent on or prior to thedate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amount equal to any Net Cash Proceeds not so utilized shall be immediately applied to the mandatory prepayments and/or Cash Collateralizations as set forth in this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$5,000,000 of the Net Cash Proceeds resulting from Insurance and Condemnation Events from the prepayment and/or Cash Collateralization requirements contemplated in this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u w:val="single" w:color="auto"/>
          <w:color w:val="auto"/>
        </w:rPr>
      </w:pPr>
    </w:p>
    <w:p>
      <w:pPr>
        <w:jc w:val="both"/>
        <w:ind w:left="1040" w:firstLine="757"/>
        <w:spacing w:after="0" w:line="243" w:lineRule="auto"/>
        <w:tabs>
          <w:tab w:leader="none" w:pos="2528"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Excess Total Revolving Credit Outstandings</w:t>
      </w:r>
      <w:r>
        <w:rPr>
          <w:rFonts w:ascii="Times New Roman" w:cs="Times New Roman" w:eastAsia="Times New Roman" w:hAnsi="Times New Roman"/>
          <w:sz w:val="20"/>
          <w:szCs w:val="20"/>
          <w:color w:val="auto"/>
        </w:rPr>
        <w:t xml:space="preserve">. If for any reason the Total Revolving Credit Outstandings at any time exceed the Aggregate Revolving Credit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43" w:lineRule="auto"/>
        <w:rPr>
          <w:sz w:val="20"/>
          <w:szCs w:val="20"/>
          <w:color w:val="auto"/>
        </w:rPr>
      </w:pPr>
      <w:r>
        <w:rPr>
          <w:rFonts w:ascii="Times New Roman" w:cs="Times New Roman" w:eastAsia="Times New Roman" w:hAnsi="Times New Roman"/>
          <w:sz w:val="20"/>
          <w:szCs w:val="20"/>
          <w:color w:val="auto"/>
        </w:rPr>
        <w:t xml:space="preserve">then in effect, then, within two Business Days after receipt of such notice,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Revolving Credit Commitments at such time, then, within two Business Days after receipt of such notice, the Company shall (and/or cause the applicable Designated Borrower to,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prepay Revolving Credit Loans, Swing Line Loans and L/C Borrowings and/or Cash Collateralize the L/C Obligations in an aggregate amount equal to such excess.</w:t>
      </w:r>
    </w:p>
    <w:p>
      <w:pPr>
        <w:spacing w:after="0" w:line="189" w:lineRule="exact"/>
        <w:rPr>
          <w:sz w:val="20"/>
          <w:szCs w:val="20"/>
          <w:color w:val="auto"/>
        </w:rPr>
      </w:pPr>
    </w:p>
    <w:p>
      <w:pPr>
        <w:ind w:left="2540" w:hanging="743"/>
        <w:spacing w:after="0"/>
        <w:tabs>
          <w:tab w:leader="none" w:pos="2540" w:val="left"/>
        </w:tabs>
        <w:numPr>
          <w:ilvl w:val="0"/>
          <w:numId w:val="1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left="1800" w:firstLine="745"/>
        <w:spacing w:after="0" w:line="244" w:lineRule="auto"/>
        <w:tabs>
          <w:tab w:leader="none" w:pos="328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and/or Cash Collateralization made pursuant to the foregoing provisions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between the principal repayment installments of the Term Loans and (unless otherwise agreed by the applicable Additional Lenders) any Additional Term Loans on a pro-rata basis (excluding from such calculation, except with respect to prepayments with respect to property Disposed of in sale-leaseback transactions pursuant to </w:t>
      </w:r>
      <w:r>
        <w:rPr>
          <w:rFonts w:ascii="Times New Roman" w:cs="Times New Roman" w:eastAsia="Times New Roman" w:hAnsi="Times New Roman"/>
          <w:sz w:val="20"/>
          <w:szCs w:val="20"/>
          <w:u w:val="single" w:color="auto"/>
          <w:color w:val="auto"/>
        </w:rPr>
        <w:t>Section 7.05(h)</w:t>
      </w:r>
      <w:r>
        <w:rPr>
          <w:rFonts w:ascii="Times New Roman" w:cs="Times New Roman" w:eastAsia="Times New Roman" w:hAnsi="Times New Roman"/>
          <w:sz w:val="20"/>
          <w:szCs w:val="20"/>
          <w:color w:val="auto"/>
        </w:rPr>
        <w:t xml:space="preserve">, the final payment due at maturity),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Revolving Credit Facility in the manner set forth in </w:t>
      </w:r>
      <w:r>
        <w:rPr>
          <w:rFonts w:ascii="Times New Roman" w:cs="Times New Roman" w:eastAsia="Times New Roman" w:hAnsi="Times New Roman"/>
          <w:sz w:val="20"/>
          <w:szCs w:val="20"/>
          <w:u w:val="single" w:color="auto"/>
          <w:color w:val="auto"/>
        </w:rPr>
        <w:t>subsection (v)(B)</w:t>
      </w:r>
      <w:r>
        <w:rPr>
          <w:rFonts w:ascii="Times New Roman" w:cs="Times New Roman" w:eastAsia="Times New Roman" w:hAnsi="Times New Roman"/>
          <w:sz w:val="20"/>
          <w:szCs w:val="20"/>
          <w:color w:val="auto"/>
        </w:rPr>
        <w:t xml:space="preserve"> below (without a corresponding reduction of the Revolving Credit Commitments).</w:t>
      </w:r>
    </w:p>
    <w:p>
      <w:pPr>
        <w:spacing w:after="0" w:line="212" w:lineRule="exact"/>
        <w:rPr>
          <w:rFonts w:ascii="Times New Roman" w:cs="Times New Roman" w:eastAsia="Times New Roman" w:hAnsi="Times New Roman"/>
          <w:sz w:val="20"/>
          <w:szCs w:val="20"/>
          <w:color w:val="auto"/>
        </w:rPr>
      </w:pPr>
    </w:p>
    <w:p>
      <w:pPr>
        <w:jc w:val="both"/>
        <w:ind w:left="1800" w:firstLine="745"/>
        <w:spacing w:after="0" w:line="244" w:lineRule="auto"/>
        <w:tabs>
          <w:tab w:leader="none" w:pos="3287"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Prepayments and/or Cash Collateralization of the Revolving Credit Facility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to the L/C Borrowings and the Swing 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ratably to the outstanding Revolving Credit Loans, and, in the case of prepayments and/or Cash Collateralization of the Revolving Credit Facility required pursuant to </w:t>
      </w:r>
      <w:r>
        <w:rPr>
          <w:rFonts w:ascii="Times New Roman" w:cs="Times New Roman" w:eastAsia="Times New Roman" w:hAnsi="Times New Roman"/>
          <w:sz w:val="20"/>
          <w:szCs w:val="20"/>
          <w:u w:val="single" w:color="auto"/>
          <w:color w:val="auto"/>
        </w:rPr>
        <w:t>subsection (iv)</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Cash Collateralization of the remaining L/C Obligations. Upon the drawing of any Letter of Credit that has been Cash Collateralized, the funds held as Cash Collateral shall be applied (without any further action by or notice to or from the Company or any other Loan Party) to reimburse the L/C Issuer or the Revolving Credit Lenders, as applicable.</w:t>
      </w:r>
    </w:p>
    <w:p>
      <w:pPr>
        <w:spacing w:after="0" w:line="199" w:lineRule="exact"/>
        <w:rPr>
          <w:rFonts w:ascii="Times New Roman" w:cs="Times New Roman" w:eastAsia="Times New Roman" w:hAnsi="Times New Roman"/>
          <w:sz w:val="20"/>
          <w:szCs w:val="20"/>
          <w:color w:val="auto"/>
        </w:rPr>
      </w:pPr>
    </w:p>
    <w:p>
      <w:pPr>
        <w:ind w:left="1800" w:firstLine="746"/>
        <w:spacing w:after="0" w:line="269" w:lineRule="auto"/>
        <w:tabs>
          <w:tab w:leader="none" w:pos="328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each prepayment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paid to the Lenders in accordance with their respective Applicable Percentages in respect of each of the relevant Facilities.</w:t>
      </w:r>
    </w:p>
    <w:p>
      <w:pPr>
        <w:spacing w:after="0" w:line="186" w:lineRule="exact"/>
        <w:rPr>
          <w:rFonts w:ascii="Times New Roman" w:cs="Times New Roman" w:eastAsia="Times New Roman" w:hAnsi="Times New Roman"/>
          <w:sz w:val="20"/>
          <w:szCs w:val="20"/>
          <w:color w:val="auto"/>
        </w:rPr>
      </w:pPr>
    </w:p>
    <w:p>
      <w:pPr>
        <w:jc w:val="both"/>
        <w:ind w:left="1040" w:firstLine="757"/>
        <w:spacing w:after="0" w:line="242" w:lineRule="auto"/>
        <w:tabs>
          <w:tab w:leader="none" w:pos="252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to the contrary, no prepayment shall be required pursuant to (A)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Disposition of assets by a Foreign Subsidiary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(A)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if the Consolidated Net Leverage Ratio as of the date such prepayment would otherwise be required (i.e. the date such Net Cash Proceeds are</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20"/>
          <w:szCs w:val="20"/>
          <w:color w:val="auto"/>
        </w:rPr>
        <w:t>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17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Termination or Reduction of Revolving Credit Commitments.</w:t>
      </w:r>
    </w:p>
    <w:p>
      <w:pPr>
        <w:spacing w:after="0" w:line="229" w:lineRule="exact"/>
        <w:rPr>
          <w:sz w:val="20"/>
          <w:szCs w:val="20"/>
          <w:color w:val="auto"/>
        </w:rPr>
      </w:pPr>
    </w:p>
    <w:p>
      <w:pPr>
        <w:jc w:val="both"/>
        <w:ind w:left="300" w:firstLine="748"/>
        <w:spacing w:after="0" w:line="241" w:lineRule="auto"/>
        <w:tabs>
          <w:tab w:leader="none" w:pos="178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Company may, upon notice to the Administrative Agent, terminate the Aggregate Revolving Credit Commitments, the Alternative Currency Sublimit, the Designated Non-U.S. Borrower Sublimit, the Letter of Credit Sublimit (or any L/C Issuer’s commitment thereunder) or the Swing Line Sublimit, or from time to time permanently reduce the Aggregate Revolving Credit Commitments, the Alternative Currency Sublimit, the Designated Non-U.S. Borrower Sublimit, the Letter of Credit Sublimit (or any L/C Issuer’s commitment thereunder)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in the Aggregate Revolving Credit Commitments shall be in an aggregate amount of $5,000,000 or any whole multiple of $1,000,000 in excess thereof and (iii) the Company shall not terminate or reduce (A) the Aggregate Revolving Credit Commitments if, after giving effect thereto and to any concurrent prepayments hereunder, the Total Revolving Credit Outstandings would exceed the Aggregate Revolving Credit Commitments, (B) the Alternative Currency Sublimit if, after giving effect thereto and to any concurrent prepayments hereunder, the Outstanding Amount of Revolving Credit Loans in Alternative 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w:t>
      </w:r>
    </w:p>
    <w:p>
      <w:pPr>
        <w:spacing w:after="0" w:line="203"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Any unused portion of the Term Commitments shall be automatically terminated upon the funding of the Term Loans on the Closing Date.</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Aggregate Revolving Credit Commitments, the Alternative Currency Sublimit, the Designated Non-U.S. Borrower Sublimit, the Letter of Credit Sublimit or the Swing Line Sublimit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Aggregate Revolving Credit Commitments shall be paid on the effective date of suchtermination.</w:t>
      </w:r>
    </w:p>
    <w:p>
      <w:pPr>
        <w:spacing w:after="0" w:line="213"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Repayment of Loans.</w:t>
      </w:r>
    </w:p>
    <w:p>
      <w:pPr>
        <w:spacing w:after="0" w:line="229" w:lineRule="exact"/>
        <w:rPr>
          <w:sz w:val="20"/>
          <w:szCs w:val="20"/>
          <w:color w:val="auto"/>
        </w:rPr>
      </w:pPr>
    </w:p>
    <w:p>
      <w:pPr>
        <w:jc w:val="both"/>
        <w:ind w:left="300" w:firstLine="748"/>
        <w:spacing w:after="0" w:line="246" w:lineRule="auto"/>
        <w:tabs>
          <w:tab w:leader="none" w:pos="178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The Company shall repay to the Term Loan Lenders the aggregate principal amount of all Term Loans in quarterly principal installments as set forth on </w:t>
      </w:r>
      <w:r>
        <w:rPr>
          <w:rFonts w:ascii="Times New Roman" w:cs="Times New Roman" w:eastAsia="Times New Roman" w:hAnsi="Times New Roman"/>
          <w:sz w:val="20"/>
          <w:szCs w:val="20"/>
          <w:u w:val="single" w:color="auto"/>
          <w:color w:val="auto"/>
        </w:rPr>
        <w:t>Schedule 2.07(a)</w:t>
      </w:r>
      <w:r>
        <w:rPr>
          <w:rFonts w:ascii="Times New Roman" w:cs="Times New Roman" w:eastAsia="Times New Roman" w:hAnsi="Times New Roman"/>
          <w:sz w:val="20"/>
          <w:szCs w:val="20"/>
          <w:color w:val="auto"/>
        </w:rPr>
        <w:t xml:space="preserve"> (which principal amounts shall be reduced as a result of the application of prepayments in accordance with the order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Term Loans shall be repaid on the Maturity Date and in any event shall be in an amount equal to the aggregate principal amount of all Term Loans outstanding on such date.</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firstLine="748"/>
        <w:spacing w:after="0" w:line="269" w:lineRule="auto"/>
        <w:tabs>
          <w:tab w:leader="none" w:pos="178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Each Borrower shall repay to the Revolving Credit Lenders on the Maturity Date the aggregate principal amount of Revolving Credit Loans made to such Borrower outstanding on such date.</w:t>
      </w:r>
    </w:p>
    <w:p>
      <w:pPr>
        <w:spacing w:after="0" w:line="172"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Company shall repay each Swing Line Loan on the earlier to occur of (i) the date ten Business Days after such Loan is made and (ii) the Maturity Date.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207"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color w:val="auto"/>
        </w:rPr>
        <w:t>Interest.</w:t>
      </w:r>
    </w:p>
    <w:p>
      <w:pPr>
        <w:spacing w:after="0" w:line="229" w:lineRule="exact"/>
        <w:rPr>
          <w:sz w:val="20"/>
          <w:szCs w:val="20"/>
          <w:color w:val="auto"/>
        </w:rPr>
      </w:pPr>
    </w:p>
    <w:p>
      <w:pPr>
        <w:jc w:val="both"/>
        <w:ind w:left="300" w:firstLine="748"/>
        <w:spacing w:after="0" w:line="242" w:lineRule="auto"/>
        <w:tabs>
          <w:tab w:leader="none" w:pos="1789"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Daily Simple SOFR Loan shall bear interest on the outstanding principal amount thereof from the applicable borrowing date at a rate per annum equal to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(iv)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(vi)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216" w:lineRule="exact"/>
        <w:rPr>
          <w:rFonts w:ascii="Times New Roman" w:cs="Times New Roman" w:eastAsia="Times New Roman" w:hAnsi="Times New Roman"/>
          <w:sz w:val="20"/>
          <w:szCs w:val="20"/>
          <w:color w:val="auto"/>
        </w:rPr>
      </w:pPr>
    </w:p>
    <w:p>
      <w:pPr>
        <w:jc w:val="both"/>
        <w:ind w:left="860" w:firstLine="1"/>
        <w:spacing w:after="0" w:line="254" w:lineRule="auto"/>
        <w:tabs>
          <w:tab w:leader="none" w:pos="156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8" w:lineRule="exact"/>
        <w:rPr>
          <w:sz w:val="20"/>
          <w:szCs w:val="20"/>
          <w:color w:val="auto"/>
        </w:rPr>
      </w:pPr>
    </w:p>
    <w:p>
      <w:pPr>
        <w:jc w:val="both"/>
        <w:ind w:left="104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(ii)While any Event of Default of the type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exists, the Borrowers shall pay interest on the principal amount of all of their respective outstanding Obligations hereunder at a fluctuating interest rate per annum at all times equal to the Default Rate to the fullest extent permitted by applicable Laws.</w:t>
      </w:r>
    </w:p>
    <w:p>
      <w:pPr>
        <w:spacing w:after="0" w:line="188" w:lineRule="exact"/>
        <w:rPr>
          <w:sz w:val="20"/>
          <w:szCs w:val="20"/>
          <w:color w:val="auto"/>
        </w:rPr>
      </w:pPr>
    </w:p>
    <w:p>
      <w:pPr>
        <w:jc w:val="both"/>
        <w:ind w:left="1040" w:firstLine="749"/>
        <w:spacing w:after="0" w:line="246" w:lineRule="auto"/>
        <w:rPr>
          <w:sz w:val="20"/>
          <w:szCs w:val="20"/>
          <w:color w:val="auto"/>
        </w:rPr>
      </w:pPr>
      <w:r>
        <w:rPr>
          <w:rFonts w:ascii="Times New Roman" w:cs="Times New Roman" w:eastAsia="Times New Roman" w:hAnsi="Times New Roman"/>
          <w:sz w:val="20"/>
          <w:szCs w:val="20"/>
          <w:color w:val="auto"/>
        </w:rPr>
        <w:t>(iii)If any amount (other than principal of any Loan) payable by any Borrower under any Loan Document is not paid when due (without regard to any applicable grace periods), whether at stated maturity, by acceleration or otherwise, then upon the request of the Required Term Loan Lenders (in the case of the Term Loan Facility) or the Required Revolving Credit Lenders (in the case of the Revolving Credit Facility), as the case may be, such amount shall thereafter bear interest at a fluctuating interest rate per annum at all times equal to the Default Rate to the fullest extent permitted by applicable Laws.</w:t>
      </w:r>
    </w:p>
    <w:p>
      <w:pPr>
        <w:spacing w:after="0" w:line="212" w:lineRule="exact"/>
        <w:rPr>
          <w:sz w:val="20"/>
          <w:szCs w:val="20"/>
          <w:color w:val="auto"/>
        </w:rPr>
      </w:pPr>
    </w:p>
    <w:p>
      <w:pPr>
        <w:jc w:val="both"/>
        <w:ind w:left="10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(iv)Upon the request of the Required Term Loan Lenders (in the case of the Term Loan Facility) or the Required Revolving Credit Lenders (in the case of the Revolving Credit Facility), as the case may be, while any Event of Default exists (other than as set forth in </w:t>
      </w:r>
      <w:r>
        <w:rPr>
          <w:rFonts w:ascii="Times New Roman" w:cs="Times New Roman" w:eastAsia="Times New Roman" w:hAnsi="Times New Roman"/>
          <w:sz w:val="20"/>
          <w:szCs w:val="20"/>
          <w:u w:val="single" w:color="auto"/>
          <w:color w:val="auto"/>
        </w:rPr>
        <w:t>clauses (b)(i)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above), the Borrowers shall pay interest on the principal amount of all outstanding Obligations hereunder at a fluctuating interest rate per annum at all times equal to the Default Rate to the fullest extent permitted by applicable Laws.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040" w:right="700" w:firstLine="757"/>
        <w:spacing w:after="0" w:line="269" w:lineRule="auto"/>
        <w:tabs>
          <w:tab w:leader="none" w:pos="2049"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72"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1"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 xml:space="preserve">Fees. In addition to certain fees described in </w:t>
      </w:r>
      <w:r>
        <w:rPr>
          <w:rFonts w:ascii="Times New Roman" w:cs="Times New Roman" w:eastAsia="Times New Roman" w:hAnsi="Times New Roman"/>
          <w:sz w:val="19"/>
          <w:szCs w:val="19"/>
          <w:u w:val="single" w:color="auto"/>
          <w:color w:val="auto"/>
        </w:rPr>
        <w:t>subsections (h)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300" w:firstLine="748"/>
        <w:spacing w:after="0" w:line="245" w:lineRule="auto"/>
        <w:tabs>
          <w:tab w:leader="none" w:pos="178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Company shall pay to the Administrative Agent for the account of each Revolving Credit Lender in accordance with its Applicable Revolving Credit Percentage, a commitment fee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Revolving Credit Commitments exceed the sum of (i) the Outstanding Amount of Revolving Credit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w:t>
      </w:r>
    </w:p>
    <w:p>
      <w:pPr>
        <w:jc w:val="both"/>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For the avoidance of doubt, the Outstanding Amount of Swing Line Loans shall not be counted towards or considered usage of the Aggregate Revolving Credit Commitments for purposes of determining the commitment fee. The commitment fee shall accrue at all times during the Availability Period with respect to the Revolving Credit Facility,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with respect to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0" w:lineRule="exact"/>
        <w:rPr>
          <w:rFonts w:ascii="Times New Roman" w:cs="Times New Roman" w:eastAsia="Times New Roman" w:hAnsi="Times New Roman"/>
          <w:sz w:val="20"/>
          <w:szCs w:val="20"/>
          <w:color w:val="auto"/>
        </w:rPr>
      </w:pPr>
    </w:p>
    <w:p>
      <w:pPr>
        <w:jc w:val="both"/>
        <w:ind w:left="300" w:right="20" w:firstLine="748"/>
        <w:spacing w:after="0" w:line="254" w:lineRule="auto"/>
        <w:tabs>
          <w:tab w:leader="none" w:pos="178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(i) The Company shall pay to the Arranger and the Administrative Agent for their own respective accounts fees in the amounts and at the times specified in the Fee Letters. Such fees shall be fully earned when paid and shall not be refundable for any reasonwhatsoever.</w:t>
      </w:r>
    </w:p>
    <w:p>
      <w:pPr>
        <w:spacing w:after="0" w:line="188" w:lineRule="exact"/>
        <w:rPr>
          <w:sz w:val="20"/>
          <w:szCs w:val="20"/>
          <w:color w:val="auto"/>
        </w:rPr>
      </w:pPr>
    </w:p>
    <w:p>
      <w:pPr>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(ii) 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8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Computation of Interest and Fees; Retroactive Adjustments of Applicable Rate.</w:t>
      </w:r>
    </w:p>
    <w:p>
      <w:pPr>
        <w:spacing w:after="0" w:line="229" w:lineRule="exact"/>
        <w:rPr>
          <w:sz w:val="20"/>
          <w:szCs w:val="20"/>
          <w:color w:val="auto"/>
        </w:rPr>
      </w:pPr>
    </w:p>
    <w:p>
      <w:pPr>
        <w:jc w:val="both"/>
        <w:ind w:left="300" w:firstLine="748"/>
        <w:spacing w:after="0" w:line="243" w:lineRule="auto"/>
        <w:tabs>
          <w:tab w:leader="none" w:pos="178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Daily Simple SOFR) and for Loans denominated in Alternative Currencies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2" w:lineRule="auto"/>
        <w:tabs>
          <w:tab w:leader="none" w:pos="178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This paragraph shall not limit the rights of the Administrative Agent, any Lender or any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paragraph shall survive the termination of the Aggregate Commitments and the repayment of all other Obligations hereunder.</w:t>
      </w:r>
    </w:p>
    <w:p>
      <w:pPr>
        <w:spacing w:after="0" w:line="187"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Evidence of Debt.</w:t>
      </w:r>
    </w:p>
    <w:p>
      <w:pPr>
        <w:spacing w:after="0" w:line="229" w:lineRule="exact"/>
        <w:rPr>
          <w:sz w:val="20"/>
          <w:szCs w:val="20"/>
          <w:color w:val="auto"/>
        </w:rPr>
      </w:pPr>
    </w:p>
    <w:p>
      <w:pPr>
        <w:jc w:val="both"/>
        <w:ind w:left="300" w:firstLine="748"/>
        <w:spacing w:after="0" w:line="242" w:lineRule="auto"/>
        <w:tabs>
          <w:tab w:leader="none" w:pos="178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in the ordinary course of business. The Administrative Agent shall maintain the Register in connection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205"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12"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2.12 Payments Generally; Administrative Agent’s Clawback. (a)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6" w:lineRule="exact"/>
        <w:rPr>
          <w:sz w:val="20"/>
          <w:szCs w:val="20"/>
          <w:color w:val="auto"/>
        </w:rPr>
      </w:pPr>
    </w:p>
    <w:p>
      <w:pPr>
        <w:jc w:val="both"/>
        <w:ind w:left="300" w:firstLine="748"/>
        <w:spacing w:after="0" w:line="241" w:lineRule="auto"/>
        <w:tabs>
          <w:tab w:leader="none" w:pos="1829"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Daily Simple SOFR Loans,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215" w:lineRule="exact"/>
        <w:rPr>
          <w:rFonts w:ascii="Times New Roman" w:cs="Times New Roman" w:eastAsia="Times New Roman" w:hAnsi="Times New Roman"/>
          <w:sz w:val="20"/>
          <w:szCs w:val="20"/>
          <w:color w:val="auto"/>
        </w:rPr>
      </w:pPr>
    </w:p>
    <w:p>
      <w:pPr>
        <w:jc w:val="both"/>
        <w:ind w:left="120" w:firstLine="738"/>
        <w:spacing w:after="0" w:line="243" w:lineRule="auto"/>
        <w:tabs>
          <w:tab w:leader="none" w:pos="115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Revolving Credit Lenders, the Term Loan Lenders or L/C Issuers, as the case may be, the amount due. In such event, if such Borrower has not in fact made such payment, then each of the Revolving Credit Lenders, the Term Loan Lenders or the applicable L/C Issuers,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such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Revolving Credit Lenders, the Term Loan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interbankcompensation.</w:t>
      </w:r>
    </w:p>
    <w:p>
      <w:pPr>
        <w:spacing w:after="0" w:line="206"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Borrower with respect to any amount owing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be conclusive, absent manifest error.</w:t>
      </w:r>
    </w:p>
    <w:p>
      <w:pPr>
        <w:spacing w:after="0" w:line="146" w:lineRule="exact"/>
        <w:rPr>
          <w:sz w:val="20"/>
          <w:szCs w:val="20"/>
          <w:color w:val="auto"/>
        </w:rPr>
      </w:pPr>
    </w:p>
    <w:p>
      <w:pPr>
        <w:jc w:val="both"/>
        <w:ind w:left="300" w:firstLine="748"/>
        <w:spacing w:after="0" w:line="246" w:lineRule="auto"/>
        <w:tabs>
          <w:tab w:leader="none" w:pos="1829" w:val="left"/>
        </w:tabs>
        <w:numPr>
          <w:ilvl w:val="0"/>
          <w:numId w:val="1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11" w:lineRule="exact"/>
        <w:rPr>
          <w:rFonts w:ascii="Times New Roman" w:cs="Times New Roman" w:eastAsia="Times New Roman" w:hAnsi="Times New Roman"/>
          <w:sz w:val="20"/>
          <w:szCs w:val="20"/>
          <w:u w:val="single" w:color="auto"/>
          <w:color w:val="auto"/>
        </w:rPr>
      </w:pPr>
    </w:p>
    <w:p>
      <w:pPr>
        <w:jc w:val="both"/>
        <w:ind w:left="300" w:firstLine="748"/>
        <w:spacing w:after="0" w:line="245" w:lineRule="auto"/>
        <w:tabs>
          <w:tab w:leader="none" w:pos="1830" w:val="left"/>
        </w:tabs>
        <w:numPr>
          <w:ilvl w:val="0"/>
          <w:numId w:val="1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Revolving Credit Loans and Term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u w:val="single" w:color="auto"/>
          <w:color w:val="auto"/>
        </w:rPr>
      </w:pPr>
    </w:p>
    <w:p>
      <w:pPr>
        <w:jc w:val="both"/>
        <w:ind w:left="300" w:right="20" w:firstLine="748"/>
        <w:spacing w:after="0" w:line="254" w:lineRule="auto"/>
        <w:tabs>
          <w:tab w:leader="none" w:pos="1829" w:val="left"/>
        </w:tabs>
        <w:numPr>
          <w:ilvl w:val="0"/>
          <w:numId w:val="1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8" w:lineRule="exact"/>
        <w:rPr>
          <w:sz w:val="20"/>
          <w:szCs w:val="20"/>
          <w:color w:val="auto"/>
        </w:rPr>
      </w:pPr>
    </w:p>
    <w:p>
      <w:pPr>
        <w:jc w:val="both"/>
        <w:ind w:left="120" w:firstLine="749"/>
        <w:spacing w:after="0" w:line="241" w:lineRule="auto"/>
        <w:rPr>
          <w:sz w:val="20"/>
          <w:szCs w:val="20"/>
          <w:color w:val="auto"/>
        </w:rPr>
      </w:pPr>
      <w:r>
        <w:rPr>
          <w:rFonts w:ascii="Times New Roman" w:cs="Times New Roman" w:eastAsia="Times New Roman" w:hAnsi="Times New Roman"/>
          <w:sz w:val="20"/>
          <w:szCs w:val="20"/>
          <w:color w:val="auto"/>
        </w:rPr>
        <w:t>2.13 Sharing of Payments by Lenders.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hanging="8"/>
        <w:spacing w:after="0" w:line="249" w:lineRule="auto"/>
        <w:tabs>
          <w:tab w:leader="none" w:pos="52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6"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01" w:lineRule="exact"/>
        <w:rPr>
          <w:rFonts w:ascii="Times New Roman" w:cs="Times New Roman" w:eastAsia="Times New Roman" w:hAnsi="Times New Roman"/>
          <w:sz w:val="20"/>
          <w:szCs w:val="20"/>
          <w:color w:val="auto"/>
        </w:rPr>
      </w:pPr>
    </w:p>
    <w:p>
      <w:pPr>
        <w:jc w:val="both"/>
        <w:ind w:left="1040" w:firstLine="757"/>
        <w:spacing w:after="0" w:line="247" w:lineRule="auto"/>
        <w:tabs>
          <w:tab w:leader="none" w:pos="2528"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jc w:val="both"/>
        <w:ind w:left="1040" w:right="20" w:firstLine="7"/>
        <w:spacing w:after="0" w:line="241" w:lineRule="auto"/>
        <w:tabs>
          <w:tab w:leader="none" w:pos="1329"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application of Cash Collateral provided for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202" w:lineRule="exact"/>
        <w:rPr>
          <w:sz w:val="20"/>
          <w:szCs w:val="20"/>
          <w:color w:val="auto"/>
        </w:rPr>
      </w:pPr>
    </w:p>
    <w:p>
      <w:pPr>
        <w:jc w:val="both"/>
        <w:ind w:left="120" w:firstLine="747"/>
        <w:spacing w:after="0" w:line="274" w:lineRule="auto"/>
        <w:rPr>
          <w:sz w:val="20"/>
          <w:szCs w:val="20"/>
          <w:color w:val="auto"/>
        </w:rPr>
      </w:pPr>
      <w:r>
        <w:rPr>
          <w:rFonts w:ascii="Times New Roman" w:cs="Times New Roman" w:eastAsia="Times New Roman" w:hAnsi="Times New Roman"/>
          <w:sz w:val="19"/>
          <w:szCs w:val="19"/>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3"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Designated Borrowers.</w:t>
      </w:r>
    </w:p>
    <w:p>
      <w:pPr>
        <w:spacing w:after="0" w:line="229" w:lineRule="exact"/>
        <w:rPr>
          <w:sz w:val="20"/>
          <w:szCs w:val="20"/>
          <w:color w:val="auto"/>
        </w:rPr>
      </w:pPr>
    </w:p>
    <w:p>
      <w:pPr>
        <w:jc w:val="both"/>
        <w:ind w:left="300" w:firstLine="748"/>
        <w:spacing w:after="0" w:line="241" w:lineRule="auto"/>
        <w:tabs>
          <w:tab w:leader="none" w:pos="179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fifteen (15) Business Days’ notice from the Company to the Administrative Agent (or such shorter period as may be agreed by the Administrative Agent in its sole discretion), designate any wholly-owned Restricted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Revolving Credit Facility (i) the Administrative Agent and each Revolving Credit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Revolving Credit Lender shall have received such supporting resolutions, incumbency certificates, opinions of counsel and other documents or information, in form, content and scope reasonably satisfactory to the Administrative Agent, as may be reasonably requested by the Administrative Agent (it being agreed that the forms delivered on the Closing Date are acceptable for a Domestic Subsidiary), and (iii) each Revolving Credit Lender shall have received Revolving Credit Notes signed by such new Borrowers to the extent requested thereby. If the Administrative Agent and the Revolving Credit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to the Company and the Revolving Credit Lenders specifying the effective date upon which the Applicant Borrower shall constitute a Designated Borrower for purposes hereof, whereupon</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1" w:lineRule="auto"/>
        <w:rPr>
          <w:sz w:val="20"/>
          <w:szCs w:val="20"/>
          <w:color w:val="auto"/>
        </w:rPr>
      </w:pPr>
      <w:r>
        <w:rPr>
          <w:rFonts w:ascii="Times New Roman" w:cs="Times New Roman" w:eastAsia="Times New Roman" w:hAnsi="Times New Roman"/>
          <w:sz w:val="20"/>
          <w:szCs w:val="20"/>
          <w:color w:val="auto"/>
        </w:rPr>
        <w:t xml:space="preserve">each of the Revolving Credit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Notice or Letter of Credit Application may be submitted by or on behalf of such Designated Borrower until the date five (5) Business Days after such effective date;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effective as of the date hereof, the Administrative Agent and the Revolving Credit Lenders hereby agree that each of the Netherlands Designated Borrowers may become a “Designated Borrower” hereunder and may receive Revolving Credit Loans for its account on the terms and conditions set forth in this Agreement, in each case upon delivery of a duly executed Designated Borrower Request and Assumption Agreement and satisfaction of the conditions set forth in clauses (i) through (iii) of the second sentence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without any requirement of further written consent from the Administrative Agent or the Revolving Credit Lenders. Additionally, notwithstanding the foregoing, the Company may in connection with any request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designate any wholly-owned Restricted Subsidiary of the Company as a Designated Borrower to receive Additional Term Loans hereunder, and the parties hereto acknowledge and agree that prior to any such Restricted Subsidiary becoming entitled to borrow any Additional Term Loans the Administrative Agent and each Additional Lender providing such Additional Term Loan shall have approved such Restricted Subsidiary as a Designated Borrower and received items of the type described in clauses (i) through (iii) of the second sentence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such Restricted Subsidiary shall have complied with </w:t>
      </w:r>
      <w:r>
        <w:rPr>
          <w:rFonts w:ascii="Times New Roman" w:cs="Times New Roman" w:eastAsia="Times New Roman" w:hAnsi="Times New Roman"/>
          <w:sz w:val="20"/>
          <w:szCs w:val="20"/>
          <w:u w:val="single" w:color="auto"/>
          <w:color w:val="auto"/>
        </w:rPr>
        <w:t>Section6.12</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300" w:firstLine="748"/>
        <w:spacing w:after="0" w:line="246" w:lineRule="auto"/>
        <w:tabs>
          <w:tab w:leader="none" w:pos="178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99"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21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Increase Option.</w:t>
      </w:r>
    </w:p>
    <w:p>
      <w:pPr>
        <w:spacing w:after="0" w:line="229" w:lineRule="exact"/>
        <w:rPr>
          <w:sz w:val="20"/>
          <w:szCs w:val="20"/>
          <w:color w:val="auto"/>
        </w:rPr>
      </w:pPr>
    </w:p>
    <w:p>
      <w:pPr>
        <w:ind w:left="1780" w:hanging="732"/>
        <w:spacing w:after="0"/>
        <w:tabs>
          <w:tab w:leader="none" w:pos="17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Upon notice to the Administrative Agent (which shall promptly notify the Lenders), at any</w:t>
      </w:r>
    </w:p>
    <w:p>
      <w:pPr>
        <w:spacing w:after="0" w:line="22" w:lineRule="exact"/>
        <w:rPr>
          <w:sz w:val="20"/>
          <w:szCs w:val="20"/>
          <w:color w:val="auto"/>
        </w:rPr>
      </w:pPr>
    </w:p>
    <w:p>
      <w:pPr>
        <w:ind w:left="300"/>
        <w:spacing w:after="0"/>
        <w:tabs>
          <w:tab w:leader="none" w:pos="5280" w:val="left"/>
        </w:tabs>
        <w:rPr>
          <w:sz w:val="20"/>
          <w:szCs w:val="20"/>
          <w:color w:val="auto"/>
        </w:rPr>
      </w:pPr>
      <w:r>
        <w:rPr>
          <w:rFonts w:ascii="Times New Roman" w:cs="Times New Roman" w:eastAsia="Times New Roman" w:hAnsi="Times New Roman"/>
          <w:sz w:val="20"/>
          <w:szCs w:val="20"/>
          <w:color w:val="auto"/>
        </w:rPr>
        <w:t>time after the Closing Date, the Company may request</w:t>
      </w:r>
      <w:r>
        <w:rPr>
          <w:sz w:val="20"/>
          <w:szCs w:val="20"/>
          <w:color w:val="auto"/>
        </w:rPr>
        <w:tab/>
      </w:r>
      <w:r>
        <w:rPr>
          <w:rFonts w:ascii="Times New Roman" w:cs="Times New Roman" w:eastAsia="Times New Roman" w:hAnsi="Times New Roman"/>
          <w:sz w:val="19"/>
          <w:szCs w:val="19"/>
          <w:color w:val="auto"/>
        </w:rPr>
        <w:t>additional</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2" w:lineRule="auto"/>
        <w:rPr>
          <w:sz w:val="20"/>
          <w:szCs w:val="20"/>
          <w:color w:val="auto"/>
        </w:rPr>
      </w:pPr>
      <w:r>
        <w:rPr>
          <w:rFonts w:ascii="Times New Roman" w:cs="Times New Roman" w:eastAsia="Times New Roman" w:hAnsi="Times New Roman"/>
          <w:sz w:val="20"/>
          <w:szCs w:val="20"/>
          <w:color w:val="auto"/>
        </w:rPr>
        <w:t>Commitments (each an “</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and all of them, collectively, the “</w:t>
      </w:r>
      <w:r>
        <w:rPr>
          <w:rFonts w:ascii="Times New Roman" w:cs="Times New Roman" w:eastAsia="Times New Roman" w:hAnsi="Times New Roman"/>
          <w:sz w:val="20"/>
          <w:szCs w:val="20"/>
          <w:u w:val="single" w:color="auto"/>
          <w:color w:val="auto"/>
        </w:rPr>
        <w:t>Additional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after giving effect to any such addition, the aggregate amount of Additional Commitments that have been added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after the Amendment No. 2 Effective Date shall not exceed the Additional Commitments Limit, (y) any such addition shall be in an aggregate amount of not less than $10,000,000 or any whole multiple of $1,000,000 in excess thereof (or, in either case, such lesser amount as may be acceptable to the Administrative Agent) and (z) after giving effect to any such addition, the aggregate outstanding amount of Additional Term Loans made to Designated Borrowers that are not U.S. Borrowers shall not exceed, when taken together with the aggregate Outstanding Amount of all Revolving Credit Loans made to Designated Borrowers that are not</w:t>
      </w:r>
    </w:p>
    <w:p>
      <w:pPr>
        <w:spacing w:after="0" w:line="5" w:lineRule="exact"/>
        <w:rPr>
          <w:sz w:val="20"/>
          <w:szCs w:val="20"/>
          <w:color w:val="auto"/>
        </w:rPr>
      </w:pPr>
    </w:p>
    <w:p>
      <w:pPr>
        <w:jc w:val="both"/>
        <w:ind w:left="300"/>
        <w:spacing w:after="0"/>
        <w:rPr>
          <w:sz w:val="20"/>
          <w:szCs w:val="20"/>
          <w:color w:val="auto"/>
        </w:rPr>
      </w:pPr>
      <w:r>
        <w:rPr>
          <w:rFonts w:ascii="Times New Roman" w:cs="Times New Roman" w:eastAsia="Times New Roman" w:hAnsi="Times New Roman"/>
          <w:sz w:val="20"/>
          <w:szCs w:val="20"/>
          <w:color w:val="auto"/>
        </w:rPr>
        <w:t>U.S. Borrowers, $50,000,000. Any loans made in respect of any such Additional Commitments (the “</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may be made, at the option of the Company, by either (i) increasing the Aggregate Revolving Credit Commitments with the same terms (including pricing) as the existing Revolving Credit Facility, or (ii) creating a new tranche of terms loans (any loans provided pursuant to such additional tranche, the “</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(it being understood that the Company has the absolute right to pursue Additional Commitments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no Lender shall have the ability to block any such pursuit although no Lender shall be obligated to provide any Additional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increase in the Aggregate Revolving Credit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Revolving Lenders.</w:t>
      </w:r>
    </w:p>
    <w:p>
      <w:pPr>
        <w:spacing w:after="0" w:line="203" w:lineRule="exact"/>
        <w:rPr>
          <w:sz w:val="20"/>
          <w:szCs w:val="20"/>
          <w:color w:val="auto"/>
        </w:rPr>
      </w:pPr>
    </w:p>
    <w:p>
      <w:pPr>
        <w:jc w:val="both"/>
        <w:ind w:left="300" w:right="20" w:firstLine="748"/>
        <w:spacing w:after="0" w:line="247" w:lineRule="auto"/>
        <w:tabs>
          <w:tab w:leader="none" w:pos="178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Ranking and Other Provisions</w:t>
      </w:r>
      <w:r>
        <w:rPr>
          <w:rFonts w:ascii="Times New Roman" w:cs="Times New Roman" w:eastAsia="Times New Roman" w:hAnsi="Times New Roman"/>
          <w:sz w:val="20"/>
          <w:szCs w:val="20"/>
          <w:color w:val="auto"/>
        </w:rPr>
        <w:t>. The Additional Term Loans shall (i) rank pari passu in right of payment and in respect of lien priority as to the Collateral with the outstanding Loans, (ii) not have a weighted average life that is shorter than the weighted average life of the outstanding Term Loans,</w:t>
      </w:r>
    </w:p>
    <w:p>
      <w:pPr>
        <w:jc w:val="both"/>
        <w:ind w:left="300" w:hanging="1"/>
        <w:spacing w:after="0" w:line="242" w:lineRule="auto"/>
        <w:tabs>
          <w:tab w:leader="none" w:pos="109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mature earlier than the Maturity Date, and (iv) not contain additional or different financial or other covenants which are more restrictive in any material respect than the covenants applicable to the Term Loans unless such covenants (i) benefit all of the Lenders, (ii) only apply after the Maturity Date or (iii) are otherwise consented to by the Administrative Agent.</w:t>
      </w:r>
    </w:p>
    <w:p>
      <w:pPr>
        <w:spacing w:after="0" w:line="200" w:lineRule="exact"/>
        <w:rPr>
          <w:rFonts w:ascii="Times New Roman" w:cs="Times New Roman" w:eastAsia="Times New Roman" w:hAnsi="Times New Roman"/>
          <w:sz w:val="20"/>
          <w:szCs w:val="20"/>
          <w:color w:val="auto"/>
        </w:rPr>
      </w:pPr>
    </w:p>
    <w:p>
      <w:pPr>
        <w:jc w:val="both"/>
        <w:ind w:left="300" w:firstLine="748"/>
        <w:spacing w:after="0" w:line="241" w:lineRule="auto"/>
        <w:tabs>
          <w:tab w:leader="none" w:pos="1789"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Lender Elections</w:t>
      </w:r>
      <w:r>
        <w:rPr>
          <w:rFonts w:ascii="Times New Roman" w:cs="Times New Roman" w:eastAsia="Times New Roman" w:hAnsi="Times New Roman"/>
          <w:sz w:val="20"/>
          <w:szCs w:val="20"/>
          <w:color w:val="auto"/>
        </w:rPr>
        <w:t>. Each notice from the Company pursuant to this Sectionshall set forth the requested amount and proposed terms of the Additional Commitments. Additional Commitments (or any portion thereof) may be made by any existing Lender or by any other bank or financial institution that is an Eligible Assignee (any such bank or other financial institution, together with any existing Lenders making any Additional Loans, the “</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in each case on terms permitted in this Section and otherwise on terms reasonably acceptable to the Administrative Agent. At the time of the sending of such notice, the Company (in consultation with the Administrative Agent) shall specify the time period within which each Lender is requested to respond (which shall in 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Applicable Percentage of such requested increase. Any Lender not responding within such time period shall be deemed to have declined to provide an Additional Commitment. The Administrative Agent shall notify the Company and each Lender of the Lenders’ responses to each request made hereunder. To achieve the full amount of a requested increase, the Company may also invite additional Eligible Assignees to become Lenders pursuant to a joinder agreement in form and substance reasonably satisfactory to the Administrative Agent and its counsel.</w:t>
      </w:r>
    </w:p>
    <w:p>
      <w:pPr>
        <w:spacing w:after="0" w:line="222"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Commitment Amendment</w:t>
      </w:r>
      <w:r>
        <w:rPr>
          <w:rFonts w:ascii="Times New Roman" w:cs="Times New Roman" w:eastAsia="Times New Roman" w:hAnsi="Times New Roman"/>
          <w:sz w:val="20"/>
          <w:szCs w:val="20"/>
          <w:color w:val="auto"/>
        </w:rPr>
        <w:t>. Additional Commitments shall become Commitments under this Agreement</w:t>
      </w:r>
    </w:p>
    <w:p>
      <w:pPr>
        <w:spacing w:after="0" w:line="22" w:lineRule="exact"/>
        <w:rPr>
          <w:sz w:val="20"/>
          <w:szCs w:val="20"/>
          <w:color w:val="auto"/>
        </w:rPr>
      </w:pPr>
    </w:p>
    <w:p>
      <w:pPr>
        <w:ind w:left="300"/>
        <w:spacing w:after="0"/>
        <w:tabs>
          <w:tab w:leader="none" w:pos="4300" w:val="left"/>
        </w:tabs>
        <w:rPr>
          <w:sz w:val="20"/>
          <w:szCs w:val="20"/>
          <w:color w:val="auto"/>
        </w:rPr>
      </w:pPr>
      <w:r>
        <w:rPr>
          <w:rFonts w:ascii="Times New Roman" w:cs="Times New Roman" w:eastAsia="Times New Roman" w:hAnsi="Times New Roman"/>
          <w:sz w:val="20"/>
          <w:szCs w:val="20"/>
          <w:color w:val="auto"/>
        </w:rPr>
        <w:t>pursuant to an amendment (an “Additional</w:t>
      </w:r>
      <w:r>
        <w:rPr>
          <w:sz w:val="20"/>
          <w:szCs w:val="20"/>
          <w:color w:val="auto"/>
        </w:rPr>
        <w:tab/>
      </w:r>
      <w:r>
        <w:rPr>
          <w:rFonts w:ascii="Times New Roman" w:cs="Times New Roman" w:eastAsia="Times New Roman" w:hAnsi="Times New Roman"/>
          <w:sz w:val="19"/>
          <w:szCs w:val="19"/>
          <w:color w:val="auto"/>
        </w:rPr>
        <w:t>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-24765</wp:posOffset>
            </wp:positionV>
            <wp:extent cx="14516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5" w:lineRule="auto"/>
        <w:rPr>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this Agreement and, as appropriate, the other Loan Documents, executed by the Borrowers, the other Loan Parties, each Additional Lender and the Administrative Agent. An Additional Commitment Amendment may, without the consent of any other Lenders, effect such amendments to any Loan Documents as may be necessary or appropriate, in the opinion of the Administrative Agent, to effect the provisions of this Section (including, without limitation, to incorporate the Additional Loans and Additional Commitments into the calculation of the “Required Lenders”, “Required Facility Lenders” and related provisions). Upon execution, the Administrative Agent shall provide a copy of any Additional Commitment Amendment to all Lenders.</w:t>
      </w:r>
    </w:p>
    <w:p>
      <w:pPr>
        <w:spacing w:after="0" w:line="198" w:lineRule="exact"/>
        <w:rPr>
          <w:sz w:val="20"/>
          <w:szCs w:val="20"/>
          <w:color w:val="auto"/>
        </w:rPr>
      </w:pPr>
    </w:p>
    <w:p>
      <w:pPr>
        <w:jc w:val="both"/>
        <w:ind w:left="300" w:firstLine="748"/>
        <w:spacing w:after="0" w:line="249" w:lineRule="auto"/>
        <w:tabs>
          <w:tab w:leader="none" w:pos="178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any Additional Commitments are added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Administrative Agent and the Company shall determine the effective date (each, an “</w:t>
      </w:r>
      <w:r>
        <w:rPr>
          <w:rFonts w:ascii="Times New Roman" w:cs="Times New Roman" w:eastAsia="Times New Roman" w:hAnsi="Times New Roman"/>
          <w:sz w:val="20"/>
          <w:szCs w:val="20"/>
          <w:u w:val="single" w:color="auto"/>
          <w:color w:val="auto"/>
        </w:rPr>
        <w:t>Additional Commitments Closing Date</w:t>
      </w:r>
      <w:r>
        <w:rPr>
          <w:rFonts w:ascii="Times New Roman" w:cs="Times New Roman" w:eastAsia="Times New Roman" w:hAnsi="Times New Roman"/>
          <w:sz w:val="20"/>
          <w:szCs w:val="20"/>
          <w:color w:val="auto"/>
        </w:rPr>
        <w:t>”) and the final allocation thereof. The Administrative Agent shall promptly notify the Company, the existing Lenders and the Additional Lenders of the final allocation of such addition and the Additional Commitments Closing Date.</w:t>
      </w:r>
    </w:p>
    <w:p>
      <w:pPr>
        <w:spacing w:after="0" w:line="206"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The effectiveness of any Additional Commitment Amendment shall, unless otherwise agreed to by the Administrative Agent and each Additional Lender, be subject to the satisfaction on the Additional Commitments Closing Date of each of the following conditions:</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in each of the other Loan Documents shall be true and correct on and as of the Additional Commitments Closing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as of the Additional Commitments Closing Date, and no Default shall occur on the Additional Commitments Closing Date as a result of making any Credit Extension in connection with the Additional Commitments or from the application of the proceeds thereof;</w:t>
      </w:r>
    </w:p>
    <w:p>
      <w:pPr>
        <w:spacing w:after="0" w:line="174" w:lineRule="exact"/>
        <w:rPr>
          <w:rFonts w:ascii="Times New Roman" w:cs="Times New Roman" w:eastAsia="Times New Roman" w:hAnsi="Times New Roman"/>
          <w:sz w:val="20"/>
          <w:szCs w:val="20"/>
          <w:color w:val="auto"/>
        </w:rPr>
      </w:pPr>
    </w:p>
    <w:p>
      <w:pPr>
        <w:jc w:val="both"/>
        <w:ind w:left="1040" w:firstLine="757"/>
        <w:spacing w:after="0" w:line="244" w:lineRule="auto"/>
        <w:tabs>
          <w:tab w:leader="none" w:pos="252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the Company and its Restricted Subsidiaries shall be in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compliance with all of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20"/>
          <w:szCs w:val="20"/>
          <w:u w:val="single" w:color="auto"/>
          <w:color w:val="auto"/>
        </w:rPr>
        <w:t>Section1.07</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040" w:firstLine="757"/>
        <w:spacing w:after="0" w:line="244" w:lineRule="auto"/>
        <w:tabs>
          <w:tab w:leader="none" w:pos="252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each of the following, each dated the applicable Additional Commitments Closing Date unless otherwise indicated or agreed to by the Administrative Agent and each in form and substance reasonably satisfactory to the Administrative Agent: (A) the applicable Additional Commitment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Additional Commitment Amendment and the Additional Commitments provided thereby, and in the case of the Company, certifying as to the satisfaction</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040" w:right="20"/>
        <w:spacing w:after="0" w:line="269" w:lineRule="auto"/>
        <w:rPr>
          <w:sz w:val="20"/>
          <w:szCs w:val="20"/>
          <w:color w:val="auto"/>
        </w:rPr>
      </w:pPr>
      <w:r>
        <w:rPr>
          <w:rFonts w:ascii="Times New Roman" w:cs="Times New Roman" w:eastAsia="Times New Roman" w:hAnsi="Times New Roman"/>
          <w:sz w:val="20"/>
          <w:szCs w:val="20"/>
          <w:color w:val="auto"/>
        </w:rPr>
        <w:t xml:space="preserve">of the conditions set forth in the foregoing </w:t>
      </w:r>
      <w:r>
        <w:rPr>
          <w:rFonts w:ascii="Times New Roman" w:cs="Times New Roman" w:eastAsia="Times New Roman" w:hAnsi="Times New Roman"/>
          <w:sz w:val="20"/>
          <w:szCs w:val="20"/>
          <w:u w:val="single" w:color="auto"/>
          <w:color w:val="auto"/>
        </w:rPr>
        <w:t>subsections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certifying that such Additional Commitments do not exceed the Additional Commitments Limit (and, if applicable, providing the calculations in support thereof);</w:t>
      </w:r>
    </w:p>
    <w:p>
      <w:pPr>
        <w:spacing w:after="0" w:line="173" w:lineRule="exact"/>
        <w:rPr>
          <w:sz w:val="20"/>
          <w:szCs w:val="20"/>
          <w:color w:val="auto"/>
        </w:rPr>
      </w:pPr>
    </w:p>
    <w:p>
      <w:pPr>
        <w:jc w:val="both"/>
        <w:ind w:left="1040" w:firstLine="757"/>
        <w:spacing w:after="0" w:line="246" w:lineRule="auto"/>
        <w:tabs>
          <w:tab w:leader="none" w:pos="252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been paid to the Administrative Agent, for the account of the Administrative Agent and the Lenders (including any Person becoming a Lender as part of such Additional Commitment Amendment on the related Additional Commitments Closing Date), as applicable, all fees and expenses (including reasonable and documented out-of-pocket fees, charges and disbursements of counsel) that are due and payable on or before the Additional Commitments Closing Date; and</w:t>
      </w:r>
    </w:p>
    <w:p>
      <w:pPr>
        <w:spacing w:after="0" w:line="211" w:lineRule="exact"/>
        <w:rPr>
          <w:rFonts w:ascii="Times New Roman" w:cs="Times New Roman" w:eastAsia="Times New Roman" w:hAnsi="Times New Roman"/>
          <w:sz w:val="20"/>
          <w:szCs w:val="20"/>
          <w:color w:val="auto"/>
        </w:rPr>
      </w:pPr>
    </w:p>
    <w:p>
      <w:pPr>
        <w:jc w:val="both"/>
        <w:ind w:left="1040" w:firstLine="757"/>
        <w:spacing w:after="0" w:line="244" w:lineRule="auto"/>
        <w:tabs>
          <w:tab w:leader="none" w:pos="252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reasonable request of any Lender made at least five Business Days prior to the Additional Commitments Closing Date, the Company shall have provided to such Lender, and such Lender shall be reasonably satisfied with, the documentation and other information so requested in connection with applicable “know your customer” and anti-money- laundering rules and regulations, including, without limitation, the Act, in each case at least three Business Days prior to the Increase Effective Date and (B) at least three Business Days prior to the Additional Commitments Closing Date, any Loan Party that qualifies as a “legal entity customer” under the Beneficial Ownership Regulation shall have delivered, to each Lender that so requests, a Beneficial Ownership Certification in relation to such Loan Party.</w:t>
      </w:r>
    </w:p>
    <w:p>
      <w:pPr>
        <w:spacing w:after="0" w:line="199" w:lineRule="exact"/>
        <w:rPr>
          <w:sz w:val="20"/>
          <w:szCs w:val="20"/>
          <w:color w:val="auto"/>
        </w:rPr>
      </w:pPr>
    </w:p>
    <w:p>
      <w:pPr>
        <w:jc w:val="both"/>
        <w:ind w:left="300" w:firstLine="748"/>
        <w:spacing w:after="0" w:line="247" w:lineRule="auto"/>
        <w:tabs>
          <w:tab w:leader="none" w:pos="178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Additional Commitment Amendment</w:t>
      </w:r>
      <w:r>
        <w:rPr>
          <w:rFonts w:ascii="Times New Roman" w:cs="Times New Roman" w:eastAsia="Times New Roman" w:hAnsi="Times New Roman"/>
          <w:sz w:val="20"/>
          <w:szCs w:val="20"/>
          <w:color w:val="auto"/>
        </w:rPr>
        <w:t>. On each Additional Commitments Closing Date, (i) each Eligible Assignee which is providing an Additional Commitment shall become a “Lender” for all purposes of this Agreement and the other Loan Documents, (ii) each Additional Commitment shall become “Commitments” hereunder, (iii) each loan provided pursuant to an</w:t>
      </w:r>
    </w:p>
    <w:p>
      <w:pPr>
        <w:ind w:left="300"/>
        <w:spacing w:after="0"/>
        <w:rPr>
          <w:sz w:val="20"/>
          <w:szCs w:val="20"/>
          <w:color w:val="auto"/>
        </w:rPr>
      </w:pPr>
      <w:r>
        <w:rPr>
          <w:rFonts w:ascii="Times New Roman" w:cs="Times New Roman" w:eastAsia="Times New Roman" w:hAnsi="Times New Roman"/>
          <w:sz w:val="20"/>
          <w:szCs w:val="20"/>
          <w:color w:val="auto"/>
        </w:rPr>
        <w:t>Additional Commitment shall be a “Loan” for all purposes of this Agreement and the other Loan Documents,  and</w:t>
      </w:r>
    </w:p>
    <w:p>
      <w:pPr>
        <w:jc w:val="both"/>
        <w:ind w:left="300" w:hanging="1"/>
        <w:spacing w:after="0" w:line="241" w:lineRule="auto"/>
        <w:tabs>
          <w:tab w:leader="none" w:pos="109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increase of the Aggregate Revolving Credit Commitments, the Company shall prepay any Revolving Credit Loans outstanding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to the extent necessary to keep the outstanding Revolving Credit Loans ratable with any revised Applicable Revolving Credit Percentages arising from any nonratable increase in the Revolving Credit Commitments under this Section.</w:t>
      </w:r>
    </w:p>
    <w:p>
      <w:pPr>
        <w:spacing w:after="0" w:line="215" w:lineRule="exact"/>
        <w:rPr>
          <w:sz w:val="20"/>
          <w:szCs w:val="20"/>
          <w:color w:val="auto"/>
        </w:rPr>
      </w:pPr>
    </w:p>
    <w:p>
      <w:pPr>
        <w:ind w:left="1780" w:hanging="732"/>
        <w:spacing w:after="0"/>
        <w:tabs>
          <w:tab w:leader="none" w:pos="178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202"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2.16</w:t>
      </w:r>
      <w:r>
        <w:rPr>
          <w:rFonts w:ascii="Times New Roman" w:cs="Times New Roman" w:eastAsia="Times New Roman" w:hAnsi="Times New Roman"/>
          <w:sz w:val="19"/>
          <w:szCs w:val="19"/>
          <w:color w:val="auto"/>
        </w:rPr>
        <w:t>Cash Collateral.</w:t>
      </w:r>
    </w:p>
    <w:p>
      <w:pPr>
        <w:spacing w:after="0" w:line="242" w:lineRule="exact"/>
        <w:rPr>
          <w:rFonts w:ascii="Times New Roman" w:cs="Times New Roman" w:eastAsia="Times New Roman" w:hAnsi="Times New Roman"/>
          <w:sz w:val="20"/>
          <w:szCs w:val="20"/>
          <w:color w:val="auto"/>
        </w:rPr>
      </w:pPr>
    </w:p>
    <w:p>
      <w:pPr>
        <w:jc w:val="both"/>
        <w:ind w:left="300" w:firstLine="748"/>
        <w:spacing w:after="0" w:line="256" w:lineRule="auto"/>
        <w:tabs>
          <w:tab w:leader="none" w:pos="1789"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8.02(c)</w:t>
      </w:r>
      <w:r>
        <w:rPr>
          <w:rFonts w:ascii="Times New Roman" w:cs="Times New Roman" w:eastAsia="Times New Roman" w:hAnsi="Times New Roman"/>
          <w:sz w:val="19"/>
          <w:szCs w:val="19"/>
          <w:color w:val="auto"/>
        </w:rPr>
        <w:t xml:space="preserve">, or (iv) there shall exist a Defaulting Lender, the Company shall immediately (in the case of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9"/>
          <w:szCs w:val="19"/>
          <w:u w:val="single" w:color="auto"/>
          <w:color w:val="auto"/>
        </w:rPr>
        <w:t>clause</w:t>
      </w:r>
    </w:p>
    <w:p>
      <w:pPr>
        <w:jc w:val="both"/>
        <w:ind w:left="300" w:hanging="1"/>
        <w:spacing w:after="0" w:line="241" w:lineRule="auto"/>
        <w:tabs>
          <w:tab w:leader="none" w:pos="649" w:val="left"/>
        </w:tabs>
        <w:numPr>
          <w:ilvl w:val="0"/>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an amount not less than the amount by which the Outstanding Amount of all L/C Obligations exceeds the Letter of Credit Sublimit.</w:t>
      </w:r>
    </w:p>
    <w:p>
      <w:pPr>
        <w:spacing w:after="0" w:line="229" w:lineRule="exact"/>
        <w:rPr>
          <w:sz w:val="20"/>
          <w:szCs w:val="20"/>
          <w:color w:val="auto"/>
        </w:rPr>
      </w:pPr>
    </w:p>
    <w:p>
      <w:pPr>
        <w:jc w:val="both"/>
        <w:ind w:left="300" w:firstLine="748"/>
        <w:spacing w:after="0" w:line="241" w:lineRule="auto"/>
        <w:tabs>
          <w:tab w:leader="none" w:pos="178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224"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197"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10.06(b)(vi)</w:t>
      </w:r>
      <w:r>
        <w:rPr>
          <w:rFonts w:ascii="Times New Roman" w:cs="Times New Roman" w:eastAsia="Times New Roman" w:hAnsi="Times New Roman"/>
          <w:sz w:val="20"/>
          <w:szCs w:val="20"/>
          <w:color w:val="auto"/>
        </w:rPr>
        <w:t xml:space="preserve">)) or (ii) the determination by the Administrative Agent and the L/C Issuers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otherobligations.</w:t>
      </w:r>
    </w:p>
    <w:p>
      <w:pPr>
        <w:spacing w:after="0" w:line="21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Defaulting Lenders.</w:t>
      </w:r>
    </w:p>
    <w:p>
      <w:pPr>
        <w:spacing w:after="0" w:line="229" w:lineRule="exact"/>
        <w:rPr>
          <w:sz w:val="20"/>
          <w:szCs w:val="20"/>
          <w:color w:val="auto"/>
        </w:rPr>
      </w:pPr>
    </w:p>
    <w:p>
      <w:pPr>
        <w:ind w:left="300" w:right="20" w:firstLine="748"/>
        <w:spacing w:after="0" w:line="269" w:lineRule="auto"/>
        <w:tabs>
          <w:tab w:leader="none" w:pos="178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2"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“Required Revolving Credit Lenders”, “Required Term Loan Lenders”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firstLine="757"/>
        <w:spacing w:after="0" w:line="253" w:lineRule="auto"/>
        <w:tabs>
          <w:tab w:leader="none" w:pos="2528" w:val="left"/>
        </w:tabs>
        <w:numPr>
          <w:ilvl w:val="0"/>
          <w:numId w:val="15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L/C Issuer or Swing Line Lender hereunder; third, to Cash Collateralize the L/C Issuers’ Fronting Exposure with respect to such Defaulting Lender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sixth,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9"/>
          <w:szCs w:val="19"/>
          <w:u w:val="single" w:color="auto"/>
          <w:color w:val="auto"/>
        </w:rPr>
        <w:t>Section 2.17(a)(iv)</w:t>
      </w:r>
      <w:r>
        <w:rPr>
          <w:rFonts w:ascii="Times New Roman" w:cs="Times New Roman" w:eastAsia="Times New Roman" w:hAnsi="Times New Roman"/>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u w:val="single" w:color="auto"/>
          <w:color w:val="auto"/>
        </w:rPr>
        <w:t>Section 2.17(a)(ii)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200" w:lineRule="exact"/>
        <w:rPr>
          <w:rFonts w:ascii="Times New Roman" w:cs="Times New Roman" w:eastAsia="Times New Roman" w:hAnsi="Times New Roman"/>
          <w:sz w:val="19"/>
          <w:szCs w:val="19"/>
          <w:u w:val="single" w:color="auto"/>
          <w:color w:val="auto"/>
        </w:rPr>
      </w:pPr>
    </w:p>
    <w:p>
      <w:pPr>
        <w:spacing w:after="0" w:line="222" w:lineRule="exact"/>
        <w:rPr>
          <w:rFonts w:ascii="Times New Roman" w:cs="Times New Roman" w:eastAsia="Times New Roman" w:hAnsi="Times New Roman"/>
          <w:sz w:val="19"/>
          <w:szCs w:val="19"/>
          <w:u w:val="single" w:color="auto"/>
          <w:color w:val="auto"/>
        </w:rPr>
      </w:pPr>
    </w:p>
    <w:p>
      <w:pPr>
        <w:ind w:left="2540" w:hanging="743"/>
        <w:spacing w:after="0"/>
        <w:tabs>
          <w:tab w:leader="none" w:pos="2540" w:val="left"/>
        </w:tabs>
        <w:numPr>
          <w:ilvl w:val="0"/>
          <w:numId w:val="1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left="1800" w:firstLine="746"/>
        <w:spacing w:after="0" w:line="254" w:lineRule="auto"/>
        <w:tabs>
          <w:tab w:leader="none" w:pos="3287"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201" w:lineRule="exact"/>
        <w:rPr>
          <w:rFonts w:ascii="Times New Roman" w:cs="Times New Roman" w:eastAsia="Times New Roman" w:hAnsi="Times New Roman"/>
          <w:sz w:val="20"/>
          <w:szCs w:val="20"/>
          <w:color w:val="auto"/>
        </w:rPr>
      </w:pPr>
    </w:p>
    <w:p>
      <w:pPr>
        <w:jc w:val="both"/>
        <w:ind w:left="1800" w:firstLine="746"/>
        <w:spacing w:after="0" w:line="254" w:lineRule="auto"/>
        <w:tabs>
          <w:tab w:leader="none" w:pos="3287"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which is a Revolving Credit Lender shall be entitled to receive Letter of Credit Fees for any period during which that Lender is a Defaulting Lender only to the extent allocable to its Applicable Revolving Credit</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800" w:right="980"/>
        <w:spacing w:after="0" w:line="269" w:lineRule="auto"/>
        <w:rPr>
          <w:sz w:val="20"/>
          <w:szCs w:val="20"/>
          <w:color w:val="auto"/>
        </w:rPr>
      </w:pPr>
      <w:r>
        <w:rPr>
          <w:rFonts w:ascii="Times New Roman" w:cs="Times New Roman" w:eastAsia="Times New Roman" w:hAnsi="Times New Roman"/>
          <w:sz w:val="20"/>
          <w:szCs w:val="20"/>
          <w:color w:val="auto"/>
        </w:rPr>
        <w:t xml:space="preserve">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1800" w:firstLine="745"/>
        <w:spacing w:after="0" w:line="243" w:lineRule="auto"/>
        <w:tabs>
          <w:tab w:leader="none" w:pos="3287"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or any Letter of Credit Fee not required to be paid to any Defaulting Lender pursuant to clause (A) or (B) above, the Company shall (x) pay to each Non-Defaulting Lender which is a Revolving Credit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216"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1"/>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Reallocation of Applicable Revolving Credit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which are Revolving Credit Lenders in accordance with their respective Applicable Revolving Credit Percentages (calculated without regard to such Defaulting Lender’s Revolving Credit Commitment) but only to the extent that such reallocation does not cause the aggregate Revolving Credit Exposure of any Non- Defaulting Lender to exceed such Non-Defaulting Lender’s Revolving Credit Commitment. Subject to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 Defaulting Lender’s increased exposure following suchreallocation.</w:t>
      </w:r>
    </w:p>
    <w:p>
      <w:pPr>
        <w:spacing w:after="0" w:line="199" w:lineRule="exact"/>
        <w:rPr>
          <w:rFonts w:ascii="Times New Roman" w:cs="Times New Roman" w:eastAsia="Times New Roman" w:hAnsi="Times New Roman"/>
          <w:sz w:val="20"/>
          <w:szCs w:val="20"/>
          <w:u w:val="single" w:color="auto"/>
          <w:color w:val="auto"/>
        </w:rPr>
      </w:pPr>
    </w:p>
    <w:p>
      <w:pPr>
        <w:jc w:val="both"/>
        <w:ind w:left="1040" w:firstLine="757"/>
        <w:spacing w:after="0" w:line="245" w:lineRule="auto"/>
        <w:tabs>
          <w:tab w:leader="none" w:pos="2528" w:val="left"/>
        </w:tabs>
        <w:numPr>
          <w:ilvl w:val="1"/>
          <w:numId w:val="1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w:t>
      </w:r>
    </w:p>
    <w:p>
      <w:pPr>
        <w:ind w:left="1320" w:hanging="273"/>
        <w:spacing w:after="0"/>
        <w:tabs>
          <w:tab w:leader="none" w:pos="132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Cash Collateralize the L/C Issuers’ Fronting Exposure in accordance with the procedures set forth in</w:t>
      </w:r>
    </w:p>
    <w:p>
      <w:pPr>
        <w:ind w:left="1040"/>
        <w:spacing w:after="0"/>
        <w:rPr>
          <w:sz w:val="20"/>
          <w:szCs w:val="20"/>
          <w:color w:val="auto"/>
        </w:rPr>
      </w:pP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300" w:firstLine="748"/>
        <w:spacing w:after="0" w:line="241" w:lineRule="auto"/>
        <w:tabs>
          <w:tab w:leader="none" w:pos="134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Company, the Administrative Agent, and, in the case that a Defaulting Lender is a Revolving Credit Lender, the Swing Line Lender and the L/C Issuers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Revolving Credit Facility, the funded and unfunded participations in Letters of Credit and Swing Line Loans to be held on a pro rata basis by the Lenders under such Facility in accordance with their Applicable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55"/>
        <w:spacing w:after="0" w:line="249" w:lineRule="auto"/>
        <w:tabs>
          <w:tab w:leader="none" w:pos="13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Revolving Credit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93"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Designation of Unrestricted and Restricted Subsidiaries.</w:t>
      </w:r>
    </w:p>
    <w:p>
      <w:pPr>
        <w:spacing w:after="0" w:line="229" w:lineRule="exact"/>
        <w:rPr>
          <w:sz w:val="20"/>
          <w:szCs w:val="20"/>
          <w:color w:val="auto"/>
        </w:rPr>
      </w:pPr>
    </w:p>
    <w:p>
      <w:pPr>
        <w:jc w:val="both"/>
        <w:ind w:left="300" w:right="20" w:firstLine="748"/>
        <w:spacing w:after="0" w:line="242" w:lineRule="auto"/>
        <w:tabs>
          <w:tab w:leader="none" w:pos="178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on or after the Closing Date, upon written notice to the Administrative Agent (which written notice shall contain a certification as to the matters set forth in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the Company may designate any Restricted Subsidiary (along with all Subsidiaries of such Restricted Subsidiary) as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(with the amount of such Investment being deemed to be the fair market value of the net assets of such Subsidiary at the time such Subsidiary is designated an Unrestricted Subsidiary),</w:t>
      </w:r>
    </w:p>
    <w:p>
      <w:pPr>
        <w:spacing w:after="0" w:line="5" w:lineRule="exact"/>
        <w:rPr>
          <w:rFonts w:ascii="Times New Roman" w:cs="Times New Roman" w:eastAsia="Times New Roman" w:hAnsi="Times New Roman"/>
          <w:sz w:val="20"/>
          <w:szCs w:val="20"/>
          <w:color w:val="auto"/>
        </w:rPr>
      </w:pPr>
    </w:p>
    <w:p>
      <w:pPr>
        <w:jc w:val="both"/>
        <w:ind w:left="300" w:hanging="2"/>
        <w:spacing w:after="0" w:line="239" w:lineRule="auto"/>
        <w:tabs>
          <w:tab w:leader="none" w:pos="68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once designated as an Unrestricted Subsidiary, the Company may re-designate such Subsidiary as a “Restricted Subsidiary” pursuant to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but, thereafter, the Company shall not re-designate such Subsidiary as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(iv) no Subsidiarymay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(v) after giving effect to such designation, the Company and its Restricted Subsidiaries shall be in pro forma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 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228" w:lineRule="exact"/>
        <w:rPr>
          <w:rFonts w:ascii="Times New Roman" w:cs="Times New Roman" w:eastAsia="Times New Roman" w:hAnsi="Times New Roman"/>
          <w:sz w:val="20"/>
          <w:szCs w:val="20"/>
          <w:color w:val="auto"/>
        </w:rPr>
      </w:pPr>
    </w:p>
    <w:p>
      <w:pPr>
        <w:ind w:left="300" w:firstLine="748"/>
        <w:spacing w:after="0" w:line="250" w:lineRule="auto"/>
        <w:tabs>
          <w:tab w:leader="none" w:pos="1789"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Closing Date and upon written notice to the Administrative Agent, the Company may re-designate any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 w:lineRule="exact"/>
        <w:rPr>
          <w:rFonts w:ascii="Times New Roman" w:cs="Times New Roman" w:eastAsia="Times New Roman" w:hAnsi="Times New Roman"/>
          <w:sz w:val="20"/>
          <w:szCs w:val="20"/>
          <w:color w:val="auto"/>
        </w:rPr>
      </w:pPr>
    </w:p>
    <w:p>
      <w:pPr>
        <w:jc w:val="both"/>
        <w:ind w:left="300" w:hanging="1"/>
        <w:spacing w:after="0"/>
        <w:tabs>
          <w:tab w:leader="none" w:pos="581"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re- designation of any Unrestricted Subsidiary as a Restricted Subsidiary shall constitute (i) 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90"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as applicable, are satisfied in all respects.</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800" w:hanging="752"/>
        <w:spacing w:after="0"/>
        <w:tabs>
          <w:tab w:leader="none" w:pos="18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Unrestricted Subsidiaries as of the Closing Date are set forth on </w:t>
      </w:r>
      <w:r>
        <w:rPr>
          <w:rFonts w:ascii="Times New Roman" w:cs="Times New Roman" w:eastAsia="Times New Roman" w:hAnsi="Times New Roman"/>
          <w:sz w:val="20"/>
          <w:szCs w:val="20"/>
          <w:u w:val="single" w:color="auto"/>
          <w:color w:val="auto"/>
        </w:rPr>
        <w:t>Schedule 2.18</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207"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Taxes.</w:t>
      </w:r>
    </w:p>
    <w:p>
      <w:pPr>
        <w:spacing w:after="0" w:line="243" w:lineRule="exact"/>
        <w:rPr>
          <w:sz w:val="20"/>
          <w:szCs w:val="20"/>
          <w:color w:val="auto"/>
        </w:rPr>
      </w:pPr>
    </w:p>
    <w:p>
      <w:pPr>
        <w:ind w:left="1800" w:hanging="752"/>
        <w:spacing w:after="0"/>
        <w:tabs>
          <w:tab w:leader="none" w:pos="18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40" w:firstLine="757"/>
        <w:spacing w:after="0" w:line="245" w:lineRule="auto"/>
        <w:tabs>
          <w:tab w:leader="none" w:pos="252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if any.</w:t>
      </w:r>
    </w:p>
    <w:p>
      <w:pPr>
        <w:spacing w:after="0" w:line="184" w:lineRule="exact"/>
        <w:rPr>
          <w:rFonts w:ascii="Times New Roman" w:cs="Times New Roman" w:eastAsia="Times New Roman" w:hAnsi="Times New Roman"/>
          <w:sz w:val="20"/>
          <w:szCs w:val="20"/>
          <w:color w:val="auto"/>
        </w:rPr>
      </w:pPr>
    </w:p>
    <w:p>
      <w:pPr>
        <w:jc w:val="both"/>
        <w:ind w:left="1040" w:firstLine="757"/>
        <w:spacing w:after="0" w:line="257" w:lineRule="auto"/>
        <w:tabs>
          <w:tab w:leader="none" w:pos="2528"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9"/>
          <w:szCs w:val="19"/>
          <w:u w:val="single" w:color="auto"/>
          <w:color w:val="auto"/>
        </w:rPr>
        <w:t>subsection (e)</w:t>
      </w:r>
      <w:r>
        <w:rPr>
          <w:rFonts w:ascii="Times New Roman" w:cs="Times New Roman" w:eastAsia="Times New Roman" w:hAnsi="Times New Roman"/>
          <w:sz w:val="19"/>
          <w:szCs w:val="19"/>
          <w:color w:val="auto"/>
        </w:rPr>
        <w:t xml:space="preserve"> 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89" w:lineRule="exact"/>
        <w:rPr>
          <w:rFonts w:ascii="Times New Roman" w:cs="Times New Roman" w:eastAsia="Times New Roman" w:hAnsi="Times New Roman"/>
          <w:sz w:val="19"/>
          <w:szCs w:val="19"/>
          <w:color w:val="auto"/>
        </w:rPr>
      </w:pPr>
    </w:p>
    <w:p>
      <w:pPr>
        <w:ind w:left="2540" w:hanging="743"/>
        <w:spacing w:after="0"/>
        <w:tabs>
          <w:tab w:leader="none" w:pos="254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Party or the Administrative Agent shall be required by any applicable Laws other than the Code</w:t>
      </w:r>
    </w:p>
    <w:p>
      <w:pPr>
        <w:spacing w:after="0" w:line="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to withhold or deduct any Taxes from any payment,  then</w:t>
      </w:r>
    </w:p>
    <w:p>
      <w:pPr>
        <w:jc w:val="both"/>
        <w:ind w:left="1040" w:firstLine="7"/>
        <w:spacing w:after="0" w:line="239" w:lineRule="auto"/>
        <w:tabs>
          <w:tab w:leader="none" w:pos="13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w:t>
      </w:r>
    </w:p>
    <w:p>
      <w:pPr>
        <w:spacing w:after="0" w:line="1" w:lineRule="exact"/>
        <w:rPr>
          <w:rFonts w:ascii="Times New Roman" w:cs="Times New Roman" w:eastAsia="Times New Roman" w:hAnsi="Times New Roman"/>
          <w:sz w:val="20"/>
          <w:szCs w:val="20"/>
          <w:color w:val="auto"/>
        </w:rPr>
      </w:pPr>
    </w:p>
    <w:p>
      <w:pPr>
        <w:jc w:val="both"/>
        <w:ind w:left="1040" w:firstLine="7"/>
        <w:spacing w:after="0" w:line="242" w:lineRule="auto"/>
        <w:tabs>
          <w:tab w:leader="none" w:pos="135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withholding or deduction is made on account of Indemnified Taxes, the sum payable by the applicable Borrower shall be increased as necessary so that after any required withholding or the making of all required deductions (including deductions applicable to</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040" w:right="620"/>
        <w:spacing w:after="0" w:line="269" w:lineRule="auto"/>
        <w:rPr>
          <w:sz w:val="20"/>
          <w:szCs w:val="20"/>
          <w:color w:val="auto"/>
        </w:rPr>
      </w:pPr>
      <w:r>
        <w:rPr>
          <w:rFonts w:ascii="Times New Roman" w:cs="Times New Roman" w:eastAsia="Times New Roman" w:hAnsi="Times New Roman"/>
          <w:sz w:val="20"/>
          <w:szCs w:val="20"/>
          <w:color w:val="auto"/>
        </w:rPr>
        <w:t xml:space="preserve">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73" w:lineRule="exact"/>
        <w:rPr>
          <w:sz w:val="20"/>
          <w:szCs w:val="20"/>
          <w:color w:val="auto"/>
        </w:rPr>
      </w:pPr>
    </w:p>
    <w:p>
      <w:pPr>
        <w:ind w:left="1800" w:hanging="752"/>
        <w:spacing w:after="0"/>
        <w:tabs>
          <w:tab w:leader="none" w:pos="180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subsection</w:t>
      </w:r>
    </w:p>
    <w:p>
      <w:pPr>
        <w:spacing w:after="0" w:line="21" w:lineRule="exact"/>
        <w:rPr>
          <w:rFonts w:ascii="Times New Roman" w:cs="Times New Roman" w:eastAsia="Times New Roman" w:hAnsi="Times New Roman"/>
          <w:sz w:val="20"/>
          <w:szCs w:val="20"/>
          <w:color w:val="auto"/>
        </w:rPr>
      </w:pPr>
    </w:p>
    <w:p>
      <w:pPr>
        <w:ind w:left="300" w:right="20" w:hanging="1"/>
        <w:spacing w:after="0" w:line="246" w:lineRule="auto"/>
        <w:tabs>
          <w:tab w:leader="none" w:pos="625" w:val="left"/>
        </w:tabs>
        <w:numPr>
          <w:ilvl w:val="0"/>
          <w:numId w:val="1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each Borrower shall timely pay to the relevant Governmental Authority in accordance with applicable law, or at the option of the Administrative Agent timely reimburse it for the payment of, any Other Taxes.</w:t>
      </w:r>
    </w:p>
    <w:p>
      <w:pPr>
        <w:spacing w:after="0" w:line="195" w:lineRule="exact"/>
        <w:rPr>
          <w:rFonts w:ascii="Times New Roman" w:cs="Times New Roman" w:eastAsia="Times New Roman" w:hAnsi="Times New Roman"/>
          <w:sz w:val="20"/>
          <w:szCs w:val="20"/>
          <w:u w:val="single" w:color="auto"/>
          <w:color w:val="auto"/>
        </w:rPr>
      </w:pPr>
    </w:p>
    <w:p>
      <w:pPr>
        <w:ind w:left="1800" w:hanging="752"/>
        <w:spacing w:after="0"/>
        <w:tabs>
          <w:tab w:leader="none" w:pos="180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40" w:firstLine="757"/>
        <w:spacing w:after="0" w:line="242" w:lineRule="auto"/>
        <w:tabs>
          <w:tab w:leader="none" w:pos="2528"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Borrower shall, and does hereby, indemnify the Administrative Agent, and shall make payment in respect thereof within 10 Business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76" w:lineRule="exact"/>
        <w:rPr>
          <w:rFonts w:ascii="Times New Roman" w:cs="Times New Roman" w:eastAsia="Times New Roman" w:hAnsi="Times New Roman"/>
          <w:sz w:val="20"/>
          <w:szCs w:val="20"/>
          <w:color w:val="auto"/>
        </w:rPr>
      </w:pPr>
    </w:p>
    <w:p>
      <w:pPr>
        <w:jc w:val="both"/>
        <w:ind w:left="1040" w:firstLine="757"/>
        <w:spacing w:after="0" w:line="241" w:lineRule="auto"/>
        <w:tabs>
          <w:tab w:leader="none" w:pos="2528"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Upon request by the Company or the Administrative Agent, as the case may be, after any payment of Taxes by any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94</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800" w:hanging="752"/>
        <w:spacing w:after="0"/>
        <w:tabs>
          <w:tab w:leader="none" w:pos="18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41" w:lineRule="auto"/>
        <w:tabs>
          <w:tab w:leader="none" w:pos="252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1"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29" w:lineRule="exact"/>
        <w:rPr>
          <w:rFonts w:ascii="Times New Roman" w:cs="Times New Roman" w:eastAsia="Times New Roman" w:hAnsi="Times New Roman"/>
          <w:sz w:val="20"/>
          <w:szCs w:val="20"/>
          <w:color w:val="auto"/>
        </w:rPr>
      </w:pPr>
    </w:p>
    <w:p>
      <w:pPr>
        <w:jc w:val="both"/>
        <w:ind w:left="1800" w:firstLine="746"/>
        <w:spacing w:after="0" w:line="249" w:lineRule="auto"/>
        <w:tabs>
          <w:tab w:leader="none" w:pos="3288"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06" w:lineRule="exact"/>
        <w:rPr>
          <w:rFonts w:ascii="Times New Roman" w:cs="Times New Roman" w:eastAsia="Times New Roman" w:hAnsi="Times New Roman"/>
          <w:sz w:val="20"/>
          <w:szCs w:val="20"/>
          <w:color w:val="auto"/>
        </w:rPr>
      </w:pPr>
    </w:p>
    <w:p>
      <w:pPr>
        <w:jc w:val="both"/>
        <w:ind w:left="1800" w:firstLine="745"/>
        <w:spacing w:after="0" w:line="249" w:lineRule="auto"/>
        <w:tabs>
          <w:tab w:leader="none" w:pos="3287" w:val="left"/>
        </w:tabs>
        <w:numPr>
          <w:ilvl w:val="2"/>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93" w:lineRule="exact"/>
        <w:rPr>
          <w:rFonts w:ascii="Times New Roman" w:cs="Times New Roman" w:eastAsia="Times New Roman" w:hAnsi="Times New Roman"/>
          <w:sz w:val="20"/>
          <w:szCs w:val="20"/>
          <w:color w:val="auto"/>
        </w:rPr>
      </w:pPr>
    </w:p>
    <w:p>
      <w:pPr>
        <w:jc w:val="both"/>
        <w:ind w:left="2360" w:firstLine="775"/>
        <w:spacing w:after="0" w:line="244" w:lineRule="auto"/>
        <w:tabs>
          <w:tab w:leader="none" w:pos="3824" w:val="left"/>
        </w:tabs>
        <w:numPr>
          <w:ilvl w:val="3"/>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W- 8BEN-E,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3860" w:hanging="752"/>
        <w:spacing w:after="0"/>
        <w:tabs>
          <w:tab w:leader="none" w:pos="38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2360" w:firstLine="748"/>
        <w:spacing w:after="0" w:line="256" w:lineRule="auto"/>
        <w:tabs>
          <w:tab w:leader="none" w:pos="3805"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w:t>
      </w:r>
    </w:p>
    <w:p>
      <w:pPr>
        <w:spacing w:after="0" w:line="4" w:lineRule="exact"/>
        <w:rPr>
          <w:rFonts w:ascii="Times New Roman" w:cs="Times New Roman" w:eastAsia="Times New Roman" w:hAnsi="Times New Roman"/>
          <w:sz w:val="19"/>
          <w:szCs w:val="19"/>
          <w:color w:val="auto"/>
        </w:rPr>
      </w:pPr>
    </w:p>
    <w:p>
      <w:pPr>
        <w:ind w:left="2640" w:hanging="282"/>
        <w:spacing w:after="0"/>
        <w:tabs>
          <w:tab w:leader="none" w:pos="26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W-8BEN or W-8BEN-E, as applicable; or</w:t>
      </w:r>
    </w:p>
    <w:p>
      <w:pPr>
        <w:spacing w:after="0" w:line="207" w:lineRule="exact"/>
        <w:rPr>
          <w:sz w:val="20"/>
          <w:szCs w:val="20"/>
          <w:color w:val="auto"/>
        </w:rPr>
      </w:pPr>
    </w:p>
    <w:p>
      <w:pPr>
        <w:jc w:val="both"/>
        <w:ind w:left="2360" w:firstLine="750"/>
        <w:spacing w:after="0" w:line="244" w:lineRule="auto"/>
        <w:rPr>
          <w:sz w:val="20"/>
          <w:szCs w:val="20"/>
          <w:color w:val="auto"/>
        </w:rPr>
      </w:pPr>
      <w:r>
        <w:rPr>
          <w:rFonts w:ascii="Times New Roman" w:cs="Times New Roman" w:eastAsia="Times New Roman" w:hAnsi="Times New Roman"/>
          <w:sz w:val="20"/>
          <w:szCs w:val="20"/>
          <w:color w:val="auto"/>
        </w:rPr>
        <w:t xml:space="preserve">(IV) 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spacing w:after="0" w:line="213" w:lineRule="exact"/>
        <w:rPr>
          <w:sz w:val="20"/>
          <w:szCs w:val="20"/>
          <w:color w:val="auto"/>
        </w:rPr>
      </w:pPr>
    </w:p>
    <w:p>
      <w:pPr>
        <w:jc w:val="both"/>
        <w:ind w:left="1600" w:firstLine="758"/>
        <w:spacing w:after="0" w:line="244" w:lineRule="auto"/>
        <w:tabs>
          <w:tab w:leader="none" w:pos="3102" w:val="left"/>
        </w:tabs>
        <w:numPr>
          <w:ilvl w:val="2"/>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99" w:lineRule="exact"/>
        <w:rPr>
          <w:rFonts w:ascii="Times New Roman" w:cs="Times New Roman" w:eastAsia="Times New Roman" w:hAnsi="Times New Roman"/>
          <w:sz w:val="20"/>
          <w:szCs w:val="20"/>
          <w:color w:val="auto"/>
        </w:rPr>
      </w:pPr>
    </w:p>
    <w:p>
      <w:pPr>
        <w:jc w:val="both"/>
        <w:ind w:left="1600" w:firstLine="758"/>
        <w:spacing w:after="0" w:line="256" w:lineRule="auto"/>
        <w:tabs>
          <w:tab w:leader="none" w:pos="3102" w:val="left"/>
        </w:tabs>
        <w:numPr>
          <w:ilvl w:val="2"/>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4" w:lineRule="exact"/>
        <w:rPr>
          <w:rFonts w:ascii="Times New Roman" w:cs="Times New Roman" w:eastAsia="Times New Roman" w:hAnsi="Times New Roman"/>
          <w:sz w:val="19"/>
          <w:szCs w:val="19"/>
          <w:color w:val="auto"/>
        </w:rPr>
      </w:pPr>
    </w:p>
    <w:p>
      <w:pPr>
        <w:jc w:val="both"/>
        <w:ind w:left="860" w:firstLine="750"/>
        <w:spacing w:after="0" w:line="254" w:lineRule="auto"/>
        <w:tabs>
          <w:tab w:leader="none" w:pos="236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201" w:lineRule="exact"/>
        <w:rPr>
          <w:rFonts w:ascii="Times New Roman" w:cs="Times New Roman" w:eastAsia="Times New Roman" w:hAnsi="Times New Roman"/>
          <w:sz w:val="20"/>
          <w:szCs w:val="20"/>
          <w:color w:val="auto"/>
        </w:rPr>
      </w:pPr>
    </w:p>
    <w:p>
      <w:pPr>
        <w:ind w:left="300" w:right="240" w:firstLine="748"/>
        <w:spacing w:after="0" w:line="269" w:lineRule="auto"/>
        <w:tabs>
          <w:tab w:leader="none" w:pos="17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Unless required by applicable Laws, at no time shall the Administrative Agent have any obligation to file for or otherwise pursue on behalf of a Lender or an L/C</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1" w:lineRule="auto"/>
        <w:rPr>
          <w:sz w:val="20"/>
          <w:szCs w:val="20"/>
          <w:color w:val="auto"/>
        </w:rPr>
      </w:pPr>
      <w:r>
        <w:rPr>
          <w:rFonts w:ascii="Times New Roman" w:cs="Times New Roman" w:eastAsia="Times New Roman" w:hAnsi="Times New Roman"/>
          <w:sz w:val="20"/>
          <w:szCs w:val="20"/>
          <w:color w:val="auto"/>
        </w:rPr>
        <w:t xml:space="preserve">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any Borrower or with respect to which any Borrower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Borrower an amount equal to such refund (but only to the extent of indemnity payments made, or additional amounts paid, by a Borrower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208" w:lineRule="exact"/>
        <w:rPr>
          <w:sz w:val="20"/>
          <w:szCs w:val="20"/>
          <w:color w:val="auto"/>
        </w:rPr>
      </w:pPr>
    </w:p>
    <w:p>
      <w:pPr>
        <w:jc w:val="both"/>
        <w:ind w:left="300" w:firstLine="748"/>
        <w:spacing w:after="0" w:line="254" w:lineRule="auto"/>
        <w:tabs>
          <w:tab w:leader="none" w:pos="178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201"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3.2 Illegality. If any Lender determines in good faith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 Base Rate Loans to Daily Simple SOFR Loans or Term SOFR Loans shall be, in each case, suspended, and</w:t>
      </w:r>
    </w:p>
    <w:p>
      <w:pPr>
        <w:jc w:val="both"/>
        <w:ind w:left="120" w:hanging="8"/>
        <w:spacing w:after="0"/>
        <w:tabs>
          <w:tab w:leader="none" w:pos="451" w:val="left"/>
        </w:tabs>
        <w:numPr>
          <w:ilvl w:val="0"/>
          <w:numId w:val="1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of such Lender to Base Rate Loans (the interest rate on which Base Rate Loans of such Lender shall, if necessary to avoid such illegality, be determined by the Administrative Agent without reference to the Daily Simple SOFR component of the Base Rate), in each case, immediately, or, in the case of Term SOFR Loans or Alternative Currency Term Rate Loans, on the last day of the Interest Period therefor if such Lender may lawfully continue to maintain such Loans to such day and (ii) if such notice asserts the illegality of such Lender determining or charging interest rates based upon SOFR or Daily Simple SOFR,</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as applicable,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or SOFR. Upon any such prepayment or conversion, the Borrowers shall also pay accrued interest on the amount so prepaid or converted.</w:t>
      </w:r>
    </w:p>
    <w:p>
      <w:pPr>
        <w:spacing w:after="0" w:line="180"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Inability to Determine Rates.</w:t>
      </w:r>
    </w:p>
    <w:p>
      <w:pPr>
        <w:spacing w:after="0" w:line="229" w:lineRule="exact"/>
        <w:rPr>
          <w:sz w:val="20"/>
          <w:szCs w:val="20"/>
          <w:color w:val="auto"/>
        </w:rPr>
      </w:pPr>
    </w:p>
    <w:p>
      <w:pPr>
        <w:jc w:val="both"/>
        <w:ind w:left="300" w:firstLine="748"/>
        <w:spacing w:after="0"/>
        <w:tabs>
          <w:tab w:leader="none" w:pos="1789"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a Daily Simple SOFR Loan or an Alternative Currency Loan or a conversion of Base Rate Loans to Term SOFR Loans or Daily Simple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the Scheduled Unavailability Date has occurred with respect to such Relevant Rate (as applicable), or (B) adequate and reasonable means do not otherwise exist for determining Daily Simple SOFR, Term SOFR or the Relevant Rate for the applicable Agreed Currency, in each case, for any determination date(s) or requested Interest Period, as applicable, with respect to a proposed Daily Simple SOFR Loan, Term SOFR Loan or Alternative Currency Loan or in connection with an existing or proposed Base Rate Loan, or (ii) the Administrative Agent or the Required Lenders determine that for any reason that Daily Simple SOFR, Term SOFR or the Relevant Rate with respect to a proposed Loan denominated in an Agreed Currency, in each case,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SOFR Loans or Alternative Currency Loans or Interest Period or determination date(s), as applicable,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w:t>
      </w:r>
    </w:p>
    <w:p>
      <w:pPr>
        <w:spacing w:after="0" w:line="13" w:lineRule="exact"/>
        <w:rPr>
          <w:rFonts w:ascii="Times New Roman" w:cs="Times New Roman" w:eastAsia="Times New Roman" w:hAnsi="Times New Roman"/>
          <w:sz w:val="20"/>
          <w:szCs w:val="20"/>
          <w:color w:val="auto"/>
        </w:rPr>
      </w:pPr>
    </w:p>
    <w:p>
      <w:pPr>
        <w:jc w:val="both"/>
        <w:ind w:left="300" w:hanging="1"/>
        <w:spacing w:after="0" w:line="253" w:lineRule="auto"/>
        <w:tabs>
          <w:tab w:leader="none" w:pos="58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3.03(a)</w:t>
      </w:r>
      <w:r>
        <w:rPr>
          <w:rFonts w:ascii="Times New Roman" w:cs="Times New Roman" w:eastAsia="Times New Roman" w:hAnsi="Times New Roman"/>
          <w:sz w:val="19"/>
          <w:szCs w:val="19"/>
          <w:color w:val="auto"/>
        </w:rPr>
        <w:t xml:space="preserve">, until the Administrative Agent upon instruction of the Required Lenders) revokes such notice. Upon receipt of such notice, (i) the Borrowers may revoke any pending request for a Borrowing of, or conversion to, or continuation of Daily Simple SOFR Loans, Term SOFR Loans or Alternative Currency Loans to the extent of the affected Daily Simple SOFR Loans, Term SOFR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immediately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9" w:lineRule="auto"/>
        <w:tabs>
          <w:tab w:leader="none" w:pos="178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193"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Agreed Currency because none of the tenors of such Relevant Rate (including any forward- looking term rate thereof) is available or published on a current basis and such circumstances are unlikely to be temporary; or</w:t>
      </w:r>
    </w:p>
    <w:p>
      <w:pPr>
        <w:spacing w:after="0" w:line="201"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for an Agreed Currency (including any forward- 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20"/>
          <w:szCs w:val="20"/>
          <w:u w:val="single" w:color="auto"/>
          <w:color w:val="auto"/>
        </w:rPr>
        <w:t>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Unavailability Date</w:t>
      </w:r>
      <w:r>
        <w:rPr>
          <w:rFonts w:ascii="Times New Roman" w:cs="Times New Roman" w:eastAsia="Times New Roman" w:hAnsi="Times New Roman"/>
          <w:sz w:val="20"/>
          <w:szCs w:val="20"/>
          <w:color w:val="auto"/>
        </w:rPr>
        <w:t>”); or</w:t>
      </w:r>
    </w:p>
    <w:p>
      <w:pPr>
        <w:spacing w:after="0" w:line="175"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syndicated loans currently being executed and agented in the U.S., are being executed or amended (as applicable) to incorporate or adopt a new benchmark interest rate to replace the Relevant Rate for an Agreed Currency;</w:t>
      </w:r>
    </w:p>
    <w:p>
      <w:pPr>
        <w:spacing w:after="0" w:line="186"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have occurred with respect to the Successor Rate then in effect, then, reasonably promptly after such determination by the Administrative Agent or receipt by the Administrative Agent of such notice, as applicable, 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209"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Company and each Lender of the implementation of any Successor Rate.</w:t>
      </w:r>
    </w:p>
    <w:p>
      <w:pPr>
        <w:spacing w:after="0" w:line="173"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73" w:lineRule="exact"/>
        <w:rPr>
          <w:sz w:val="20"/>
          <w:szCs w:val="20"/>
          <w:color w:val="auto"/>
        </w:rPr>
      </w:pPr>
    </w:p>
    <w:p>
      <w:pPr>
        <w:jc w:val="both"/>
        <w:ind w:left="120" w:firstLine="747"/>
        <w:spacing w:after="0" w:line="263" w:lineRule="auto"/>
        <w:rPr>
          <w:sz w:val="20"/>
          <w:szCs w:val="20"/>
          <w:color w:val="auto"/>
        </w:rPr>
      </w:pPr>
      <w:r>
        <w:rPr>
          <w:rFonts w:ascii="Times New Roman" w:cs="Times New Roman" w:eastAsia="Times New Roman" w:hAnsi="Times New Roman"/>
          <w:sz w:val="19"/>
          <w:szCs w:val="19"/>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93"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Increased Costs.</w:t>
      </w:r>
    </w:p>
    <w:p>
      <w:pPr>
        <w:spacing w:after="0" w:line="243" w:lineRule="exact"/>
        <w:rPr>
          <w:sz w:val="20"/>
          <w:szCs w:val="20"/>
          <w:color w:val="auto"/>
        </w:rPr>
      </w:pPr>
    </w:p>
    <w:p>
      <w:pPr>
        <w:ind w:left="1800" w:hanging="752"/>
        <w:spacing w:after="0"/>
        <w:tabs>
          <w:tab w:leader="none" w:pos="18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02"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1"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L/C Issuer or any applicable interbank market any other condition, cost or expense affecting this Agreement or Daily Simple SOFR Loans, Term SOFR Loans or Alternative Currency Loans made by such Lender or any Letter of Credit or participation therein;</w:t>
      </w:r>
    </w:p>
    <w:p>
      <w:pPr>
        <w:spacing w:after="0" w:line="188"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Loan), or to increasethe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216" w:lineRule="exact"/>
        <w:rPr>
          <w:sz w:val="20"/>
          <w:szCs w:val="20"/>
          <w:color w:val="auto"/>
        </w:rPr>
      </w:pPr>
    </w:p>
    <w:p>
      <w:pPr>
        <w:jc w:val="both"/>
        <w:ind w:left="300" w:firstLine="748"/>
        <w:spacing w:after="0" w:line="243" w:lineRule="auto"/>
        <w:tabs>
          <w:tab w:leader="none" w:pos="1789"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193" w:lineRule="exact"/>
        <w:rPr>
          <w:sz w:val="20"/>
          <w:szCs w:val="20"/>
          <w:color w:val="auto"/>
        </w:rPr>
      </w:pPr>
    </w:p>
    <w:p>
      <w:pPr>
        <w:jc w:val="both"/>
        <w:ind w:left="300" w:firstLine="748"/>
        <w:spacing w:after="0" w:line="246" w:lineRule="auto"/>
        <w:tabs>
          <w:tab w:leader="none" w:pos="178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the Company shall be conclusive absent manifest error. The Company shall pay (or cause the applicable Designated Borrower to pay) such Lender or such L/C Issuer, as the case may be, the amount shown as due on any such certificate within 10 days after receipt thereof.</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such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3"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3.5 Compensation for Losses. Upon demand of any Lender (with a copy to the Administrative Agent) from time to time, the Company shall promptly compensate (or cause the applicable Designated Borrower to compensate) such Lender for and hold such Lender harmless from any loss, cost or reasonable and documented out-of-pocket expense actually incurred by it as a result of:</w:t>
      </w:r>
    </w:p>
    <w:p>
      <w:pPr>
        <w:spacing w:after="0" w:line="188" w:lineRule="exact"/>
        <w:rPr>
          <w:sz w:val="20"/>
          <w:szCs w:val="20"/>
          <w:color w:val="auto"/>
        </w:rPr>
      </w:pPr>
    </w:p>
    <w:p>
      <w:pPr>
        <w:jc w:val="both"/>
        <w:ind w:left="300" w:firstLine="748"/>
        <w:spacing w:after="0" w:line="254" w:lineRule="auto"/>
        <w:tabs>
          <w:tab w:leader="none" w:pos="178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if applicable (whether voluntary, mandatory, automatic, by reason of acceleration, or otherwise);</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87"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59"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Company (or applicable Designated Borrower)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Alternative Currency Term Rate Loan or Term SOFR Loan made by it at the Alternative Currency Term Rate or Term SOFR, as applicable, for such Loan by a matching deposit or other borrowing in the offshore interbank market for such currency for a comparable amount and for a comparable period, whether or not such Alternative Currency Term Rate Loan or Term SOFR Loan was in fact so funded.</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Mitigation Obligations; Replacement of Lenders.</w:t>
      </w:r>
    </w:p>
    <w:p>
      <w:pPr>
        <w:spacing w:after="0" w:line="243" w:lineRule="exact"/>
        <w:rPr>
          <w:sz w:val="20"/>
          <w:szCs w:val="20"/>
          <w:color w:val="auto"/>
        </w:rPr>
      </w:pPr>
    </w:p>
    <w:p>
      <w:pPr>
        <w:jc w:val="both"/>
        <w:ind w:left="300" w:firstLine="748"/>
        <w:spacing w:after="0" w:line="254" w:lineRule="auto"/>
        <w:tabs>
          <w:tab w:leader="none" w:pos="1789"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Each Lender may make any Credit Extension to a Borrower through any Lending Office,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requires any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if any Lender gives a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as applicable, and</w:t>
      </w:r>
    </w:p>
    <w:p>
      <w:pPr>
        <w:spacing w:after="0" w:line="6" w:lineRule="exact"/>
        <w:rPr>
          <w:rFonts w:ascii="Times New Roman" w:cs="Times New Roman" w:eastAsia="Times New Roman" w:hAnsi="Times New Roman"/>
          <w:sz w:val="19"/>
          <w:szCs w:val="19"/>
          <w:color w:val="auto"/>
        </w:rPr>
      </w:pPr>
    </w:p>
    <w:p>
      <w:pPr>
        <w:jc w:val="both"/>
        <w:ind w:left="300" w:hanging="1"/>
        <w:spacing w:after="0" w:line="241" w:lineRule="auto"/>
        <w:tabs>
          <w:tab w:leader="none" w:pos="59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 of-pocket expenses incurred by any Lender or any L/C Issuer in connection with any such designation or assignment.</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3.7 Survival. 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and resignation of the Administrative Agent.</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21"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4.1 Conditions of Initial Credit Extension. The obligation of each L/C Issuer and each Lender to make its initial Credit Extension hereunder is subject to satisfaction of the following conditions precedent:</w:t>
      </w:r>
    </w:p>
    <w:p>
      <w:pPr>
        <w:spacing w:after="0" w:line="173" w:lineRule="exact"/>
        <w:rPr>
          <w:sz w:val="20"/>
          <w:szCs w:val="20"/>
          <w:color w:val="auto"/>
        </w:rPr>
      </w:pPr>
    </w:p>
    <w:p>
      <w:pPr>
        <w:jc w:val="both"/>
        <w:ind w:left="300" w:firstLine="748"/>
        <w:spacing w:after="0" w:line="249" w:lineRule="auto"/>
        <w:tabs>
          <w:tab w:leader="none" w:pos="178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2540" w:hanging="743"/>
        <w:spacing w:after="0"/>
        <w:tabs>
          <w:tab w:leader="none" w:pos="254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the Guaranties, the U.S. Security Agreement and the U.S. Pledge</w:t>
      </w:r>
    </w:p>
    <w:p>
      <w:pPr>
        <w:spacing w:after="0" w:line="21" w:lineRule="exact"/>
        <w:rPr>
          <w:rFonts w:ascii="Times New Roman" w:cs="Times New Roman" w:eastAsia="Times New Roman" w:hAnsi="Times New Roman"/>
          <w:sz w:val="20"/>
          <w:szCs w:val="20"/>
          <w:color w:val="auto"/>
        </w:rPr>
      </w:pPr>
    </w:p>
    <w:p>
      <w:pPr>
        <w:ind w:left="10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7"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in favor of each Lender requesting Notes;</w:t>
      </w:r>
    </w:p>
    <w:p>
      <w:pPr>
        <w:spacing w:after="0" w:line="242"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93"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201" w:lineRule="exact"/>
        <w:rPr>
          <w:rFonts w:ascii="Times New Roman" w:cs="Times New Roman" w:eastAsia="Times New Roman" w:hAnsi="Times New Roman"/>
          <w:sz w:val="20"/>
          <w:szCs w:val="20"/>
          <w:color w:val="auto"/>
        </w:rPr>
      </w:pPr>
    </w:p>
    <w:p>
      <w:pPr>
        <w:ind w:left="1040" w:firstLine="757"/>
        <w:spacing w:after="0" w:line="269"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 the Administrative Agent may reasonably request;</w:t>
      </w:r>
    </w:p>
    <w:p>
      <w:pPr>
        <w:spacing w:after="0" w:line="172"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42"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Company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December 31, 2018 that has had or could be reasonably expected to have, either individually or in the aggregate, a Material Adverse Effect and (C) a calculation of the Consolidated Net Leverage Ratio as of the Closing Date;</w:t>
      </w:r>
    </w:p>
    <w:p>
      <w:pPr>
        <w:spacing w:after="0" w:line="193"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201" w:lineRule="exact"/>
        <w:rPr>
          <w:rFonts w:ascii="Times New Roman" w:cs="Times New Roman" w:eastAsia="Times New Roman" w:hAnsi="Times New Roman"/>
          <w:sz w:val="20"/>
          <w:szCs w:val="20"/>
          <w:color w:val="auto"/>
        </w:rPr>
      </w:pPr>
    </w:p>
    <w:p>
      <w:pPr>
        <w:ind w:left="1040" w:firstLine="757"/>
        <w:spacing w:after="0" w:line="269" w:lineRule="auto"/>
        <w:tabs>
          <w:tab w:leader="none" w:pos="252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UCC filings in the jurisdiction of incorporation or formation, as applicable, of each Loan Party and copies of the financing statements on file in such jurisdictions;</w:t>
      </w:r>
    </w:p>
    <w:p>
      <w:pPr>
        <w:spacing w:after="0" w:line="172"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Uniform Commercial Code financing statements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212" w:lineRule="exact"/>
        <w:rPr>
          <w:rFonts w:ascii="Times New Roman" w:cs="Times New Roman" w:eastAsia="Times New Roman" w:hAnsi="Times New Roman"/>
          <w:sz w:val="20"/>
          <w:szCs w:val="20"/>
          <w:color w:val="auto"/>
        </w:rPr>
      </w:pPr>
    </w:p>
    <w:p>
      <w:pPr>
        <w:ind w:left="1040" w:firstLine="757"/>
        <w:spacing w:after="0" w:line="269" w:lineRule="auto"/>
        <w:tabs>
          <w:tab w:leader="none" w:pos="252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Administrative Agent, each L/C Issuer, the Swing Line Lender or the Lenders reasonably may require.</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right="20" w:firstLine="748"/>
        <w:spacing w:after="0" w:line="254" w:lineRule="auto"/>
        <w:tabs>
          <w:tab w:leader="none" w:pos="178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Company shall have delivered to the Administrative Agent evidence of insurance coverage on the Company’s and each Restricted Subsidiary’s property satisfying the requirements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and where required by the Administrative Agent, with loss payable endorsements in favor of the Administrative Agent for the benefit of the Secured Parties.</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193"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206" w:lineRule="exact"/>
        <w:rPr>
          <w:rFonts w:ascii="Times New Roman" w:cs="Times New Roman" w:eastAsia="Times New Roman" w:hAnsi="Times New Roman"/>
          <w:sz w:val="20"/>
          <w:szCs w:val="20"/>
          <w:color w:val="auto"/>
        </w:rPr>
      </w:pPr>
    </w:p>
    <w:p>
      <w:pPr>
        <w:jc w:val="both"/>
        <w:ind w:left="300" w:right="20" w:firstLine="748"/>
        <w:spacing w:after="0" w:line="246" w:lineRule="auto"/>
        <w:tabs>
          <w:tab w:leader="none" w:pos="178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Administrative Agent shall have received evidence reasonably satisfactory to it that, concurrently with the closing, (i) all outstanding principal and accrued and unpaid interest with respect to the term loan under the Existing Credit Agreement have been paid in full, (ii) all amounts owing under the Existing Credit Agreement to lenders thereunder who elect not to become Lenders hereunder, if any, has been paid in full and (iii) all accrued and unpaid interest andfees owing to the Lenders and the L/C Issuers under the Existing Credit Agreement have been paid infull.</w:t>
      </w:r>
    </w:p>
    <w:p>
      <w:pPr>
        <w:spacing w:after="0" w:line="198"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Any fees required to be paid to the Administrative Agent, the Arranger or the Lenders on or before the Closing Date shall have been paid.</w:t>
      </w:r>
    </w:p>
    <w:p>
      <w:pPr>
        <w:spacing w:after="0" w:line="159" w:lineRule="exact"/>
        <w:rPr>
          <w:sz w:val="20"/>
          <w:szCs w:val="20"/>
          <w:color w:val="auto"/>
        </w:rPr>
      </w:pPr>
    </w:p>
    <w:p>
      <w:pPr>
        <w:jc w:val="right"/>
        <w:ind w:left="740" w:right="40" w:firstLine="1389"/>
        <w:spacing w:after="0" w:line="258" w:lineRule="auto"/>
        <w:tabs>
          <w:tab w:leader="none" w:pos="286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Legal Fees and Expenses</w:t>
      </w:r>
      <w:r>
        <w:rPr>
          <w:rFonts w:ascii="Times New Roman" w:cs="Times New Roman" w:eastAsia="Times New Roman" w:hAnsi="Times New Roman"/>
          <w:sz w:val="19"/>
          <w:szCs w:val="19"/>
          <w:color w:val="auto"/>
        </w:rPr>
        <w:t>. Unless waived by the Administrative Agent, the Company shall have paid all reasonable and documented out-of-pocket fees, charges and disbursementsof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w:t>
      </w:r>
    </w:p>
    <w:p>
      <w:pPr>
        <w:spacing w:after="0" w:line="1" w:lineRule="exact"/>
        <w:rPr>
          <w:sz w:val="20"/>
          <w:szCs w:val="20"/>
          <w:color w:val="auto"/>
        </w:rPr>
      </w:pPr>
    </w:p>
    <w:p>
      <w:pPr>
        <w:jc w:val="right"/>
        <w:ind w:left="320"/>
        <w:spacing w:after="0" w:line="242" w:lineRule="auto"/>
        <w:rPr>
          <w:sz w:val="20"/>
          <w:szCs w:val="20"/>
          <w:color w:val="auto"/>
        </w:rPr>
      </w:pPr>
      <w:r>
        <w:rPr>
          <w:rFonts w:ascii="Times New Roman" w:cs="Times New Roman" w:eastAsia="Times New Roman" w:hAnsi="Times New Roman"/>
          <w:sz w:val="20"/>
          <w:szCs w:val="20"/>
          <w:color w:val="auto"/>
        </w:rPr>
        <w:t>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 or itscounsel).</w:t>
      </w:r>
    </w:p>
    <w:p>
      <w:pPr>
        <w:spacing w:after="0" w:line="200"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4.2 Conditions to all Credit Extensions. The obligation of each Lender and each L/C Issuer to honor any Request for Credit Extension (other than a Loan Notice requesting only a conversion of Loans to the other Type, or a continuation of Alternative Currency Term Rate Loans or Term SOFR Loans) is subject to the following conditions precedent:</w:t>
      </w:r>
    </w:p>
    <w:p>
      <w:pPr>
        <w:spacing w:after="0" w:line="188" w:lineRule="exact"/>
        <w:rPr>
          <w:sz w:val="20"/>
          <w:szCs w:val="20"/>
          <w:color w:val="auto"/>
        </w:rPr>
      </w:pPr>
    </w:p>
    <w:p>
      <w:pPr>
        <w:jc w:val="both"/>
        <w:ind w:left="300" w:firstLine="748"/>
        <w:spacing w:after="0" w:line="243" w:lineRule="auto"/>
        <w:tabs>
          <w:tab w:leader="none" w:pos="1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Borrowers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89"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the application of the proceeds</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180"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applicable L/C Issuer or the Swing Line Lender shall have received a Request for Credit Extension in accordance with the requirementshereof.</w:t>
      </w:r>
    </w:p>
    <w:p>
      <w:pPr>
        <w:spacing w:after="0" w:line="186"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to the designation of such Borrower as a Designated Borrower shall have been met to the satisfaction of the Administrative Agent.</w:t>
      </w:r>
    </w:p>
    <w:p>
      <w:pPr>
        <w:spacing w:after="0" w:line="159"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such currency remains an Eligible</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w:t>
      </w:r>
    </w:p>
    <w:p>
      <w:pPr>
        <w:spacing w:after="0" w:line="207"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Alternative Currency Term Rate Loans or Term SOFR Loans) submitted by the Company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200" w:lineRule="exact"/>
        <w:rPr>
          <w:sz w:val="20"/>
          <w:szCs w:val="20"/>
          <w:color w:val="auto"/>
        </w:rPr>
      </w:pPr>
    </w:p>
    <w:p>
      <w:pPr>
        <w:spacing w:after="0" w:line="3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ARTICLE V. REPRESENTATIONS AND</w:t>
      </w:r>
    </w:p>
    <w:p>
      <w:pPr>
        <w:spacing w:after="0" w:line="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WARRANTIES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each Borrower represents and warrants to the Administrative Agent and the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Lenders that:</w:t>
      </w:r>
    </w:p>
    <w:p>
      <w:pPr>
        <w:spacing w:after="0" w:line="207" w:lineRule="exact"/>
        <w:rPr>
          <w:sz w:val="20"/>
          <w:szCs w:val="20"/>
          <w:color w:val="auto"/>
        </w:rPr>
      </w:pPr>
    </w:p>
    <w:p>
      <w:pPr>
        <w:jc w:val="both"/>
        <w:ind w:left="120" w:firstLine="749"/>
        <w:spacing w:after="0" w:line="258" w:lineRule="auto"/>
        <w:rPr>
          <w:sz w:val="20"/>
          <w:szCs w:val="20"/>
          <w:color w:val="auto"/>
        </w:rPr>
      </w:pPr>
      <w:r>
        <w:rPr>
          <w:rFonts w:ascii="Times New Roman" w:cs="Times New Roman" w:eastAsia="Times New Roman" w:hAnsi="Times New Roman"/>
          <w:sz w:val="19"/>
          <w:szCs w:val="19"/>
          <w:color w:val="auto"/>
        </w:rPr>
        <w:t>5.1 Existence, Qualification and Power. Each Loan Party and each Restricted Subsidiary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w:t>
      </w:r>
    </w:p>
    <w:p>
      <w:pPr>
        <w:spacing w:after="0" w:line="1" w:lineRule="exact"/>
        <w:rPr>
          <w:sz w:val="20"/>
          <w:szCs w:val="20"/>
          <w:color w:val="auto"/>
        </w:rPr>
      </w:pPr>
    </w:p>
    <w:p>
      <w:pPr>
        <w:jc w:val="both"/>
        <w:ind w:left="120" w:hanging="8"/>
        <w:spacing w:after="0" w:line="242" w:lineRule="auto"/>
        <w:tabs>
          <w:tab w:leader="none" w:pos="39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5.2 Authorization; No Contravention.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the creation of a Lien in favor of the Administrative Agent under the Collateral Documents) under, or require any payment to be made under (i) any Contractual Obligation to which such Person is a party or affecting such Person or the properties of such Person or any of its Restricted Subsidiaries or any arbitral award to which such Person or its property is subject, except in each case referred to in this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where such breach or contravention could not, individually or in the aggregate, reasonably be expected to have a Material Adverse Effect, or (ii) any order, injunction, writ or decree of any Governmental Authority; or (c) violate any Law in any material respect.</w:t>
      </w:r>
    </w:p>
    <w:p>
      <w:pPr>
        <w:spacing w:after="0" w:line="199"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5.3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or (d) the exercise by the Administrative Agent or any Lender of its rights under the Loan Documents or the remedies in respect of the Collateral pursuant to the Collateral Documents, in each case, other than (i) such as have been obtained or made and are in full force and effect and (ii) for approvals, consents, exemptions, authorizations, other actions, notices or filings, the failure of which to obtain or make could not, individually or in the aggregate, reasonably be expected to have a Material Adverse Effect.</w:t>
      </w:r>
    </w:p>
    <w:p>
      <w:pPr>
        <w:spacing w:after="0" w:line="213"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5.4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color w:val="auto"/>
        </w:rPr>
        <w:t>Financial Statements; No Material Adverse Effect.</w:t>
      </w:r>
    </w:p>
    <w:p>
      <w:pPr>
        <w:spacing w:after="0" w:line="243" w:lineRule="exact"/>
        <w:rPr>
          <w:sz w:val="20"/>
          <w:szCs w:val="20"/>
          <w:color w:val="auto"/>
        </w:rPr>
      </w:pPr>
    </w:p>
    <w:p>
      <w:pPr>
        <w:ind w:left="300" w:right="20" w:firstLine="748"/>
        <w:spacing w:after="0" w:line="250" w:lineRule="auto"/>
        <w:tabs>
          <w:tab w:leader="none" w:pos="178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w:t>
      </w:r>
    </w:p>
    <w:p>
      <w:pPr>
        <w:spacing w:after="0" w:line="1" w:lineRule="exact"/>
        <w:rPr>
          <w:rFonts w:ascii="Times New Roman" w:cs="Times New Roman" w:eastAsia="Times New Roman" w:hAnsi="Times New Roman"/>
          <w:sz w:val="20"/>
          <w:szCs w:val="20"/>
          <w:color w:val="auto"/>
        </w:rPr>
      </w:pPr>
    </w:p>
    <w:p>
      <w:pPr>
        <w:jc w:val="both"/>
        <w:ind w:left="300" w:hanging="2"/>
        <w:spacing w:after="0" w:line="241" w:lineRule="auto"/>
        <w:tabs>
          <w:tab w:leader="none" w:pos="599"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unaudited consolidated balance sheet of the Company and its Subsidiaries dated March 31, 2019,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229" w:lineRule="exact"/>
        <w:rPr>
          <w:sz w:val="20"/>
          <w:szCs w:val="20"/>
          <w:color w:val="auto"/>
        </w:rPr>
      </w:pPr>
    </w:p>
    <w:p>
      <w:pPr>
        <w:ind w:left="300" w:right="20" w:firstLine="748"/>
        <w:spacing w:after="0" w:line="269" w:lineRule="auto"/>
        <w:tabs>
          <w:tab w:leader="none" w:pos="178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2020, there has been no event or circumstance, either individually or in the aggregate, that has had or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forecasted balance sheet and statements of income and cash flows of the Company and its Restricted Subsidiaries delivered pursuant to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 assurance can be given that any particular forecast will be realized, that actual results may differ and that such differences may be material).</w:t>
      </w:r>
    </w:p>
    <w:p>
      <w:pPr>
        <w:spacing w:after="0" w:line="198"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5.6 Litigation. There are no actions, suits, proceedings, claims or disputes pending or, to the actual knowledge of the Company after reasonable inquiry,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212"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5.7 No Default. Neither any Loan Party nor any Restricted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93"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5.8 Ownership of Property; Liens. Each of the Company and each Restricted Subsidiary has good record and marketable title in fee simple to, or valid leasehold interests in, all real property necessary or material to the conduct of its business, except as could not, individually or in the aggregate, reasonably be expected to have a Material Adverse Effect. The property of the Company and its Restricted Subsidiaries is subject to no Liens, other than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5.9 Environmental Compliance. The Company and its Restricted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9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5.10 Insurance. The properties of the Company and its Restricted Subsidiaries are insured with financially sound and reputable insurance 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193"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5.11 Taxes. The Company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proceedings diligently conducted and for which adequate reserves have been provided in accordance with GAAP. There is no written proposed tax assessment against the Company or any Subsidiary that would, if made, have a Material Adverse Effect. Neither any Loan Party nor any Subsidiary thereof is party to any tax sharing agreement by or among any one or more other Loan Parties or Subsidiaries that has not been disclosed to the Administrative Agent and the Lenders, excluding, for the avoidance of doubt, commercial agreements with third parties entered into in the ordinary course of business one of the principal purposes of which is not tax.</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color w:val="auto"/>
        </w:rPr>
        <w:t>ERISA Compliance.</w:t>
      </w:r>
    </w:p>
    <w:p>
      <w:pPr>
        <w:spacing w:after="0" w:line="243" w:lineRule="exact"/>
        <w:rPr>
          <w:sz w:val="20"/>
          <w:szCs w:val="20"/>
          <w:color w:val="auto"/>
        </w:rPr>
      </w:pPr>
    </w:p>
    <w:p>
      <w:pPr>
        <w:jc w:val="both"/>
        <w:ind w:left="300" w:firstLine="748"/>
        <w:spacing w:after="0" w:line="244" w:lineRule="auto"/>
        <w:tabs>
          <w:tab w:leader="none" w:pos="178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199"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6" w:lineRule="exact"/>
        <w:rPr>
          <w:rFonts w:ascii="Times New Roman" w:cs="Times New Roman" w:eastAsia="Times New Roman" w:hAnsi="Times New Roman"/>
          <w:sz w:val="20"/>
          <w:szCs w:val="20"/>
          <w:color w:val="auto"/>
        </w:rPr>
      </w:pPr>
    </w:p>
    <w:p>
      <w:pPr>
        <w:jc w:val="both"/>
        <w:ind w:left="300" w:firstLine="748"/>
        <w:spacing w:after="0" w:line="241" w:lineRule="auto"/>
        <w:tabs>
          <w:tab w:leader="none" w:pos="178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 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205"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maintains or contributes to, or has any unsatisfied obligation to contribute to, or liability under, any active or terminated Pension Plan other than</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580" w:hanging="281"/>
        <w:spacing w:after="0"/>
        <w:tabs>
          <w:tab w:leader="none" w:pos="5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those listed on </w:t>
      </w:r>
      <w:r>
        <w:rPr>
          <w:rFonts w:ascii="Times New Roman" w:cs="Times New Roman" w:eastAsia="Times New Roman" w:hAnsi="Times New Roman"/>
          <w:sz w:val="20"/>
          <w:szCs w:val="20"/>
          <w:u w:val="single" w:color="auto"/>
          <w:color w:val="auto"/>
        </w:rPr>
        <w:t>Schedule 5.12(d)</w:t>
      </w:r>
      <w:r>
        <w:rPr>
          <w:rFonts w:ascii="Times New Roman" w:cs="Times New Roman" w:eastAsia="Times New Roman" w:hAnsi="Times New Roman"/>
          <w:sz w:val="20"/>
          <w:szCs w:val="20"/>
          <w:color w:val="auto"/>
        </w:rPr>
        <w:t xml:space="preserve"> and (ii) thereafter, Pension Plans not otherwise prohibited by this Agreement.</w:t>
      </w:r>
    </w:p>
    <w:p>
      <w:pPr>
        <w:spacing w:after="0" w:line="229"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scheme or arrangement mandated by a government other than the United States (a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 Scheme or Arrangement</w:t>
      </w:r>
      <w:r>
        <w:rPr>
          <w:rFonts w:ascii="Times New Roman" w:cs="Times New Roman" w:eastAsia="Times New Roman" w:hAnsi="Times New Roman"/>
          <w:sz w:val="20"/>
          <w:szCs w:val="20"/>
          <w:color w:val="auto"/>
        </w:rPr>
        <w:t>”) and with respect to each employee benefit plan maintained or contributed to by the Company or any Restricted Subsidiary that is not subject to United States law (a “</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5" w:lineRule="auto"/>
        <w:tabs>
          <w:tab w:leader="none" w:pos="2528"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97"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7" w:val="left"/>
        </w:tabs>
        <w:numPr>
          <w:ilvl w:val="2"/>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Plan required to be registered has been registered and has been maintained in good standing with applicable regulatory authorities.</w:t>
      </w:r>
    </w:p>
    <w:p>
      <w:pPr>
        <w:spacing w:after="0" w:line="159"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5.13 Subsidiaries; Equity Investments; Loan Parties. As of the Closing Date, the Company has no Subsidiaries other than those specifically disclosed in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of each Restricted Subsidiary have been validly issued, are fully paid and nonassessable (to the extent such concept is applicable) and are owned by a Loan Party in the amounts specified on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those created under the Collateral Documents. As of the Closing Date, the Company has no equity investments in any other corporation or entity other than those specifically disclosed in </w:t>
      </w:r>
      <w:r>
        <w:rPr>
          <w:rFonts w:ascii="Times New Roman" w:cs="Times New Roman" w:eastAsia="Times New Roman" w:hAnsi="Times New Roman"/>
          <w:sz w:val="20"/>
          <w:szCs w:val="20"/>
          <w:u w:val="single" w:color="auto"/>
          <w:color w:val="auto"/>
        </w:rPr>
        <w:t>Part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Company have been validly issued and are fully paid and nonassessable. Part (c) of </w:t>
      </w:r>
      <w:r>
        <w:rPr>
          <w:rFonts w:ascii="Times New Roman" w:cs="Times New Roman" w:eastAsia="Times New Roman" w:hAnsi="Times New Roman"/>
          <w:sz w:val="20"/>
          <w:szCs w:val="20"/>
          <w:u w:val="single" w:color="auto"/>
          <w:color w:val="auto"/>
        </w:rPr>
        <w:t>Schedule</w:t>
      </w:r>
    </w:p>
    <w:p>
      <w:pPr>
        <w:spacing w:after="0" w:line="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sets forth the name, jurisdiction of organization and U.S. taxpayer identification number of each Loan Party (or, in the case of any Foreign Obligor, the unique identification number of such Person that has been issued by its jurisdiction of organization) as of the Closing Date.</w:t>
      </w:r>
    </w:p>
    <w:p>
      <w:pPr>
        <w:spacing w:after="0" w:line="21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5.14</w:t>
      </w:r>
      <w:r>
        <w:rPr>
          <w:sz w:val="20"/>
          <w:szCs w:val="20"/>
          <w:color w:val="auto"/>
        </w:rPr>
        <w:tab/>
      </w:r>
      <w:r>
        <w:rPr>
          <w:rFonts w:ascii="Times New Roman" w:cs="Times New Roman" w:eastAsia="Times New Roman" w:hAnsi="Times New Roman"/>
          <w:sz w:val="19"/>
          <w:szCs w:val="19"/>
          <w:color w:val="auto"/>
        </w:rPr>
        <w:t>Margin Regulations; Investment Company Act.</w:t>
      </w:r>
    </w:p>
    <w:p>
      <w:pPr>
        <w:spacing w:after="0" w:line="202" w:lineRule="exact"/>
        <w:rPr>
          <w:sz w:val="20"/>
          <w:szCs w:val="20"/>
          <w:color w:val="auto"/>
        </w:rPr>
      </w:pPr>
    </w:p>
    <w:p>
      <w:pPr>
        <w:jc w:val="both"/>
        <w:ind w:left="300" w:firstLine="748"/>
        <w:spacing w:after="0" w:line="254" w:lineRule="auto"/>
        <w:tabs>
          <w:tab w:leader="none" w:pos="178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201"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Person Controlling the Company, or any Restricted Subsidiary is or is required to be registered as an “investment company” under the Investment Company Act of 1940.</w:t>
      </w:r>
    </w:p>
    <w:p>
      <w:pPr>
        <w:spacing w:after="0" w:line="173"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5.15</w:t>
      </w:r>
      <w:r>
        <w:rPr>
          <w:rFonts w:ascii="Times New Roman" w:cs="Times New Roman" w:eastAsia="Times New Roman" w:hAnsi="Times New Roman"/>
          <w:sz w:val="20"/>
          <w:szCs w:val="20"/>
          <w:color w:val="auto"/>
        </w:rPr>
        <w:t xml:space="preserve"> Disclosure. No report, financial statement, certificate or other written information furnished by or on behalf of any Loan Party to the Administrative Agent or any Lender in connectionwith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not misleading in any material respect;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Company represents only that such information was prepared in good faith based upon assumptions believed, when taken as a whole, to be reasonable at the time delivered (it being understood that any projected financial information is subject to uncertainties and contingencies, some of which are beyond the control of the Company, that no assurance can be given that any particular projected financial information will be realized, that actual results may differ and that such differences may be material).</w:t>
      </w:r>
    </w:p>
    <w:p>
      <w:pPr>
        <w:spacing w:after="0" w:line="198"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Compliance with Laws. Each Loan Party and each Restricted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12"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Intellectual Property; Licenses, Etc. The Company and its Restricted Subsidiaries own, or possess the right to use, all of the material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without infringing upon the rights of any other Person. To the best knowledge of the Company,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203"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xml:space="preserve"> OFAC. Neither the Company, nor any of its Subsidiaries, nor, to the knowledge of the Company and its Subsidiaries, any director, officer, 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and the Investment Ban List,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 their reasonable business judgment, instituted and maintained policies and procedures designed to promote and achieve compliance with such Sanctions.</w:t>
      </w:r>
    </w:p>
    <w:p>
      <w:pPr>
        <w:spacing w:after="0" w:line="21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5.19</w:t>
      </w:r>
      <w:r>
        <w:rPr>
          <w:sz w:val="20"/>
          <w:szCs w:val="20"/>
          <w:color w:val="auto"/>
        </w:rPr>
        <w:tab/>
      </w:r>
      <w:r>
        <w:rPr>
          <w:rFonts w:ascii="Times New Roman" w:cs="Times New Roman" w:eastAsia="Times New Roman" w:hAnsi="Times New Roman"/>
          <w:sz w:val="19"/>
          <w:szCs w:val="19"/>
          <w:color w:val="auto"/>
        </w:rPr>
        <w:t>Solvency. The Loan Parties, on a consolidated basis, are Solvent.</w:t>
      </w:r>
    </w:p>
    <w:p>
      <w:pPr>
        <w:spacing w:after="0" w:line="21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5.20</w:t>
      </w:r>
      <w:r>
        <w:rPr>
          <w:sz w:val="20"/>
          <w:szCs w:val="20"/>
          <w:color w:val="auto"/>
        </w:rPr>
        <w:tab/>
      </w: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5.21</w:t>
      </w:r>
      <w:r>
        <w:rPr>
          <w:rFonts w:ascii="Times New Roman" w:cs="Times New Roman" w:eastAsia="Times New Roman" w:hAnsi="Times New Roman"/>
          <w:sz w:val="20"/>
          <w:szCs w:val="20"/>
          <w:color w:val="auto"/>
        </w:rPr>
        <w:t xml:space="preserve"> Labor Matters. Except for those listed on </w:t>
      </w:r>
      <w:r>
        <w:rPr>
          <w:rFonts w:ascii="Times New Roman" w:cs="Times New Roman" w:eastAsia="Times New Roman" w:hAnsi="Times New Roman"/>
          <w:sz w:val="20"/>
          <w:szCs w:val="20"/>
          <w:u w:val="single" w:color="auto"/>
          <w:color w:val="auto"/>
        </w:rPr>
        <w:t>Schedule 5.21</w:t>
      </w:r>
      <w:r>
        <w:rPr>
          <w:rFonts w:ascii="Times New Roman" w:cs="Times New Roman" w:eastAsia="Times New Roman" w:hAnsi="Times New Roman"/>
          <w:sz w:val="20"/>
          <w:szCs w:val="20"/>
          <w:color w:val="auto"/>
        </w:rPr>
        <w:t>, there are no collective bargaining agreements or Multiemployer Plans covering the employees of the Company or any of its Restricted Subsidiaries as of the Closing Date. Neither the Company nor any Restricted Subsidiary has suffered any strikes, walkouts, work stoppages or other material labor difficulty within the last fiveyears.</w:t>
      </w:r>
    </w:p>
    <w:p>
      <w:pPr>
        <w:spacing w:after="0" w:line="174" w:lineRule="exact"/>
        <w:rPr>
          <w:sz w:val="20"/>
          <w:szCs w:val="20"/>
          <w:color w:val="auto"/>
        </w:rPr>
      </w:pPr>
    </w:p>
    <w:p>
      <w:pPr>
        <w:jc w:val="both"/>
        <w:ind w:left="120" w:firstLine="749"/>
        <w:spacing w:after="0" w:line="266" w:lineRule="auto"/>
        <w:rPr>
          <w:sz w:val="20"/>
          <w:szCs w:val="20"/>
          <w:color w:val="auto"/>
        </w:rPr>
      </w:pPr>
      <w:r>
        <w:rPr>
          <w:rFonts w:ascii="Times New Roman" w:cs="Times New Roman" w:eastAsia="Times New Roman" w:hAnsi="Times New Roman"/>
          <w:sz w:val="19"/>
          <w:szCs w:val="19"/>
          <w:u w:val="single" w:color="auto"/>
          <w:color w:val="auto"/>
        </w:rPr>
        <w:t>5.22</w:t>
      </w:r>
      <w:r>
        <w:rPr>
          <w:rFonts w:ascii="Times New Roman" w:cs="Times New Roman" w:eastAsia="Times New Roman" w:hAnsi="Times New Roman"/>
          <w:sz w:val="19"/>
          <w:szCs w:val="19"/>
          <w:color w:val="auto"/>
        </w:rPr>
        <w:t xml:space="preserve"> Collateral Documents.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auto"/>
        </w:rPr>
        <w:t>5.23</w:t>
      </w:r>
      <w:r>
        <w:rPr>
          <w:rFonts w:ascii="Times New Roman" w:cs="Times New Roman" w:eastAsia="Times New Roman" w:hAnsi="Times New Roman"/>
          <w:sz w:val="20"/>
          <w:szCs w:val="20"/>
          <w:color w:val="auto"/>
        </w:rPr>
        <w:t xml:space="preserve"> Representations as to Foreign Obligors. Each of the Company and each Foreign Obligor represents and warrants to the</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Administrative Agent and the Lenders that:</w:t>
      </w:r>
    </w:p>
    <w:p>
      <w:pPr>
        <w:spacing w:after="0" w:line="207" w:lineRule="exact"/>
        <w:rPr>
          <w:sz w:val="20"/>
          <w:szCs w:val="20"/>
          <w:color w:val="auto"/>
        </w:rPr>
      </w:pPr>
    </w:p>
    <w:p>
      <w:pPr>
        <w:jc w:val="both"/>
        <w:ind w:left="300" w:firstLine="748"/>
        <w:spacing w:after="0" w:line="244" w:lineRule="auto"/>
        <w:tabs>
          <w:tab w:leader="none" w:pos="178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212" w:lineRule="exact"/>
        <w:rPr>
          <w:rFonts w:ascii="Times New Roman" w:cs="Times New Roman" w:eastAsia="Times New Roman" w:hAnsi="Times New Roman"/>
          <w:sz w:val="20"/>
          <w:szCs w:val="20"/>
          <w:color w:val="auto"/>
        </w:rPr>
      </w:pPr>
    </w:p>
    <w:p>
      <w:pPr>
        <w:jc w:val="both"/>
        <w:ind w:left="300" w:firstLine="748"/>
        <w:spacing w:after="0" w:line="257" w:lineRule="auto"/>
        <w:tabs>
          <w:tab w:leader="none" w:pos="1789"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9" w:lineRule="exact"/>
        <w:rPr>
          <w:rFonts w:ascii="Times New Roman" w:cs="Times New Roman" w:eastAsia="Times New Roman" w:hAnsi="Times New Roman"/>
          <w:sz w:val="19"/>
          <w:szCs w:val="19"/>
          <w:color w:val="auto"/>
        </w:rPr>
      </w:pPr>
    </w:p>
    <w:p>
      <w:pPr>
        <w:jc w:val="both"/>
        <w:ind w:left="300" w:firstLine="748"/>
        <w:spacing w:after="0" w:line="249" w:lineRule="auto"/>
        <w:tabs>
          <w:tab w:leader="none" w:pos="178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206"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clause (ii) shall be made or obtained as soon as is reasonably practicable).</w:t>
      </w:r>
    </w:p>
    <w:p>
      <w:pPr>
        <w:spacing w:after="0" w:line="185"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5.24</w:t>
      </w:r>
      <w:r>
        <w:rPr>
          <w:sz w:val="20"/>
          <w:szCs w:val="20"/>
          <w:color w:val="auto"/>
        </w:rPr>
        <w:tab/>
      </w:r>
      <w:r>
        <w:rPr>
          <w:rFonts w:ascii="Times New Roman" w:cs="Times New Roman" w:eastAsia="Times New Roman" w:hAnsi="Times New Roman"/>
          <w:sz w:val="19"/>
          <w:szCs w:val="19"/>
          <w:color w:val="auto"/>
        </w:rPr>
        <w:t>Anti-Corruption Laws; Sanctions; Useof Proceeds.</w:t>
      </w:r>
    </w:p>
    <w:p>
      <w:pPr>
        <w:spacing w:after="0" w:line="229" w:lineRule="exact"/>
        <w:rPr>
          <w:sz w:val="20"/>
          <w:szCs w:val="20"/>
          <w:color w:val="auto"/>
        </w:rPr>
      </w:pPr>
    </w:p>
    <w:p>
      <w:pPr>
        <w:jc w:val="both"/>
        <w:ind w:left="300" w:firstLine="748"/>
        <w:spacing w:after="0" w:line="249" w:lineRule="auto"/>
        <w:tabs>
          <w:tab w:leader="none" w:pos="134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conducted their businesses in compliance with the United States Foreign Corrupt Practices Act of 1977, the UK Bribery Act 2010, and other similar anti- corruption legislation in other jurisdictions to which the Company and its Subsidiaries are subject, and have instituted and maintained policies and procedures designed to promote and achieve compliance with such laws.</w:t>
      </w:r>
    </w:p>
    <w:p>
      <w:pPr>
        <w:spacing w:after="0" w:line="193" w:lineRule="exact"/>
        <w:rPr>
          <w:rFonts w:ascii="Times New Roman" w:cs="Times New Roman" w:eastAsia="Times New Roman" w:hAnsi="Times New Roman"/>
          <w:sz w:val="20"/>
          <w:szCs w:val="20"/>
          <w:color w:val="auto"/>
        </w:rPr>
      </w:pPr>
    </w:p>
    <w:p>
      <w:pPr>
        <w:jc w:val="both"/>
        <w:ind w:left="300" w:right="20" w:firstLine="748"/>
        <w:spacing w:after="0" w:line="254" w:lineRule="auto"/>
        <w:tabs>
          <w:tab w:leader="none" w:pos="134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right="20"/>
        <w:spacing w:after="0" w:line="254" w:lineRule="auto"/>
        <w:rPr>
          <w:sz w:val="20"/>
          <w:szCs w:val="20"/>
          <w:color w:val="auto"/>
        </w:rPr>
      </w:pPr>
      <w:r>
        <w:rPr>
          <w:rFonts w:ascii="Times New Roman" w:cs="Times New Roman" w:eastAsia="Times New Roman" w:hAnsi="Times New Roman"/>
          <w:sz w:val="20"/>
          <w:szCs w:val="20"/>
          <w:color w:val="auto"/>
        </w:rPr>
        <w:t>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188" w:lineRule="exact"/>
        <w:rPr>
          <w:sz w:val="20"/>
          <w:szCs w:val="20"/>
          <w:color w:val="auto"/>
        </w:rPr>
      </w:pPr>
    </w:p>
    <w:p>
      <w:pPr>
        <w:jc w:val="both"/>
        <w:ind w:left="300" w:right="20" w:firstLine="748"/>
        <w:spacing w:after="0" w:line="254" w:lineRule="auto"/>
        <w:tabs>
          <w:tab w:leader="none" w:pos="13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7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5.25</w:t>
      </w:r>
      <w:r>
        <w:rPr>
          <w:sz w:val="20"/>
          <w:szCs w:val="20"/>
          <w:color w:val="auto"/>
        </w:rPr>
        <w:tab/>
      </w:r>
      <w:r>
        <w:rPr>
          <w:rFonts w:ascii="Times New Roman" w:cs="Times New Roman" w:eastAsia="Times New Roman" w:hAnsi="Times New Roman"/>
          <w:sz w:val="20"/>
          <w:szCs w:val="20"/>
          <w:color w:val="auto"/>
        </w:rPr>
        <w:t>Affected Financial Institution.  No Loan Party is an Affected Financial Institution.</w:t>
      </w:r>
    </w:p>
    <w:p>
      <w:pPr>
        <w:spacing w:after="0" w:line="216"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5.26</w:t>
      </w:r>
      <w:r>
        <w:rPr>
          <w:rFonts w:ascii="Times New Roman" w:cs="Times New Roman" w:eastAsia="Times New Roman" w:hAnsi="Times New Roman"/>
          <w:sz w:val="20"/>
          <w:szCs w:val="20"/>
          <w:color w:val="auto"/>
        </w:rPr>
        <w:t xml:space="preserve"> Borrower ERISA Status. Each Borrower represents and warrants as of the Closing Date that such Borrower is not and will not be (a) an employee benefit plan subject to Title I of ERISA, (b) a plan or account subject to Section 4975 of the Code; (c) an entity deemed to hold “plan assets” (within the meaning of Section 3(42) of ERISA or otherwise) of any such plans or accounts for purposes of ERISAor the Code; or (d) a “governmental plan” within the meaning of ERISA.</w:t>
      </w:r>
    </w:p>
    <w:p>
      <w:pPr>
        <w:spacing w:after="0" w:line="193" w:lineRule="exact"/>
        <w:rPr>
          <w:sz w:val="20"/>
          <w:szCs w:val="20"/>
          <w:color w:val="auto"/>
        </w:rPr>
      </w:pPr>
    </w:p>
    <w:p>
      <w:pPr>
        <w:jc w:val="both"/>
        <w:ind w:left="120"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5.27</w:t>
      </w:r>
      <w:r>
        <w:rPr>
          <w:rFonts w:ascii="Times New Roman" w:cs="Times New Roman" w:eastAsia="Times New Roman" w:hAnsi="Times New Roman"/>
          <w:sz w:val="20"/>
          <w:szCs w:val="20"/>
          <w:color w:val="auto"/>
        </w:rPr>
        <w:t xml:space="preserve"> Beneficial Ownership Certification. As of the Closing Date, the information included in any Beneficial Ownership Certification, if applicable, is true and correct in all respects.</w:t>
      </w:r>
    </w:p>
    <w:p>
      <w:pPr>
        <w:spacing w:after="0" w:line="173"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u w:val="single" w:color="auto"/>
          <w:color w:val="auto"/>
        </w:rPr>
        <w:t>5.28</w:t>
      </w:r>
      <w:r>
        <w:rPr>
          <w:sz w:val="20"/>
          <w:szCs w:val="20"/>
          <w:color w:val="auto"/>
        </w:rPr>
        <w:tab/>
      </w:r>
      <w:r>
        <w:rPr>
          <w:rFonts w:ascii="Times New Roman" w:cs="Times New Roman" w:eastAsia="Times New Roman" w:hAnsi="Times New Roman"/>
          <w:sz w:val="19"/>
          <w:szCs w:val="19"/>
          <w:color w:val="auto"/>
        </w:rPr>
        <w:t xml:space="preserve">Covered Entity. No Loan Party is a Covered Entity (as defined in </w:t>
      </w:r>
      <w:r>
        <w:rPr>
          <w:rFonts w:ascii="Times New Roman" w:cs="Times New Roman" w:eastAsia="Times New Roman" w:hAnsi="Times New Roman"/>
          <w:sz w:val="19"/>
          <w:szCs w:val="19"/>
          <w:u w:val="single" w:color="auto"/>
          <w:color w:val="auto"/>
        </w:rPr>
        <w:t>Section 10.23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5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ARTICLE VI. AFFIRMATIVE COVENANTS</w:t>
      </w:r>
    </w:p>
    <w:p>
      <w:pPr>
        <w:spacing w:after="0" w:line="243" w:lineRule="exact"/>
        <w:rPr>
          <w:sz w:val="20"/>
          <w:szCs w:val="20"/>
          <w:color w:val="auto"/>
        </w:rPr>
      </w:pPr>
    </w:p>
    <w:p>
      <w:pPr>
        <w:ind w:left="120" w:right="160" w:firstLine="747"/>
        <w:spacing w:after="0" w:line="269" w:lineRule="auto"/>
        <w:rPr>
          <w:sz w:val="20"/>
          <w:szCs w:val="20"/>
          <w:color w:val="auto"/>
        </w:rPr>
      </w:pPr>
      <w:r>
        <w:rPr>
          <w:rFonts w:ascii="Times New Roman" w:cs="Times New Roman" w:eastAsia="Times New Roman" w:hAnsi="Times New Roman"/>
          <w:sz w:val="20"/>
          <w:szCs w:val="20"/>
          <w:color w:val="auto"/>
        </w:rPr>
        <w:t xml:space="preserve">So long as the Facility Termination Date has not occurred, the Company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Restricted Subsidiary to:</w:t>
      </w:r>
    </w:p>
    <w:p>
      <w:pPr>
        <w:spacing w:after="0" w:line="146" w:lineRule="exact"/>
        <w:rPr>
          <w:sz w:val="20"/>
          <w:szCs w:val="20"/>
          <w:color w:val="auto"/>
        </w:rPr>
      </w:pPr>
    </w:p>
    <w:p>
      <w:pPr>
        <w:ind w:left="860"/>
        <w:spacing w:after="0"/>
        <w:tabs>
          <w:tab w:leader="none" w:pos="130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Financial Statements. Deliver to the Administrative Agent, in form and detail reasonably satisfactory to the Required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Lenders:</w:t>
      </w:r>
    </w:p>
    <w:p>
      <w:pPr>
        <w:spacing w:after="0" w:line="221" w:lineRule="exact"/>
        <w:rPr>
          <w:sz w:val="20"/>
          <w:szCs w:val="20"/>
          <w:color w:val="auto"/>
        </w:rPr>
      </w:pPr>
    </w:p>
    <w:p>
      <w:pPr>
        <w:jc w:val="both"/>
        <w:ind w:left="300" w:firstLine="748"/>
        <w:spacing w:after="0" w:line="243" w:lineRule="auto"/>
        <w:tabs>
          <w:tab w:leader="none" w:pos="178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Company (or, if earlier, 15 days after the date required to be filed with the SEC (after giving effect to any extension permitted by the SEC)),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June 30, 2019), a consolidated balance sheet of the Company and its Subsidiaries as at the end of such fiscal quarter, the related consolidated statements of income or operations for such fiscal quarter and for the portion of the Company’s fiscal year then ended, and the related consolidated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5" w:lineRule="auto"/>
        <w:rPr>
          <w:sz w:val="20"/>
          <w:szCs w:val="20"/>
          <w:color w:val="auto"/>
        </w:rPr>
      </w:pPr>
      <w:r>
        <w:rPr>
          <w:rFonts w:ascii="Times New Roman" w:cs="Times New Roman" w:eastAsia="Times New Roman" w:hAnsi="Times New Roman"/>
          <w:sz w:val="20"/>
          <w:szCs w:val="20"/>
          <w:color w:val="auto"/>
        </w:rPr>
        <w:t>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98" w:lineRule="exact"/>
        <w:rPr>
          <w:sz w:val="20"/>
          <w:szCs w:val="20"/>
          <w:color w:val="auto"/>
        </w:rPr>
      </w:pPr>
    </w:p>
    <w:p>
      <w:pPr>
        <w:jc w:val="both"/>
        <w:ind w:left="300" w:firstLine="748"/>
        <w:spacing w:after="0" w:line="249" w:lineRule="auto"/>
        <w:tabs>
          <w:tab w:leader="none" w:pos="178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Unrestricted Subsidiaries exist at such time, then simultaneously with the delivery of each set of consolidated financial statements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206" w:lineRule="exact"/>
        <w:rPr>
          <w:rFonts w:ascii="Times New Roman" w:cs="Times New Roman" w:eastAsia="Times New Roman" w:hAnsi="Times New Roman"/>
          <w:sz w:val="20"/>
          <w:szCs w:val="20"/>
          <w:color w:val="auto"/>
        </w:rPr>
      </w:pPr>
    </w:p>
    <w:p>
      <w:pPr>
        <w:jc w:val="both"/>
        <w:ind w:left="300" w:right="20" w:firstLine="748"/>
        <w:spacing w:after="0" w:line="246" w:lineRule="auto"/>
        <w:tabs>
          <w:tab w:leader="none" w:pos="178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198"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Company shallnot be separately required to furnish such information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74" w:lineRule="exact"/>
        <w:rPr>
          <w:sz w:val="20"/>
          <w:szCs w:val="20"/>
          <w:color w:val="auto"/>
        </w:rPr>
      </w:pPr>
    </w:p>
    <w:p>
      <w:pPr>
        <w:jc w:val="both"/>
        <w:ind w:left="120" w:right="20" w:firstLine="749"/>
        <w:spacing w:after="0" w:line="254" w:lineRule="auto"/>
        <w:rPr>
          <w:sz w:val="20"/>
          <w:szCs w:val="20"/>
          <w:color w:val="auto"/>
        </w:rPr>
      </w:pPr>
      <w:r>
        <w:rPr>
          <w:rFonts w:ascii="Times New Roman" w:cs="Times New Roman" w:eastAsia="Times New Roman" w:hAnsi="Times New Roman"/>
          <w:sz w:val="20"/>
          <w:szCs w:val="20"/>
          <w:color w:val="auto"/>
        </w:rPr>
        <w:t>6.2 Certificates; Other Information. Deliver to the Administrative Agent, in form and detail reasonably satisfactory to the Required Lenders (which delivery may, unless the Administrative Agent, or a Lender requests executed originals, be by electronic communication including fax or email and shall be deemed to be an original authentic counterpart thereof for all purposes):</w:t>
      </w:r>
    </w:p>
    <w:p>
      <w:pPr>
        <w:spacing w:after="0" w:line="188" w:lineRule="exact"/>
        <w:rPr>
          <w:sz w:val="20"/>
          <w:szCs w:val="20"/>
          <w:color w:val="auto"/>
        </w:rPr>
      </w:pPr>
    </w:p>
    <w:p>
      <w:pPr>
        <w:jc w:val="both"/>
        <w:ind w:left="300" w:firstLine="748"/>
        <w:spacing w:after="0" w:line="254" w:lineRule="auto"/>
        <w:tabs>
          <w:tab w:leader="none" w:pos="178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93"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206" w:lineRule="exact"/>
        <w:rPr>
          <w:rFonts w:ascii="Times New Roman" w:cs="Times New Roman" w:eastAsia="Times New Roman" w:hAnsi="Times New Roman"/>
          <w:sz w:val="20"/>
          <w:szCs w:val="20"/>
          <w:color w:val="auto"/>
        </w:rPr>
      </w:pPr>
    </w:p>
    <w:p>
      <w:pPr>
        <w:jc w:val="both"/>
        <w:ind w:left="300" w:right="20" w:firstLine="748"/>
        <w:spacing w:after="0" w:line="254" w:lineRule="auto"/>
        <w:tabs>
          <w:tab w:leader="none" w:pos="178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investigation by such agency regarding financial or other operational results of any Loan Party or any Subsidiary thereof;</w:t>
      </w:r>
    </w:p>
    <w:p>
      <w:pPr>
        <w:spacing w:after="0" w:line="229" w:lineRule="exact"/>
        <w:rPr>
          <w:sz w:val="20"/>
          <w:szCs w:val="20"/>
          <w:color w:val="auto"/>
        </w:rPr>
      </w:pPr>
    </w:p>
    <w:p>
      <w:pPr>
        <w:jc w:val="both"/>
        <w:ind w:left="300" w:firstLine="748"/>
        <w:spacing w:after="0" w:line="274" w:lineRule="auto"/>
        <w:tabs>
          <w:tab w:leader="none" w:pos="1789"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83" w:lineRule="exact"/>
        <w:rPr>
          <w:rFonts w:ascii="Times New Roman" w:cs="Times New Roman" w:eastAsia="Times New Roman" w:hAnsi="Times New Roman"/>
          <w:sz w:val="19"/>
          <w:szCs w:val="19"/>
          <w:color w:val="auto"/>
        </w:rPr>
      </w:pPr>
    </w:p>
    <w:p>
      <w:pPr>
        <w:jc w:val="both"/>
        <w:ind w:left="300" w:right="20" w:firstLine="748"/>
        <w:spacing w:after="0" w:line="254" w:lineRule="auto"/>
        <w:tabs>
          <w:tab w:leader="none" w:pos="178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88"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suchdocuments.</w:t>
      </w:r>
    </w:p>
    <w:p>
      <w:pPr>
        <w:spacing w:after="0" w:line="211" w:lineRule="exact"/>
        <w:rPr>
          <w:sz w:val="20"/>
          <w:szCs w:val="20"/>
          <w:color w:val="auto"/>
        </w:rPr>
      </w:pPr>
    </w:p>
    <w:p>
      <w:pPr>
        <w:jc w:val="both"/>
        <w:ind w:left="120" w:firstLine="747"/>
        <w:spacing w:after="0" w:line="242"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 may, but shall not be obligated to, make available to the Lenders and the L/C Issuers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w:t>
      </w:r>
    </w:p>
    <w:p>
      <w:pPr>
        <w:spacing w:after="0" w:line="5" w:lineRule="exact"/>
        <w:rPr>
          <w:sz w:val="20"/>
          <w:szCs w:val="20"/>
          <w:color w:val="auto"/>
        </w:rPr>
      </w:pPr>
    </w:p>
    <w:p>
      <w:pPr>
        <w:jc w:val="both"/>
        <w:ind w:left="120" w:hanging="9"/>
        <w:spacing w:after="0"/>
        <w:tabs>
          <w:tab w:leader="none" w:pos="4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 the L/C Issuers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Section </w:t>
      </w: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Notices. Promptly notify the Administrative Agent:</w:t>
      </w:r>
    </w:p>
    <w:p>
      <w:pPr>
        <w:spacing w:after="0" w:line="216" w:lineRule="exact"/>
        <w:rPr>
          <w:sz w:val="20"/>
          <w:szCs w:val="20"/>
          <w:color w:val="auto"/>
        </w:rPr>
      </w:pPr>
    </w:p>
    <w:p>
      <w:pPr>
        <w:ind w:left="1800" w:hanging="752"/>
        <w:spacing w:after="0"/>
        <w:tabs>
          <w:tab w:leader="none" w:pos="18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29"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any such matter arising from (i) 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187"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the Company or any Subsidiary, including any determination by the Company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72"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(i) occurrence of any Disposition of property or assets for which the Company is required to make a mandatory prepayment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(ii) incurrence or issuance of any Indebtedness for which the Company is required to make a mandatory prepayment pursuant to </w:t>
      </w:r>
      <w:r>
        <w:rPr>
          <w:rFonts w:ascii="Times New Roman" w:cs="Times New Roman" w:eastAsia="Times New Roman" w:hAnsi="Times New Roman"/>
          <w:sz w:val="20"/>
          <w:szCs w:val="20"/>
          <w:u w:val="single" w:color="auto"/>
          <w:color w:val="auto"/>
        </w:rPr>
        <w:t>Section 2.05(b)(ii)</w:t>
      </w:r>
      <w:r>
        <w:rPr>
          <w:rFonts w:ascii="Times New Roman" w:cs="Times New Roman" w:eastAsia="Times New Roman" w:hAnsi="Times New Roman"/>
          <w:sz w:val="20"/>
          <w:szCs w:val="20"/>
          <w:color w:val="auto"/>
        </w:rPr>
        <w:t xml:space="preserve">, and (iii) the occurrence of any Insurance and Condemnation Event for which the Company is required to make a mandatory prepayment pursuant to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93"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6.4 Payment of Obligations. Pay and discharge as the same shall become due and payable, all its material obligations and liabilities, including (a)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Restricted Subsidiary; (b) all other lawful claims which, if unpaid, would by law become a Lien upon its property; and (c) all Indebtedness, as and when due and payable, but subject to any subordination provisions contained in any instrument or agreement evidencing or governing such Indebtedness.</w:t>
      </w:r>
    </w:p>
    <w:p>
      <w:pPr>
        <w:spacing w:after="0" w:line="211" w:lineRule="exact"/>
        <w:rPr>
          <w:sz w:val="20"/>
          <w:szCs w:val="20"/>
          <w:color w:val="auto"/>
        </w:rPr>
      </w:pPr>
    </w:p>
    <w:p>
      <w:pPr>
        <w:ind w:left="1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6.5 Preservation of Existence, Etc. (a) (i) Preserve, renew and maintain in full force and effect its legal existence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(ii) preserve, renew and maintain in full force and effect its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180"/>
        <w:spacing w:after="0" w:line="269" w:lineRule="auto"/>
        <w:rPr>
          <w:sz w:val="20"/>
          <w:szCs w:val="20"/>
          <w:color w:val="auto"/>
        </w:rPr>
      </w:pPr>
      <w:r>
        <w:rPr>
          <w:rFonts w:ascii="Times New Roman" w:cs="Times New Roman" w:eastAsia="Times New Roman" w:hAnsi="Times New Roman"/>
          <w:sz w:val="20"/>
          <w:szCs w:val="20"/>
          <w:color w:val="auto"/>
        </w:rPr>
        <w:t>of its registered patents, trademarks, trade names and service marks, the non-preservation of which could reasonably be expected to have a Material Adverse Effect.</w:t>
      </w:r>
    </w:p>
    <w:p>
      <w:pPr>
        <w:spacing w:after="0" w:line="173"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6.6 Maintenance of Properties. (a) Maintain, preserve and protect all of its material properties and equipment necessary in the operation of its 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207"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6.7 Maintenance of Insurance. Maintain with financially sound and reputable insurance companies not Affiliates of the 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 of premium in which case only 10 days’ prior written notice shall be required) and (b) name the Administrative Agent as an additional insured or lender’s loss payee, as applicable.</w:t>
      </w:r>
    </w:p>
    <w:p>
      <w:pPr>
        <w:spacing w:after="0" w:line="203"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6.8 Compliance with Laws.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7"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6.9 Books and Records. Maintain proper books of record and account, with entries that are full, true and correct in all material respects in conformity with GAAP consistently applied shall be made of all financial transactions and matters involving the assets and business of the Company or such Restricted Subsidiary, as the case may be.</w:t>
      </w:r>
    </w:p>
    <w:p>
      <w:pPr>
        <w:spacing w:after="0" w:line="188"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6.10 Inspection Rights.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w:t>
      </w:r>
    </w:p>
    <w:p>
      <w:pPr>
        <w:spacing w:after="0" w:line="201" w:lineRule="exact"/>
        <w:rPr>
          <w:sz w:val="20"/>
          <w:szCs w:val="20"/>
          <w:color w:val="auto"/>
        </w:rPr>
      </w:pPr>
    </w:p>
    <w:p>
      <w:pPr>
        <w:jc w:val="both"/>
        <w:ind w:left="120" w:firstLine="749"/>
        <w:spacing w:after="0" w:line="269" w:lineRule="auto"/>
        <w:rPr>
          <w:sz w:val="20"/>
          <w:szCs w:val="20"/>
          <w:color w:val="auto"/>
        </w:rPr>
      </w:pPr>
      <w:r>
        <w:rPr>
          <w:rFonts w:ascii="Times New Roman" w:cs="Times New Roman" w:eastAsia="Times New Roman" w:hAnsi="Times New Roman"/>
          <w:sz w:val="20"/>
          <w:szCs w:val="20"/>
          <w:color w:val="auto"/>
        </w:rPr>
        <w:t>6.11 Use of Proceeds. Use the proceeds of the Credit Extensions for general corporate purposes not in contravention of any Law or of any Loan Document.</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color w:val="auto"/>
        </w:rPr>
        <w:t>Additional Subsidiaries.</w:t>
      </w:r>
    </w:p>
    <w:p>
      <w:pPr>
        <w:spacing w:after="0" w:line="229" w:lineRule="exact"/>
        <w:rPr>
          <w:sz w:val="20"/>
          <w:szCs w:val="20"/>
          <w:color w:val="auto"/>
        </w:rPr>
      </w:pPr>
    </w:p>
    <w:p>
      <w:pPr>
        <w:jc w:val="both"/>
        <w:ind w:left="300" w:firstLine="748"/>
        <w:spacing w:after="0" w:line="242" w:lineRule="auto"/>
        <w:tabs>
          <w:tab w:leader="none" w:pos="1789"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219" w:lineRule="exact"/>
        <w:rPr>
          <w:rFonts w:ascii="Times New Roman" w:cs="Times New Roman" w:eastAsia="Times New Roman" w:hAnsi="Times New Roman"/>
          <w:sz w:val="20"/>
          <w:szCs w:val="20"/>
          <w:color w:val="auto"/>
        </w:rPr>
      </w:pPr>
    </w:p>
    <w:p>
      <w:pPr>
        <w:ind w:left="1040" w:firstLine="757"/>
        <w:spacing w:after="0" w:line="269"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Guaranty Agreement or a Subsidiary Guaranty Joinder Agreement, as applicable, duly executed by such Subsidiary;</w:t>
      </w:r>
    </w:p>
    <w:p>
      <w:pPr>
        <w:spacing w:after="0" w:line="145"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Agreement or a Security Joinder Agreement, as applicable, duly executed by such Subsidiary (with all schedules thereto appropriately completed);</w:t>
      </w:r>
    </w:p>
    <w:p>
      <w:pPr>
        <w:spacing w:after="0" w:line="186"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owns Equity Interests in any other Subsidiary, which Equity Interests constitute Collateral, a Pledge Agreement or a Pledge Joinder Agreement, as applicable, duly executed by such Subsidiary (with all schedules thereto appropriatelycompleted);</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Pledge Agreement, Pledge Joinder Agreement or Pledge Agreement Supplement, as applicable, duly executed by the Loan Party owning the Equity Interests of such Subsidiary (in either case, with all schedules thereto appropriately completed);</w:t>
      </w:r>
    </w:p>
    <w:p>
      <w:pPr>
        <w:spacing w:after="0" w:line="160"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and if requested by the Administrative Agent, opinions of counsel to the applicable Loan Parties and such Subsidiary with respect to the documents delivered and the transactions contemplated by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in form and substance reasonably acceptable to the Administrative Agent, including opinions, assumptions and qualifications similar to those contained in the opinions of counsel delivered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current copies of the documents of the types referred to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with respect to such Subsidiary, all certified by the applicable Governmental Authority or appropriate officer as the Administrative Agent may elect, all in form and substance reasonably satisfactory to the Administrative Agent; and</w:t>
      </w:r>
    </w:p>
    <w:p>
      <w:pPr>
        <w:spacing w:after="0" w:line="193"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2"/>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reasonably satisfactory to the Administrative Agent that all taxes, filing fees and recording fees related to the perfection of the Liens created under any of the documents delivered pursuant to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have been paid and all reasonable costs and expenses of the Administrative Agent in connection therewith have been paid.</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64" w:lineRule="auto"/>
        <w:tabs>
          <w:tab w:leader="none" w:pos="1789"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foregoing, within 30 days (or such longer period as approved by the Administrative Agent in its sole discretion) after (i) each delivery or required delivery of financial information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6.01(b)</w:t>
      </w:r>
      <w:r>
        <w:rPr>
          <w:rFonts w:ascii="Times New Roman" w:cs="Times New Roman" w:eastAsia="Times New Roman" w:hAnsi="Times New Roman"/>
          <w:sz w:val="19"/>
          <w:szCs w:val="19"/>
          <w:color w:val="auto"/>
        </w:rPr>
        <w:t xml:space="preserve"> and</w:t>
      </w:r>
    </w:p>
    <w:p>
      <w:pPr>
        <w:ind w:left="600" w:hanging="301"/>
        <w:spacing w:after="0"/>
        <w:tabs>
          <w:tab w:leader="none" w:pos="6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any Restricted</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right="20"/>
        <w:spacing w:after="0" w:line="254" w:lineRule="auto"/>
        <w:rPr>
          <w:sz w:val="20"/>
          <w:szCs w:val="20"/>
          <w:color w:val="auto"/>
        </w:rPr>
      </w:pPr>
      <w:r>
        <w:rPr>
          <w:rFonts w:ascii="Times New Roman" w:cs="Times New Roman" w:eastAsia="Times New Roman" w:hAnsi="Times New Roman"/>
          <w:sz w:val="20"/>
          <w:szCs w:val="20"/>
          <w:color w:val="auto"/>
        </w:rPr>
        <w:t xml:space="preserve">Subsidiary or any material portion of its assets (including via merger or dissolution), cause one or more Subsidiaries to become Subsidiary Guarantors and take such additional actions of the type described in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as if such Subsidiaries were Material Subsidiaries, to the extent necessary to cause, 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w:t>
      </w:r>
    </w:p>
    <w:p>
      <w:pPr>
        <w:spacing w:after="0" w:line="161" w:lineRule="exact"/>
        <w:rPr>
          <w:sz w:val="20"/>
          <w:szCs w:val="20"/>
          <w:color w:val="auto"/>
        </w:rPr>
      </w:pPr>
    </w:p>
    <w:p>
      <w:pPr>
        <w:jc w:val="both"/>
        <w:ind w:left="1040" w:firstLine="757"/>
        <w:spacing w:after="0" w:line="249" w:lineRule="auto"/>
        <w:tabs>
          <w:tab w:leader="none" w:pos="252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206" w:lineRule="exact"/>
        <w:rPr>
          <w:rFonts w:ascii="Times New Roman" w:cs="Times New Roman" w:eastAsia="Times New Roman" w:hAnsi="Times New Roman"/>
          <w:sz w:val="20"/>
          <w:szCs w:val="20"/>
          <w:color w:val="auto"/>
        </w:rPr>
      </w:pPr>
    </w:p>
    <w:p>
      <w:pPr>
        <w:jc w:val="both"/>
        <w:ind w:left="1040" w:firstLine="757"/>
        <w:spacing w:after="0" w:line="254" w:lineRule="auto"/>
        <w:tabs>
          <w:tab w:leader="none" w:pos="252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188" w:lineRule="exact"/>
        <w:rPr>
          <w:sz w:val="20"/>
          <w:szCs w:val="20"/>
          <w:color w:val="auto"/>
        </w:rPr>
      </w:pPr>
    </w:p>
    <w:p>
      <w:pPr>
        <w:jc w:val="both"/>
        <w:ind w:left="300" w:firstLine="747"/>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the foregoing calculations, (x) assets shall be determined as of the last day of the most recently ended fiscal quarter for which financial information is available, (y) revenues shall be determined using the results of the four fiscal quarter period of the Company most recently ended for which financial information is available, but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(z) the assets and revenues of a Subsidiary shall not be deemed to include the assets and revenues of its Subsidiaries.</w:t>
      </w:r>
    </w:p>
    <w:p>
      <w:pPr>
        <w:spacing w:after="0" w:line="212" w:lineRule="exact"/>
        <w:rPr>
          <w:sz w:val="20"/>
          <w:szCs w:val="20"/>
          <w:color w:val="auto"/>
        </w:rPr>
      </w:pPr>
    </w:p>
    <w:p>
      <w:pPr>
        <w:jc w:val="both"/>
        <w:ind w:left="300" w:firstLine="748"/>
        <w:spacing w:after="0" w:line="246" w:lineRule="auto"/>
        <w:tabs>
          <w:tab w:leader="none" w:pos="178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to the contrary, it is acknowledged and agreed that (i) in no event shall any Foreign Subsidiary be required to guarantee, or provide collateral security for, any portion of the Obligations of a U.S. Loan Party and (ii) 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212"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6.13 Compliance with Environmental Laws.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w:t>
      </w:r>
    </w:p>
    <w:p>
      <w:pPr>
        <w:spacing w:after="0" w:line="206"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6.14 Further Assurances.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99"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6.15 Approvals and Authorizations. Except as would not reasonably be expected to cause a Material Adverse Effect, 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07" w:lineRule="exact"/>
        <w:rPr>
          <w:sz w:val="20"/>
          <w:szCs w:val="20"/>
          <w:color w:val="auto"/>
        </w:rPr>
      </w:pPr>
    </w:p>
    <w:p>
      <w:pPr>
        <w:jc w:val="both"/>
        <w:ind w:left="120" w:right="20" w:firstLine="749"/>
        <w:spacing w:after="0" w:line="249" w:lineRule="auto"/>
        <w:rPr>
          <w:sz w:val="20"/>
          <w:szCs w:val="20"/>
          <w:color w:val="auto"/>
        </w:rPr>
      </w:pPr>
      <w:r>
        <w:rPr>
          <w:rFonts w:ascii="Times New Roman" w:cs="Times New Roman" w:eastAsia="Times New Roman" w:hAnsi="Times New Roman"/>
          <w:sz w:val="20"/>
          <w:szCs w:val="20"/>
          <w:color w:val="auto"/>
        </w:rPr>
        <w:t>6.16 Anti-Corruption Laws; Sanctions. Conduct its businesses in compliance in all material respects with the United States Foreign Corrupt Practices Act of 1977, the UK Bribery Act 2010, and other similar anti-corruption legislation in other jurisdictions applicable to the Company or any of its Restricted Subsidiaries and with all applicable Sanctions and maintain policies and procedures in the Company’s reasonable business judgment designed to promote and achieve compliance with such laws and Sanctions.</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VII. NEGATIVE COVENANTS</w:t>
      </w:r>
    </w:p>
    <w:p>
      <w:pPr>
        <w:spacing w:after="0" w:line="202"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So long as the Facility Termination Date has not occurred, the Company shall not, nor shall it permit any Restricted Subsidiary to, directly or indirectly:</w:t>
      </w:r>
    </w:p>
    <w:p>
      <w:pPr>
        <w:spacing w:after="0" w:line="186" w:lineRule="exact"/>
        <w:rPr>
          <w:sz w:val="20"/>
          <w:szCs w:val="20"/>
          <w:color w:val="auto"/>
        </w:rPr>
      </w:pPr>
    </w:p>
    <w:p>
      <w:pPr>
        <w:jc w:val="both"/>
        <w:ind w:left="120" w:right="20" w:firstLine="749"/>
        <w:spacing w:after="0" w:line="269" w:lineRule="auto"/>
        <w:rPr>
          <w:sz w:val="20"/>
          <w:szCs w:val="20"/>
          <w:color w:val="auto"/>
        </w:rPr>
      </w:pPr>
      <w:r>
        <w:rPr>
          <w:rFonts w:ascii="Times New Roman" w:cs="Times New Roman" w:eastAsia="Times New Roman" w:hAnsi="Times New Roman"/>
          <w:sz w:val="20"/>
          <w:szCs w:val="20"/>
          <w:color w:val="auto"/>
        </w:rPr>
        <w:t>7.1 Liens. Create, incur, assume or suffer to exist any Lien upon any of its property, assets or revenues, whether now owned or hereafter acquired, other than the following:</w:t>
      </w:r>
    </w:p>
    <w:p>
      <w:pPr>
        <w:spacing w:after="0" w:line="186" w:lineRule="exact"/>
        <w:rPr>
          <w:sz w:val="20"/>
          <w:szCs w:val="20"/>
          <w:color w:val="auto"/>
        </w:rPr>
      </w:pPr>
    </w:p>
    <w:p>
      <w:pPr>
        <w:ind w:left="1800" w:hanging="752"/>
        <w:spacing w:after="0"/>
        <w:tabs>
          <w:tab w:leader="none" w:pos="180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29"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1" w:lineRule="exact"/>
        <w:rPr>
          <w:rFonts w:ascii="Times New Roman" w:cs="Times New Roman" w:eastAsia="Times New Roman" w:hAnsi="Times New Roman"/>
          <w:sz w:val="20"/>
          <w:szCs w:val="20"/>
          <w:color w:val="auto"/>
        </w:rPr>
      </w:pPr>
    </w:p>
    <w:p>
      <w:pPr>
        <w:jc w:val="both"/>
        <w:ind w:left="300" w:hanging="1"/>
        <w:spacing w:after="0" w:line="242" w:lineRule="auto"/>
        <w:tabs>
          <w:tab w:leader="none" w:pos="54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property covered thereby is not changed, (ii) the amount secured or benefited thereby is not increased except as contemplated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or as to which the period of grace (not to exceed thirty (30) days), if any, related thereto has not expired or (ii) which are being contested in good faith and by appropriate proceedings diligently conducted, if adequate reserves with respect thereto are maintained on the books of the applicable Person in accordance with GAAP;</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right="20" w:firstLine="748"/>
        <w:spacing w:after="0" w:line="269" w:lineRule="auto"/>
        <w:tabs>
          <w:tab w:leader="none" w:pos="178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59" w:lineRule="exact"/>
        <w:rPr>
          <w:rFonts w:ascii="Times New Roman" w:cs="Times New Roman" w:eastAsia="Times New Roman" w:hAnsi="Times New Roman"/>
          <w:sz w:val="20"/>
          <w:szCs w:val="20"/>
          <w:color w:val="auto"/>
        </w:rPr>
      </w:pPr>
    </w:p>
    <w:p>
      <w:pPr>
        <w:ind w:left="300" w:firstLine="748"/>
        <w:spacing w:after="0" w:line="295" w:lineRule="auto"/>
        <w:tabs>
          <w:tab w:leader="none" w:pos="1789"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51" w:lineRule="exact"/>
        <w:rPr>
          <w:rFonts w:ascii="Times New Roman" w:cs="Times New Roman" w:eastAsia="Times New Roman" w:hAnsi="Times New Roman"/>
          <w:sz w:val="19"/>
          <w:szCs w:val="19"/>
          <w:color w:val="auto"/>
        </w:rPr>
      </w:pPr>
    </w:p>
    <w:p>
      <w:pPr>
        <w:jc w:val="both"/>
        <w:ind w:left="300" w:firstLine="748"/>
        <w:spacing w:after="0" w:line="254" w:lineRule="auto"/>
        <w:tabs>
          <w:tab w:leader="none" w:pos="178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7"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198"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collateral securing Indebtedness permitted under </w:t>
      </w:r>
      <w:r>
        <w:rPr>
          <w:rFonts w:ascii="Times New Roman" w:cs="Times New Roman" w:eastAsia="Times New Roman" w:hAnsi="Times New Roman"/>
          <w:sz w:val="20"/>
          <w:szCs w:val="20"/>
          <w:u w:val="single" w:color="auto"/>
          <w:color w:val="auto"/>
        </w:rPr>
        <w:t>Section 7.03(j)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amount of obligations secured thereby shall not exceed $5,000,000 and (ii) the amount of cash collateral provided shall not exceed 110% of the face amount of the letter of credit or bank guarantee secured thereby;</w:t>
      </w:r>
    </w:p>
    <w:p>
      <w:pPr>
        <w:spacing w:after="0" w:line="187"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accounts receivable (and related assets customarily included in such transactions) arising under a Qualified Supply Chain Finance Program permitted under </w:t>
      </w:r>
      <w:r>
        <w:rPr>
          <w:rFonts w:ascii="Times New Roman" w:cs="Times New Roman" w:eastAsia="Times New Roman" w:hAnsi="Times New Roman"/>
          <w:sz w:val="20"/>
          <w:szCs w:val="20"/>
          <w:u w:val="single" w:color="auto"/>
          <w:color w:val="auto"/>
        </w:rPr>
        <w:t>Section 7.05(f)(ii)</w:t>
      </w:r>
      <w:r>
        <w:rPr>
          <w:rFonts w:ascii="Times New Roman" w:cs="Times New Roman" w:eastAsia="Times New Roman" w:hAnsi="Times New Roman"/>
          <w:sz w:val="20"/>
          <w:szCs w:val="20"/>
          <w:color w:val="auto"/>
        </w:rPr>
        <w:t>; and</w:t>
      </w:r>
    </w:p>
    <w:p>
      <w:pPr>
        <w:spacing w:after="0" w:line="172"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which do not exceed $10,000,000 at any time outstanding.</w:t>
      </w:r>
    </w:p>
    <w:p>
      <w:pPr>
        <w:spacing w:after="0" w:line="21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Investments. Make or hold any Investments, except:</w:t>
      </w:r>
    </w:p>
    <w:p>
      <w:pPr>
        <w:spacing w:after="0" w:line="229" w:lineRule="exact"/>
        <w:rPr>
          <w:sz w:val="20"/>
          <w:szCs w:val="20"/>
          <w:color w:val="auto"/>
        </w:rPr>
      </w:pPr>
    </w:p>
    <w:p>
      <w:pPr>
        <w:ind w:left="1780" w:hanging="732"/>
        <w:spacing w:after="0"/>
        <w:tabs>
          <w:tab w:leader="none" w:pos="17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Company or such Restricted Subsidiary in the form of Cash Equivalents;</w:t>
      </w:r>
    </w:p>
    <w:p>
      <w:pPr>
        <w:spacing w:after="0" w:line="215" w:lineRule="exact"/>
        <w:rPr>
          <w:rFonts w:ascii="Times New Roman" w:cs="Times New Roman" w:eastAsia="Times New Roman" w:hAnsi="Times New Roman"/>
          <w:sz w:val="20"/>
          <w:szCs w:val="20"/>
          <w:color w:val="auto"/>
        </w:rPr>
      </w:pPr>
    </w:p>
    <w:p>
      <w:pPr>
        <w:ind w:left="300" w:firstLine="748"/>
        <w:spacing w:after="0" w:line="269" w:lineRule="auto"/>
        <w:tabs>
          <w:tab w:leader="none" w:pos="1788"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Company and Restricted Subsidiaries in the ordinary course of business in an aggregate amount not to exceed $1,000,000 at any time outstanding;</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t>EX-10.25</w:t>
      </w:r>
    </w:p>
    <w:p>
      <w:pPr>
        <w:spacing w:after="0" w:line="59" w:lineRule="exact"/>
        <w:rPr>
          <w:sz w:val="20"/>
          <w:szCs w:val="20"/>
          <w:color w:val="auto"/>
        </w:rPr>
      </w:pPr>
    </w:p>
    <w:p>
      <w:pPr>
        <w:ind w:left="1800" w:hanging="752"/>
        <w:spacing w:after="0"/>
        <w:tabs>
          <w:tab w:leader="none" w:pos="18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existing on the Closing Date in Subsidiaries existing on the Closing Date;</w:t>
      </w:r>
    </w:p>
    <w:p>
      <w:pPr>
        <w:spacing w:after="0" w:line="28" w:lineRule="exact"/>
        <w:rPr>
          <w:rFonts w:ascii="Times New Roman" w:cs="Times New Roman" w:eastAsia="Times New Roman" w:hAnsi="Times New Roman"/>
          <w:sz w:val="20"/>
          <w:szCs w:val="20"/>
          <w:color w:val="auto"/>
        </w:rPr>
      </w:pPr>
    </w:p>
    <w:p>
      <w:pPr>
        <w:jc w:val="both"/>
        <w:ind w:left="300" w:hanging="1"/>
        <w:spacing w:after="0" w:line="242" w:lineRule="auto"/>
        <w:tabs>
          <w:tab w:leader="none" w:pos="58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Closing Date (other than Investments in Subsidiaries existing on the Closing Date) and described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(iii) Investments made after the Closing Date by any Loan Party in any other Loan Party (limited, in the case of U.S. Loan Parties, to Investments in each other and in other Loan Parties that have Guaranteed the Obligations of the Company); (iv) Investments made after the Closing Date by any Restricted Subsidiary that is not a Loan Party in any other Restricted Subsidiary that is not a Loan Party; and (v) Investments made after the Closing Date by any Restricted Subsidiary that is not a Loan Party in any Loan Party;</w:t>
      </w:r>
    </w:p>
    <w:p>
      <w:pPr>
        <w:spacing w:after="0" w:line="199"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01"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9"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any Loan Party after the Amendment No. 2 Effective Date (i) in any Subsidiary that is either not a Loan Party or is a Loan Party that has not Guaranteed the Obligations of the Company or (ii) in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amount of all such Investments described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when taken together with the aggregate amount of Investments made in the form of Permitted Acquisitions pursuant to </w:t>
      </w:r>
      <w:r>
        <w:rPr>
          <w:rFonts w:ascii="Times New Roman" w:cs="Times New Roman" w:eastAsia="Times New Roman" w:hAnsi="Times New Roman"/>
          <w:sz w:val="20"/>
          <w:szCs w:val="20"/>
          <w:u w:val="single" w:color="auto"/>
          <w:color w:val="auto"/>
        </w:rPr>
        <w:t>Section 7.02(g)(ii)</w:t>
      </w:r>
      <w:r>
        <w:rPr>
          <w:rFonts w:ascii="Times New Roman" w:cs="Times New Roman" w:eastAsia="Times New Roman" w:hAnsi="Times New Roman"/>
          <w:sz w:val="20"/>
          <w:szCs w:val="20"/>
          <w:color w:val="auto"/>
        </w:rPr>
        <w:t xml:space="preserve">, shall not at any time exceed the Investment Amount and (B) any Investments in the form of loans or advances made by any Loan Party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212"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or any Restricted Subsidiary in the form of:</w:t>
      </w:r>
    </w:p>
    <w:p>
      <w:pPr>
        <w:spacing w:after="0" w:line="229" w:lineRule="exact"/>
        <w:rPr>
          <w:rFonts w:ascii="Times New Roman" w:cs="Times New Roman" w:eastAsia="Times New Roman" w:hAnsi="Times New Roman"/>
          <w:sz w:val="20"/>
          <w:szCs w:val="20"/>
          <w:color w:val="auto"/>
        </w:rPr>
      </w:pPr>
    </w:p>
    <w:p>
      <w:pPr>
        <w:jc w:val="both"/>
        <w:ind w:left="860" w:firstLine="749"/>
        <w:spacing w:after="0" w:line="254" w:lineRule="auto"/>
        <w:tabs>
          <w:tab w:leader="none" w:pos="2362"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860" w:firstLine="749"/>
        <w:spacing w:after="0" w:line="249" w:lineRule="auto"/>
        <w:tabs>
          <w:tab w:leader="none" w:pos="2362"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after the Amendment No. 2 Effective Date to the extent that any Person or property acquired in such Permitted Acquisition does not become a Loan Party that has Guaranteed the Obligations of the Company or a part of a Loan Party that has Guaranteed the Obligations of the Company in an aggregate amount, when taken together with the aggregate amount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not to exceed the Investment Amount;</w:t>
      </w:r>
    </w:p>
    <w:p>
      <w:pPr>
        <w:spacing w:after="0" w:line="179"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were not made by such Person in connection with, or in anticipation or contemplation of, such Person becoming a Restricted Subsidiary of the Company or such merger or consolidation;</w:t>
      </w:r>
    </w:p>
    <w:p>
      <w:pPr>
        <w:spacing w:after="0" w:line="198"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Investments existing on the Amendment No. 2 Effective Date that were made pursuant to either of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(g)(ii)</w:t>
      </w:r>
      <w:r>
        <w:rPr>
          <w:rFonts w:ascii="Times New Roman" w:cs="Times New Roman" w:eastAsia="Times New Roman" w:hAnsi="Times New Roman"/>
          <w:sz w:val="20"/>
          <w:szCs w:val="20"/>
          <w:color w:val="auto"/>
        </w:rPr>
        <w:t>, in each case, to the extent permitted pursuant to the terms thereof as in effect immediately prior to the Amendment No. 2 Effective Date;</w:t>
      </w:r>
    </w:p>
    <w:p>
      <w:pPr>
        <w:spacing w:after="0" w:line="187"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Rubber Joint Venture Investment; and</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right="20" w:firstLine="748"/>
        <w:spacing w:after="0" w:line="254" w:lineRule="auto"/>
        <w:tabs>
          <w:tab w:leader="none" w:pos="178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so long as, after giving thereto, the amount of Investments made pursuant to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in the fiscal quarter in which such Investment is made and in the three fiscal quarters immediately preceding such fiscal quarter, in the aggregate, does not exceed$5,000,000.</w:t>
      </w:r>
    </w:p>
    <w:p>
      <w:pPr>
        <w:spacing w:after="0" w:line="17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Indebtedness. Create, incur, assume or suffer to exist any Indebtedness, except:</w:t>
      </w:r>
    </w:p>
    <w:p>
      <w:pPr>
        <w:spacing w:after="0" w:line="229" w:lineRule="exact"/>
        <w:rPr>
          <w:sz w:val="20"/>
          <w:szCs w:val="20"/>
          <w:color w:val="auto"/>
        </w:rPr>
      </w:pPr>
    </w:p>
    <w:p>
      <w:pPr>
        <w:ind w:left="1800" w:hanging="752"/>
        <w:spacing w:after="0"/>
        <w:tabs>
          <w:tab w:leader="none" w:pos="18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42"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refunding, renewal or extension except by (i) an amount equal to a reasonable premium or other reasonable amount paid, and fees and expenses reasonably incurred, in connection with such refinancing, (ii) an amount equal to any existing commitments unutilized thereunder, and (iii) the amount of Indebtedness incurred pursuant to another subsection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allocated by the Company for such purpose in accordance with the final sentence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300" w:right="20" w:firstLine="748"/>
        <w:spacing w:after="0" w:line="250" w:lineRule="auto"/>
        <w:tabs>
          <w:tab w:leader="none" w:pos="178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 Indebtedness of any U.S. Loan Party to another U.S. Loan Party and Guarantees of any U.S. Loan Party in respect of Indebtedness otherwise permitted hereunder of another</w:t>
      </w:r>
    </w:p>
    <w:p>
      <w:pPr>
        <w:spacing w:after="0" w:line="1" w:lineRule="exact"/>
        <w:rPr>
          <w:rFonts w:ascii="Times New Roman" w:cs="Times New Roman" w:eastAsia="Times New Roman" w:hAnsi="Times New Roman"/>
          <w:sz w:val="20"/>
          <w:szCs w:val="20"/>
          <w:color w:val="auto"/>
        </w:rPr>
      </w:pPr>
    </w:p>
    <w:p>
      <w:pPr>
        <w:jc w:val="both"/>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 Loan Party; (ii) Indebtedness of any Restricted Subsidiary that is not a Loan Party to another 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 owned Restricted Subsidiary that is a Loan Party to the extent such Indebtedness is permitted by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7.02(i)</w:t>
      </w:r>
      <w:r>
        <w:rPr>
          <w:rFonts w:ascii="Times New Roman" w:cs="Times New Roman" w:eastAsia="Times New Roman" w:hAnsi="Times New Roman"/>
          <w:sz w:val="20"/>
          <w:szCs w:val="20"/>
          <w:color w:val="auto"/>
        </w:rPr>
        <w:t>; and (iv) Indebtedness owed by any Loan Party to any Restricted Subsidiary that is not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be subordinated to the Obligations in a manner reasonably satisfactory to the Administrative Agent);</w:t>
      </w:r>
    </w:p>
    <w:p>
      <w:pPr>
        <w:spacing w:after="0" w:line="204"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amount of all such Indebtedness, at any one time outstanding, when added to the aggregate amount of all outstanding Indebtedness permitted under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below, shall not exceed $10,000,000;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up to $15,000,000 in the aggregate of Attributable Indebtedness from additional capital leases arising from sale-leaseback transactions may be incurred and carved out of the preceding combined $10,0000,000 limitation to the extent the Net Cash Proceeds therefrom are used substantially contemporaneously with the receipt thereof to prepay Term Loans outstanding hereunder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connection with Permitted Acquisitions (including existing Indebtedness of a Person acquired in connection with a Permitted Acquisition provided such Indebtedness was not incurred in anticipation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right="20"/>
        <w:spacing w:after="0" w:line="254" w:lineRule="auto"/>
        <w:rPr>
          <w:sz w:val="20"/>
          <w:szCs w:val="20"/>
          <w:color w:val="auto"/>
        </w:rPr>
      </w:pPr>
      <w:r>
        <w:rPr>
          <w:rFonts w:ascii="Times New Roman" w:cs="Times New Roman" w:eastAsia="Times New Roman" w:hAnsi="Times New Roman"/>
          <w:sz w:val="20"/>
          <w:szCs w:val="20"/>
          <w:color w:val="auto"/>
        </w:rPr>
        <w:t xml:space="preserve">all such Indebtedness, at any one time outstanding, when added to the aggregate amount of all outstanding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above (excluding Attributable Indebtedness of the type described in the second proviso of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above), shall not exceed $10,000,000;</w:t>
      </w:r>
    </w:p>
    <w:p>
      <w:pPr>
        <w:spacing w:after="0" w:line="161" w:lineRule="exact"/>
        <w:rPr>
          <w:sz w:val="20"/>
          <w:szCs w:val="20"/>
          <w:color w:val="auto"/>
        </w:rPr>
      </w:pPr>
    </w:p>
    <w:p>
      <w:pPr>
        <w:ind w:left="300" w:right="20" w:firstLine="748"/>
        <w:spacing w:after="0" w:line="269" w:lineRule="auto"/>
        <w:tabs>
          <w:tab w:leader="none" w:pos="1788"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and similar payments and obligations to make purchase price adjustments, indemnities and the like in connection with Acquisitions permitted hereby;</w:t>
      </w:r>
    </w:p>
    <w:p>
      <w:pPr>
        <w:spacing w:after="0" w:line="186"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Restricted Subsidiaries that are Foreign Subsidiaries and Guarantees by the Company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at any one time outstanding, shall not exceed $20,000,000;</w:t>
      </w:r>
    </w:p>
    <w:p>
      <w:pPr>
        <w:spacing w:after="0" w:line="159"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Permitted Standalone Letters of Credit;</w:t>
      </w:r>
    </w:p>
    <w:p>
      <w:pPr>
        <w:spacing w:after="0" w:line="229"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other letters of credit and bank guarantees supporting the operations in China or India of the Company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and bank guarantees shall not exceed $5,000,000 at any time;</w:t>
      </w:r>
    </w:p>
    <w:p>
      <w:pPr>
        <w:spacing w:after="0" w:line="201"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bid, performance or surety, appeal or similar bonds and completion guarantees, in each case incurred in the ordinary course of business;</w:t>
      </w:r>
    </w:p>
    <w:p>
      <w:pPr>
        <w:spacing w:after="0" w:line="172"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pursuant to a Qualified Supply Chain Finance Program permitted pursuant to </w:t>
      </w:r>
      <w:r>
        <w:rPr>
          <w:rFonts w:ascii="Times New Roman" w:cs="Times New Roman" w:eastAsia="Times New Roman" w:hAnsi="Times New Roman"/>
          <w:sz w:val="20"/>
          <w:szCs w:val="20"/>
          <w:u w:val="single" w:color="auto"/>
          <w:color w:val="auto"/>
        </w:rPr>
        <w:t>Section 7.05(f)</w:t>
      </w:r>
    </w:p>
    <w:p>
      <w:pPr>
        <w:spacing w:after="0" w:line="21" w:lineRule="exact"/>
        <w:rPr>
          <w:rFonts w:ascii="Times New Roman" w:cs="Times New Roman" w:eastAsia="Times New Roman" w:hAnsi="Times New Roman"/>
          <w:sz w:val="20"/>
          <w:szCs w:val="20"/>
          <w:color w:val="auto"/>
        </w:rPr>
      </w:pPr>
    </w:p>
    <w:p>
      <w:pPr>
        <w:ind w:left="300" w:hanging="1"/>
        <w:spacing w:after="0" w:line="246" w:lineRule="auto"/>
        <w:tabs>
          <w:tab w:leader="none" w:pos="591"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(solely to the extent the sales of accounts receivable under such Qualified Supply Chain Finance Program are intended to be “true sales” but include precautionary financing provisions); and</w:t>
      </w:r>
    </w:p>
    <w:p>
      <w:pPr>
        <w:spacing w:after="0" w:line="208" w:lineRule="exact"/>
        <w:rPr>
          <w:rFonts w:ascii="Times New Roman" w:cs="Times New Roman" w:eastAsia="Times New Roman" w:hAnsi="Times New Roman"/>
          <w:sz w:val="20"/>
          <w:szCs w:val="20"/>
          <w:u w:val="single" w:color="auto"/>
          <w:color w:val="auto"/>
        </w:rPr>
      </w:pPr>
    </w:p>
    <w:p>
      <w:pPr>
        <w:ind w:left="1780" w:hanging="732"/>
        <w:spacing w:after="0"/>
        <w:tabs>
          <w:tab w:leader="none" w:pos="178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$10,000,000 at any time outstanding.</w:t>
      </w:r>
    </w:p>
    <w:p>
      <w:pPr>
        <w:spacing w:after="0" w:line="216" w:lineRule="exact"/>
        <w:rPr>
          <w:sz w:val="20"/>
          <w:szCs w:val="20"/>
          <w:color w:val="auto"/>
        </w:rPr>
      </w:pPr>
    </w:p>
    <w:p>
      <w:pPr>
        <w:jc w:val="both"/>
        <w:ind w:left="300" w:right="20"/>
        <w:spacing w:after="0" w:line="254" w:lineRule="auto"/>
        <w:rPr>
          <w:sz w:val="20"/>
          <w:szCs w:val="20"/>
          <w:color w:val="auto"/>
        </w:rPr>
      </w:pPr>
      <w:r>
        <w:rPr>
          <w:rFonts w:ascii="Times New Roman" w:cs="Times New Roman" w:eastAsia="Times New Roman" w:hAnsi="Times New Roman"/>
          <w:sz w:val="20"/>
          <w:szCs w:val="20"/>
          <w:color w:val="auto"/>
        </w:rPr>
        <w:t xml:space="preserve">To the extent that the creation, incurrence or assumption of any Indebtedness could be attributable to more than one subsection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the Company may allocate such Indebtedness to any one or more of such subsections and in no event shall the same portion of Indebtedness be deemed to utilize or be attributable to more than one item.</w:t>
      </w:r>
    </w:p>
    <w:p>
      <w:pPr>
        <w:spacing w:after="0" w:line="18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7.4 Fundamental Changes.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 so long as no Event of Default exists or would result therefrom:</w:t>
      </w:r>
    </w:p>
    <w:p>
      <w:pPr>
        <w:spacing w:after="0" w:line="207" w:lineRule="exact"/>
        <w:rPr>
          <w:sz w:val="20"/>
          <w:szCs w:val="20"/>
          <w:color w:val="auto"/>
        </w:rPr>
      </w:pPr>
    </w:p>
    <w:p>
      <w:pPr>
        <w:jc w:val="both"/>
        <w:ind w:left="300" w:firstLine="748"/>
        <w:spacing w:after="0" w:line="245" w:lineRule="auto"/>
        <w:tabs>
          <w:tab w:leader="none" w:pos="1789"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with (i)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the continuing or surviving Person, or (ii) any one or more other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197"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transferor in such a transaction is a Loan Party, then the transferee must either be the Company or another Loan Party and (ii) if the transferor of such property is a Loan Party that has Guaranteed the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106</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right="160"/>
        <w:spacing w:after="0" w:line="269" w:lineRule="auto"/>
        <w:rPr>
          <w:sz w:val="20"/>
          <w:szCs w:val="20"/>
          <w:color w:val="auto"/>
        </w:rPr>
      </w:pPr>
      <w:r>
        <w:rPr>
          <w:rFonts w:ascii="Times New Roman" w:cs="Times New Roman" w:eastAsia="Times New Roman" w:hAnsi="Times New Roman"/>
          <w:sz w:val="20"/>
          <w:szCs w:val="20"/>
          <w:color w:val="auto"/>
        </w:rPr>
        <w:t>Obligations of the Company, the transferee thereof must either be the Company or a Loan Party that has Guaranteed the Obligations of the Company; and</w:t>
      </w:r>
    </w:p>
    <w:p>
      <w:pPr>
        <w:spacing w:after="0" w:line="173" w:lineRule="exact"/>
        <w:rPr>
          <w:sz w:val="20"/>
          <w:szCs w:val="20"/>
          <w:color w:val="auto"/>
        </w:rPr>
      </w:pPr>
    </w:p>
    <w:p>
      <w:pPr>
        <w:jc w:val="both"/>
        <w:ind w:left="300" w:firstLine="748"/>
        <w:spacing w:after="0" w:line="266" w:lineRule="auto"/>
        <w:tabs>
          <w:tab w:leader="none" w:pos="1789"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acquisition permitted under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any Restricted Subsidiary may merge into or consolidate with any other Person or permit any other Person to merge into or consolidate with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each case, immediately after giving effect thereto (i) the Person surviving such merger shall be a wholly-owned Restricted Subsidiary and (ii) in the case of any such merger to which any Loan Party (other than the Company) is a party, such Loan Party is the surviving Person.</w:t>
      </w:r>
    </w:p>
    <w:p>
      <w:pPr>
        <w:spacing w:after="0" w:line="165"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color w:val="auto"/>
        </w:rPr>
        <w:t>Dispositions. Make any Disposition, except:</w:t>
      </w:r>
    </w:p>
    <w:p>
      <w:pPr>
        <w:spacing w:after="0" w:line="243" w:lineRule="exact"/>
        <w:rPr>
          <w:sz w:val="20"/>
          <w:szCs w:val="20"/>
          <w:color w:val="auto"/>
        </w:rPr>
      </w:pPr>
    </w:p>
    <w:p>
      <w:pPr>
        <w:ind w:left="300" w:firstLine="748"/>
        <w:spacing w:after="0" w:line="269" w:lineRule="auto"/>
        <w:tabs>
          <w:tab w:leader="none" w:pos="1789"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assets or assets no longer used or useful to the business in the reasonable business judgment of the Company, whether now owned or hereafter acquired, in the ordinary course of business;</w:t>
      </w:r>
    </w:p>
    <w:p>
      <w:pPr>
        <w:spacing w:after="0" w:line="172"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42" w:lineRule="exact"/>
        <w:rPr>
          <w:rFonts w:ascii="Times New Roman" w:cs="Times New Roman" w:eastAsia="Times New Roman" w:hAnsi="Times New Roman"/>
          <w:sz w:val="20"/>
          <w:szCs w:val="20"/>
          <w:color w:val="auto"/>
        </w:rPr>
      </w:pPr>
    </w:p>
    <w:p>
      <w:pPr>
        <w:jc w:val="both"/>
        <w:ind w:left="300" w:right="20" w:firstLine="748"/>
        <w:spacing w:after="0" w:line="254" w:lineRule="auto"/>
        <w:tabs>
          <w:tab w:leader="none" w:pos="1788"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replacementproperty;</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64" w:lineRule="auto"/>
        <w:tabs>
          <w:tab w:leader="none" w:pos="1789" w:val="left"/>
        </w:tabs>
        <w:numPr>
          <w:ilvl w:val="1"/>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property by any Restricted Subsidiary to the Company or to a wholly- owned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transferor of such property is a Loan Party, the transferee thereof must either be the Company or a Loan Party and</w:t>
      </w:r>
    </w:p>
    <w:p>
      <w:pPr>
        <w:ind w:left="300" w:hanging="1"/>
        <w:spacing w:after="0" w:line="246" w:lineRule="auto"/>
        <w:tabs>
          <w:tab w:leader="none" w:pos="60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transferor of such property is a Loan Party that has Guaranteed the Obligations of the Company, the transferee thereof must either be the Company or a Loan Party that has Guaranteed the Obligations of the Company;</w:t>
      </w:r>
    </w:p>
    <w:p>
      <w:pPr>
        <w:spacing w:after="0" w:line="195"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accounts receivable that are at least 180 days past due or are owing from obligors that are the subject of proceedings of the types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and (ii) Dispositions of accounts receivable (and related assets customarily included in such transactions) in connection with a Qualified Supply Chain Finance Program;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 aggregate amount of accounts receivable sold, assigned, conveyed or otherwise transferred pursuant to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exceed $15,000,000 at any one timeoutstanding;</w:t>
      </w:r>
    </w:p>
    <w:p>
      <w:pPr>
        <w:spacing w:after="0" w:line="171"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book value of all property Disposed of in reliance on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from the Closing Date through the Facility Termination Date shall not exceed $2,500,000; and</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788"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by the Company and its Restricted Subsidiaries not otherwise permitted under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from the Closing Date through the Facility Termination Date shall not exceed</w:t>
      </w:r>
    </w:p>
    <w:p>
      <w:pPr>
        <w:jc w:val="both"/>
        <w:ind w:left="3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$35,000,000 (excluding from such limitation the book value of any property that is Disposed of in sale- leaseback transactions to the extent the Net Cash Proceeds therefrom are used substantially contemporaneously with the receipt thereof to prepay Term Loans outstanding hereunder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107</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Disposition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above shall be for fair market value and, in the case of Dispositions pursuant to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above, shall be for at least 75% cash consideration.</w:t>
      </w:r>
    </w:p>
    <w:p>
      <w:pPr>
        <w:spacing w:after="0" w:line="173"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7.6 Restricted Payments. Declare or make, directly or indirectly, any Restricted Payment, or incur any obligation (contingent or otherwise) to do so, except that:</w:t>
      </w:r>
    </w:p>
    <w:p>
      <w:pPr>
        <w:spacing w:after="0" w:line="186" w:lineRule="exact"/>
        <w:rPr>
          <w:sz w:val="20"/>
          <w:szCs w:val="20"/>
          <w:color w:val="auto"/>
        </w:rPr>
      </w:pPr>
    </w:p>
    <w:p>
      <w:pPr>
        <w:jc w:val="both"/>
        <w:ind w:left="300" w:firstLine="748"/>
        <w:spacing w:after="0" w:line="254" w:lineRule="auto"/>
        <w:tabs>
          <w:tab w:leader="none" w:pos="1789"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187"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declare and make dividend payments or other distributions payable solely in the common stock or other common Equity Interests of such Person;</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purchase, redeem or otherwise acquire common Equity Interests issued by it with the proceeds received from the substantially concurrent issue of new shares of its common stock or other common Equity Interests; and</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56" w:lineRule="auto"/>
        <w:tabs>
          <w:tab w:leader="none" w:pos="1789"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Event of Default exists or would result therefrom and after giving effect thereto the Company is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(calculated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 redemptions made pursuant to this clause (d) during the trailing 365-day period immediately preceding the day on which such cash dividend, distribution or redemption is proposed to be made were made on the last day of such four fiscal quarter period), the Company may declare and pay cash dividends and distributions to the holders of its Equity Interests or declare and make redemptions of its Equity Interests;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7.06(d)</w:t>
      </w:r>
      <w:r>
        <w:rPr>
          <w:rFonts w:ascii="Times New Roman" w:cs="Times New Roman" w:eastAsia="Times New Roman" w:hAnsi="Times New Roman"/>
          <w:sz w:val="19"/>
          <w:szCs w:val="19"/>
          <w:color w:val="auto"/>
        </w:rPr>
        <w:t xml:space="preserve"> shall operate to prevent the making of a previously declared Restricted Payment by the Company so long as (i) at the declaration date, such Restricted Payment was permitted by the foregoing and (ii) such Restricted Payment is made within the earlier of (A) 60 days following such declaration date and (B) any date under applicable Law on which such Restricted Payment must be made.</w:t>
      </w:r>
    </w:p>
    <w:p>
      <w:pPr>
        <w:spacing w:after="0" w:line="204"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7.7 Change in Nature of Business. Engage in any material line of business substantially different from those lines of business conducted by the Company and its Restricted Subsidiaries on the Amendment No. 2 Effective Date or any business substantially related or incidental thereto or reasonable extensions thereof.</w:t>
      </w:r>
    </w:p>
    <w:p>
      <w:pPr>
        <w:spacing w:after="0" w:line="188" w:lineRule="exact"/>
        <w:rPr>
          <w:sz w:val="20"/>
          <w:szCs w:val="20"/>
          <w:color w:val="auto"/>
        </w:rPr>
      </w:pPr>
    </w:p>
    <w:p>
      <w:pPr>
        <w:jc w:val="both"/>
        <w:ind w:left="120" w:firstLine="749"/>
        <w:spacing w:after="0" w:line="263" w:lineRule="auto"/>
        <w:rPr>
          <w:sz w:val="20"/>
          <w:szCs w:val="20"/>
          <w:color w:val="auto"/>
        </w:rPr>
      </w:pPr>
      <w:r>
        <w:rPr>
          <w:rFonts w:ascii="Times New Roman" w:cs="Times New Roman" w:eastAsia="Times New Roman" w:hAnsi="Times New Roman"/>
          <w:sz w:val="19"/>
          <w:szCs w:val="19"/>
          <w:color w:val="auto"/>
        </w:rPr>
        <w:t xml:space="preserve">7.8 Transactions with Affiliates. Enter into any transaction of any kind with any Affiliate of the Company, whether or not in the 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restriction shall not apply to transactions between or among the Company and any Subsidiary Guarantor or Designated Borrower or between and among any Designated Borrowers or Subsidiary Guarantors.</w:t>
      </w:r>
    </w:p>
    <w:p>
      <w:pPr>
        <w:spacing w:after="0" w:line="193" w:lineRule="exact"/>
        <w:rPr>
          <w:sz w:val="20"/>
          <w:szCs w:val="20"/>
          <w:color w:val="auto"/>
        </w:rPr>
      </w:pPr>
    </w:p>
    <w:p>
      <w:pPr>
        <w:jc w:val="both"/>
        <w:ind w:left="120" w:right="20" w:firstLine="749"/>
        <w:spacing w:after="0" w:line="269" w:lineRule="auto"/>
        <w:rPr>
          <w:sz w:val="20"/>
          <w:szCs w:val="20"/>
          <w:color w:val="auto"/>
        </w:rPr>
      </w:pPr>
      <w:r>
        <w:rPr>
          <w:rFonts w:ascii="Times New Roman" w:cs="Times New Roman" w:eastAsia="Times New Roman" w:hAnsi="Times New Roman"/>
          <w:sz w:val="20"/>
          <w:szCs w:val="20"/>
          <w:color w:val="auto"/>
        </w:rPr>
        <w:t>7.9 Burdensome Agreements. Enter into or permit to exist any Contractual Obligation (other than this Agreement or any other Loan Document) that:</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1" w:lineRule="auto"/>
        <w:tabs>
          <w:tab w:leader="none" w:pos="179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 leases permitted hereunder, but only to the extent such restrictions and conditions apply only to the assets secured pursuant to such Indebtedness or capital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restrictions or conditions on a Restricted Subsidiary existing prior to such Restricted Subsidiary becoming a Subsidiary of the Company, so long as such restriction or condition only applies to such Restricted Subsidiary and was not entered into in contemplation of such Person becoming a Subsidiary, (G) imposed by any agreement related to Indebtedness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 (H) restrictions on cash or other deposits imposed by customers under contracts entered into in the ordinary course of business; or</w:t>
      </w:r>
    </w:p>
    <w:p>
      <w:pPr>
        <w:spacing w:after="0" w:line="202"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requires the grant of a Lien to secure an obligation of such Person if a Lien is granted to secure another obligation of</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w:t>
      </w:r>
    </w:p>
    <w:p>
      <w:pPr>
        <w:spacing w:after="0" w:line="221"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color w:val="auto"/>
        </w:rPr>
        <w:t>Use of Proceeds.</w:t>
      </w:r>
    </w:p>
    <w:p>
      <w:pPr>
        <w:spacing w:after="0" w:line="229" w:lineRule="exact"/>
        <w:rPr>
          <w:sz w:val="20"/>
          <w:szCs w:val="20"/>
          <w:color w:val="auto"/>
        </w:rPr>
      </w:pPr>
    </w:p>
    <w:p>
      <w:pPr>
        <w:jc w:val="both"/>
        <w:ind w:left="300" w:firstLine="748"/>
        <w:spacing w:after="0" w:line="254" w:lineRule="auto"/>
        <w:tabs>
          <w:tab w:leader="none" w:pos="1789"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198" w:lineRule="exact"/>
        <w:rPr>
          <w:rFonts w:ascii="Times New Roman" w:cs="Times New Roman" w:eastAsia="Times New Roman" w:hAnsi="Times New Roman"/>
          <w:sz w:val="20"/>
          <w:szCs w:val="20"/>
          <w:color w:val="auto"/>
        </w:rPr>
      </w:pPr>
    </w:p>
    <w:p>
      <w:pPr>
        <w:ind w:left="300" w:right="20" w:firstLine="748"/>
        <w:spacing w:after="0" w:line="295" w:lineRule="auto"/>
        <w:tabs>
          <w:tab w:leader="none" w:pos="1788"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65"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color w:val="auto"/>
        </w:rPr>
        <w:t>Financial Covenants.</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right="20" w:firstLine="748"/>
        <w:spacing w:after="0" w:line="269" w:lineRule="auto"/>
        <w:tabs>
          <w:tab w:leader="none" w:pos="1789"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Permit the Consolidated Fixed Charge Coverage Ratio as of the last day of any fiscal quarter of the Company to be less than 1.25 to 1.00.</w:t>
      </w:r>
    </w:p>
    <w:p>
      <w:pPr>
        <w:spacing w:after="0" w:line="172"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Permit the Consolidated Net Leverage Ratio as of the last day of any fiscal quarter of the Company during any period set forth below to be greater than the ratio set forth below opposite such period:</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360"/>
        </w:trPr>
        <w:tc>
          <w:tcPr>
            <w:tcW w:w="420" w:type="dxa"/>
            <w:vAlign w:val="bottom"/>
            <w:tcBorders>
              <w:right w:val="single" w:sz="8" w:color="auto"/>
            </w:tcBorders>
          </w:tcPr>
          <w:p>
            <w:pPr>
              <w:spacing w:after="0"/>
              <w:rPr>
                <w:sz w:val="24"/>
                <w:szCs w:val="24"/>
                <w:color w:val="auto"/>
              </w:rPr>
            </w:pPr>
          </w:p>
        </w:tc>
        <w:tc>
          <w:tcPr>
            <w:tcW w:w="5360" w:type="dxa"/>
            <w:vAlign w:val="bottom"/>
            <w:tcBorders>
              <w:top w:val="single" w:sz="8" w:color="auto"/>
            </w:tcBorders>
            <w:shd w:val="clear" w:color="auto" w:fill="BEBEBE"/>
          </w:tcPr>
          <w:p>
            <w:pPr>
              <w:jc w:val="center"/>
              <w:ind w:left="341"/>
              <w:spacing w:after="0"/>
              <w:rPr>
                <w:sz w:val="20"/>
                <w:szCs w:val="20"/>
                <w:color w:val="auto"/>
              </w:rPr>
            </w:pPr>
            <w:r>
              <w:rPr>
                <w:rFonts w:ascii="Times New Roman" w:cs="Times New Roman" w:eastAsia="Times New Roman" w:hAnsi="Times New Roman"/>
                <w:sz w:val="20"/>
                <w:szCs w:val="20"/>
                <w:color w:val="auto"/>
                <w:w w:val="99"/>
              </w:rPr>
              <w:t>Period</w:t>
            </w:r>
          </w:p>
        </w:tc>
        <w:tc>
          <w:tcPr>
            <w:tcW w:w="520" w:type="dxa"/>
            <w:vAlign w:val="bottom"/>
            <w:tcBorders>
              <w:top w:val="single" w:sz="8" w:color="auto"/>
              <w:right w:val="single" w:sz="8" w:color="auto"/>
            </w:tcBorders>
            <w:shd w:val="clear" w:color="auto" w:fill="BEBEBE"/>
          </w:tcPr>
          <w:p>
            <w:pPr>
              <w:spacing w:after="0"/>
              <w:rPr>
                <w:sz w:val="24"/>
                <w:szCs w:val="24"/>
                <w:color w:val="auto"/>
              </w:rPr>
            </w:pPr>
          </w:p>
        </w:tc>
        <w:tc>
          <w:tcPr>
            <w:tcW w:w="3840" w:type="dxa"/>
            <w:vAlign w:val="bottom"/>
            <w:tcBorders>
              <w:top w:val="single" w:sz="8" w:color="auto"/>
              <w:right w:val="single" w:sz="8" w:color="auto"/>
            </w:tcBorders>
            <w:shd w:val="clear" w:color="auto" w:fill="BEBEBE"/>
          </w:tcPr>
          <w:p>
            <w:pPr>
              <w:ind w:left="560"/>
              <w:spacing w:after="0"/>
              <w:rPr>
                <w:sz w:val="20"/>
                <w:szCs w:val="20"/>
                <w:color w:val="auto"/>
              </w:rPr>
            </w:pPr>
            <w:r>
              <w:rPr>
                <w:rFonts w:ascii="Times New Roman" w:cs="Times New Roman" w:eastAsia="Times New Roman" w:hAnsi="Times New Roman"/>
                <w:sz w:val="20"/>
                <w:szCs w:val="20"/>
                <w:color w:val="auto"/>
              </w:rPr>
              <w:t>Consolidated Net Leverage Ratio</w:t>
            </w:r>
          </w:p>
        </w:tc>
      </w:tr>
      <w:tr>
        <w:trPr>
          <w:trHeight w:val="72"/>
        </w:trPr>
        <w:tc>
          <w:tcPr>
            <w:tcW w:w="420" w:type="dxa"/>
            <w:vAlign w:val="bottom"/>
            <w:tcBorders>
              <w:right w:val="single" w:sz="8" w:color="auto"/>
            </w:tcBorders>
          </w:tcPr>
          <w:p>
            <w:pPr>
              <w:spacing w:after="0"/>
              <w:rPr>
                <w:sz w:val="6"/>
                <w:szCs w:val="6"/>
                <w:color w:val="auto"/>
              </w:rPr>
            </w:pPr>
          </w:p>
        </w:tc>
        <w:tc>
          <w:tcPr>
            <w:tcW w:w="5360" w:type="dxa"/>
            <w:vAlign w:val="bottom"/>
            <w:tcBorders>
              <w:bottom w:val="single" w:sz="8" w:color="auto"/>
            </w:tcBorders>
            <w:shd w:val="clear" w:color="auto" w:fill="BEBEBE"/>
          </w:tcPr>
          <w:p>
            <w:pPr>
              <w:spacing w:after="0"/>
              <w:rPr>
                <w:sz w:val="6"/>
                <w:szCs w:val="6"/>
                <w:color w:val="auto"/>
              </w:rPr>
            </w:pPr>
          </w:p>
        </w:tc>
        <w:tc>
          <w:tcPr>
            <w:tcW w:w="520" w:type="dxa"/>
            <w:vAlign w:val="bottom"/>
            <w:tcBorders>
              <w:bottom w:val="single" w:sz="8" w:color="auto"/>
              <w:right w:val="single" w:sz="8" w:color="auto"/>
            </w:tcBorders>
            <w:shd w:val="clear" w:color="auto" w:fill="BEBEBE"/>
          </w:tcPr>
          <w:p>
            <w:pPr>
              <w:spacing w:after="0"/>
              <w:rPr>
                <w:sz w:val="6"/>
                <w:szCs w:val="6"/>
                <w:color w:val="auto"/>
              </w:rPr>
            </w:pPr>
          </w:p>
        </w:tc>
        <w:tc>
          <w:tcPr>
            <w:tcW w:w="3840" w:type="dxa"/>
            <w:vAlign w:val="bottom"/>
            <w:tcBorders>
              <w:bottom w:val="single" w:sz="8" w:color="auto"/>
              <w:right w:val="single" w:sz="8" w:color="auto"/>
            </w:tcBorders>
            <w:shd w:val="clear" w:color="auto" w:fill="BEBEBE"/>
          </w:tcPr>
          <w:p>
            <w:pPr>
              <w:spacing w:after="0"/>
              <w:rPr>
                <w:sz w:val="6"/>
                <w:szCs w:val="6"/>
                <w:color w:val="auto"/>
              </w:rPr>
            </w:pPr>
          </w:p>
        </w:tc>
      </w:tr>
      <w:tr>
        <w:trPr>
          <w:trHeight w:val="277"/>
        </w:trPr>
        <w:tc>
          <w:tcPr>
            <w:tcW w:w="420" w:type="dxa"/>
            <w:vAlign w:val="bottom"/>
            <w:tcBorders>
              <w:right w:val="single" w:sz="8" w:color="auto"/>
            </w:tcBorders>
          </w:tcPr>
          <w:p>
            <w:pPr>
              <w:spacing w:after="0"/>
              <w:rPr>
                <w:sz w:val="24"/>
                <w:szCs w:val="24"/>
                <w:color w:val="auto"/>
              </w:rPr>
            </w:pPr>
          </w:p>
        </w:tc>
        <w:tc>
          <w:tcPr>
            <w:tcW w:w="53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color w:val="auto"/>
                <w:w w:val="98"/>
              </w:rPr>
              <w:t>September 30, 2021 through September 30, 2023</w:t>
            </w:r>
          </w:p>
        </w:tc>
        <w:tc>
          <w:tcPr>
            <w:tcW w:w="520" w:type="dxa"/>
            <w:vAlign w:val="bottom"/>
            <w:tcBorders>
              <w:bottom w:val="single" w:sz="8" w:color="auto"/>
              <w:right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3.75 to 1.00</w:t>
            </w:r>
          </w:p>
        </w:tc>
      </w:tr>
      <w:tr>
        <w:trPr>
          <w:trHeight w:val="287"/>
        </w:trPr>
        <w:tc>
          <w:tcPr>
            <w:tcW w:w="420" w:type="dxa"/>
            <w:vAlign w:val="bottom"/>
            <w:tcBorders>
              <w:right w:val="single" w:sz="8" w:color="auto"/>
            </w:tcBorders>
          </w:tcPr>
          <w:p>
            <w:pPr>
              <w:spacing w:after="0"/>
              <w:rPr>
                <w:sz w:val="24"/>
                <w:szCs w:val="24"/>
                <w:color w:val="auto"/>
              </w:rPr>
            </w:pPr>
          </w:p>
        </w:tc>
        <w:tc>
          <w:tcPr>
            <w:tcW w:w="5360" w:type="dxa"/>
            <w:vAlign w:val="bottom"/>
          </w:tcPr>
          <w:p>
            <w:pPr>
              <w:jc w:val="center"/>
              <w:ind w:left="321"/>
              <w:spacing w:after="0"/>
              <w:rPr>
                <w:sz w:val="20"/>
                <w:szCs w:val="20"/>
                <w:color w:val="auto"/>
              </w:rPr>
            </w:pPr>
            <w:r>
              <w:rPr>
                <w:rFonts w:ascii="Times New Roman" w:cs="Times New Roman" w:eastAsia="Times New Roman" w:hAnsi="Times New Roman"/>
                <w:sz w:val="20"/>
                <w:szCs w:val="20"/>
                <w:color w:val="auto"/>
                <w:w w:val="98"/>
              </w:rPr>
              <w:t>December 31, 2023 and thereafter</w:t>
            </w:r>
          </w:p>
        </w:tc>
        <w:tc>
          <w:tcPr>
            <w:tcW w:w="520" w:type="dxa"/>
            <w:vAlign w:val="bottom"/>
            <w:tcBorders>
              <w:right w:val="single" w:sz="8" w:color="auto"/>
            </w:tcBorders>
          </w:tcPr>
          <w:p>
            <w:pPr>
              <w:spacing w:after="0"/>
              <w:rPr>
                <w:sz w:val="24"/>
                <w:szCs w:val="24"/>
                <w:color w:val="auto"/>
              </w:rPr>
            </w:pPr>
          </w:p>
        </w:tc>
        <w:tc>
          <w:tcPr>
            <w:tcW w:w="384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20"/>
                <w:szCs w:val="20"/>
                <w:color w:val="auto"/>
              </w:rPr>
              <w:t>3.50 to 1.00</w:t>
            </w:r>
          </w:p>
        </w:tc>
      </w:tr>
      <w:tr>
        <w:trPr>
          <w:trHeight w:val="21"/>
        </w:trPr>
        <w:tc>
          <w:tcPr>
            <w:tcW w:w="420" w:type="dxa"/>
            <w:vAlign w:val="bottom"/>
            <w:tcBorders>
              <w:right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840" w:type="dxa"/>
            <w:vAlign w:val="bottom"/>
            <w:tcBorders>
              <w:bottom w:val="single" w:sz="8" w:color="auto"/>
              <w:right w:val="single" w:sz="8" w:color="auto"/>
            </w:tcBorders>
          </w:tcPr>
          <w:p>
            <w:pPr>
              <w:spacing w:after="0" w:line="20" w:lineRule="exact"/>
              <w:rPr>
                <w:sz w:val="1"/>
                <w:szCs w:val="1"/>
                <w:color w:val="auto"/>
              </w:rPr>
            </w:pPr>
          </w:p>
        </w:tc>
      </w:tr>
      <w:tr>
        <w:trPr>
          <w:trHeight w:val="438"/>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Notwithstanding the foregoing, if a Permitted Acquisition involving</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aggregate consideration   of</w:t>
            </w:r>
          </w:p>
        </w:tc>
      </w:tr>
    </w:tbl>
    <w:p>
      <w:pPr>
        <w:jc w:val="both"/>
        <w:ind w:left="300"/>
        <w:spacing w:after="0"/>
        <w:rPr>
          <w:sz w:val="20"/>
          <w:szCs w:val="20"/>
          <w:color w:val="auto"/>
        </w:rPr>
      </w:pPr>
      <w:r>
        <w:rPr>
          <w:rFonts w:ascii="Times New Roman" w:cs="Times New Roman" w:eastAsia="Times New Roman" w:hAnsi="Times New Roman"/>
          <w:sz w:val="20"/>
          <w:szCs w:val="20"/>
          <w:color w:val="auto"/>
        </w:rPr>
        <w:t xml:space="preserve">$15,000,000 or more is consummated during a fiscal quarter ending after the Closing Date, at the request of the Company (which shall be made on or prior to the date of consummation of such Permitted Acquisition), the maximum Consolidated Net Leverage Ratio permitted under this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at any time shall be increased by 0.50 to 1.00 (but in no event shall the maximum permitted Consolidated Net Leverage Ratio exceed 4.00 to 1.00) during such fiscal quarter and the subsequent three fiscal quarters (such four fiscal quarters, an “</w:t>
      </w:r>
      <w:r>
        <w:rPr>
          <w:rFonts w:ascii="Times New Roman" w:cs="Times New Roman" w:eastAsia="Times New Roman" w:hAnsi="Times New Roman"/>
          <w:sz w:val="20"/>
          <w:szCs w:val="20"/>
          <w:u w:val="single" w:color="auto"/>
          <w:color w:val="auto"/>
        </w:rPr>
        <w:t>Elevated Ratio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 there shall be at least two consecutive full fiscal quarters between Elevated Ratio Periods during which the Consolidated Net Leverage Ratio is not in excess of the otherwise maximum Consolidated Net Leverage Ratio permitted under this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as of the last day thereof and (ii) the Company may in its discretion, by written notice to the Administrative Agent, elect to end an Elevated Ratio Period early.</w:t>
      </w:r>
    </w:p>
    <w:p>
      <w:pPr>
        <w:spacing w:after="0" w:line="217"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7.12 Amendment or Modification of Organization Documents. Amend any of its Organization Documents in any manner that is material and adverse to the interests of any Secured Party.</w:t>
      </w:r>
    </w:p>
    <w:p>
      <w:pPr>
        <w:spacing w:after="0" w:line="173"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7.13 Accounting Changes. Make any material change in (a) accounting policies or reporting practices, except as required or permitted by GAAP, or (b) fiscal year, except that any Subsidiary can conform its fiscal year to that of the Company.</w:t>
      </w:r>
    </w:p>
    <w:p>
      <w:pPr>
        <w:spacing w:after="0" w:line="186" w:lineRule="exact"/>
        <w:rPr>
          <w:sz w:val="20"/>
          <w:szCs w:val="20"/>
          <w:color w:val="auto"/>
        </w:rPr>
      </w:pPr>
    </w:p>
    <w:p>
      <w:pPr>
        <w:ind w:left="12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7.14 Post-Closing Actions. Fail to deliver to the Administrative Agent the items described on </w:t>
      </w:r>
      <w:r>
        <w:rPr>
          <w:rFonts w:ascii="Times New Roman" w:cs="Times New Roman" w:eastAsia="Times New Roman" w:hAnsi="Times New Roman"/>
          <w:sz w:val="20"/>
          <w:szCs w:val="20"/>
          <w:u w:val="single" w:color="auto"/>
          <w:color w:val="auto"/>
        </w:rPr>
        <w:t>Schedule 7.14</w:t>
      </w:r>
      <w:r>
        <w:rPr>
          <w:rFonts w:ascii="Times New Roman" w:cs="Times New Roman" w:eastAsia="Times New Roman" w:hAnsi="Times New Roman"/>
          <w:sz w:val="20"/>
          <w:szCs w:val="20"/>
          <w:color w:val="auto"/>
        </w:rPr>
        <w:t xml:space="preserve"> within the applicable time period specified therein.</w:t>
      </w: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VIII.</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221"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Events of Default. Any of the following shall constitute an event of default (each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748"/>
        <w:spacing w:after="0" w:line="246" w:lineRule="auto"/>
        <w:tabs>
          <w:tab w:leader="none" w:pos="178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98"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Company or Restricted Subsidiary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(in the case of any Borrower only),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54" w:lineRule="auto"/>
        <w:tabs>
          <w:tab w:leader="none" w:pos="1789"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Any Loan Party fails to perform or observe any other covenant or agreement (not specified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(i) 5 Business Days, in the case of any covenant or agreement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(ii) 30 days, in all other cases; or</w:t>
      </w:r>
    </w:p>
    <w:p>
      <w:pPr>
        <w:spacing w:after="0" w:line="160"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8"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201" w:lineRule="exact"/>
        <w:rPr>
          <w:rFonts w:ascii="Times New Roman" w:cs="Times New Roman" w:eastAsia="Times New Roman" w:hAnsi="Times New Roman"/>
          <w:sz w:val="20"/>
          <w:szCs w:val="20"/>
          <w:color w:val="auto"/>
        </w:rPr>
      </w:pPr>
    </w:p>
    <w:p>
      <w:pPr>
        <w:jc w:val="both"/>
        <w:ind w:left="300" w:firstLine="748"/>
        <w:spacing w:after="0" w:line="241" w:lineRule="auto"/>
        <w:tabs>
          <w:tab w:leader="none" w:pos="1789"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The Company or any Restricted Subsidiary (A) fails to make any payment when due (whether by scheduled maturity, required prepayment, acceleration, demand, or 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205"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9"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212" w:lineRule="exact"/>
        <w:rPr>
          <w:rFonts w:ascii="Times New Roman" w:cs="Times New Roman" w:eastAsia="Times New Roman" w:hAnsi="Times New Roman"/>
          <w:sz w:val="20"/>
          <w:szCs w:val="20"/>
          <w:color w:val="auto"/>
        </w:rPr>
      </w:pPr>
    </w:p>
    <w:p>
      <w:pPr>
        <w:ind w:left="300" w:right="20" w:firstLine="748"/>
        <w:spacing w:after="0" w:line="250" w:lineRule="auto"/>
        <w:tabs>
          <w:tab w:leader="none" w:pos="1788"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The Company or any Restricted Subsidiary becomes unable or admits in writing its inability or fails generally to pay its debts as they become due, or</w:t>
      </w:r>
    </w:p>
    <w:p>
      <w:pPr>
        <w:spacing w:after="0" w:line="1" w:lineRule="exact"/>
        <w:rPr>
          <w:rFonts w:ascii="Times New Roman" w:cs="Times New Roman" w:eastAsia="Times New Roman" w:hAnsi="Times New Roman"/>
          <w:sz w:val="20"/>
          <w:szCs w:val="20"/>
          <w:color w:val="auto"/>
        </w:rPr>
      </w:pPr>
    </w:p>
    <w:p>
      <w:pPr>
        <w:ind w:left="300" w:right="20" w:hanging="2"/>
        <w:spacing w:after="0" w:line="246" w:lineRule="auto"/>
        <w:tabs>
          <w:tab w:leader="none" w:pos="59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writ or warrant of attachment or execution or similar process is issued or levied against all or any material part of the property of any such Person and is not released, vacated or fully bonded within 30 days after its issue or levy; or</w:t>
      </w:r>
    </w:p>
    <w:p>
      <w:pPr>
        <w:spacing w:after="0" w:line="195"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788"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Company or any Restricted Subsidiary (i) one or more final judgments or orders for the payment of money in an aggregate amount (as to all such</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6" w:lineRule="auto"/>
        <w:rPr>
          <w:sz w:val="20"/>
          <w:szCs w:val="20"/>
          <w:color w:val="auto"/>
        </w:rPr>
      </w:pPr>
      <w:r>
        <w:rPr>
          <w:rFonts w:ascii="Times New Roman" w:cs="Times New Roman" w:eastAsia="Times New Roman" w:hAnsi="Times New Roman"/>
          <w:sz w:val="20"/>
          <w:szCs w:val="20"/>
          <w:color w:val="auto"/>
        </w:rPr>
        <w:t>judgments or orders) exceeding the Threshold Amount (to the extent not covered by independent third- 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98" w:lineRule="exact"/>
        <w:rPr>
          <w:sz w:val="20"/>
          <w:szCs w:val="20"/>
          <w:color w:val="auto"/>
        </w:rPr>
      </w:pPr>
    </w:p>
    <w:p>
      <w:pPr>
        <w:jc w:val="both"/>
        <w:ind w:left="300" w:firstLine="748"/>
        <w:spacing w:after="0" w:line="245" w:lineRule="auto"/>
        <w:tabs>
          <w:tab w:leader="none" w:pos="178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any Loan Party denies that it has any or further liability or obligation under any Loan Document, or purports to revoke, terminate or rescind any provision of any Loan Document; or</w:t>
      </w:r>
    </w:p>
    <w:p>
      <w:pPr>
        <w:spacing w:after="0" w:line="184"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Any Collateral Document after delivery thereof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201" w:lineRule="exact"/>
        <w:rPr>
          <w:sz w:val="20"/>
          <w:szCs w:val="20"/>
          <w:color w:val="auto"/>
        </w:rPr>
      </w:pPr>
    </w:p>
    <w:p>
      <w:pPr>
        <w:ind w:left="120" w:firstLine="749"/>
        <w:spacing w:after="0" w:line="269" w:lineRule="auto"/>
        <w:rPr>
          <w:sz w:val="20"/>
          <w:szCs w:val="20"/>
          <w:color w:val="auto"/>
        </w:rPr>
      </w:pPr>
      <w:r>
        <w:rPr>
          <w:rFonts w:ascii="Times New Roman" w:cs="Times New Roman" w:eastAsia="Times New Roman" w:hAnsi="Times New Roman"/>
          <w:sz w:val="20"/>
          <w:szCs w:val="20"/>
          <w:color w:val="auto"/>
        </w:rPr>
        <w:t>8.2 Remedies Upon Event of Default. If any Event of Default occurs and is continuing, the Administrative Agent shall, at the request of, or may, with the consent of, the Required Lenders, take any or all of the following actions:</w:t>
      </w:r>
    </w:p>
    <w:p>
      <w:pPr>
        <w:spacing w:after="0" w:line="173" w:lineRule="exact"/>
        <w:rPr>
          <w:sz w:val="20"/>
          <w:szCs w:val="20"/>
          <w:color w:val="auto"/>
        </w:rPr>
      </w:pPr>
    </w:p>
    <w:p>
      <w:pPr>
        <w:ind w:left="300" w:firstLine="748"/>
        <w:spacing w:after="0" w:line="269" w:lineRule="auto"/>
        <w:tabs>
          <w:tab w:leader="none" w:pos="178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each L/C Issuer to make L/C Credit Extensions to be terminated, whereupon such commitments and obligation shall be terminated;</w:t>
      </w:r>
    </w:p>
    <w:p>
      <w:pPr>
        <w:spacing w:after="0" w:line="186" w:lineRule="exact"/>
        <w:rPr>
          <w:rFonts w:ascii="Times New Roman" w:cs="Times New Roman" w:eastAsia="Times New Roman" w:hAnsi="Times New Roman"/>
          <w:sz w:val="20"/>
          <w:szCs w:val="20"/>
          <w:color w:val="auto"/>
        </w:rPr>
      </w:pPr>
    </w:p>
    <w:p>
      <w:pPr>
        <w:jc w:val="both"/>
        <w:ind w:left="300" w:right="20" w:firstLine="748"/>
        <w:spacing w:after="0" w:line="254" w:lineRule="auto"/>
        <w:tabs>
          <w:tab w:leader="none" w:pos="178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201" w:lineRule="exact"/>
        <w:rPr>
          <w:rFonts w:ascii="Times New Roman" w:cs="Times New Roman" w:eastAsia="Times New Roman" w:hAnsi="Times New Roman"/>
          <w:sz w:val="20"/>
          <w:szCs w:val="20"/>
          <w:color w:val="auto"/>
        </w:rPr>
      </w:pPr>
    </w:p>
    <w:p>
      <w:pPr>
        <w:ind w:left="300" w:firstLine="748"/>
        <w:spacing w:after="0" w:line="269" w:lineRule="auto"/>
        <w:tabs>
          <w:tab w:leader="none" w:pos="178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Issuers all rights and remedies available to it, the Lenders and the L/C Issuers under the Loan Documents;</w:t>
      </w:r>
    </w:p>
    <w:p>
      <w:pPr>
        <w:spacing w:after="0" w:line="173"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w:t>
      </w:r>
    </w:p>
    <w:p>
      <w:pPr>
        <w:spacing w:after="0" w:line="188" w:lineRule="exact"/>
        <w:rPr>
          <w:sz w:val="20"/>
          <w:szCs w:val="20"/>
          <w:color w:val="auto"/>
        </w:rPr>
      </w:pPr>
    </w:p>
    <w:p>
      <w:pPr>
        <w:jc w:val="both"/>
        <w:ind w:left="12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8.3 Application of Funds. 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be applied by the Administrative Agent in the following order:</w:t>
      </w:r>
    </w:p>
    <w:p>
      <w:pPr>
        <w:spacing w:after="0" w:line="207"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88"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61"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85"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the terms of such Secured Permitted Standalone Letters of Credit ratably among the L/C Issuers and the PSLOC Banks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held by them; and</w:t>
      </w:r>
    </w:p>
    <w:p>
      <w:pPr>
        <w:spacing w:after="0" w:line="1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Obligations have been indefeasibly paid in full, to the Company or as otherwise required</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Law.</w:t>
      </w:r>
    </w:p>
    <w:p>
      <w:pPr>
        <w:spacing w:after="0" w:line="19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amounts used to Cash Collateralize the aggregate undrawn amount of Letters of Credit and Secured Permitted Standalone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and Secured Permitted Standalone Letters of Credit as they occur. If any amount remains on deposit as Cash Collateral after all Letters of Credit and</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Secured Permitted Standalone Letters of Credit have either been fully drawn or expired, such remaining amount shall be applied to the other Obligations, if any, in the order set forth above.</w:t>
      </w:r>
    </w:p>
    <w:p>
      <w:pPr>
        <w:spacing w:after="0" w:line="173"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 for itself and its Affiliates as if a “Lender” party to this Agreement.</w:t>
      </w: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ARTICLE IX. ADMINISTRATIVE AGENT</w:t>
      </w:r>
    </w:p>
    <w:p>
      <w:pPr>
        <w:spacing w:after="0" w:line="216"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Appointment and Authority.</w:t>
      </w:r>
    </w:p>
    <w:p>
      <w:pPr>
        <w:spacing w:after="0" w:line="229" w:lineRule="exact"/>
        <w:rPr>
          <w:sz w:val="20"/>
          <w:szCs w:val="20"/>
          <w:color w:val="auto"/>
        </w:rPr>
      </w:pPr>
    </w:p>
    <w:p>
      <w:pPr>
        <w:jc w:val="both"/>
        <w:ind w:left="300" w:firstLine="748"/>
        <w:spacing w:after="0" w:line="242" w:lineRule="auto"/>
        <w:tabs>
          <w:tab w:leader="none" w:pos="178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5" w:lineRule="exact"/>
        <w:rPr>
          <w:rFonts w:ascii="Times New Roman" w:cs="Times New Roman" w:eastAsia="Times New Roman" w:hAnsi="Times New Roman"/>
          <w:sz w:val="20"/>
          <w:szCs w:val="20"/>
          <w:color w:val="auto"/>
        </w:rPr>
      </w:pPr>
    </w:p>
    <w:p>
      <w:pPr>
        <w:jc w:val="both"/>
        <w:ind w:left="300" w:firstLine="748"/>
        <w:spacing w:after="0" w:line="242" w:lineRule="auto"/>
        <w:tabs>
          <w:tab w:leader="none" w:pos="1789"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219" w:lineRule="exact"/>
        <w:rPr>
          <w:sz w:val="20"/>
          <w:szCs w:val="20"/>
          <w:color w:val="auto"/>
        </w:rPr>
      </w:pPr>
    </w:p>
    <w:p>
      <w:pPr>
        <w:jc w:val="both"/>
        <w:ind w:left="120" w:firstLine="749"/>
        <w:spacing w:after="0" w:line="247" w:lineRule="auto"/>
        <w:rPr>
          <w:sz w:val="20"/>
          <w:szCs w:val="20"/>
          <w:color w:val="auto"/>
        </w:rPr>
      </w:pPr>
      <w:r>
        <w:rPr>
          <w:rFonts w:ascii="Times New Roman" w:cs="Times New Roman" w:eastAsia="Times New Roman" w:hAnsi="Times New Roman"/>
          <w:sz w:val="20"/>
          <w:szCs w:val="20"/>
          <w:color w:val="auto"/>
        </w:rPr>
        <w:t>9.2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w:t>
      </w:r>
    </w:p>
    <w:p>
      <w:pPr>
        <w:ind w:left="120"/>
        <w:spacing w:after="0"/>
        <w:tabs>
          <w:tab w:leader="none" w:pos="5420" w:val="left"/>
        </w:tabs>
        <w:rPr>
          <w:sz w:val="20"/>
          <w:szCs w:val="20"/>
          <w:color w:val="auto"/>
        </w:rPr>
      </w:pPr>
      <w:r>
        <w:rPr>
          <w:rFonts w:ascii="Times New Roman" w:cs="Times New Roman" w:eastAsia="Times New Roman" w:hAnsi="Times New Roman"/>
          <w:sz w:val="20"/>
          <w:szCs w:val="20"/>
          <w:color w:val="auto"/>
        </w:rPr>
        <w:t>the Administrative Agent hereunder in its individual capacity.</w:t>
      </w:r>
      <w:r>
        <w:rPr>
          <w:sz w:val="20"/>
          <w:szCs w:val="20"/>
          <w:color w:val="auto"/>
        </w:rPr>
        <w:tab/>
      </w:r>
      <w:r>
        <w:rPr>
          <w:rFonts w:ascii="Times New Roman" w:cs="Times New Roman" w:eastAsia="Times New Roman" w:hAnsi="Times New Roman"/>
          <w:sz w:val="19"/>
          <w:szCs w:val="19"/>
          <w:color w:val="auto"/>
        </w:rPr>
        <w:t>Such Person and its Affiliates may accept</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93"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9.3 Exculpatory Provisions.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201" w:lineRule="exact"/>
        <w:rPr>
          <w:sz w:val="20"/>
          <w:szCs w:val="20"/>
          <w:color w:val="auto"/>
        </w:rPr>
      </w:pPr>
    </w:p>
    <w:p>
      <w:pPr>
        <w:ind w:left="1780" w:hanging="732"/>
        <w:spacing w:after="0"/>
        <w:tabs>
          <w:tab w:leader="none" w:pos="178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7" w:lineRule="exact"/>
        <w:rPr>
          <w:rFonts w:ascii="Times New Roman" w:cs="Times New Roman" w:eastAsia="Times New Roman" w:hAnsi="Times New Roman"/>
          <w:sz w:val="20"/>
          <w:szCs w:val="20"/>
          <w:color w:val="auto"/>
        </w:rPr>
      </w:pPr>
    </w:p>
    <w:p>
      <w:pPr>
        <w:jc w:val="both"/>
        <w:ind w:left="300" w:firstLine="748"/>
        <w:spacing w:after="0" w:line="243" w:lineRule="auto"/>
        <w:tabs>
          <w:tab w:leader="none" w:pos="178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2"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78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 and</w:t>
      </w:r>
    </w:p>
    <w:p>
      <w:pPr>
        <w:spacing w:after="0" w:line="199" w:lineRule="exact"/>
        <w:rPr>
          <w:rFonts w:ascii="Times New Roman" w:cs="Times New Roman" w:eastAsia="Times New Roman" w:hAnsi="Times New Roman"/>
          <w:sz w:val="20"/>
          <w:szCs w:val="20"/>
          <w:color w:val="auto"/>
        </w:rPr>
      </w:pPr>
    </w:p>
    <w:p>
      <w:pPr>
        <w:jc w:val="both"/>
        <w:ind w:left="300" w:firstLine="748"/>
        <w:spacing w:after="0" w:line="244" w:lineRule="auto"/>
        <w:tabs>
          <w:tab w:leader="none" w:pos="178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20"/>
          <w:szCs w:val="20"/>
          <w:color w:val="auto"/>
        </w:rPr>
        <w:t xml:space="preserve">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73"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9.4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17"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9.5 Delegation of Duties. The Administrative Agent may perform any and all of its dutiesand exercise its rights and powers hereunder or under any other Loan Document by or through any one or more sub agents appointed by the Administrative Agent. The Administrative Agent and any such sub agentmay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9" w:lineRule="exact"/>
        <w:rPr>
          <w:sz w:val="20"/>
          <w:szCs w:val="20"/>
          <w:color w:val="auto"/>
        </w:rPr>
      </w:pPr>
    </w:p>
    <w:p>
      <w:pPr>
        <w:jc w:val="both"/>
        <w:ind w:left="120" w:firstLine="749"/>
        <w:spacing w:after="0" w:line="241" w:lineRule="auto"/>
        <w:rPr>
          <w:sz w:val="20"/>
          <w:szCs w:val="20"/>
          <w:color w:val="auto"/>
        </w:rPr>
      </w:pPr>
      <w:r>
        <w:rPr>
          <w:rFonts w:ascii="Times New Roman" w:cs="Times New Roman" w:eastAsia="Times New Roman" w:hAnsi="Times New Roman"/>
          <w:sz w:val="20"/>
          <w:szCs w:val="20"/>
          <w:color w:val="auto"/>
        </w:rPr>
        <w:t>9.6 Resignation of Administrative Agent. The Administrative Agent may at any time give notice of its resignation to the Lenders, the L/C 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119</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9"/>
          <w:szCs w:val="19"/>
          <w:color w:val="auto"/>
        </w:rPr>
        <w:t xml:space="preserve">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19"/>
          <w:szCs w:val="19"/>
          <w:u w:val="single" w:color="auto"/>
          <w:color w:val="auto"/>
        </w:rPr>
        <w:t>Section 3.01(g)</w:t>
      </w:r>
      <w:r>
        <w:rPr>
          <w:rFonts w:ascii="Times New Roman" w:cs="Times New Roman" w:eastAsia="Times New Roman" w:hAnsi="Times New Roman"/>
          <w:sz w:val="19"/>
          <w:szCs w:val="19"/>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w:t>
      </w:r>
    </w:p>
    <w:p>
      <w:pPr>
        <w:spacing w:after="0" w:line="1" w:lineRule="exact"/>
        <w:rPr>
          <w:sz w:val="20"/>
          <w:szCs w:val="20"/>
          <w:color w:val="auto"/>
        </w:rPr>
      </w:pPr>
    </w:p>
    <w:p>
      <w:pPr>
        <w:ind w:left="120" w:hanging="9"/>
        <w:spacing w:after="0" w:line="246" w:lineRule="auto"/>
        <w:tabs>
          <w:tab w:leader="none" w:pos="447"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as collateral agent or otherwise holding any collateral security on behalf of any of the Lenders and (B) in respect of any actions taken in connection with transferring the agency to any successor Administrative Agent.</w:t>
      </w:r>
    </w:p>
    <w:p>
      <w:pPr>
        <w:spacing w:after="0" w:line="195"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w:t>
      </w:r>
    </w:p>
    <w:p>
      <w:pPr>
        <w:spacing w:after="0" w:line="6" w:lineRule="exact"/>
        <w:rPr>
          <w:sz w:val="20"/>
          <w:szCs w:val="20"/>
          <w:color w:val="auto"/>
        </w:rPr>
      </w:pPr>
    </w:p>
    <w:p>
      <w:pPr>
        <w:jc w:val="both"/>
        <w:ind w:left="120" w:hanging="9"/>
        <w:spacing w:after="0" w:line="241" w:lineRule="auto"/>
        <w:tabs>
          <w:tab w:leader="none" w:pos="423"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215" w:lineRule="exact"/>
        <w:rPr>
          <w:sz w:val="20"/>
          <w:szCs w:val="20"/>
          <w:color w:val="auto"/>
        </w:rPr>
      </w:pPr>
    </w:p>
    <w:p>
      <w:pPr>
        <w:jc w:val="both"/>
        <w:ind w:left="120" w:firstLine="749"/>
        <w:spacing w:after="0" w:line="256" w:lineRule="auto"/>
        <w:rPr>
          <w:sz w:val="20"/>
          <w:szCs w:val="20"/>
          <w:color w:val="auto"/>
        </w:rPr>
      </w:pPr>
      <w:r>
        <w:rPr>
          <w:rFonts w:ascii="Times New Roman" w:cs="Times New Roman" w:eastAsia="Times New Roman" w:hAnsi="Times New Roman"/>
          <w:sz w:val="19"/>
          <w:szCs w:val="19"/>
          <w:color w:val="auto"/>
        </w:rPr>
        <w:t>9.7 Non-Reliance on Administrative Agent, Arranger and Other Lenders. 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each L/C Issuer as to any matter, 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120</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hereby, and made its own decision to enter into this Agreement and to extend credit to the Borrowers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suchcommercial loans or providing such other facilities.</w:t>
      </w:r>
    </w:p>
    <w:p>
      <w:pPr>
        <w:spacing w:after="0" w:line="20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auto"/>
        </w:rPr>
        <w:t>9.8 No Other Duties, Etc. Anything herein to the contrary notwithstanding, none of the arranger(s), bookrunner(s), syndication agent(s) or documentation agent(s) listed on the cover page hereof shall have any powers, duties or responsibilities under this Agreement or any of the other Loan Documents, except in its capacity, as applicable, as the Administrative Agent, a Lender or an L/C Issuerhereunder.</w:t>
      </w:r>
    </w:p>
    <w:p>
      <w:pPr>
        <w:spacing w:after="0" w:line="207" w:lineRule="exact"/>
        <w:rPr>
          <w:sz w:val="20"/>
          <w:szCs w:val="20"/>
          <w:color w:val="auto"/>
        </w:rPr>
      </w:pPr>
    </w:p>
    <w:p>
      <w:pPr>
        <w:jc w:val="both"/>
        <w:ind w:left="120" w:firstLine="749"/>
        <w:spacing w:after="0" w:line="246" w:lineRule="auto"/>
        <w:rPr>
          <w:sz w:val="20"/>
          <w:szCs w:val="20"/>
          <w:color w:val="auto"/>
        </w:rPr>
      </w:pPr>
      <w:r>
        <w:rPr>
          <w:rFonts w:ascii="Times New Roman" w:cs="Times New Roman" w:eastAsia="Times New Roman" w:hAnsi="Times New Roman"/>
          <w:sz w:val="20"/>
          <w:szCs w:val="20"/>
          <w:color w:val="auto"/>
        </w:rPr>
        <w:t>9.9 Administrative Agent May File Proofs of Claim; Credit Bidding.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98" w:lineRule="exact"/>
        <w:rPr>
          <w:sz w:val="20"/>
          <w:szCs w:val="20"/>
          <w:color w:val="auto"/>
        </w:rPr>
      </w:pPr>
    </w:p>
    <w:p>
      <w:pPr>
        <w:jc w:val="both"/>
        <w:ind w:left="300" w:firstLine="748"/>
        <w:spacing w:after="0" w:line="245" w:lineRule="auto"/>
        <w:tabs>
          <w:tab w:leader="none" w:pos="1789"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211"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207"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93" w:lineRule="exact"/>
        <w:rPr>
          <w:sz w:val="20"/>
          <w:szCs w:val="20"/>
          <w:color w:val="auto"/>
        </w:rPr>
      </w:pPr>
    </w:p>
    <w:p>
      <w:pPr>
        <w:jc w:val="both"/>
        <w:ind w:left="120" w:firstLine="747"/>
        <w:spacing w:after="0"/>
        <w:rPr>
          <w:sz w:val="20"/>
          <w:szCs w:val="20"/>
          <w:color w:val="auto"/>
        </w:rPr>
      </w:pPr>
      <w:r>
        <w:rPr>
          <w:rFonts w:ascii="Times New Roman" w:cs="Times New Roman" w:eastAsia="Times New Roman" w:hAnsi="Times New Roman"/>
          <w:sz w:val="20"/>
          <w:szCs w:val="20"/>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w:t>
      </w:r>
    </w:p>
    <w:p>
      <w:pPr>
        <w:spacing w:after="0" w:line="12" w:lineRule="exact"/>
        <w:rPr>
          <w:sz w:val="20"/>
          <w:szCs w:val="20"/>
          <w:color w:val="auto"/>
        </w:rPr>
      </w:pPr>
    </w:p>
    <w:p>
      <w:pPr>
        <w:jc w:val="both"/>
        <w:ind w:left="120" w:hanging="8"/>
        <w:spacing w:after="0"/>
        <w:tabs>
          <w:tab w:leader="none" w:pos="549"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18"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9.10 Collateral and Guaranty Matters. Each of the Lenders (including in its capacities as a potential Cash Management Bank, a potential Hedge Bank and a potential PSLOC Bank) and each L/C Issuer irrevocably authorize the Administrative Agent at its option and in its discretion,</w:t>
      </w:r>
    </w:p>
    <w:p>
      <w:pPr>
        <w:spacing w:after="0" w:line="188" w:lineRule="exact"/>
        <w:rPr>
          <w:sz w:val="20"/>
          <w:szCs w:val="20"/>
          <w:color w:val="auto"/>
        </w:rPr>
      </w:pPr>
    </w:p>
    <w:p>
      <w:pPr>
        <w:jc w:val="both"/>
        <w:ind w:left="300" w:firstLine="748"/>
        <w:spacing w:after="0" w:line="245" w:lineRule="auto"/>
        <w:tabs>
          <w:tab w:leader="none" w:pos="1789"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63" w:lineRule="auto"/>
        <w:rPr>
          <w:sz w:val="20"/>
          <w:szCs w:val="20"/>
          <w:color w:val="auto"/>
        </w:rPr>
      </w:pPr>
      <w:r>
        <w:rPr>
          <w:rFonts w:ascii="Times New Roman" w:cs="Times New Roman" w:eastAsia="Times New Roman" w:hAnsi="Times New Roman"/>
          <w:sz w:val="19"/>
          <w:szCs w:val="19"/>
          <w:color w:val="auto"/>
        </w:rPr>
        <w:t xml:space="preserve">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 no longer constitutes Collateral or is no longer required to secure the Obligations or (iv) subject to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if approved, authorized or ratified in writing by the Required Lenders;</w:t>
      </w:r>
    </w:p>
    <w:p>
      <w:pPr>
        <w:spacing w:after="0" w:line="180" w:lineRule="exact"/>
        <w:rPr>
          <w:sz w:val="20"/>
          <w:szCs w:val="20"/>
          <w:color w:val="auto"/>
        </w:rPr>
      </w:pPr>
    </w:p>
    <w:p>
      <w:pPr>
        <w:ind w:left="300" w:right="20" w:firstLine="748"/>
        <w:spacing w:after="0" w:line="269" w:lineRule="auto"/>
        <w:tabs>
          <w:tab w:leader="none" w:pos="178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86"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Subsidiary Guarantor from its obligations under the Loan Documents to which it is a party if such Person ceases to be a Restricted Subsidiary or is no longer required to be a Subsidiary Guarantor, in each case, as a result of a transaction permitted hereunder or as otherwise permitted hereunder.</w:t>
      </w:r>
    </w:p>
    <w:p>
      <w:pPr>
        <w:spacing w:after="0" w:line="188" w:lineRule="exact"/>
        <w:rPr>
          <w:sz w:val="20"/>
          <w:szCs w:val="20"/>
          <w:color w:val="auto"/>
        </w:rPr>
      </w:pPr>
    </w:p>
    <w:p>
      <w:pPr>
        <w:jc w:val="both"/>
        <w:ind w:left="120" w:firstLine="747"/>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Loan Documents to which it is a party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07"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9.11 Secured Cash Management Agreements, Secured Hedge Agreements and Secured Permitted Standalone Letters of Credit. No Cash Management Bank, Hedge Bank or PSLOC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201"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color w:val="auto"/>
        </w:rPr>
        <w:t>Certain ERISAMatters.</w:t>
      </w:r>
    </w:p>
    <w:p>
      <w:pPr>
        <w:spacing w:after="0" w:line="229" w:lineRule="exact"/>
        <w:rPr>
          <w:sz w:val="20"/>
          <w:szCs w:val="20"/>
          <w:color w:val="auto"/>
        </w:rPr>
      </w:pPr>
    </w:p>
    <w:p>
      <w:pPr>
        <w:jc w:val="both"/>
        <w:ind w:left="300" w:firstLine="748"/>
        <w:spacing w:after="0" w:line="249" w:lineRule="auto"/>
        <w:tabs>
          <w:tab w:leader="none" w:pos="178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Company or any other Loan Party, that at least one of the following is and will be true: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040" w:right="20" w:firstLine="757"/>
        <w:spacing w:after="0" w:line="254" w:lineRule="auto"/>
        <w:tabs>
          <w:tab w:leader="none" w:pos="2527"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4" w:lineRule="auto"/>
        <w:tabs>
          <w:tab w:leader="none" w:pos="2528"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2" w:lineRule="exact"/>
        <w:rPr>
          <w:rFonts w:ascii="Times New Roman" w:cs="Times New Roman" w:eastAsia="Times New Roman" w:hAnsi="Times New Roman"/>
          <w:sz w:val="20"/>
          <w:szCs w:val="20"/>
          <w:color w:val="auto"/>
        </w:rPr>
      </w:pPr>
    </w:p>
    <w:p>
      <w:pPr>
        <w:jc w:val="both"/>
        <w:ind w:left="1040" w:firstLine="757"/>
        <w:spacing w:after="0" w:line="243" w:lineRule="auto"/>
        <w:tabs>
          <w:tab w:leader="none" w:pos="2528"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2" w:lineRule="exact"/>
        <w:rPr>
          <w:rFonts w:ascii="Times New Roman" w:cs="Times New Roman" w:eastAsia="Times New Roman" w:hAnsi="Times New Roman"/>
          <w:sz w:val="20"/>
          <w:szCs w:val="20"/>
          <w:color w:val="auto"/>
        </w:rPr>
      </w:pPr>
    </w:p>
    <w:p>
      <w:pPr>
        <w:ind w:left="1040" w:right="20" w:firstLine="757"/>
        <w:spacing w:after="0" w:line="269" w:lineRule="auto"/>
        <w:tabs>
          <w:tab w:leader="none" w:pos="2527"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86" w:lineRule="exact"/>
        <w:rPr>
          <w:rFonts w:ascii="Times New Roman" w:cs="Times New Roman" w:eastAsia="Times New Roman" w:hAnsi="Times New Roman"/>
          <w:sz w:val="20"/>
          <w:szCs w:val="20"/>
          <w:color w:val="auto"/>
        </w:rPr>
      </w:pPr>
    </w:p>
    <w:p>
      <w:pPr>
        <w:ind w:left="1780" w:hanging="732"/>
        <w:spacing w:after="0"/>
        <w:tabs>
          <w:tab w:leader="none" w:pos="178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spacing w:after="0" w:line="33" w:lineRule="exact"/>
        <w:rPr>
          <w:rFonts w:ascii="Times New Roman" w:cs="Times New Roman" w:eastAsia="Times New Roman" w:hAnsi="Times New Roman"/>
          <w:sz w:val="19"/>
          <w:szCs w:val="19"/>
          <w:color w:val="auto"/>
        </w:rPr>
      </w:pPr>
    </w:p>
    <w:p>
      <w:pPr>
        <w:jc w:val="both"/>
        <w:ind w:left="300" w:hanging="1"/>
        <w:spacing w:after="0" w:line="239" w:lineRule="auto"/>
        <w:tabs>
          <w:tab w:leader="none" w:pos="62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 preceding clause (a), such Lender further (x) represents and warrants, as of the date such Person became a Lender party hereto, to, and</w:t>
      </w:r>
    </w:p>
    <w:p>
      <w:pPr>
        <w:jc w:val="both"/>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5"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9.13 Recovery of Erroneous Payments. 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any “discharge for value” (under which a creditor might otherwise claim a right to retain fundsmistakenly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ARTICLE X. MISCELLANEOUS</w:t>
      </w:r>
    </w:p>
    <w:p>
      <w:pPr>
        <w:spacing w:after="0" w:line="229"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10.1 Amendments, Etc. Subject to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and the last three paragraphs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125</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t>EX-10.25</w:t>
      </w:r>
    </w:p>
    <w:p>
      <w:pPr>
        <w:spacing w:after="0" w:line="315" w:lineRule="exact"/>
        <w:rPr>
          <w:sz w:val="20"/>
          <w:szCs w:val="20"/>
          <w:color w:val="auto"/>
        </w:rPr>
      </w:pPr>
    </w:p>
    <w:p>
      <w:pPr>
        <w:jc w:val="right"/>
        <w:ind w:right="9219"/>
        <w:spacing w:after="0"/>
        <w:rPr>
          <w:sz w:val="20"/>
          <w:szCs w:val="20"/>
          <w:color w:val="auto"/>
        </w:rPr>
      </w:pPr>
      <w:r>
        <w:rPr>
          <w:rFonts w:ascii="Times New Roman" w:cs="Times New Roman" w:eastAsia="Times New Roman" w:hAnsi="Times New Roman"/>
          <w:sz w:val="20"/>
          <w:szCs w:val="20"/>
          <w:color w:val="auto"/>
        </w:rPr>
        <w:t>Lender;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t>EX-10.25</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without the written consent of each</w:t>
      </w:r>
    </w:p>
    <w:p>
      <w:pPr>
        <w:spacing w:after="0" w:line="200" w:lineRule="exact"/>
        <w:rPr>
          <w:sz w:val="20"/>
          <w:szCs w:val="20"/>
          <w:color w:val="auto"/>
        </w:rPr>
      </w:pPr>
    </w:p>
    <w:p>
      <w:pPr>
        <w:spacing w:after="0" w:line="232" w:lineRule="exact"/>
        <w:rPr>
          <w:sz w:val="20"/>
          <w:szCs w:val="20"/>
          <w:color w:val="auto"/>
        </w:rPr>
      </w:pPr>
    </w:p>
    <w:p>
      <w:pPr>
        <w:ind w:left="760" w:hanging="752"/>
        <w:spacing w:after="0"/>
        <w:tabs>
          <w:tab w:leader="none" w:pos="76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clause (a) above, waive any condition set forth in</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color w:val="auto"/>
        </w:rPr>
        <w:t>EX-10.25</w:t>
      </w:r>
    </w:p>
    <w:p>
      <w:pPr>
        <w:spacing w:after="0" w:line="27" w:lineRule="exact"/>
        <w:rPr>
          <w:sz w:val="20"/>
          <w:szCs w:val="20"/>
          <w:color w:val="auto"/>
        </w:rPr>
      </w:pPr>
    </w:p>
    <w:p>
      <w:pPr>
        <w:ind w:left="30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as to any Credit Extension under a particular Facility without the written consent of the Required Revolving Credit Lenders or the Required Term Loan Lenders, as the case may be;</w:t>
      </w:r>
    </w:p>
    <w:p>
      <w:pPr>
        <w:spacing w:after="0" w:line="209" w:lineRule="exact"/>
        <w:rPr>
          <w:sz w:val="20"/>
          <w:szCs w:val="20"/>
          <w:color w:val="auto"/>
        </w:rPr>
      </w:pPr>
    </w:p>
    <w:p>
      <w:pPr>
        <w:ind w:left="300" w:right="380" w:firstLine="748"/>
        <w:spacing w:after="0" w:line="269" w:lineRule="auto"/>
        <w:tabs>
          <w:tab w:leader="none" w:pos="13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any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w:t>
      </w:r>
    </w:p>
    <w:p>
      <w:pPr>
        <w:spacing w:after="0" w:line="145"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34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7" w:lineRule="exact"/>
        <w:rPr>
          <w:rFonts w:ascii="Times New Roman" w:cs="Times New Roman" w:eastAsia="Times New Roman" w:hAnsi="Times New Roman"/>
          <w:sz w:val="20"/>
          <w:szCs w:val="20"/>
          <w:color w:val="auto"/>
        </w:rPr>
      </w:pPr>
    </w:p>
    <w:p>
      <w:pPr>
        <w:jc w:val="both"/>
        <w:ind w:left="300" w:firstLine="748"/>
        <w:spacing w:after="0" w:line="245" w:lineRule="auto"/>
        <w:tabs>
          <w:tab w:leader="none" w:pos="134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interest,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payablehereunder;</w:t>
      </w:r>
    </w:p>
    <w:p>
      <w:pPr>
        <w:spacing w:after="0" w:line="211" w:lineRule="exact"/>
        <w:rPr>
          <w:rFonts w:ascii="Times New Roman" w:cs="Times New Roman" w:eastAsia="Times New Roman" w:hAnsi="Times New Roman"/>
          <w:sz w:val="20"/>
          <w:szCs w:val="20"/>
          <w:color w:val="auto"/>
        </w:rPr>
      </w:pPr>
    </w:p>
    <w:p>
      <w:pPr>
        <w:jc w:val="both"/>
        <w:ind w:left="300" w:firstLine="748"/>
        <w:spacing w:after="0" w:line="246" w:lineRule="auto"/>
        <w:tabs>
          <w:tab w:leader="none" w:pos="1345"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any other provision hereof in a manner that would have the effect of altering the ratable reduction of Commitments or the pro rata sharing of payments otherwise required hereunder or the order of application of payments required thereby without the written consent of each Lender adversely and directly affected thereby or (ii) subordinate, or change any provision hereof that would have the effect of subordinating, the Obligations hereunder to any other Indebtedness or other obligation, without the written consent of each Lender adversely and directly affectedthereby;</w:t>
      </w:r>
    </w:p>
    <w:p>
      <w:pPr>
        <w:spacing w:after="0" w:line="198"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34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in any manner that materially and adversely affects the Lenders under a Facility without the written consent of the Required Facility Lenders under such Facility;</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7" w:lineRule="auto"/>
        <w:tabs>
          <w:tab w:leader="none" w:pos="1345"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without the written consent of each Lender or</w:t>
      </w:r>
    </w:p>
    <w:p>
      <w:pPr>
        <w:ind w:left="300" w:hanging="1"/>
        <w:spacing w:after="0" w:line="246" w:lineRule="auto"/>
        <w:tabs>
          <w:tab w:leader="none" w:pos="59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“Required Facility Lenders” as it relates to a Facility (or the constituent definition therein relating to such Facility) without the written consent of each Lender under such Facility;</w:t>
      </w:r>
    </w:p>
    <w:p>
      <w:pPr>
        <w:spacing w:after="0" w:line="195" w:lineRule="exact"/>
        <w:rPr>
          <w:rFonts w:ascii="Times New Roman" w:cs="Times New Roman" w:eastAsia="Times New Roman" w:hAnsi="Times New Roman"/>
          <w:sz w:val="20"/>
          <w:szCs w:val="20"/>
          <w:color w:val="auto"/>
        </w:rPr>
      </w:pPr>
    </w:p>
    <w:p>
      <w:pPr>
        <w:ind w:left="300" w:firstLine="748"/>
        <w:spacing w:after="0" w:line="269" w:lineRule="auto"/>
        <w:tabs>
          <w:tab w:leader="none" w:pos="1344"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or the definition of “Alternative Currency”, in either case, as it relates to the Revolving Credit Facility, without the written consent of each Revolving Credit Lender;</w:t>
      </w:r>
    </w:p>
    <w:p>
      <w:pPr>
        <w:spacing w:after="0" w:line="186" w:lineRule="exact"/>
        <w:rPr>
          <w:rFonts w:ascii="Times New Roman" w:cs="Times New Roman" w:eastAsia="Times New Roman" w:hAnsi="Times New Roman"/>
          <w:sz w:val="20"/>
          <w:szCs w:val="20"/>
          <w:color w:val="auto"/>
        </w:rPr>
      </w:pPr>
    </w:p>
    <w:p>
      <w:pPr>
        <w:ind w:left="300" w:firstLine="748"/>
        <w:spacing w:after="0" w:line="269" w:lineRule="auto"/>
        <w:tabs>
          <w:tab w:leader="none" w:pos="1344"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72"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345"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(i) the Company from the Company Guaranty without the written consent of each Lender, or (ii) all or substantially all of the value of the Subsidiary Guaranties without the written consent of each Lender, except to the extent the release of any Subsidiary Guarantor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9" w:lineRule="exact"/>
        <w:rPr>
          <w:rFonts w:ascii="Times New Roman" w:cs="Times New Roman" w:eastAsia="Times New Roman" w:hAnsi="Times New Roman"/>
          <w:sz w:val="20"/>
          <w:szCs w:val="20"/>
          <w:color w:val="auto"/>
        </w:rPr>
      </w:pPr>
    </w:p>
    <w:p>
      <w:pPr>
        <w:ind w:left="300" w:right="20" w:firstLine="748"/>
        <w:spacing w:after="0" w:line="269" w:lineRule="auto"/>
        <w:tabs>
          <w:tab w:leader="none" w:pos="1344"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as it relates to the termination of a Designated Borrower’s status as such under a particular Facility, without the written consent of each Lender under such Facility;</w:t>
      </w:r>
    </w:p>
    <w:p>
      <w:pPr>
        <w:spacing w:after="0" w:line="159" w:lineRule="exact"/>
        <w:rPr>
          <w:sz w:val="20"/>
          <w:szCs w:val="20"/>
          <w:color w:val="auto"/>
        </w:rPr>
      </w:pPr>
    </w:p>
    <w:p>
      <w:pPr>
        <w:ind w:left="300" w:right="20" w:firstLine="749"/>
        <w:spacing w:after="0" w:line="269" w:lineRule="auto"/>
        <w:rPr>
          <w:sz w:val="20"/>
          <w:szCs w:val="20"/>
          <w:color w:val="auto"/>
        </w:rPr>
      </w:pPr>
      <w:r>
        <w:rPr>
          <w:rFonts w:ascii="Times New Roman" w:cs="Times New Roman" w:eastAsia="Times New Roman" w:hAnsi="Times New Roman"/>
          <w:sz w:val="20"/>
          <w:szCs w:val="20"/>
          <w:color w:val="auto"/>
        </w:rPr>
        <w:t>(m)impose any greater restriction on the ability of any Lender under a Facility to assign any of its rights or obligations hereunder without the written consent of the Required Facility Lenders under such Facility; or</w:t>
      </w:r>
    </w:p>
    <w:p>
      <w:pPr>
        <w:spacing w:after="0" w:line="173" w:lineRule="exact"/>
        <w:rPr>
          <w:sz w:val="20"/>
          <w:szCs w:val="20"/>
          <w:color w:val="auto"/>
        </w:rPr>
      </w:pPr>
    </w:p>
    <w:p>
      <w:pPr>
        <w:ind w:left="300" w:right="20" w:firstLine="748"/>
        <w:spacing w:after="0" w:line="269" w:lineRule="auto"/>
        <w:tabs>
          <w:tab w:leader="none" w:pos="13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definition of “Interest Period” to include a period other than one, three or six months, with respect to any Facility without the written consent of each Lender under such Facility;</w:t>
      </w:r>
    </w:p>
    <w:p>
      <w:pPr>
        <w:spacing w:after="0" w:line="15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or the definition of Alternative Currency, in either case, as it relates to the Revolving Credit Facility);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no Commitment of any Defaulting Lender may be increased or extended without the consent of such Lender and (y)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129</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underthis Agreement.</w:t>
      </w:r>
    </w:p>
    <w:p>
      <w:pPr>
        <w:spacing w:after="0" w:line="212" w:lineRule="exact"/>
        <w:rPr>
          <w:sz w:val="20"/>
          <w:szCs w:val="20"/>
          <w:color w:val="auto"/>
        </w:rPr>
      </w:pPr>
    </w:p>
    <w:p>
      <w:pPr>
        <w:jc w:val="both"/>
        <w:ind w:left="120" w:firstLine="747"/>
        <w:spacing w:after="0" w:line="246" w:lineRule="auto"/>
        <w:rPr>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98"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Notices; Effectiveness; Electronic Communication.</w:t>
      </w:r>
    </w:p>
    <w:p>
      <w:pPr>
        <w:spacing w:after="0" w:line="243" w:lineRule="exact"/>
        <w:rPr>
          <w:sz w:val="20"/>
          <w:szCs w:val="20"/>
          <w:color w:val="auto"/>
        </w:rPr>
      </w:pPr>
    </w:p>
    <w:p>
      <w:pPr>
        <w:jc w:val="both"/>
        <w:ind w:left="300" w:firstLine="748"/>
        <w:spacing w:after="0" w:line="246" w:lineRule="auto"/>
        <w:tabs>
          <w:tab w:leader="none" w:pos="1789" w:val="left"/>
        </w:tabs>
        <w:numPr>
          <w:ilvl w:val="0"/>
          <w:numId w:val="2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98" w:lineRule="exact"/>
        <w:rPr>
          <w:rFonts w:ascii="Times New Roman" w:cs="Times New Roman" w:eastAsia="Times New Roman" w:hAnsi="Times New Roman"/>
          <w:sz w:val="20"/>
          <w:szCs w:val="20"/>
          <w:u w:val="single" w:color="auto"/>
          <w:color w:val="auto"/>
        </w:rPr>
      </w:pPr>
    </w:p>
    <w:p>
      <w:pPr>
        <w:jc w:val="both"/>
        <w:ind w:left="1040" w:firstLine="757"/>
        <w:spacing w:after="0" w:line="254" w:lineRule="auto"/>
        <w:tabs>
          <w:tab w:leader="none" w:pos="2528"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Company, the Administrative Agent or Bank of America, in its capacity as an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207"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subsection(b)</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300" w:firstLine="748"/>
        <w:spacing w:after="0" w:line="264" w:lineRule="auto"/>
        <w:tabs>
          <w:tab w:leader="none" w:pos="1789" w:val="left"/>
        </w:tabs>
        <w:numPr>
          <w:ilvl w:val="0"/>
          <w:numId w:val="25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Notices and other communications to the Lenders and the L/C Issuers hereunder may be delivered or furnished by electronic communication (including e-mail, FpML messaging and Internet or intranet websites) pursuant to</w:t>
      </w:r>
    </w:p>
    <w:p>
      <w:pPr>
        <w:ind w:left="300"/>
        <w:spacing w:after="0"/>
        <w:rPr>
          <w:sz w:val="20"/>
          <w:szCs w:val="20"/>
          <w:color w:val="auto"/>
        </w:rPr>
      </w:pPr>
      <w:r>
        <w:rPr>
          <w:rFonts w:ascii="Times New Roman" w:cs="Times New Roman" w:eastAsia="Times New Roman" w:hAnsi="Times New Roman"/>
          <w:sz w:val="20"/>
          <w:szCs w:val="20"/>
          <w:color w:val="auto"/>
        </w:rPr>
        <w:t xml:space="preserve">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L/C</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130</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6" w:lineRule="auto"/>
        <w:rPr>
          <w:sz w:val="20"/>
          <w:szCs w:val="20"/>
          <w:color w:val="auto"/>
        </w:rPr>
      </w:pPr>
      <w:r>
        <w:rPr>
          <w:rFonts w:ascii="Times New Roman" w:cs="Times New Roman" w:eastAsia="Times New Roman" w:hAnsi="Times New Roman"/>
          <w:sz w:val="20"/>
          <w:szCs w:val="20"/>
          <w:color w:val="auto"/>
        </w:rPr>
        <w:t xml:space="preserve">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8" w:lineRule="exact"/>
        <w:rPr>
          <w:sz w:val="20"/>
          <w:szCs w:val="20"/>
          <w:color w:val="auto"/>
        </w:rPr>
      </w:pPr>
    </w:p>
    <w:p>
      <w:pPr>
        <w:jc w:val="both"/>
        <w:ind w:left="120" w:firstLine="747"/>
        <w:spacing w:after="0" w:line="243"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Dayfor the recipient.</w:t>
      </w:r>
    </w:p>
    <w:p>
      <w:pPr>
        <w:spacing w:after="0" w:line="216" w:lineRule="exact"/>
        <w:rPr>
          <w:sz w:val="20"/>
          <w:szCs w:val="20"/>
          <w:color w:val="auto"/>
        </w:rPr>
      </w:pPr>
    </w:p>
    <w:p>
      <w:pPr>
        <w:ind w:left="1780" w:hanging="732"/>
        <w:spacing w:after="0"/>
        <w:tabs>
          <w:tab w:leader="none" w:pos="1780" w:val="left"/>
        </w:tabs>
        <w:numPr>
          <w:ilvl w:val="0"/>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u w:val="single" w:color="auto"/>
          <w:color w:val="auto"/>
        </w:rPr>
      </w:pPr>
    </w:p>
    <w:p>
      <w:pPr>
        <w:jc w:val="both"/>
        <w:ind w:left="30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202" w:lineRule="exact"/>
        <w:rPr>
          <w:rFonts w:ascii="Times New Roman" w:cs="Times New Roman" w:eastAsia="Times New Roman" w:hAnsi="Times New Roman"/>
          <w:sz w:val="20"/>
          <w:szCs w:val="20"/>
          <w:u w:val="single" w:color="auto"/>
          <w:color w:val="auto"/>
        </w:rPr>
      </w:pPr>
    </w:p>
    <w:p>
      <w:pPr>
        <w:jc w:val="both"/>
        <w:ind w:left="300" w:firstLine="748"/>
        <w:spacing w:after="0" w:line="256" w:lineRule="auto"/>
        <w:tabs>
          <w:tab w:leader="none" w:pos="1789" w:val="left"/>
        </w:tabs>
        <w:numPr>
          <w:ilvl w:val="0"/>
          <w:numId w:val="25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Change of Address, Etc</w:t>
      </w:r>
      <w:r>
        <w:rPr>
          <w:rFonts w:ascii="Times New Roman" w:cs="Times New Roman" w:eastAsia="Times New Roman" w:hAnsi="Times New Roman"/>
          <w:sz w:val="19"/>
          <w:szCs w:val="19"/>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firstLine="748"/>
        <w:spacing w:after="0" w:line="243" w:lineRule="auto"/>
        <w:tabs>
          <w:tab w:leader="none" w:pos="1790" w:val="left"/>
        </w:tabs>
        <w:numPr>
          <w:ilvl w:val="0"/>
          <w:numId w:val="2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Reliance by Administrative Agent, L/C Issuers and Lenders</w:t>
      </w:r>
      <w:r>
        <w:rPr>
          <w:rFonts w:ascii="Times New Roman" w:cs="Times New Roman" w:eastAsia="Times New Roman" w:hAnsi="Times New Roman"/>
          <w:sz w:val="20"/>
          <w:szCs w:val="20"/>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liabilities and reasonable and documented out-of-pocket expenses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suchrecording.</w:t>
      </w:r>
    </w:p>
    <w:p>
      <w:pPr>
        <w:spacing w:after="0" w:line="199"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10.3 No Waiver; Cumulative Remedies; Enforcement.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11" w:lineRule="exact"/>
        <w:rPr>
          <w:sz w:val="20"/>
          <w:szCs w:val="20"/>
          <w:color w:val="auto"/>
        </w:rPr>
      </w:pPr>
    </w:p>
    <w:p>
      <w:pPr>
        <w:jc w:val="both"/>
        <w:ind w:left="120" w:firstLine="747"/>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w:t>
      </w:r>
    </w:p>
    <w:p>
      <w:pPr>
        <w:spacing w:after="0" w:line="5" w:lineRule="exact"/>
        <w:rPr>
          <w:sz w:val="20"/>
          <w:szCs w:val="20"/>
          <w:color w:val="auto"/>
        </w:rPr>
      </w:pPr>
    </w:p>
    <w:p>
      <w:pPr>
        <w:ind w:left="120" w:right="20" w:hanging="8"/>
        <w:spacing w:after="0" w:line="246" w:lineRule="auto"/>
        <w:tabs>
          <w:tab w:leader="none" w:pos="549"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5"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Expenses; Indemnity; Damage Waiver.</w:t>
      </w:r>
    </w:p>
    <w:p>
      <w:pPr>
        <w:spacing w:after="0" w:line="229" w:lineRule="exact"/>
        <w:rPr>
          <w:sz w:val="20"/>
          <w:szCs w:val="20"/>
          <w:color w:val="auto"/>
        </w:rPr>
      </w:pPr>
    </w:p>
    <w:p>
      <w:pPr>
        <w:jc w:val="both"/>
        <w:ind w:left="300" w:firstLine="748"/>
        <w:spacing w:after="0" w:line="243" w:lineRule="auto"/>
        <w:tabs>
          <w:tab w:leader="none" w:pos="1789" w:val="left"/>
        </w:tabs>
        <w:numPr>
          <w:ilvl w:val="0"/>
          <w:numId w:val="2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Company shall pay (i) all reasonable and documented out-of- pocket expenses incurred by the Administrative Agent and its Affiliates (including the reasonable and documented fees, disbursements and other charges of one counsel for the Administrative Agent and the Arranger, taken as a whole, and, if reasonably necessary, of one local counsel and one regulatory counsel in any relevant jurisdiction for the Administrative Agent and the Arranger,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3" w:lineRule="auto"/>
        <w:rPr>
          <w:sz w:val="20"/>
          <w:szCs w:val="20"/>
          <w:color w:val="auto"/>
        </w:rPr>
      </w:pPr>
      <w:r>
        <w:rPr>
          <w:rFonts w:ascii="Times New Roman" w:cs="Times New Roman" w:eastAsia="Times New Roman" w:hAnsi="Times New Roman"/>
          <w:sz w:val="20"/>
          <w:szCs w:val="20"/>
          <w:color w:val="auto"/>
        </w:rPr>
        <w:t>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 of its rights (A) in connection with this Agreement and the other Loan Documents, including its rights under this Section, or (B) in connection with the Loans made or Letters of Credit issued hereunder, including all such documented out-of-pocket expenses incurred during any workout, restructuring or negotiations in respect of such Loans or Letters of Credit.</w:t>
      </w:r>
    </w:p>
    <w:p>
      <w:pPr>
        <w:spacing w:after="0" w:line="199" w:lineRule="exact"/>
        <w:rPr>
          <w:sz w:val="20"/>
          <w:szCs w:val="20"/>
          <w:color w:val="auto"/>
        </w:rPr>
      </w:pPr>
    </w:p>
    <w:p>
      <w:pPr>
        <w:jc w:val="both"/>
        <w:ind w:left="300" w:firstLine="748"/>
        <w:spacing w:after="0" w:line="253" w:lineRule="auto"/>
        <w:tabs>
          <w:tab w:leader="none" w:pos="1789" w:val="left"/>
        </w:tabs>
        <w:numPr>
          <w:ilvl w:val="0"/>
          <w:numId w:val="25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Indemnification by the Company</w:t>
      </w:r>
      <w:r>
        <w:rPr>
          <w:rFonts w:ascii="Times New Roman" w:cs="Times New Roman" w:eastAsia="Times New Roman" w:hAnsi="Times New Roman"/>
          <w:sz w:val="19"/>
          <w:szCs w:val="19"/>
          <w:color w:val="auto"/>
        </w:rPr>
        <w:t>. The Company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9"/>
          <w:szCs w:val="19"/>
          <w:u w:val="single" w:color="auto"/>
          <w:color w:val="auto"/>
        </w:rPr>
        <w:t>Section 3.01(c)</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10.04(b)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non-Taxclaim.</w:t>
      </w:r>
    </w:p>
    <w:p>
      <w:pPr>
        <w:spacing w:after="0" w:line="200" w:lineRule="exact"/>
        <w:rPr>
          <w:rFonts w:ascii="Times New Roman" w:cs="Times New Roman" w:eastAsia="Times New Roman" w:hAnsi="Times New Roman"/>
          <w:sz w:val="19"/>
          <w:szCs w:val="19"/>
          <w:u w:val="single" w:color="auto"/>
          <w:color w:val="auto"/>
        </w:rPr>
      </w:pPr>
    </w:p>
    <w:p>
      <w:pPr>
        <w:spacing w:after="0" w:line="252" w:lineRule="exact"/>
        <w:rPr>
          <w:rFonts w:ascii="Times New Roman" w:cs="Times New Roman" w:eastAsia="Times New Roman" w:hAnsi="Times New Roman"/>
          <w:sz w:val="19"/>
          <w:szCs w:val="19"/>
          <w:u w:val="single" w:color="auto"/>
          <w:color w:val="auto"/>
        </w:rPr>
      </w:pPr>
    </w:p>
    <w:p>
      <w:pPr>
        <w:jc w:val="both"/>
        <w:ind w:left="300" w:firstLine="748"/>
        <w:spacing w:after="0" w:line="249" w:lineRule="auto"/>
        <w:tabs>
          <w:tab w:leader="none" w:pos="1789"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Company for any reason fails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any L/C Issuer, the Swing Line Lender or any Related Party of any of the foregoing, each Lender severally agrees to pay to the Administrative Agent (or any</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9"/>
          <w:szCs w:val="19"/>
          <w:color w:val="auto"/>
        </w:rPr>
        <w:t xml:space="preserve">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are subject to the provisions of </w:t>
      </w:r>
      <w:r>
        <w:rPr>
          <w:rFonts w:ascii="Times New Roman" w:cs="Times New Roman" w:eastAsia="Times New Roman" w:hAnsi="Times New Roman"/>
          <w:sz w:val="19"/>
          <w:szCs w:val="19"/>
          <w:u w:val="single" w:color="auto"/>
          <w:color w:val="auto"/>
        </w:rPr>
        <w:t>Section 2.12(d)</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left="300" w:firstLine="748"/>
        <w:spacing w:after="0" w:line="256" w:lineRule="auto"/>
        <w:tabs>
          <w:tab w:leader="none" w:pos="1789" w:val="left"/>
        </w:tabs>
        <w:numPr>
          <w:ilvl w:val="1"/>
          <w:numId w:val="25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9"/>
          <w:szCs w:val="19"/>
          <w:u w:val="single" w:color="auto"/>
          <w:color w:val="auto"/>
        </w:rPr>
        <w:t>subsection</w:t>
      </w:r>
    </w:p>
    <w:p>
      <w:pPr>
        <w:spacing w:after="0" w:line="4" w:lineRule="exact"/>
        <w:rPr>
          <w:rFonts w:ascii="Times New Roman" w:cs="Times New Roman" w:eastAsia="Times New Roman" w:hAnsi="Times New Roman"/>
          <w:sz w:val="19"/>
          <w:szCs w:val="19"/>
          <w:u w:val="single" w:color="auto"/>
          <w:color w:val="auto"/>
        </w:rPr>
      </w:pPr>
    </w:p>
    <w:p>
      <w:pPr>
        <w:jc w:val="both"/>
        <w:ind w:left="300" w:hanging="1"/>
        <w:spacing w:after="0" w:line="241" w:lineRule="auto"/>
        <w:tabs>
          <w:tab w:leader="none" w:pos="580" w:val="left"/>
        </w:tabs>
        <w:numPr>
          <w:ilvl w:val="0"/>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13" w:lineRule="exact"/>
        <w:rPr>
          <w:rFonts w:ascii="Times New Roman" w:cs="Times New Roman" w:eastAsia="Times New Roman" w:hAnsi="Times New Roman"/>
          <w:sz w:val="20"/>
          <w:szCs w:val="20"/>
          <w:u w:val="single" w:color="auto"/>
          <w:color w:val="auto"/>
        </w:rPr>
      </w:pPr>
    </w:p>
    <w:p>
      <w:pPr>
        <w:ind w:left="1780" w:hanging="732"/>
        <w:spacing w:after="0"/>
        <w:tabs>
          <w:tab w:leader="none" w:pos="1780" w:val="left"/>
        </w:tabs>
        <w:numPr>
          <w:ilvl w:val="1"/>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w:t>
      </w:r>
    </w:p>
    <w:p>
      <w:pPr>
        <w:spacing w:after="0" w:line="21" w:lineRule="exact"/>
        <w:rPr>
          <w:rFonts w:ascii="Times New Roman" w:cs="Times New Roman" w:eastAsia="Times New Roman" w:hAnsi="Times New Roman"/>
          <w:sz w:val="20"/>
          <w:szCs w:val="20"/>
          <w:u w:val="single" w:color="auto"/>
          <w:color w:val="auto"/>
        </w:rPr>
      </w:pPr>
    </w:p>
    <w:p>
      <w:pPr>
        <w:ind w:left="30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therefor.</w:t>
      </w:r>
    </w:p>
    <w:p>
      <w:pPr>
        <w:spacing w:after="0" w:line="193" w:lineRule="exact"/>
        <w:rPr>
          <w:rFonts w:ascii="Times New Roman" w:cs="Times New Roman" w:eastAsia="Times New Roman" w:hAnsi="Times New Roman"/>
          <w:sz w:val="20"/>
          <w:szCs w:val="20"/>
          <w:u w:val="single" w:color="auto"/>
          <w:color w:val="auto"/>
        </w:rPr>
      </w:pPr>
    </w:p>
    <w:p>
      <w:pPr>
        <w:jc w:val="both"/>
        <w:ind w:left="300" w:firstLine="748"/>
        <w:spacing w:after="0" w:line="254" w:lineRule="auto"/>
        <w:tabs>
          <w:tab w:leader="none" w:pos="1789" w:val="left"/>
        </w:tabs>
        <w:numPr>
          <w:ilvl w:val="1"/>
          <w:numId w:val="2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10.02(e)</w:t>
      </w:r>
      <w:r>
        <w:rPr>
          <w:rFonts w:ascii="Times New Roman" w:cs="Times New Roman" w:eastAsia="Times New Roman" w:hAnsi="Times New Roman"/>
          <w:sz w:val="20"/>
          <w:szCs w:val="20"/>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88"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10.5 Payments Set Aside.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preceding sentence shall survive the payment in full of the Obligations and the termination of this Agreement.</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Successors and Assigns.</w:t>
      </w:r>
    </w:p>
    <w:p>
      <w:pPr>
        <w:spacing w:after="0" w:line="229" w:lineRule="exact"/>
        <w:rPr>
          <w:sz w:val="20"/>
          <w:szCs w:val="20"/>
          <w:color w:val="auto"/>
        </w:rPr>
      </w:pPr>
    </w:p>
    <w:p>
      <w:pPr>
        <w:jc w:val="both"/>
        <w:ind w:left="300" w:firstLine="748"/>
        <w:spacing w:after="0" w:line="242" w:lineRule="auto"/>
        <w:tabs>
          <w:tab w:leader="none" w:pos="1789"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216" w:lineRule="exact"/>
        <w:rPr>
          <w:rFonts w:ascii="Times New Roman" w:cs="Times New Roman" w:eastAsia="Times New Roman" w:hAnsi="Times New Roman"/>
          <w:sz w:val="20"/>
          <w:szCs w:val="20"/>
          <w:u w:val="single" w:color="auto"/>
          <w:color w:val="auto"/>
        </w:rPr>
      </w:pPr>
    </w:p>
    <w:p>
      <w:pPr>
        <w:jc w:val="both"/>
        <w:ind w:left="300" w:firstLine="748"/>
        <w:spacing w:after="0" w:line="249" w:lineRule="auto"/>
        <w:tabs>
          <w:tab w:leader="none" w:pos="1789"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Documents(including all or a portion of its Commitment(s) and the Loans (including for purposes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followingconditions:</w:t>
      </w:r>
    </w:p>
    <w:p>
      <w:pPr>
        <w:spacing w:after="0" w:line="193" w:lineRule="exact"/>
        <w:rPr>
          <w:rFonts w:ascii="Times New Roman" w:cs="Times New Roman" w:eastAsia="Times New Roman" w:hAnsi="Times New Roman"/>
          <w:sz w:val="20"/>
          <w:szCs w:val="20"/>
          <w:u w:val="single" w:color="auto"/>
          <w:color w:val="auto"/>
        </w:rPr>
      </w:pPr>
    </w:p>
    <w:p>
      <w:pPr>
        <w:ind w:left="2540" w:hanging="743"/>
        <w:spacing w:after="0"/>
        <w:tabs>
          <w:tab w:leader="none" w:pos="2540" w:val="left"/>
        </w:tabs>
        <w:numPr>
          <w:ilvl w:val="1"/>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1800" w:firstLine="745"/>
        <w:spacing w:after="0" w:line="246" w:lineRule="auto"/>
        <w:tabs>
          <w:tab w:leader="none" w:pos="3287"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98" w:lineRule="exact"/>
        <w:rPr>
          <w:rFonts w:ascii="Times New Roman" w:cs="Times New Roman" w:eastAsia="Times New Roman" w:hAnsi="Times New Roman"/>
          <w:sz w:val="20"/>
          <w:szCs w:val="20"/>
          <w:color w:val="auto"/>
        </w:rPr>
      </w:pPr>
    </w:p>
    <w:p>
      <w:pPr>
        <w:jc w:val="both"/>
        <w:ind w:left="1800" w:firstLine="745"/>
        <w:spacing w:after="0" w:line="243" w:lineRule="auto"/>
        <w:tabs>
          <w:tab w:leader="none" w:pos="3287"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w:t>
      </w:r>
    </w:p>
    <w:p>
      <w:pPr>
        <w:spacing w:after="0" w:line="1" w:lineRule="exact"/>
        <w:rPr>
          <w:rFonts w:ascii="Times New Roman" w:cs="Times New Roman" w:eastAsia="Times New Roman" w:hAnsi="Times New Roman"/>
          <w:sz w:val="20"/>
          <w:szCs w:val="20"/>
          <w:color w:val="auto"/>
        </w:rPr>
      </w:pPr>
    </w:p>
    <w:p>
      <w:pPr>
        <w:ind w:left="1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 in the case of any assignment in respect of the Revolving Credit Facility, or</w:t>
      </w:r>
    </w:p>
    <w:p>
      <w:pPr>
        <w:jc w:val="both"/>
        <w:ind w:left="18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 in the case of any assignment in respect of the Term Loan Facility, unless each of the Administrative Agent and, so long as no Event of Default has occurred and is continuing, the Company otherwise consents (each such consent not to be unreasonably withheld or delayed).</w:t>
      </w:r>
    </w:p>
    <w:p>
      <w:pPr>
        <w:spacing w:after="0" w:line="213"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1"/>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to the Swing Line Lender’s rights and obligations in respect of Swing Line Loans.</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040" w:right="620" w:firstLine="757"/>
        <w:spacing w:after="0" w:line="269" w:lineRule="auto"/>
        <w:tabs>
          <w:tab w:leader="none" w:pos="2517"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 (b)(i)(B)</w:t>
      </w:r>
      <w:r>
        <w:rPr>
          <w:rFonts w:ascii="Times New Roman" w:cs="Times New Roman" w:eastAsia="Times New Roman" w:hAnsi="Times New Roman"/>
          <w:sz w:val="20"/>
          <w:szCs w:val="20"/>
          <w:color w:val="auto"/>
        </w:rPr>
        <w:t xml:space="preserve"> of this Section and, in addition:</w:t>
      </w:r>
    </w:p>
    <w:p>
      <w:pPr>
        <w:spacing w:after="0" w:line="145" w:lineRule="exact"/>
        <w:rPr>
          <w:rFonts w:ascii="Times New Roman" w:cs="Times New Roman" w:eastAsia="Times New Roman" w:hAnsi="Times New Roman"/>
          <w:sz w:val="20"/>
          <w:szCs w:val="20"/>
          <w:u w:val="single" w:color="auto"/>
          <w:color w:val="auto"/>
        </w:rPr>
      </w:pPr>
    </w:p>
    <w:p>
      <w:pPr>
        <w:jc w:val="both"/>
        <w:ind w:left="1800" w:firstLine="745"/>
        <w:spacing w:after="0" w:line="246" w:lineRule="auto"/>
        <w:tabs>
          <w:tab w:leader="none" w:pos="3287"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bedeemed to have consented to any such assignment unless it shall object thereto by written notice to the Administrative Agent within five (5) Business Days after having received notice thereof;</w:t>
      </w:r>
    </w:p>
    <w:p>
      <w:pPr>
        <w:spacing w:after="0" w:line="211" w:lineRule="exact"/>
        <w:rPr>
          <w:rFonts w:ascii="Times New Roman" w:cs="Times New Roman" w:eastAsia="Times New Roman" w:hAnsi="Times New Roman"/>
          <w:sz w:val="20"/>
          <w:szCs w:val="20"/>
          <w:color w:val="auto"/>
        </w:rPr>
      </w:pPr>
    </w:p>
    <w:p>
      <w:pPr>
        <w:jc w:val="both"/>
        <w:ind w:left="1800" w:firstLine="745"/>
        <w:spacing w:after="0" w:line="246" w:lineRule="auto"/>
        <w:tabs>
          <w:tab w:leader="none" w:pos="3287"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any unfunded Term Loan Commitment or any Revolving Credit Commitment if such assignment is to a Person that is not a Lender with a Commitment in respect of the applicable Facility, an Affiliate of such a Lender or an Approved Fund with respect to such a Lender or (ii) any Term Loan to a Person that is not a Lender, an Affiliate of a Lender or an Approved Fund; and</w:t>
      </w:r>
    </w:p>
    <w:p>
      <w:pPr>
        <w:spacing w:after="0" w:line="198" w:lineRule="exact"/>
        <w:rPr>
          <w:rFonts w:ascii="Times New Roman" w:cs="Times New Roman" w:eastAsia="Times New Roman" w:hAnsi="Times New Roman"/>
          <w:sz w:val="20"/>
          <w:szCs w:val="20"/>
          <w:color w:val="auto"/>
        </w:rPr>
      </w:pPr>
    </w:p>
    <w:p>
      <w:pPr>
        <w:ind w:left="1800" w:right="20" w:firstLine="745"/>
        <w:spacing w:after="0" w:line="269" w:lineRule="auto"/>
        <w:tabs>
          <w:tab w:leader="none" w:pos="3287"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each L/C Issuer and the Swing Line Lender shall be required for any assignment in respect of the Revolving Credit Facility.</w:t>
      </w:r>
    </w:p>
    <w:p>
      <w:pPr>
        <w:spacing w:after="0" w:line="186" w:lineRule="exact"/>
        <w:rPr>
          <w:rFonts w:ascii="Times New Roman" w:cs="Times New Roman" w:eastAsia="Times New Roman" w:hAnsi="Times New Roman"/>
          <w:sz w:val="20"/>
          <w:szCs w:val="20"/>
          <w:color w:val="auto"/>
        </w:rPr>
      </w:pPr>
    </w:p>
    <w:p>
      <w:pPr>
        <w:jc w:val="both"/>
        <w:ind w:left="1040" w:firstLine="757"/>
        <w:spacing w:after="0" w:line="246" w:lineRule="auto"/>
        <w:tabs>
          <w:tab w:leader="none" w:pos="2528"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8" w:lineRule="exact"/>
        <w:rPr>
          <w:rFonts w:ascii="Times New Roman" w:cs="Times New Roman" w:eastAsia="Times New Roman" w:hAnsi="Times New Roman"/>
          <w:sz w:val="20"/>
          <w:szCs w:val="20"/>
          <w:u w:val="single" w:color="auto"/>
          <w:color w:val="auto"/>
        </w:rPr>
      </w:pPr>
    </w:p>
    <w:p>
      <w:pPr>
        <w:jc w:val="both"/>
        <w:ind w:left="1040" w:firstLine="757"/>
        <w:spacing w:after="0" w:line="246" w:lineRule="auto"/>
        <w:tabs>
          <w:tab w:leader="none" w:pos="2528"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to a holding company, investment vehicle or trust for, or owned and operated by or for the primary benefit of a natural Person).</w:t>
      </w:r>
    </w:p>
    <w:p>
      <w:pPr>
        <w:spacing w:after="0" w:line="211" w:lineRule="exact"/>
        <w:rPr>
          <w:rFonts w:ascii="Times New Roman" w:cs="Times New Roman" w:eastAsia="Times New Roman" w:hAnsi="Times New Roman"/>
          <w:sz w:val="20"/>
          <w:szCs w:val="20"/>
          <w:u w:val="single" w:color="auto"/>
          <w:color w:val="auto"/>
        </w:rPr>
      </w:pPr>
    </w:p>
    <w:p>
      <w:pPr>
        <w:jc w:val="both"/>
        <w:ind w:left="1040" w:firstLine="757"/>
        <w:spacing w:after="0" w:line="242" w:lineRule="auto"/>
        <w:tabs>
          <w:tab w:leader="none" w:pos="2528"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040" w:right="480"/>
        <w:spacing w:after="0" w:line="269" w:lineRule="auto"/>
        <w:rPr>
          <w:sz w:val="20"/>
          <w:szCs w:val="20"/>
          <w:color w:val="auto"/>
        </w:rPr>
      </w:pPr>
      <w:r>
        <w:rPr>
          <w:rFonts w:ascii="Times New Roman" w:cs="Times New Roman" w:eastAsia="Times New Roman" w:hAnsi="Times New Roman"/>
          <w:sz w:val="20"/>
          <w:szCs w:val="20"/>
          <w:color w:val="auto"/>
        </w:rPr>
        <w:t>then the assignee of such interest shall be deemed to be a Defaulting Lender for all purposes of this Agreement until such compliance occurs.</w:t>
      </w:r>
    </w:p>
    <w:p>
      <w:pPr>
        <w:spacing w:after="0" w:line="173" w:lineRule="exact"/>
        <w:rPr>
          <w:sz w:val="20"/>
          <w:szCs w:val="20"/>
          <w:color w:val="auto"/>
        </w:rPr>
      </w:pPr>
    </w:p>
    <w:p>
      <w:pPr>
        <w:jc w:val="both"/>
        <w:ind w:left="1040" w:right="20" w:firstLine="757"/>
        <w:spacing w:after="0" w:line="254" w:lineRule="auto"/>
        <w:tabs>
          <w:tab w:leader="none" w:pos="2527" w:val="left"/>
        </w:tabs>
        <w:numPr>
          <w:ilvl w:val="0"/>
          <w:numId w:val="2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Assignee is not a Competitor</w:t>
      </w:r>
      <w:r>
        <w:rPr>
          <w:rFonts w:ascii="Times New Roman" w:cs="Times New Roman" w:eastAsia="Times New Roman" w:hAnsi="Times New Roman"/>
          <w:sz w:val="20"/>
          <w:szCs w:val="20"/>
          <w:color w:val="auto"/>
        </w:rPr>
        <w:t>. Unless an Event of Default has occurred and is continuing (in which case this clause (vii) shall not apply to such assignment), each assignee represents and warrants to the Company that such assignee is not a Competitor.</w:t>
      </w:r>
    </w:p>
    <w:p>
      <w:pPr>
        <w:spacing w:after="0" w:line="201"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(subject to the requirements and limitations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w:t>
      </w:r>
    </w:p>
    <w:p>
      <w:pPr>
        <w:spacing w:after="0" w:line="184" w:lineRule="exact"/>
        <w:rPr>
          <w:sz w:val="20"/>
          <w:szCs w:val="20"/>
          <w:color w:val="auto"/>
        </w:rPr>
      </w:pPr>
    </w:p>
    <w:p>
      <w:pPr>
        <w:jc w:val="both"/>
        <w:ind w:left="300" w:firstLine="748"/>
        <w:spacing w:after="0" w:line="243" w:lineRule="auto"/>
        <w:tabs>
          <w:tab w:leader="none" w:pos="1789" w:val="left"/>
        </w:tabs>
        <w:numPr>
          <w:ilvl w:val="0"/>
          <w:numId w:val="2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priornotice.</w:t>
      </w:r>
    </w:p>
    <w:p>
      <w:pPr>
        <w:spacing w:after="0" w:line="216" w:lineRule="exact"/>
        <w:rPr>
          <w:rFonts w:ascii="Times New Roman" w:cs="Times New Roman" w:eastAsia="Times New Roman" w:hAnsi="Times New Roman"/>
          <w:sz w:val="20"/>
          <w:szCs w:val="20"/>
          <w:u w:val="single" w:color="auto"/>
          <w:color w:val="auto"/>
        </w:rPr>
      </w:pPr>
    </w:p>
    <w:p>
      <w:pPr>
        <w:jc w:val="both"/>
        <w:ind w:left="300" w:firstLine="748"/>
        <w:spacing w:after="0" w:line="242" w:lineRule="auto"/>
        <w:tabs>
          <w:tab w:leader="none" w:pos="1789" w:val="left"/>
        </w:tabs>
        <w:numPr>
          <w:ilvl w:val="0"/>
          <w:numId w:val="2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xml:space="preserve"> without regard to the existence of any participation.</w:t>
      </w:r>
    </w:p>
    <w:p>
      <w:pPr>
        <w:spacing w:after="0" w:line="206" w:lineRule="exact"/>
        <w:rPr>
          <w:sz w:val="20"/>
          <w:szCs w:val="20"/>
          <w:color w:val="auto"/>
        </w:rPr>
      </w:pPr>
    </w:p>
    <w:p>
      <w:pPr>
        <w:ind w:left="120" w:right="360" w:firstLine="747"/>
        <w:spacing w:after="0" w:line="269" w:lineRule="auto"/>
        <w:rPr>
          <w:sz w:val="20"/>
          <w:szCs w:val="20"/>
          <w:color w:val="auto"/>
        </w:rPr>
      </w:pPr>
      <w:r>
        <w:rPr>
          <w:rFonts w:ascii="Times New Roman" w:cs="Times New Roman" w:eastAsia="Times New Roman" w:hAnsi="Times New Roman"/>
          <w:sz w:val="20"/>
          <w:szCs w:val="20"/>
          <w:color w:val="auto"/>
        </w:rPr>
        <w:t>Any agreement or instrument pursuant to which a Lender sells such a participation shall provide that such Lender shall retain the sole right to enforce this Agreement and to approve any amendment,</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rPr>
          <w:sz w:val="20"/>
          <w:szCs w:val="20"/>
          <w:color w:val="auto"/>
        </w:rPr>
      </w:pPr>
      <w:r>
        <w:rPr>
          <w:rFonts w:ascii="Times New Roman" w:cs="Times New Roman" w:eastAsia="Times New Roman" w:hAnsi="Times New Roman"/>
          <w:sz w:val="20"/>
          <w:szCs w:val="20"/>
          <w:color w:val="auto"/>
        </w:rPr>
        <w:t xml:space="preserve">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that affects such Participant.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set forth therein)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18" w:lineRule="exact"/>
        <w:rPr>
          <w:sz w:val="20"/>
          <w:szCs w:val="20"/>
          <w:color w:val="auto"/>
        </w:rPr>
      </w:pPr>
    </w:p>
    <w:p>
      <w:pPr>
        <w:jc w:val="both"/>
        <w:ind w:left="300" w:firstLine="748"/>
        <w:spacing w:after="0" w:line="249" w:lineRule="auto"/>
        <w:tabs>
          <w:tab w:leader="none" w:pos="1789" w:val="left"/>
        </w:tabs>
        <w:numPr>
          <w:ilvl w:val="1"/>
          <w:numId w:val="2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06" w:lineRule="exact"/>
        <w:rPr>
          <w:rFonts w:ascii="Times New Roman" w:cs="Times New Roman" w:eastAsia="Times New Roman" w:hAnsi="Times New Roman"/>
          <w:sz w:val="20"/>
          <w:szCs w:val="20"/>
          <w:u w:val="single" w:color="auto"/>
          <w:color w:val="auto"/>
        </w:rPr>
      </w:pPr>
    </w:p>
    <w:p>
      <w:pPr>
        <w:jc w:val="both"/>
        <w:ind w:left="300" w:firstLine="748"/>
        <w:spacing w:after="0" w:line="247" w:lineRule="auto"/>
        <w:tabs>
          <w:tab w:leader="none" w:pos="1789" w:val="left"/>
        </w:tabs>
        <w:numPr>
          <w:ilvl w:val="1"/>
          <w:numId w:val="2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Resignation as an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 if at any time Bank of America assigns all of its Revolving Credit Commitment and Revolving Credit Loans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Bank of America may,</w:t>
      </w:r>
    </w:p>
    <w:p>
      <w:pPr>
        <w:jc w:val="both"/>
        <w:ind w:left="300" w:hanging="1"/>
        <w:spacing w:after="0"/>
        <w:tabs>
          <w:tab w:leader="none" w:pos="70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30 days’ notice to the Company and the Revolving Credit Lenders, resign as an L/C Issuer and/or (B) upon 30 days’ notice to the Company, resign as Swing Line Lender, and (ii) if at any time any other Lender acting as an L/C Issuer assigns all of its Revolving Credit Commitment and Revolving Credit Loans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such Lender may, upon 30 days’ notice to the Company and the Revolving Credit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42" w:lineRule="auto"/>
        <w:rPr>
          <w:sz w:val="20"/>
          <w:szCs w:val="20"/>
          <w:color w:val="auto"/>
        </w:rPr>
      </w:pPr>
      <w:r>
        <w:rPr>
          <w:rFonts w:ascii="Times New Roman" w:cs="Times New Roman" w:eastAsia="Times New Roman" w:hAnsi="Times New Roman"/>
          <w:sz w:val="20"/>
          <w:szCs w:val="20"/>
          <w:color w:val="auto"/>
        </w:rPr>
        <w:t xml:space="preserve">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w:t>
      </w:r>
    </w:p>
    <w:p>
      <w:pPr>
        <w:spacing w:after="0" w:line="5" w:lineRule="exact"/>
        <w:rPr>
          <w:sz w:val="20"/>
          <w:szCs w:val="20"/>
          <w:color w:val="auto"/>
        </w:rPr>
      </w:pPr>
    </w:p>
    <w:p>
      <w:pPr>
        <w:jc w:val="both"/>
        <w:ind w:left="300" w:hanging="1"/>
        <w:spacing w:after="0" w:line="241" w:lineRule="auto"/>
        <w:tabs>
          <w:tab w:leader="none" w:pos="596"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200" w:lineRule="exact"/>
        <w:rPr>
          <w:sz w:val="20"/>
          <w:szCs w:val="20"/>
          <w:color w:val="auto"/>
        </w:rPr>
      </w:pPr>
    </w:p>
    <w:p>
      <w:pPr>
        <w:jc w:val="both"/>
        <w:ind w:left="1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10.7 Treatment of Certain Information; Confidentiality. Each of the Administrative Agent, the Lenders and the L/C Issuers agree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w:t>
      </w:r>
    </w:p>
    <w:p>
      <w:pPr>
        <w:jc w:val="both"/>
        <w:ind w:left="120" w:hanging="8"/>
        <w:spacing w:after="0"/>
        <w:tabs>
          <w:tab w:leader="none" w:pos="55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17"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Company or any Subsidiary after the date hereof, such information is clearly</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both"/>
        <w:ind w:left="120" w:firstLine="747"/>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Issuers acknowledge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7" w:lineRule="exact"/>
        <w:rPr>
          <w:sz w:val="20"/>
          <w:szCs w:val="20"/>
          <w:color w:val="auto"/>
        </w:rPr>
      </w:pPr>
    </w:p>
    <w:p>
      <w:pPr>
        <w:jc w:val="both"/>
        <w:ind w:left="120" w:firstLine="747"/>
        <w:spacing w:after="0" w:line="269" w:lineRule="auto"/>
        <w:rPr>
          <w:sz w:val="20"/>
          <w:szCs w:val="20"/>
          <w:color w:val="auto"/>
        </w:rPr>
      </w:pPr>
      <w:r>
        <w:rPr>
          <w:rFonts w:ascii="Times New Roman" w:cs="Times New Roman" w:eastAsia="Times New Roman" w:hAnsi="Times New Roman"/>
          <w:sz w:val="20"/>
          <w:szCs w:val="20"/>
          <w:color w:val="auto"/>
        </w:rPr>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73"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19"/>
          <w:szCs w:val="19"/>
          <w:color w:val="auto"/>
        </w:rPr>
        <w:t xml:space="preserve">10.8 Right of Setoff. If an Event of Default shall have occurred and be continuing, each Lender, each L/C Issuer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Borrower are owed to a branch, office or Affiliate of such Lender or such L/C Issuer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the Administrative Agent for further application inaccordance with the provisions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affectthe validity of such setoff and application.</w:t>
      </w:r>
    </w:p>
    <w:p>
      <w:pPr>
        <w:spacing w:after="0" w:line="214"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10.9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spacing w:after="0" w:line="5" w:lineRule="exact"/>
        <w:rPr>
          <w:sz w:val="20"/>
          <w:szCs w:val="20"/>
          <w:color w:val="auto"/>
        </w:rPr>
      </w:pPr>
    </w:p>
    <w:p>
      <w:pPr>
        <w:ind w:left="120" w:hanging="8"/>
        <w:spacing w:after="0" w:line="246" w:lineRule="auto"/>
        <w:tabs>
          <w:tab w:leader="none" w:pos="421"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140</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firstLine="749"/>
        <w:spacing w:after="0" w:line="260" w:lineRule="auto"/>
        <w:rPr>
          <w:sz w:val="20"/>
          <w:szCs w:val="20"/>
          <w:color w:val="auto"/>
        </w:rPr>
      </w:pPr>
      <w:r>
        <w:rPr>
          <w:rFonts w:ascii="Times New Roman" w:cs="Times New Roman" w:eastAsia="Times New Roman" w:hAnsi="Times New Roman"/>
          <w:sz w:val="19"/>
          <w:szCs w:val="19"/>
          <w:color w:val="auto"/>
        </w:rPr>
        <w:t xml:space="preserve">10.10 Integration; Effectiveness.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6"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color w:val="auto"/>
        </w:rPr>
        <w:t>10.11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13"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9"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10.13 Replacement of Lenders. If the Company is entitled to replace a Lender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that:</w:t>
      </w:r>
    </w:p>
    <w:p>
      <w:pPr>
        <w:spacing w:after="0" w:line="184" w:lineRule="exact"/>
        <w:rPr>
          <w:sz w:val="20"/>
          <w:szCs w:val="20"/>
          <w:color w:val="auto"/>
        </w:rPr>
      </w:pPr>
    </w:p>
    <w:p>
      <w:pPr>
        <w:ind w:left="300" w:right="1180" w:firstLine="748"/>
        <w:spacing w:after="0" w:line="269" w:lineRule="auto"/>
        <w:tabs>
          <w:tab w:leader="none" w:pos="172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a Designated Borrower to pay) to the Administrative Agent the assignment fee (if any)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left="300" w:firstLine="748"/>
        <w:spacing w:after="0" w:line="249" w:lineRule="auto"/>
        <w:tabs>
          <w:tab w:leader="none" w:pos="1789"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or applicable Designated Borrower (in the case of all other amounts);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141</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EX-10.25</w:t>
      </w:r>
    </w:p>
    <w:p>
      <w:pPr>
        <w:spacing w:after="0" w:line="59" w:lineRule="exact"/>
        <w:rPr>
          <w:sz w:val="20"/>
          <w:szCs w:val="20"/>
          <w:color w:val="auto"/>
        </w:rPr>
      </w:pPr>
    </w:p>
    <w:p>
      <w:pPr>
        <w:ind w:left="1800" w:hanging="752"/>
        <w:spacing w:after="0"/>
        <w:tabs>
          <w:tab w:leader="none" w:pos="18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w:t>
      </w:r>
    </w:p>
    <w:p>
      <w:pPr>
        <w:spacing w:after="0" w:line="28" w:lineRule="exact"/>
        <w:rPr>
          <w:sz w:val="20"/>
          <w:szCs w:val="20"/>
          <w:color w:val="auto"/>
        </w:rPr>
      </w:pPr>
    </w:p>
    <w:p>
      <w:pPr>
        <w:ind w:left="300" w:right="500"/>
        <w:spacing w:after="0" w:line="253" w:lineRule="auto"/>
        <w:rPr>
          <w:sz w:val="20"/>
          <w:szCs w:val="20"/>
          <w:color w:val="auto"/>
        </w:rPr>
      </w:pP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88" w:lineRule="exact"/>
        <w:rPr>
          <w:sz w:val="20"/>
          <w:szCs w:val="20"/>
          <w:color w:val="auto"/>
        </w:rPr>
      </w:pPr>
    </w:p>
    <w:p>
      <w:pPr>
        <w:ind w:left="1800" w:hanging="752"/>
        <w:spacing w:after="0"/>
        <w:tabs>
          <w:tab w:leader="none" w:pos="180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42" w:lineRule="exact"/>
        <w:rPr>
          <w:rFonts w:ascii="Times New Roman" w:cs="Times New Roman" w:eastAsia="Times New Roman" w:hAnsi="Times New Roman"/>
          <w:sz w:val="20"/>
          <w:szCs w:val="20"/>
          <w:color w:val="auto"/>
        </w:rPr>
      </w:pPr>
    </w:p>
    <w:p>
      <w:pPr>
        <w:ind w:left="300" w:right="360" w:firstLine="748"/>
        <w:spacing w:after="0" w:line="269" w:lineRule="auto"/>
        <w:tabs>
          <w:tab w:leader="none" w:pos="1771"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orconsent.</w:t>
      </w:r>
    </w:p>
    <w:p>
      <w:pPr>
        <w:spacing w:after="0" w:line="159" w:lineRule="exact"/>
        <w:rPr>
          <w:sz w:val="20"/>
          <w:szCs w:val="20"/>
          <w:color w:val="auto"/>
        </w:rPr>
      </w:pPr>
    </w:p>
    <w:p>
      <w:pPr>
        <w:jc w:val="both"/>
        <w:ind w:left="120" w:right="20" w:firstLine="747"/>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3"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98"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860"/>
        <w:spacing w:after="0"/>
        <w:tabs>
          <w:tab w:leader="none" w:pos="15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color w:val="auto"/>
        </w:rPr>
        <w:t>Governing Law; Jurisdiction; Etc.</w:t>
      </w:r>
    </w:p>
    <w:p>
      <w:pPr>
        <w:spacing w:after="0" w:line="243" w:lineRule="exact"/>
        <w:rPr>
          <w:sz w:val="20"/>
          <w:szCs w:val="20"/>
          <w:color w:val="auto"/>
        </w:rPr>
      </w:pPr>
    </w:p>
    <w:p>
      <w:pPr>
        <w:jc w:val="both"/>
        <w:ind w:left="300" w:firstLine="748"/>
        <w:spacing w:after="0" w:line="245" w:lineRule="auto"/>
        <w:tabs>
          <w:tab w:leader="none" w:pos="178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7" w:lineRule="exact"/>
        <w:rPr>
          <w:rFonts w:ascii="Times New Roman" w:cs="Times New Roman" w:eastAsia="Times New Roman" w:hAnsi="Times New Roman"/>
          <w:sz w:val="20"/>
          <w:szCs w:val="20"/>
          <w:color w:val="auto"/>
        </w:rPr>
      </w:pPr>
    </w:p>
    <w:p>
      <w:pPr>
        <w:jc w:val="both"/>
        <w:ind w:left="300" w:right="20" w:firstLine="748"/>
        <w:spacing w:after="0" w:line="243" w:lineRule="auto"/>
        <w:tabs>
          <w:tab w:leader="none" w:pos="178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EXCEPT TO THE EXTENT MANDATED BY APPLICABLE LAW OR RULES OF PROCEDURE,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9"/>
          <w:szCs w:val="19"/>
          <w:color w:val="auto"/>
        </w:rPr>
        <w:t>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ANYJURISDICTION.</w:t>
      </w:r>
    </w:p>
    <w:p>
      <w:pPr>
        <w:spacing w:after="0" w:line="194" w:lineRule="exact"/>
        <w:rPr>
          <w:sz w:val="20"/>
          <w:szCs w:val="20"/>
          <w:color w:val="auto"/>
        </w:rPr>
      </w:pPr>
    </w:p>
    <w:p>
      <w:pPr>
        <w:jc w:val="both"/>
        <w:ind w:left="300" w:firstLine="748"/>
        <w:spacing w:after="0" w:line="244" w:lineRule="auto"/>
        <w:tabs>
          <w:tab w:leader="none" w:pos="178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12" w:lineRule="exact"/>
        <w:rPr>
          <w:rFonts w:ascii="Times New Roman" w:cs="Times New Roman" w:eastAsia="Times New Roman" w:hAnsi="Times New Roman"/>
          <w:sz w:val="20"/>
          <w:szCs w:val="20"/>
          <w:color w:val="auto"/>
        </w:rPr>
      </w:pPr>
    </w:p>
    <w:p>
      <w:pPr>
        <w:jc w:val="both"/>
        <w:ind w:left="300" w:firstLine="748"/>
        <w:spacing w:after="0" w:line="254" w:lineRule="auto"/>
        <w:tabs>
          <w:tab w:leader="none" w:pos="1789"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88" w:lineRule="exact"/>
        <w:rPr>
          <w:sz w:val="20"/>
          <w:szCs w:val="20"/>
          <w:color w:val="auto"/>
        </w:rPr>
      </w:pPr>
    </w:p>
    <w:p>
      <w:pPr>
        <w:jc w:val="both"/>
        <w:ind w:left="120" w:firstLine="749"/>
        <w:spacing w:after="0" w:line="243" w:lineRule="auto"/>
        <w:rPr>
          <w:sz w:val="20"/>
          <w:szCs w:val="20"/>
          <w:color w:val="auto"/>
        </w:rPr>
      </w:pPr>
      <w:r>
        <w:rPr>
          <w:rFonts w:ascii="Times New Roman" w:cs="Times New Roman" w:eastAsia="Times New Roman" w:hAnsi="Times New Roman"/>
          <w:sz w:val="20"/>
          <w:szCs w:val="20"/>
          <w:color w:val="auto"/>
        </w:rPr>
        <w:t>10.15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9" w:lineRule="exact"/>
        <w:rPr>
          <w:sz w:val="20"/>
          <w:szCs w:val="20"/>
          <w:color w:val="auto"/>
        </w:rPr>
      </w:pPr>
    </w:p>
    <w:p>
      <w:pPr>
        <w:jc w:val="both"/>
        <w:ind w:left="120" w:firstLine="749"/>
        <w:spacing w:after="0" w:line="244" w:lineRule="auto"/>
        <w:rPr>
          <w:sz w:val="20"/>
          <w:szCs w:val="20"/>
          <w:color w:val="auto"/>
        </w:rPr>
      </w:pPr>
      <w:r>
        <w:rPr>
          <w:rFonts w:ascii="Times New Roman" w:cs="Times New Roman" w:eastAsia="Times New Roman" w:hAnsi="Times New Roman"/>
          <w:sz w:val="20"/>
          <w:szCs w:val="20"/>
          <w:color w:val="auto"/>
        </w:rPr>
        <w:t>10.16 No Advisory or Fiduciary Responsibility. 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 and the Lenders are arm’s-length commercial transactions between such Borrower and its Affiliates, on the one hand, and the Administrative Agent, the Arranger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contemplated hereby and by the other Loan Documents; (ii) (A) each of the Administrative Agent, the Arranger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 nor any Lender has any obligation to such Borrower or any of its Affiliates with respect to the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such Borrower and its Affiliates, and neither the Administrative Agent, the Arranger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 or any Lender with respect to any breach or alleged breach of agency or fiduciary duty in connection with any aspect of any transaction contemplatedhereby.</w:t>
      </w:r>
    </w:p>
    <w:p>
      <w:pPr>
        <w:spacing w:after="0" w:line="203" w:lineRule="exact"/>
        <w:rPr>
          <w:sz w:val="20"/>
          <w:szCs w:val="20"/>
          <w:color w:val="auto"/>
        </w:rPr>
      </w:pPr>
    </w:p>
    <w:p>
      <w:pPr>
        <w:jc w:val="right"/>
        <w:ind w:left="120"/>
        <w:spacing w:after="0"/>
        <w:rPr>
          <w:sz w:val="20"/>
          <w:szCs w:val="20"/>
          <w:color w:val="auto"/>
        </w:rPr>
      </w:pPr>
      <w:r>
        <w:rPr>
          <w:rFonts w:ascii="Times New Roman" w:cs="Times New Roman" w:eastAsia="Times New Roman" w:hAnsi="Times New Roman"/>
          <w:sz w:val="20"/>
          <w:szCs w:val="20"/>
          <w:color w:val="auto"/>
        </w:rPr>
        <w:t>10.17   Electronic Execution; Electronic Records; Counterparts.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233" w:lineRule="exact"/>
        <w:rPr>
          <w:sz w:val="20"/>
          <w:szCs w:val="20"/>
          <w:color w:val="auto"/>
        </w:rPr>
      </w:pPr>
    </w:p>
    <w:p>
      <w:pPr>
        <w:jc w:val="both"/>
        <w:ind w:left="120" w:firstLine="747"/>
        <w:spacing w:after="0" w:line="259" w:lineRule="auto"/>
        <w:rPr>
          <w:sz w:val="20"/>
          <w:szCs w:val="20"/>
          <w:color w:val="auto"/>
        </w:rPr>
      </w:pPr>
      <w:r>
        <w:rPr>
          <w:rFonts w:ascii="Times New Roman" w:cs="Times New Roman" w:eastAsia="Times New Roman" w:hAnsi="Times New Roman"/>
          <w:sz w:val="19"/>
          <w:szCs w:val="19"/>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EX-10.25</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146</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ind w:left="120" w:right="120"/>
        <w:spacing w:after="0" w:line="269" w:lineRule="auto"/>
        <w:rPr>
          <w:sz w:val="20"/>
          <w:szCs w:val="20"/>
          <w:color w:val="auto"/>
        </w:rPr>
      </w:pPr>
      <w:r>
        <w:rPr>
          <w:rFonts w:ascii="Times New Roman" w:cs="Times New Roman" w:eastAsia="Times New Roman" w:hAnsi="Times New Roman"/>
          <w:sz w:val="20"/>
          <w:szCs w:val="20"/>
          <w:color w:val="auto"/>
        </w:rPr>
        <w:t>by telephone and believed by it to be genuine and signed or sent or otherwise authenticated (whether or not such Person in fact meets the requirements set forth in the Loan Documents for being the maker thereof).</w:t>
      </w:r>
    </w:p>
    <w:p>
      <w:pPr>
        <w:spacing w:after="0" w:line="173" w:lineRule="exact"/>
        <w:rPr>
          <w:sz w:val="20"/>
          <w:szCs w:val="20"/>
          <w:color w:val="auto"/>
        </w:rPr>
      </w:pPr>
    </w:p>
    <w:p>
      <w:pPr>
        <w:jc w:val="both"/>
        <w:ind w:left="120" w:firstLine="747"/>
        <w:spacing w:after="0" w:line="245" w:lineRule="auto"/>
        <w:rPr>
          <w:sz w:val="20"/>
          <w:szCs w:val="20"/>
          <w:color w:val="auto"/>
        </w:rPr>
      </w:pPr>
      <w:r>
        <w:rPr>
          <w:rFonts w:ascii="Times New Roman" w:cs="Times New Roman" w:eastAsia="Times New Roman" w:hAnsi="Times New Roman"/>
          <w:sz w:val="20"/>
          <w:szCs w:val="20"/>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11" w:lineRule="exact"/>
        <w:rPr>
          <w:sz w:val="20"/>
          <w:szCs w:val="20"/>
          <w:color w:val="auto"/>
        </w:rPr>
      </w:pPr>
    </w:p>
    <w:p>
      <w:pPr>
        <w:jc w:val="both"/>
        <w:ind w:left="120" w:firstLine="749"/>
        <w:spacing w:after="0" w:line="250" w:lineRule="auto"/>
        <w:rPr>
          <w:sz w:val="20"/>
          <w:szCs w:val="20"/>
          <w:color w:val="auto"/>
        </w:rPr>
      </w:pPr>
      <w:r>
        <w:rPr>
          <w:rFonts w:ascii="Times New Roman" w:cs="Times New Roman" w:eastAsia="Times New Roman" w:hAnsi="Times New Roman"/>
          <w:sz w:val="20"/>
          <w:szCs w:val="20"/>
          <w:color w:val="auto"/>
        </w:rPr>
        <w:t>10.18 USA PATRIOT Act. Each Lender that is subject to the Act (as hereinafter defined) and the Administrative Agent (for itself and not on behalf of any Lender) hereby notifies the Borrowers that pursuant to the requirements of the USA PATRIOT Act (Title</w:t>
      </w:r>
    </w:p>
    <w:p>
      <w:pPr>
        <w:spacing w:after="0" w:line="2" w:lineRule="exact"/>
        <w:rPr>
          <w:sz w:val="20"/>
          <w:szCs w:val="20"/>
          <w:color w:val="auto"/>
        </w:rPr>
      </w:pPr>
    </w:p>
    <w:p>
      <w:pPr>
        <w:jc w:val="both"/>
        <w:ind w:left="120" w:hanging="8"/>
        <w:spacing w:after="0"/>
        <w:tabs>
          <w:tab w:leader="none" w:pos="369"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05"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10.19 Keepwell. The Company hereby absolutely, unconditionally and irrevocably undertakes to provide such funds or other support to each 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the Company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shall remain in full force and effect until the Obligations have been indefeasibly paid and performed in full. The Company intends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10.19</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Subsidiary Guarantor for all purposes of the Commodity Exchange Act.</w:t>
      </w:r>
    </w:p>
    <w:p>
      <w:pPr>
        <w:spacing w:after="0" w:line="219"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10.20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93" w:lineRule="exact"/>
        <w:rPr>
          <w:sz w:val="20"/>
          <w:szCs w:val="20"/>
          <w:color w:val="auto"/>
        </w:rPr>
      </w:pPr>
    </w:p>
    <w:p>
      <w:pPr>
        <w:jc w:val="both"/>
        <w:ind w:lef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10.21 Amendment and Restatement; No Novation.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necessaryin order that the outstanding balance of such Loans, together with any Loans funded on the Closing Date, reflect the respective Applicable Percentages of the Lenders hereunder and the Borrowers agree to pay any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in connection with such transfers as if all Loans under the Existing Credit Agreement were repaid on the Closing Date, to the extent not waived by the applicable Lenders.</w:t>
      </w:r>
    </w:p>
    <w:p>
      <w:pPr>
        <w:spacing w:after="0" w:line="217" w:lineRule="exact"/>
        <w:rPr>
          <w:sz w:val="20"/>
          <w:szCs w:val="20"/>
          <w:color w:val="auto"/>
        </w:rPr>
      </w:pPr>
    </w:p>
    <w:p>
      <w:pPr>
        <w:jc w:val="both"/>
        <w:ind w:left="120" w:firstLine="749"/>
        <w:spacing w:after="0" w:line="245" w:lineRule="auto"/>
        <w:rPr>
          <w:sz w:val="20"/>
          <w:szCs w:val="20"/>
          <w:color w:val="auto"/>
        </w:rPr>
      </w:pPr>
      <w:r>
        <w:rPr>
          <w:rFonts w:ascii="Times New Roman" w:cs="Times New Roman" w:eastAsia="Times New Roman" w:hAnsi="Times New Roman"/>
          <w:sz w:val="20"/>
          <w:szCs w:val="20"/>
          <w:color w:val="auto"/>
        </w:rPr>
        <w:t>10.22 Acknowledgment and Consent to Bail-In of Affected Financial Institutions.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8" w:lineRule="exact"/>
        <w:rPr>
          <w:sz w:val="20"/>
          <w:szCs w:val="20"/>
          <w:color w:val="auto"/>
        </w:rPr>
      </w:pPr>
    </w:p>
    <w:p>
      <w:pPr>
        <w:ind w:left="300" w:right="20" w:firstLine="748"/>
        <w:spacing w:after="0" w:line="269" w:lineRule="auto"/>
        <w:tabs>
          <w:tab w:leader="none" w:pos="1789"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86"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42" w:lineRule="exact"/>
        <w:rPr>
          <w:rFonts w:ascii="Times New Roman" w:cs="Times New Roman" w:eastAsia="Times New Roman" w:hAnsi="Times New Roman"/>
          <w:sz w:val="20"/>
          <w:szCs w:val="20"/>
          <w:color w:val="auto"/>
        </w:rPr>
      </w:pPr>
    </w:p>
    <w:p>
      <w:pPr>
        <w:ind w:left="2540" w:hanging="743"/>
        <w:spacing w:after="0"/>
        <w:tabs>
          <w:tab w:leader="none" w:pos="254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1040" w:firstLine="757"/>
        <w:spacing w:after="0" w:line="249" w:lineRule="auto"/>
        <w:tabs>
          <w:tab w:leader="none" w:pos="2528"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6" w:lineRule="exact"/>
        <w:rPr>
          <w:rFonts w:ascii="Times New Roman" w:cs="Times New Roman" w:eastAsia="Times New Roman" w:hAnsi="Times New Roman"/>
          <w:sz w:val="20"/>
          <w:szCs w:val="20"/>
          <w:color w:val="auto"/>
        </w:rPr>
      </w:pPr>
    </w:p>
    <w:p>
      <w:pPr>
        <w:ind w:left="1040" w:firstLine="757"/>
        <w:spacing w:after="0" w:line="269" w:lineRule="auto"/>
        <w:tabs>
          <w:tab w:leader="none" w:pos="2528"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both"/>
        <w:ind w:left="120" w:firstLine="749"/>
        <w:spacing w:after="0" w:line="254" w:lineRule="auto"/>
        <w:rPr>
          <w:sz w:val="20"/>
          <w:szCs w:val="20"/>
          <w:color w:val="auto"/>
        </w:rPr>
      </w:pPr>
      <w:r>
        <w:rPr>
          <w:rFonts w:ascii="Times New Roman" w:cs="Times New Roman" w:eastAsia="Times New Roman" w:hAnsi="Times New Roman"/>
          <w:sz w:val="20"/>
          <w:szCs w:val="20"/>
          <w:color w:val="auto"/>
        </w:rPr>
        <w:t>10.23 Acknowledgement Regarding Any Supported QFCs.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148</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EX-10.25</w:t>
      </w:r>
    </w:p>
    <w:p>
      <w:pPr>
        <w:spacing w:after="0" w:line="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8" w:lineRule="exact"/>
        <w:rPr>
          <w:sz w:val="20"/>
          <w:szCs w:val="20"/>
          <w:color w:val="auto"/>
        </w:rPr>
      </w:pPr>
    </w:p>
    <w:p>
      <w:pPr>
        <w:jc w:val="both"/>
        <w:ind w:left="300" w:firstLine="748"/>
        <w:spacing w:after="0" w:line="241" w:lineRule="auto"/>
        <w:tabs>
          <w:tab w:leader="none" w:pos="1789"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24" w:lineRule="exact"/>
        <w:rPr>
          <w:rFonts w:ascii="Times New Roman" w:cs="Times New Roman" w:eastAsia="Times New Roman" w:hAnsi="Times New Roman"/>
          <w:sz w:val="20"/>
          <w:szCs w:val="20"/>
          <w:color w:val="auto"/>
        </w:rPr>
      </w:pPr>
    </w:p>
    <w:p>
      <w:pPr>
        <w:ind w:left="1800" w:hanging="752"/>
        <w:spacing w:after="0"/>
        <w:tabs>
          <w:tab w:leader="none" w:pos="18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the following terms have the following meanings:</w:t>
      </w:r>
    </w:p>
    <w:p>
      <w:pPr>
        <w:spacing w:after="0" w:line="202" w:lineRule="exact"/>
        <w:rPr>
          <w:sz w:val="20"/>
          <w:szCs w:val="20"/>
          <w:color w:val="auto"/>
        </w:rPr>
      </w:pPr>
    </w:p>
    <w:p>
      <w:pPr>
        <w:jc w:val="both"/>
        <w:ind w:left="860" w:right="20" w:firstLine="74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3" w:lineRule="exact"/>
        <w:rPr>
          <w:sz w:val="20"/>
          <w:szCs w:val="20"/>
          <w:color w:val="auto"/>
        </w:rPr>
      </w:pPr>
    </w:p>
    <w:p>
      <w:pPr>
        <w:jc w:val="both"/>
        <w:ind w:left="860" w:right="20" w:firstLine="74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jc w:val="both"/>
        <w:ind w:left="8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left="86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75" w:name="page276"/>
    <w:bookmarkEnd w:id="275"/>
    <w:tbl>
      <w:tblPr>
        <w:tblLayout w:type="fixed"/>
        <w:tblInd w:w="10" w:type="dxa"/>
        <w:tblCellMar>
          <w:top w:w="0" w:type="dxa"/>
          <w:left w:w="0" w:type="dxa"/>
          <w:bottom w:w="0" w:type="dxa"/>
          <w:right w:w="0" w:type="dxa"/>
        </w:tblCellMar>
      </w:tblPr>
      <w:tr>
        <w:trPr>
          <w:trHeight w:val="231"/>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EX-10.26</w:t>
            </w:r>
          </w:p>
        </w:tc>
        <w:tc>
          <w:tcPr>
            <w:tcW w:w="5600" w:type="dxa"/>
            <w:vAlign w:val="bottom"/>
            <w:tcBorders>
              <w:bottom w:val="single" w:sz="8" w:color="auto"/>
            </w:tcBorders>
          </w:tcPr>
          <w:p>
            <w:pPr>
              <w:spacing w:after="0"/>
              <w:rPr>
                <w:sz w:val="20"/>
                <w:szCs w:val="20"/>
                <w:color w:val="auto"/>
              </w:rPr>
            </w:pPr>
          </w:p>
        </w:tc>
      </w:tr>
      <w:tr>
        <w:trPr>
          <w:trHeight w:val="30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%%FIRST_NAME_LAST_NAME%%</w:t>
            </w:r>
          </w:p>
        </w:tc>
      </w:tr>
      <w:tr>
        <w:trPr>
          <w:trHeight w:val="52"/>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319"/>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Number of Restricted Stock Units “RSUs”:</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%%TOTAL_SHARES_GRANTED,7%%</w:t>
            </w:r>
          </w:p>
        </w:tc>
      </w:tr>
      <w:tr>
        <w:trPr>
          <w:trHeight w:val="56"/>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3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Agreement Date:</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%%OPTION_DATE,1%%</w:t>
            </w:r>
          </w:p>
        </w:tc>
      </w:tr>
      <w:tr>
        <w:trPr>
          <w:trHeight w:val="55"/>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3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%%VEST_BASE_DATE,1%</w:t>
            </w:r>
          </w:p>
        </w:tc>
      </w:tr>
      <w:tr>
        <w:trPr>
          <w:trHeight w:val="56"/>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50"/>
        </w:trPr>
        <w:tc>
          <w:tcPr>
            <w:tcW w:w="5640" w:type="dxa"/>
            <w:vAlign w:val="bottom"/>
            <w:tcBorders>
              <w:left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22"/>
                <w:szCs w:val="22"/>
                <w:b w:val="1"/>
                <w:bCs w:val="1"/>
                <w:color w:val="auto"/>
              </w:rPr>
              <w:t>Vesting Schedule:</w:t>
            </w:r>
          </w:p>
        </w:tc>
        <w:tc>
          <w:tcPr>
            <w:tcW w:w="5600" w:type="dxa"/>
            <w:vAlign w:val="bottom"/>
            <w:tcBorders>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The RSUs shall become nonforfeitable and payable in</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substantially equal installments on each of the first four</w:t>
            </w:r>
          </w:p>
        </w:tc>
      </w:tr>
      <w:tr>
        <w:trPr>
          <w:trHeight w:val="243"/>
        </w:trPr>
        <w:tc>
          <w:tcPr>
            <w:tcW w:w="564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w w:val="99"/>
              </w:rPr>
              <w:t>anniversaries of the Date of Grant, with each such anniversary</w:t>
            </w:r>
          </w:p>
        </w:tc>
      </w:tr>
      <w:tr>
        <w:trPr>
          <w:trHeight w:val="283"/>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constituting a vesting date</w:t>
            </w:r>
          </w:p>
        </w:tc>
      </w:tr>
    </w:tbl>
    <w:p>
      <w:pPr>
        <w:spacing w:after="0" w:line="2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Units Agreement</w:t>
      </w:r>
    </w:p>
    <w:p>
      <w:pPr>
        <w:spacing w:after="0" w:line="231" w:lineRule="exact"/>
        <w:rPr>
          <w:sz w:val="20"/>
          <w:szCs w:val="20"/>
          <w:color w:val="auto"/>
        </w:rPr>
      </w:pPr>
    </w:p>
    <w:p>
      <w:pPr>
        <w:ind w:right="340" w:firstLine="749"/>
        <w:spacing w:after="0" w:line="247" w:lineRule="auto"/>
        <w:rPr>
          <w:sz w:val="20"/>
          <w:szCs w:val="20"/>
          <w:color w:val="auto"/>
        </w:rPr>
      </w:pPr>
      <w:r>
        <w:rPr>
          <w:rFonts w:ascii="Times New Roman" w:cs="Times New Roman" w:eastAsia="Times New Roman" w:hAnsi="Times New Roman"/>
          <w:sz w:val="22"/>
          <w:szCs w:val="22"/>
          <w:color w:val="auto"/>
        </w:rPr>
        <w:t>This RESTRICTED STOCK UNITS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360" w:firstLine="757"/>
        <w:spacing w:after="0" w:line="286" w:lineRule="auto"/>
        <w:tabs>
          <w:tab w:leader="none" w:pos="1551"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color w:val="auto"/>
        </w:rPr>
        <w:t>. Capitalized terms used, but not otherwise defined, in this Agreement will have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meanings given to such terms in the CECO Environmental Corp. 2021 Equity and Incentive Compensation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26" w:lineRule="exact"/>
        <w:rPr>
          <w:rFonts w:ascii="Times New Roman" w:cs="Times New Roman" w:eastAsia="Times New Roman" w:hAnsi="Times New Roman"/>
          <w:sz w:val="21"/>
          <w:szCs w:val="21"/>
          <w:color w:val="auto"/>
        </w:rPr>
      </w:pPr>
    </w:p>
    <w:p>
      <w:pPr>
        <w:ind w:right="60" w:firstLine="757"/>
        <w:spacing w:after="0" w:line="237" w:lineRule="auto"/>
        <w:tabs>
          <w:tab w:leader="none" w:pos="155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additional 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specified above, the number of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as set forth above. Each RSU shall represent the right of the Grantee to receive one share of Common Stock subject to and upon the terms and conditions of this Agreement.</w:t>
      </w:r>
    </w:p>
    <w:p>
      <w:pPr>
        <w:spacing w:after="0" w:line="175" w:lineRule="exact"/>
        <w:rPr>
          <w:rFonts w:ascii="Times New Roman" w:cs="Times New Roman" w:eastAsia="Times New Roman" w:hAnsi="Times New Roman"/>
          <w:sz w:val="22"/>
          <w:szCs w:val="22"/>
          <w:color w:val="auto"/>
        </w:rPr>
      </w:pPr>
    </w:p>
    <w:p>
      <w:pPr>
        <w:ind w:right="40" w:firstLine="757"/>
        <w:spacing w:after="0" w:line="246" w:lineRule="auto"/>
        <w:tabs>
          <w:tab w:leader="none" w:pos="155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Transfer of RSUs</w:t>
      </w:r>
      <w:r>
        <w:rPr>
          <w:rFonts w:ascii="Times New Roman" w:cs="Times New Roman" w:eastAsia="Times New Roman" w:hAnsi="Times New Roman"/>
          <w:sz w:val="22"/>
          <w:szCs w:val="22"/>
          <w:color w:val="auto"/>
        </w:rPr>
        <w:t>. Subject to Section 15 of the Plan, neither the RSUs evidenced hereby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interest therein or in the Common Stock underlying such RSUs shall be transferable prior to payment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other than by will or pursuant to the laws of descent and distribution.</w:t>
      </w:r>
    </w:p>
    <w:p>
      <w:pPr>
        <w:spacing w:after="0" w:line="167" w:lineRule="exact"/>
        <w:rPr>
          <w:rFonts w:ascii="Times New Roman" w:cs="Times New Roman" w:eastAsia="Times New Roman" w:hAnsi="Times New Roman"/>
          <w:sz w:val="22"/>
          <w:szCs w:val="22"/>
          <w:color w:val="auto"/>
        </w:rPr>
      </w:pPr>
    </w:p>
    <w:p>
      <w:pPr>
        <w:ind w:right="140" w:firstLine="757"/>
        <w:spacing w:after="0" w:line="236" w:lineRule="auto"/>
        <w:tabs>
          <w:tab w:leader="none" w:pos="1551"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The RSUs covered by this Agreement shall become nonforfeitable and payable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based on the vesting schedule specified above (the “</w:t>
      </w:r>
      <w:r>
        <w:rPr>
          <w:rFonts w:ascii="Times New Roman" w:cs="Times New Roman" w:eastAsia="Times New Roman" w:hAnsi="Times New Roman"/>
          <w:sz w:val="22"/>
          <w:szCs w:val="22"/>
          <w:b w:val="1"/>
          <w:bCs w:val="1"/>
          <w:i w:val="1"/>
          <w:iCs w:val="1"/>
          <w:color w:val="auto"/>
        </w:rPr>
        <w:t>Vesting Schedule</w:t>
      </w:r>
      <w:r>
        <w:rPr>
          <w:rFonts w:ascii="Times New Roman" w:cs="Times New Roman" w:eastAsia="Times New Roman" w:hAnsi="Times New Roman"/>
          <w:sz w:val="22"/>
          <w:szCs w:val="22"/>
          <w:color w:val="auto"/>
        </w:rPr>
        <w:t>”), if the Grantee remains in the continuous employment of the Company or a Subsidiary until the vesting date(s) specified in the Vesting Schedule. Subject to the terms of the Plan, any RSUs that do not so become nonforfeitable will be forfeited, including if the Grantee ceases to be continuously employed by the Company or a Subsidiary prior to the vesting date(s) specified in the Vesting Schedule. For purposes of this Agreement, “continuously employed” (or substantially similar terms) means the absence of any interruption or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F81BD"/>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of the Grantee’s employment with the Company or a Subsidiary. Continuous employment shall not be considered interrupted or terminated in the case of transfers between locations of the Company and its Subsidiaries.</w:t>
      </w:r>
    </w:p>
    <w:p>
      <w:pPr>
        <w:spacing w:after="0" w:line="174" w:lineRule="exact"/>
        <w:rPr>
          <w:sz w:val="20"/>
          <w:szCs w:val="20"/>
          <w:color w:val="auto"/>
        </w:rPr>
      </w:pPr>
    </w:p>
    <w:p>
      <w:pPr>
        <w:ind w:left="1560" w:hanging="803"/>
        <w:spacing w:after="0"/>
        <w:tabs>
          <w:tab w:leader="none" w:pos="156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Payment of RSUs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right="320" w:hanging="743"/>
        <w:spacing w:after="0" w:line="261" w:lineRule="auto"/>
        <w:tabs>
          <w:tab w:leader="none" w:pos="150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for the RSUs, after and to the extent they have become nonforfeitable, shall be made in the form of Common Stock. Payment shall be made as soon as administratively practicable following (but no later than thirty (30) days following) the date that the RSUs become nonforfeitable pursuant to </w:t>
      </w:r>
      <w:r>
        <w:rPr>
          <w:rFonts w:ascii="Times New Roman" w:cs="Times New Roman" w:eastAsia="Times New Roman" w:hAnsi="Times New Roman"/>
          <w:sz w:val="21"/>
          <w:szCs w:val="21"/>
          <w:b w:val="1"/>
          <w:bCs w:val="1"/>
          <w:u w:val="single" w:color="auto"/>
          <w:color w:val="auto"/>
        </w:rPr>
        <w:t>Section 4</w:t>
      </w:r>
      <w:r>
        <w:rPr>
          <w:rFonts w:ascii="Times New Roman" w:cs="Times New Roman" w:eastAsia="Times New Roman" w:hAnsi="Times New Roman"/>
          <w:sz w:val="21"/>
          <w:szCs w:val="21"/>
          <w:color w:val="auto"/>
        </w:rPr>
        <w:t xml:space="preserve"> hereof.</w:t>
      </w:r>
    </w:p>
    <w:p>
      <w:pPr>
        <w:spacing w:after="0" w:line="157" w:lineRule="exact"/>
        <w:rPr>
          <w:rFonts w:ascii="Times New Roman" w:cs="Times New Roman" w:eastAsia="Times New Roman" w:hAnsi="Times New Roman"/>
          <w:sz w:val="21"/>
          <w:szCs w:val="21"/>
          <w:color w:val="auto"/>
        </w:rPr>
      </w:pPr>
    </w:p>
    <w:p>
      <w:pPr>
        <w:ind w:left="1500" w:hanging="743"/>
        <w:spacing w:after="0" w:line="258" w:lineRule="auto"/>
        <w:tabs>
          <w:tab w:leader="none" w:pos="150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RSUs will be satisfied in full upon the issuance of Common Stock corresponding to such RSUs.</w:t>
      </w:r>
    </w:p>
    <w:p>
      <w:pPr>
        <w:spacing w:after="0" w:line="154" w:lineRule="exact"/>
        <w:rPr>
          <w:sz w:val="20"/>
          <w:szCs w:val="20"/>
          <w:color w:val="auto"/>
        </w:rPr>
      </w:pPr>
    </w:p>
    <w:p>
      <w:pPr>
        <w:ind w:left="1560" w:hanging="803"/>
        <w:spacing w:after="0"/>
        <w:tabs>
          <w:tab w:leader="none" w:pos="156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 Voting and Other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right="140" w:hanging="743"/>
        <w:spacing w:after="0" w:line="244" w:lineRule="auto"/>
        <w:tabs>
          <w:tab w:leader="none" w:pos="150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above.</w:t>
      </w:r>
    </w:p>
    <w:p>
      <w:pPr>
        <w:spacing w:after="0" w:line="173" w:lineRule="exact"/>
        <w:rPr>
          <w:rFonts w:ascii="Times New Roman" w:cs="Times New Roman" w:eastAsia="Times New Roman" w:hAnsi="Times New Roman"/>
          <w:sz w:val="22"/>
          <w:szCs w:val="22"/>
          <w:color w:val="auto"/>
        </w:rPr>
      </w:pPr>
    </w:p>
    <w:p>
      <w:pPr>
        <w:ind w:left="1500" w:right="40" w:hanging="743"/>
        <w:spacing w:after="0" w:line="235" w:lineRule="auto"/>
        <w:tabs>
          <w:tab w:leader="none" w:pos="150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Grant and until the earlier of (i) the time when the RSUs become nonforfeitable and are paid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or (ii) the time when the Grantee’s right to receive Common Stock in payment of the RSUs is forfeited in accordance with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178" w:lineRule="exact"/>
        <w:rPr>
          <w:rFonts w:ascii="Times New Roman" w:cs="Times New Roman" w:eastAsia="Times New Roman" w:hAnsi="Times New Roman"/>
          <w:sz w:val="22"/>
          <w:szCs w:val="22"/>
          <w:color w:val="auto"/>
        </w:rPr>
      </w:pPr>
    </w:p>
    <w:p>
      <w:pPr>
        <w:ind w:left="1500" w:right="20" w:hanging="743"/>
        <w:spacing w:after="0" w:line="239" w:lineRule="auto"/>
        <w:tabs>
          <w:tab w:leader="none" w:pos="150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76" w:lineRule="exact"/>
        <w:rPr>
          <w:sz w:val="20"/>
          <w:szCs w:val="20"/>
          <w:color w:val="auto"/>
        </w:rPr>
      </w:pPr>
    </w:p>
    <w:p>
      <w:pPr>
        <w:jc w:val="both"/>
        <w:ind w:right="320" w:firstLine="757"/>
        <w:spacing w:after="0" w:line="246" w:lineRule="auto"/>
        <w:tabs>
          <w:tab w:leader="none" w:pos="155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RSUs and the number of shares of Common Stock issuable for each RSU,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the grant evidenced by this Agreement, are subject to mandatory adjustment, including as provided in Section 11 of the Plan.</w:t>
      </w:r>
    </w:p>
    <w:p>
      <w:pPr>
        <w:spacing w:after="0" w:line="167" w:lineRule="exact"/>
        <w:rPr>
          <w:rFonts w:ascii="Times New Roman" w:cs="Times New Roman" w:eastAsia="Times New Roman" w:hAnsi="Times New Roman"/>
          <w:sz w:val="22"/>
          <w:szCs w:val="22"/>
          <w:color w:val="auto"/>
        </w:rPr>
      </w:pPr>
    </w:p>
    <w:p>
      <w:pPr>
        <w:ind w:right="60" w:firstLine="757"/>
        <w:spacing w:after="0" w:line="241" w:lineRule="auto"/>
        <w:tabs>
          <w:tab w:leader="none" w:pos="155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or other amounts in connection with the delivery to the Grantee of Common Stock or any other payment to the Grantee or any other payment or vesting event under this Agreement, the Grantee agrees that the Company will withhold any taxes required to be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F81BD"/>
        </w:rPr>
        <w:t>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 xml:space="preserve">withheld by the Company under federal, state, local or foreign law as a result of the settlement of the RSUs in an amount sufficient to satisfy the minimum statutory withholding amount.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Any shares of Common Stock retained to cover tax withholding shall be credited against any such withholding requirement at the market value of such Common Stock on the date of such delivery. In no event will the market value of the Common Stock to be withheld and/or delivered pursuant to this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xml:space="preserve"> to satisfy applicable withholding taxes exceed the maximum amount of taxes or other amounts that could be required to be withheld.</w:t>
      </w:r>
    </w:p>
    <w:p>
      <w:pPr>
        <w:spacing w:after="0" w:line="176" w:lineRule="exact"/>
        <w:rPr>
          <w:sz w:val="20"/>
          <w:szCs w:val="20"/>
          <w:color w:val="auto"/>
        </w:rPr>
      </w:pPr>
    </w:p>
    <w:p>
      <w:pPr>
        <w:ind w:right="260" w:firstLine="757"/>
        <w:spacing w:after="0" w:line="241" w:lineRule="auto"/>
        <w:tabs>
          <w:tab w:leader="none" w:pos="155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Company shall make reasonable efforts to comply with all applicable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federal, state and non-U.S. securities and other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71" w:lineRule="exact"/>
        <w:rPr>
          <w:rFonts w:ascii="Times New Roman" w:cs="Times New Roman" w:eastAsia="Times New Roman" w:hAnsi="Times New Roman"/>
          <w:sz w:val="22"/>
          <w:szCs w:val="22"/>
          <w:color w:val="auto"/>
        </w:rPr>
      </w:pPr>
    </w:p>
    <w:p>
      <w:pPr>
        <w:ind w:left="100" w:firstLine="656"/>
        <w:spacing w:after="0" w:line="246" w:lineRule="auto"/>
        <w:tabs>
          <w:tab w:leader="none" w:pos="1555"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or Exemption From Section 409A of the Code</w:t>
      </w:r>
      <w:r>
        <w:rPr>
          <w:rFonts w:ascii="Times New Roman" w:cs="Times New Roman" w:eastAsia="Times New Roman" w:hAnsi="Times New Roman"/>
          <w:sz w:val="21"/>
          <w:szCs w:val="21"/>
          <w:color w:val="auto"/>
        </w:rPr>
        <w:t>. To the extent applicable, it is intended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Further, the Company does not make any representation to the Grantee that the RSUs satisfy the requirements of Section 409A of the Code, and the Company will have no liability or other obligation to indemnify or hold harmless the Grantee or any other party for any tax, additional tax, interest or penalties that the Grantee or any other party may incur in the event that any provision of the Agreement or any amendment or modification thereof or any other action taken with respect thereto, is deemed to violate any of the requirements of Section 409A of the Code.</w:t>
      </w:r>
    </w:p>
    <w:p>
      <w:pPr>
        <w:spacing w:after="0" w:line="170" w:lineRule="exact"/>
        <w:rPr>
          <w:rFonts w:ascii="Times New Roman" w:cs="Times New Roman" w:eastAsia="Times New Roman" w:hAnsi="Times New Roman"/>
          <w:sz w:val="21"/>
          <w:szCs w:val="21"/>
          <w:color w:val="auto"/>
        </w:rPr>
      </w:pPr>
    </w:p>
    <w:p>
      <w:pPr>
        <w:ind w:left="100" w:right="100" w:firstLine="656"/>
        <w:spacing w:after="0" w:line="246" w:lineRule="auto"/>
        <w:tabs>
          <w:tab w:leader="none" w:pos="1555"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Any reference in this Agreement to Section 409A of the Code will also include any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temporary or final regulations, or any other guidance, promulgated with respect to such Section by the U.S. Department of the Treasury or the Internal Revenue Service.</w:t>
      </w:r>
    </w:p>
    <w:p>
      <w:pPr>
        <w:spacing w:after="0" w:line="167" w:lineRule="exact"/>
        <w:rPr>
          <w:rFonts w:ascii="Times New Roman" w:cs="Times New Roman" w:eastAsia="Times New Roman" w:hAnsi="Times New Roman"/>
          <w:sz w:val="22"/>
          <w:szCs w:val="22"/>
          <w:color w:val="auto"/>
        </w:rPr>
      </w:pPr>
    </w:p>
    <w:p>
      <w:pPr>
        <w:ind w:firstLine="757"/>
        <w:spacing w:after="0" w:line="250" w:lineRule="auto"/>
        <w:tabs>
          <w:tab w:leader="none" w:pos="1551"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Future Awards or Employment</w:t>
      </w:r>
      <w:r>
        <w:rPr>
          <w:rFonts w:ascii="Times New Roman" w:cs="Times New Roman" w:eastAsia="Times New Roman" w:hAnsi="Times New Roman"/>
          <w:sz w:val="21"/>
          <w:szCs w:val="21"/>
          <w:color w:val="auto"/>
        </w:rPr>
        <w:t>. The grant of the RSUs under this Agreement to the Grantee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voluntary, discretionary award being made on a one-time basis and it does not constitute a commitment to make any future awards or provide benefits in lieu of RSUs, even if RSUs have been awarded repeatedly in the past.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3</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any of its Subsidiaries to terminate the employment or adjust the compensation of the Grantee.</w:t>
      </w:r>
    </w:p>
    <w:p>
      <w:pPr>
        <w:spacing w:after="0" w:line="178" w:lineRule="exact"/>
        <w:rPr>
          <w:sz w:val="20"/>
          <w:szCs w:val="20"/>
          <w:color w:val="auto"/>
        </w:rPr>
      </w:pPr>
    </w:p>
    <w:p>
      <w:pPr>
        <w:ind w:right="260" w:firstLine="757"/>
        <w:spacing w:after="0" w:line="238" w:lineRule="auto"/>
        <w:tabs>
          <w:tab w:leader="none" w:pos="155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6" w:lineRule="exact"/>
        <w:rPr>
          <w:rFonts w:ascii="Times New Roman" w:cs="Times New Roman" w:eastAsia="Times New Roman" w:hAnsi="Times New Roman"/>
          <w:sz w:val="22"/>
          <w:szCs w:val="22"/>
          <w:color w:val="auto"/>
        </w:rPr>
      </w:pPr>
    </w:p>
    <w:p>
      <w:pPr>
        <w:ind w:firstLine="757"/>
        <w:spacing w:after="0" w:line="238" w:lineRule="auto"/>
        <w:tabs>
          <w:tab w:leader="none" w:pos="155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Any amendment to the Plan shall be deemed to be an amendment to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extent that 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76" w:lineRule="exact"/>
        <w:rPr>
          <w:rFonts w:ascii="Times New Roman" w:cs="Times New Roman" w:eastAsia="Times New Roman" w:hAnsi="Times New Roman"/>
          <w:sz w:val="22"/>
          <w:szCs w:val="22"/>
          <w:color w:val="auto"/>
        </w:rPr>
      </w:pPr>
    </w:p>
    <w:p>
      <w:pPr>
        <w:ind w:right="400" w:firstLine="757"/>
        <w:spacing w:after="0" w:line="246" w:lineRule="auto"/>
        <w:tabs>
          <w:tab w:leader="none" w:pos="155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by a court of competent jurisdiction, any provision so invalidated shall be deemed to be separable from the other provisions hereof, and the remaining provisions hereof shall continue to be valid and fully enforceable.</w:t>
      </w:r>
    </w:p>
    <w:p>
      <w:pPr>
        <w:spacing w:after="0" w:line="167" w:lineRule="exact"/>
        <w:rPr>
          <w:rFonts w:ascii="Times New Roman" w:cs="Times New Roman" w:eastAsia="Times New Roman" w:hAnsi="Times New Roman"/>
          <w:sz w:val="22"/>
          <w:szCs w:val="22"/>
          <w:color w:val="auto"/>
        </w:rPr>
      </w:pPr>
    </w:p>
    <w:p>
      <w:pPr>
        <w:ind w:right="140" w:firstLine="757"/>
        <w:spacing w:after="0" w:line="246" w:lineRule="auto"/>
        <w:tabs>
          <w:tab w:leader="none" w:pos="1551"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Relation to Plan</w:t>
      </w:r>
      <w:r>
        <w:rPr>
          <w:rFonts w:ascii="Times New Roman" w:cs="Times New Roman" w:eastAsia="Times New Roman" w:hAnsi="Times New Roman"/>
          <w:sz w:val="21"/>
          <w:szCs w:val="21"/>
          <w:color w:val="auto"/>
        </w:rPr>
        <w:t>. This Agreement is subject to the terms and conditions of the Plan. In the event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1"/>
          <w:szCs w:val="21"/>
          <w:b w:val="1"/>
          <w:bCs w:val="1"/>
          <w:i w:val="1"/>
          <w:iCs w:val="1"/>
          <w:color w:val="auto"/>
        </w:rPr>
        <w:t>Compensation Recovery Policy</w:t>
      </w:r>
      <w:r>
        <w:rPr>
          <w:rFonts w:ascii="Times New Roman" w:cs="Times New Roman" w:eastAsia="Times New Roman" w:hAnsi="Times New Roman"/>
          <w:sz w:val="21"/>
          <w:szCs w:val="21"/>
          <w:color w:val="auto"/>
        </w:rPr>
        <w:t>”), and that relevant sections of this Agreement shall be deemed superseded by and subject to the terms and conditions of the Compensation Recovery Policy from and after the effective date thereof.</w:t>
      </w:r>
    </w:p>
    <w:p>
      <w:pPr>
        <w:spacing w:after="0" w:line="170" w:lineRule="exact"/>
        <w:rPr>
          <w:rFonts w:ascii="Times New Roman" w:cs="Times New Roman" w:eastAsia="Times New Roman" w:hAnsi="Times New Roman"/>
          <w:sz w:val="21"/>
          <w:szCs w:val="21"/>
          <w:color w:val="auto"/>
        </w:rPr>
      </w:pPr>
    </w:p>
    <w:p>
      <w:pPr>
        <w:ind w:right="80" w:firstLine="757"/>
        <w:spacing w:after="0" w:line="238" w:lineRule="auto"/>
        <w:tabs>
          <w:tab w:leader="none" w:pos="155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right="640" w:firstLine="757"/>
        <w:spacing w:after="0" w:line="262" w:lineRule="auto"/>
        <w:tabs>
          <w:tab w:leader="none" w:pos="155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The Grantee explicitly and unambiguously consents to the collection, use and transfer,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or other form, of the Grantee’s personal data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-3681730</wp:posOffset>
            </wp:positionV>
            <wp:extent cx="342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described in this document by and among, as applicable, the Grantee’s employer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and the Company and its Subsidiaries, for the exclusive purpose of implementing, administering and managing the Grantee’s participation in the Plan. The Grantee understands that Employer and the Company and its Subsidiaries hold (but only process or transfer to the extent required or permitted by local law) the following personal information about the Grantee: the Grantee’s name, home address and telephone number, email address, date of birth, passport number, social insurance number or other identification number, salary, nationality, job title, any shares of Common Stock or directorships held in the Company, details of all RSUs or any other entitlement to shares of Common Stock awarded, canceled, exercised, vested, unvested or outstanding in the Grantee’s favor, for the purpose of implementing, administering and managing the Plan (collectively,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The Grantee understands that Data may be transferred to third parties assisting in the implementation, administration and management of the Plan, that these recipients may be located in the Grantee’s country or elsewhere, and that the recipient’s country may have different data privacy laws and protections than those that apply in the Grantee’s country. The Grantee understands that the Grantee may request a list with the names and addresses of any potential recipients of the Data by contacting the Grantee’s local human resources representative. The Grantee authorizes these recipients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acquired upon vesting or earning of the RSUs. The Grantee understands that Data will be held only as long as is necessary to implement, administer and manage the Grantee’s participation in the Plan and in accordance with local law.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The Grantee understands, however, that refusing or withdrawing the Grantee’s consent may affect the Grantee’s ability to participate in the Plan. For more information on the consequences of the Grantee’s refusal to consent or withdrawal of consent, the Grantee hereby understands that the Grantee may contact his or her local human resources representative.</w:t>
      </w:r>
    </w:p>
    <w:p>
      <w:pPr>
        <w:spacing w:after="0" w:line="177" w:lineRule="exact"/>
        <w:rPr>
          <w:sz w:val="20"/>
          <w:szCs w:val="20"/>
          <w:color w:val="auto"/>
        </w:rPr>
      </w:pPr>
    </w:p>
    <w:p>
      <w:pPr>
        <w:ind w:left="1560" w:hanging="803"/>
        <w:spacing w:after="0"/>
        <w:tabs>
          <w:tab w:leader="none" w:pos="156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the Grant</w:t>
      </w:r>
      <w:r>
        <w:rPr>
          <w:rFonts w:ascii="Times New Roman" w:cs="Times New Roman" w:eastAsia="Times New Roman" w:hAnsi="Times New Roman"/>
          <w:sz w:val="22"/>
          <w:szCs w:val="22"/>
          <w:color w:val="auto"/>
        </w:rPr>
        <w:t>. In accepting the RSUs, the Grantee acknowledges that:</w:t>
      </w:r>
    </w:p>
    <w:p>
      <w:pPr>
        <w:spacing w:after="0" w:line="210" w:lineRule="exact"/>
        <w:rPr>
          <w:sz w:val="20"/>
          <w:szCs w:val="20"/>
          <w:color w:val="auto"/>
        </w:rPr>
      </w:pPr>
    </w:p>
    <w:p>
      <w:pPr>
        <w:ind w:left="1500" w:right="80" w:hanging="743"/>
        <w:spacing w:after="0" w:line="244" w:lineRule="auto"/>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modified, amended, suspended or terminated by the Company at any time, unless otherwise provided in the Plan and this Agreement;</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RSUs, if any, will be at the sole discretion of the Company;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participation in the Plan is voluntary;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RSUs are outside the scope of the Grantee’s employment contract, if any;</w:t>
      </w:r>
    </w:p>
    <w:p>
      <w:pPr>
        <w:spacing w:after="0" w:line="206" w:lineRule="exact"/>
        <w:rPr>
          <w:rFonts w:ascii="Times New Roman" w:cs="Times New Roman" w:eastAsia="Times New Roman" w:hAnsi="Times New Roman"/>
          <w:sz w:val="22"/>
          <w:szCs w:val="22"/>
          <w:color w:val="auto"/>
        </w:rPr>
      </w:pPr>
    </w:p>
    <w:p>
      <w:pPr>
        <w:ind w:left="1500" w:right="320" w:hanging="743"/>
        <w:spacing w:after="0" w:line="258" w:lineRule="auto"/>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Grantee is not an employee of the Company, the grant of RSUs will not be interpreted to form an employment contract or relationship with</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ind w:left="1500" w:right="140"/>
        <w:spacing w:after="0" w:line="237" w:lineRule="auto"/>
        <w:rPr>
          <w:sz w:val="20"/>
          <w:szCs w:val="20"/>
          <w:color w:val="auto"/>
        </w:rPr>
      </w:pPr>
      <w:r>
        <w:rPr>
          <w:rFonts w:ascii="Times New Roman" w:cs="Times New Roman" w:eastAsia="Times New Roman" w:hAnsi="Times New Roman"/>
          <w:sz w:val="22"/>
          <w:szCs w:val="22"/>
          <w:color w:val="auto"/>
        </w:rPr>
        <w:t>the Company; and furthermore, the grant of RSUs will not be interpreted to form an employment contract with the Employer or any other related entity;</w:t>
      </w:r>
    </w:p>
    <w:p>
      <w:pPr>
        <w:spacing w:after="0" w:line="178" w:lineRule="exact"/>
        <w:rPr>
          <w:sz w:val="20"/>
          <w:szCs w:val="20"/>
          <w:color w:val="auto"/>
        </w:rPr>
      </w:pPr>
    </w:p>
    <w:p>
      <w:pPr>
        <w:ind w:left="1500" w:hanging="743"/>
        <w:spacing w:after="0"/>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06" w:lineRule="exact"/>
        <w:rPr>
          <w:rFonts w:ascii="Times New Roman" w:cs="Times New Roman" w:eastAsia="Times New Roman" w:hAnsi="Times New Roman"/>
          <w:sz w:val="22"/>
          <w:szCs w:val="22"/>
          <w:color w:val="auto"/>
        </w:rPr>
      </w:pPr>
    </w:p>
    <w:p>
      <w:pPr>
        <w:ind w:left="1500" w:right="680" w:hanging="743"/>
        <w:spacing w:after="0" w:line="258" w:lineRule="auto"/>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receives Common Stock upon vesting of the RSUs, the value of such Common Stock may increase or decrease in value;</w:t>
      </w:r>
    </w:p>
    <w:p>
      <w:pPr>
        <w:spacing w:after="0" w:line="158" w:lineRule="exact"/>
        <w:rPr>
          <w:rFonts w:ascii="Times New Roman" w:cs="Times New Roman" w:eastAsia="Times New Roman" w:hAnsi="Times New Roman"/>
          <w:sz w:val="22"/>
          <w:szCs w:val="22"/>
          <w:color w:val="auto"/>
        </w:rPr>
      </w:pPr>
    </w:p>
    <w:p>
      <w:pPr>
        <w:ind w:left="1500" w:right="140" w:hanging="743"/>
        <w:spacing w:after="0" w:line="235" w:lineRule="auto"/>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RSUs, no claim or entitlement to compensation or damages arises from termination of the RSUs or diminution in value of the RSUs or shares received upon vesting of RSUs resulting from termination of the Grantee’s service to the Company or the Employer (for any reason whatsoever and whether or not in breach of local labor laws) and the Grantee irrevocably releases the Company and the Employer from any such claim that may arise; if, notwithstanding the foregoing, any such claim is found by a court of competent jurisdiction to have arisen, then, by signing this Agreement, the Grantee shall be deemed irrevocably to have waived his or her entitlement to pursue such claim;</w:t>
      </w:r>
    </w:p>
    <w:p>
      <w:pPr>
        <w:spacing w:after="0" w:line="183" w:lineRule="exact"/>
        <w:rPr>
          <w:rFonts w:ascii="Times New Roman" w:cs="Times New Roman" w:eastAsia="Times New Roman" w:hAnsi="Times New Roman"/>
          <w:sz w:val="22"/>
          <w:szCs w:val="22"/>
          <w:color w:val="auto"/>
        </w:rPr>
      </w:pPr>
    </w:p>
    <w:p>
      <w:pPr>
        <w:ind w:left="1500" w:right="60" w:hanging="743"/>
        <w:spacing w:after="0" w:line="239" w:lineRule="auto"/>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benefits evidenced by this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Common Stock;</w:t>
      </w:r>
    </w:p>
    <w:p>
      <w:pPr>
        <w:spacing w:after="0" w:line="180" w:lineRule="exact"/>
        <w:rPr>
          <w:rFonts w:ascii="Times New Roman" w:cs="Times New Roman" w:eastAsia="Times New Roman" w:hAnsi="Times New Roman"/>
          <w:sz w:val="22"/>
          <w:szCs w:val="22"/>
          <w:color w:val="auto"/>
        </w:rPr>
      </w:pPr>
    </w:p>
    <w:p>
      <w:pPr>
        <w:ind w:left="1500" w:hanging="743"/>
        <w:spacing w:after="0" w:line="246" w:lineRule="auto"/>
        <w:tabs>
          <w:tab w:leader="none" w:pos="150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RSUs, the Grantee’s continuous employment will be considered terminated as of the date the Grantee is no longer actively providing services to the Company, the Employer or any Subsidiary (regardless of the reason for such termination and whether or not later found to be invalid or in breach of employment laws in the jurisdiction where the Grantee provides services or the terms of the Grantee’s employment agreement, if any), and such date will not be extended by any notice period (e.g., the Grantee’s period of continuous employment would not include any contractual notice period or any period of “garden leave” or similar period mandated under employment laws in the jurisdiction where the Grantee provides services or the terms of his or her service agreement, if any); the Company shall have the exclusive discretion to determine when the Grantee is no longer actively continuously employed for purposes of the RSUs (including whether the Grantee may still be considered to be continuously employed while on a leave of absence); and</w:t>
      </w:r>
    </w:p>
    <w:p>
      <w:pPr>
        <w:spacing w:after="0" w:line="170" w:lineRule="exact"/>
        <w:rPr>
          <w:rFonts w:ascii="Times New Roman" w:cs="Times New Roman" w:eastAsia="Times New Roman" w:hAnsi="Times New Roman"/>
          <w:sz w:val="21"/>
          <w:szCs w:val="21"/>
          <w:color w:val="auto"/>
        </w:rPr>
      </w:pPr>
    </w:p>
    <w:p>
      <w:pPr>
        <w:ind w:left="1500" w:right="160" w:hanging="743"/>
        <w:spacing w:after="0" w:line="239" w:lineRule="auto"/>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shall be liable for any foreign exchange rate fluctuation between the Grantee’s local currency and the U.S. dollar that may affect the value of the RSUs or any amounts due to the Grantee pursuant to the settlement of the RSUs or the subsequent sale of Common Stock acquired upon settlement of the RSUs.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F81BD"/>
        </w:rPr>
        <w:t>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ind w:right="180" w:firstLine="757"/>
        <w:spacing w:after="0" w:line="234" w:lineRule="auto"/>
        <w:tabs>
          <w:tab w:leader="none" w:pos="155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with the internal substantive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giving effect to any principle of law that would result in the application of the law of any other jurisdiction. For any legal action relating to this Agreement, the parties to this Agreement consent to the exclusive jurisdiction and venue of the United States District Court for the District of Delaware, U.S.A.</w:t>
      </w:r>
    </w:p>
    <w:p>
      <w:pPr>
        <w:spacing w:after="0" w:line="173" w:lineRule="exact"/>
        <w:rPr>
          <w:rFonts w:ascii="Times New Roman" w:cs="Times New Roman" w:eastAsia="Times New Roman" w:hAnsi="Times New Roman"/>
          <w:sz w:val="22"/>
          <w:szCs w:val="22"/>
          <w:color w:val="auto"/>
        </w:rPr>
      </w:pPr>
    </w:p>
    <w:p>
      <w:pPr>
        <w:ind w:right="20" w:firstLine="757"/>
        <w:spacing w:after="0" w:line="246" w:lineRule="auto"/>
        <w:tabs>
          <w:tab w:leader="none" w:pos="155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Without limiting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the provisions of this Agreement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binding upon, the successors, administrators, heirs, legal representatives and assigns of the Grantee, and the successors and assigns of the Company.</w:t>
      </w:r>
    </w:p>
    <w:p>
      <w:pPr>
        <w:spacing w:after="0" w:line="167" w:lineRule="exact"/>
        <w:rPr>
          <w:rFonts w:ascii="Times New Roman" w:cs="Times New Roman" w:eastAsia="Times New Roman" w:hAnsi="Times New Roman"/>
          <w:sz w:val="22"/>
          <w:szCs w:val="22"/>
          <w:color w:val="auto"/>
        </w:rPr>
      </w:pPr>
    </w:p>
    <w:p>
      <w:pPr>
        <w:ind w:right="120" w:firstLine="757"/>
        <w:spacing w:after="0" w:line="241" w:lineRule="auto"/>
        <w:tabs>
          <w:tab w:leader="none" w:pos="155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Grantee acknowledges that the Grantee (a) has received a copy of the Plan, (b)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had an opportunity to review the terms of this Agreement and the Plan, (c) has agreed to the receipt of this Agreement and all documents related to the RSUs in the English language, (d) understands the terms and conditions of this Agreement and the Plan and (e) agrees to such terms and conditions.</w:t>
      </w:r>
    </w:p>
    <w:p>
      <w:pPr>
        <w:spacing w:after="0" w:line="171" w:lineRule="exact"/>
        <w:rPr>
          <w:rFonts w:ascii="Times New Roman" w:cs="Times New Roman" w:eastAsia="Times New Roman" w:hAnsi="Times New Roman"/>
          <w:sz w:val="22"/>
          <w:szCs w:val="22"/>
          <w:color w:val="auto"/>
        </w:rPr>
      </w:pPr>
    </w:p>
    <w:p>
      <w:pPr>
        <w:ind w:right="160" w:firstLine="757"/>
        <w:spacing w:after="0" w:line="262" w:lineRule="auto"/>
        <w:tabs>
          <w:tab w:leader="none" w:pos="155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an original but all of which together will constitute one and the same agreement.</w:t>
      </w:r>
    </w:p>
    <w:p>
      <w:pPr>
        <w:spacing w:after="0" w:line="149" w:lineRule="exact"/>
        <w:rPr>
          <w:rFonts w:ascii="Times New Roman" w:cs="Times New Roman" w:eastAsia="Times New Roman" w:hAnsi="Times New Roman"/>
          <w:sz w:val="22"/>
          <w:szCs w:val="22"/>
          <w:color w:val="auto"/>
        </w:rPr>
      </w:pPr>
    </w:p>
    <w:p>
      <w:pPr>
        <w:ind w:firstLine="757"/>
        <w:spacing w:after="0" w:line="235" w:lineRule="auto"/>
        <w:tabs>
          <w:tab w:leader="none" w:pos="155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Non-U.S. Addendum</w:t>
      </w:r>
      <w:r>
        <w:rPr>
          <w:rFonts w:ascii="Times New Roman" w:cs="Times New Roman" w:eastAsia="Times New Roman" w:hAnsi="Times New Roman"/>
          <w:sz w:val="22"/>
          <w:szCs w:val="22"/>
          <w:color w:val="auto"/>
        </w:rPr>
        <w:t>. Notwithstanding any provisions in this Agreement, the grant and RSUs shall also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subject to the special terms and conditions set forth in the Non-U.S. Addendum attached as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to this Agreement for the Grantee’s country. Moreover, if the Grantee is not a resident of any of the countries listed on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as of the Date of Grant, but relocates to one of the countries included in the Non-U.S. Addendum, the special terms and conditions for such country will apply to the Grantee to the extent that the Company determines that the application of such terms and conditions are necessary or advisable in order to comply with local law or facilitate the administration of the Plan (or the Company may establish alternative terms as may be necessary or advisable to accommodate the Grantee’s relocation). The Non-U.S. Addendum attached hereto as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constitutes part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00" w:lineRule="exact"/>
        <w:rPr>
          <w:sz w:val="20"/>
          <w:szCs w:val="20"/>
          <w:color w:val="auto"/>
        </w:rPr>
      </w:pP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-13970</wp:posOffset>
            </wp:positionV>
            <wp:extent cx="165354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b w:val="1"/>
          <w:bCs w:val="1"/>
          <w:color w:val="auto"/>
        </w:rPr>
        <w:t>Todd Gleason</w:t>
      </w:r>
    </w:p>
    <w:p>
      <w:pPr>
        <w:spacing w:after="0" w:line="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b w:val="1"/>
          <w:bCs w:val="1"/>
          <w:color w:val="auto"/>
        </w:rPr>
        <w:t>Chief Executive Officer</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b w:val="1"/>
          <w:bCs w:val="1"/>
          <w:color w:val="auto"/>
        </w:rPr>
        <w:t>Grantee Acknowledgment and Acceptance</w:t>
      </w:r>
    </w:p>
    <w:p>
      <w:pPr>
        <w:spacing w:after="0" w:line="2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Electronic Signature*</w:t>
      </w:r>
    </w:p>
    <w:p>
      <w:pPr>
        <w:spacing w:after="0" w:line="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4F81BD"/>
        </w:rPr>
        <w:t>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NAI-1522584827v4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color w:val="auto"/>
        </w:rPr>
        <w:t>EX-10.26</w:t>
      </w:r>
    </w:p>
    <w:p>
      <w:pPr>
        <w:spacing w:after="0" w:line="243" w:lineRule="exact"/>
        <w:rPr>
          <w:sz w:val="20"/>
          <w:szCs w:val="20"/>
          <w:color w:val="auto"/>
        </w:rPr>
      </w:pPr>
    </w:p>
    <w:p>
      <w:pPr>
        <w:ind w:left="4880" w:hanging="5"/>
        <w:spacing w:after="0" w:line="238" w:lineRule="auto"/>
        <w:tabs>
          <w:tab w:leader="none" w:pos="504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and agrees that by clicking the [“Accept”] button on the E*TRADE website, it will act as the Grantee’s electronic signature to this Agreement and will constitute the Grantee’s acceptance of and agreement with all of the terms and conditions set forth in this Agreement and the Plan.</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color w:val="auto"/>
        </w:rPr>
        <w:t>EX-10.26</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(RSUs)</w:t>
      </w:r>
    </w:p>
    <w:p>
      <w:pPr>
        <w:spacing w:after="0" w:line="205"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CECO Environmental Corp. 2021 Equity and Incentive Compensation Plan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February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3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includes additional terms and conditions that govern the RSUs granted to the Grantee under the CECO Environmental Corp. 2021 Equity and Incentive Compensation Plan (referred to as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if the Grantee works and/or resides in one of the countries listed below. Certain capitalized terms used but not defined in 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have the meanings set forth in the Plan and/or the Grantee’s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that relates to the Grantee’s award. By accepting the award, the Grantee agrees to be bound by the terms and conditions contained in the paragraphs below in addition to the terms of the Plan, the Agreement, and the terms of any other document that may apply to the Grantee and the award.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Notifications</w:t>
      </w:r>
    </w:p>
    <w:p>
      <w:pPr>
        <w:spacing w:after="0" w:line="23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also includes information regarding exchange controls and certain other issues of which the Grantee should be aware with respect to participation in the Plan. The information is based on the securities, exchange control, and other laws in effect in the respective countries as of February 2023. Such laws are often complex and change frequently. As a result, it is strongly recommended that the Grantee not rely on the information in this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as the only source of information relating to the consequences of the Grantee’s participation in the Plan because the information may be out of date at the time the Grantee vests in the RSUs or sells Common Stock acquired under the Plan.</w:t>
      </w:r>
    </w:p>
    <w:p>
      <w:pPr>
        <w:spacing w:after="0" w:line="20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and CECO Environmental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not in a position to assure the Grantee of a particular result. Accordingly, the Grantee is advised to seek appropriate professional advice as to how the relevant laws in the Grantee’s country may apply to the Grantee’s situation.</w:t>
      </w:r>
    </w:p>
    <w:p>
      <w:pPr>
        <w:spacing w:after="0" w:line="20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Finally, if the Grantee is a citizen or resident of a country other than the one in which the Grantee is currently working, transferred employment after the RSUs were granted to the Grantee, or is considered a resident of another country for local law purposes, the information contained herein may not apply.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5" w:name="page286"/>
    <w:bookmarkEnd w:id="285"/>
    <w:tbl>
      <w:tblPr>
        <w:tblLayout w:type="fixed"/>
        <w:tblInd w:w="1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EX-10.27</w:t>
            </w: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5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%%FIRST_NAME_LAST_NAME%%</w:t>
            </w:r>
          </w:p>
        </w:tc>
        <w:tc>
          <w:tcPr>
            <w:tcW w:w="0" w:type="dxa"/>
            <w:vAlign w:val="bottom"/>
          </w:tcPr>
          <w:p>
            <w:pPr>
              <w:spacing w:after="0"/>
              <w:rPr>
                <w:sz w:val="1"/>
                <w:szCs w:val="1"/>
                <w:color w:val="auto"/>
              </w:rPr>
            </w:pPr>
          </w:p>
        </w:tc>
      </w:tr>
      <w:tr>
        <w:trPr>
          <w:trHeight w:val="52"/>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5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Number of Restricted Stock Units “RSUs”:</w:t>
            </w:r>
          </w:p>
        </w:tc>
        <w:tc>
          <w:tcPr>
            <w:tcW w:w="5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%%TOTAL_SHARES_GRANTED,7%%</w:t>
            </w:r>
          </w:p>
        </w:tc>
        <w:tc>
          <w:tcPr>
            <w:tcW w:w="0" w:type="dxa"/>
            <w:vAlign w:val="bottom"/>
          </w:tcPr>
          <w:p>
            <w:pPr>
              <w:spacing w:after="0"/>
              <w:rPr>
                <w:sz w:val="1"/>
                <w:szCs w:val="1"/>
                <w:color w:val="auto"/>
              </w:rPr>
            </w:pPr>
          </w:p>
        </w:tc>
      </w:tr>
      <w:tr>
        <w:trPr>
          <w:trHeight w:val="56"/>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5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Agreement Date:</w:t>
            </w:r>
          </w:p>
        </w:tc>
        <w:tc>
          <w:tcPr>
            <w:tcW w:w="5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%%OPTION_DATE,1%%</w:t>
            </w:r>
          </w:p>
        </w:tc>
        <w:tc>
          <w:tcPr>
            <w:tcW w:w="0" w:type="dxa"/>
            <w:vAlign w:val="bottom"/>
          </w:tcPr>
          <w:p>
            <w:pPr>
              <w:spacing w:after="0"/>
              <w:rPr>
                <w:sz w:val="1"/>
                <w:szCs w:val="1"/>
                <w:color w:val="auto"/>
              </w:rPr>
            </w:pPr>
          </w:p>
        </w:tc>
      </w:tr>
      <w:tr>
        <w:trPr>
          <w:trHeight w:val="55"/>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5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54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%%VEST_BASE_DATE,1%</w:t>
            </w:r>
          </w:p>
        </w:tc>
        <w:tc>
          <w:tcPr>
            <w:tcW w:w="0" w:type="dxa"/>
            <w:vAlign w:val="bottom"/>
          </w:tcPr>
          <w:p>
            <w:pPr>
              <w:spacing w:after="0"/>
              <w:rPr>
                <w:sz w:val="1"/>
                <w:szCs w:val="1"/>
                <w:color w:val="auto"/>
              </w:rPr>
            </w:pPr>
          </w:p>
        </w:tc>
      </w:tr>
      <w:tr>
        <w:trPr>
          <w:trHeight w:val="56"/>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542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This will vary but for US directors as follows:</w:t>
            </w:r>
          </w:p>
        </w:tc>
        <w:tc>
          <w:tcPr>
            <w:tcW w:w="0" w:type="dxa"/>
            <w:vAlign w:val="bottom"/>
          </w:tcPr>
          <w:p>
            <w:pPr>
              <w:spacing w:after="0"/>
              <w:rPr>
                <w:sz w:val="1"/>
                <w:szCs w:val="1"/>
                <w:color w:val="auto"/>
              </w:rPr>
            </w:pPr>
          </w:p>
        </w:tc>
      </w:tr>
      <w:tr>
        <w:trPr>
          <w:trHeight w:val="161"/>
        </w:trPr>
        <w:tc>
          <w:tcPr>
            <w:tcW w:w="5480" w:type="dxa"/>
            <w:vAlign w:val="bottom"/>
            <w:tcBorders>
              <w:left w:val="single" w:sz="8" w:color="auto"/>
              <w:right w:val="single" w:sz="8" w:color="auto"/>
            </w:tcBorders>
            <w:vMerge w:val="continue"/>
          </w:tcPr>
          <w:p>
            <w:pPr>
              <w:spacing w:after="0"/>
              <w:rPr>
                <w:sz w:val="13"/>
                <w:szCs w:val="13"/>
                <w:color w:val="auto"/>
              </w:rPr>
            </w:pPr>
          </w:p>
        </w:tc>
        <w:tc>
          <w:tcPr>
            <w:tcW w:w="54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on the first anniversary of the Date of Grant</w:t>
            </w:r>
          </w:p>
        </w:tc>
        <w:tc>
          <w:tcPr>
            <w:tcW w:w="0" w:type="dxa"/>
            <w:vAlign w:val="bottom"/>
          </w:tcPr>
          <w:p>
            <w:pPr>
              <w:spacing w:after="0"/>
              <w:rPr>
                <w:sz w:val="1"/>
                <w:szCs w:val="1"/>
                <w:color w:val="auto"/>
              </w:rPr>
            </w:pPr>
          </w:p>
        </w:tc>
      </w:tr>
      <w:tr>
        <w:trPr>
          <w:trHeight w:val="122"/>
        </w:trPr>
        <w:tc>
          <w:tcPr>
            <w:tcW w:w="5480" w:type="dxa"/>
            <w:vAlign w:val="bottom"/>
            <w:tcBorders>
              <w:left w:val="single" w:sz="8" w:color="auto"/>
              <w:bottom w:val="single" w:sz="8" w:color="auto"/>
              <w:right w:val="single" w:sz="8" w:color="auto"/>
            </w:tcBorders>
          </w:tcPr>
          <w:p>
            <w:pPr>
              <w:spacing w:after="0"/>
              <w:rPr>
                <w:sz w:val="10"/>
                <w:szCs w:val="10"/>
                <w:color w:val="auto"/>
              </w:rPr>
            </w:pPr>
          </w:p>
        </w:tc>
        <w:tc>
          <w:tcPr>
            <w:tcW w:w="5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8"/>
        </w:trPr>
        <w:tc>
          <w:tcPr>
            <w:tcW w:w="10900" w:type="dxa"/>
            <w:vAlign w:val="bottom"/>
            <w:gridSpan w:val="2"/>
          </w:tcPr>
          <w:p>
            <w:pPr>
              <w:ind w:left="3920"/>
              <w:spacing w:after="0"/>
              <w:rPr>
                <w:sz w:val="20"/>
                <w:szCs w:val="20"/>
                <w:color w:val="auto"/>
              </w:rPr>
            </w:pPr>
            <w:r>
              <w:rPr>
                <w:rFonts w:ascii="Times New Roman" w:cs="Times New Roman" w:eastAsia="Times New Roman" w:hAnsi="Times New Roman"/>
                <w:sz w:val="22"/>
                <w:szCs w:val="22"/>
                <w:b w:val="1"/>
                <w:bCs w:val="1"/>
                <w:color w:val="auto"/>
              </w:rPr>
              <w:t>CECO ENVIRONMENTAL CORP.</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Units Agreement</w:t>
      </w:r>
    </w:p>
    <w:p>
      <w:pPr>
        <w:spacing w:after="0" w:line="218" w:lineRule="exact"/>
        <w:rPr>
          <w:sz w:val="20"/>
          <w:szCs w:val="20"/>
          <w:color w:val="auto"/>
        </w:rPr>
      </w:pPr>
    </w:p>
    <w:p>
      <w:pPr>
        <w:ind w:left="120" w:right="60" w:firstLine="747"/>
        <w:spacing w:after="0" w:line="247" w:lineRule="auto"/>
        <w:rPr>
          <w:sz w:val="20"/>
          <w:szCs w:val="20"/>
          <w:color w:val="auto"/>
        </w:rPr>
      </w:pPr>
      <w:r>
        <w:rPr>
          <w:rFonts w:ascii="Times New Roman" w:cs="Times New Roman" w:eastAsia="Times New Roman" w:hAnsi="Times New Roman"/>
          <w:sz w:val="22"/>
          <w:szCs w:val="22"/>
          <w:color w:val="auto"/>
        </w:rPr>
        <w:t>This RESTRICTED STOCK UNITS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20" w:right="440" w:firstLine="741"/>
        <w:spacing w:after="0" w:line="246" w:lineRule="auto"/>
        <w:tabs>
          <w:tab w:leader="none" w:pos="159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given to such terms in the CECO Environmental Corp. 2021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20" w:right="200" w:firstLine="741"/>
        <w:spacing w:after="0" w:line="238" w:lineRule="auto"/>
        <w:tabs>
          <w:tab w:leader="none" w:pos="159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Plan, pursuant to authorization under resolutions of the Committee, the Company has granted to the Grantee as of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specified above the number of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as set forth above. Each RSU shall represent the right of the Grantee to receive one share of Common Stock subject to and upon the terms and conditions of this Agreement.</w:t>
      </w:r>
    </w:p>
    <w:p>
      <w:pPr>
        <w:spacing w:after="0" w:line="217" w:lineRule="exact"/>
        <w:rPr>
          <w:rFonts w:ascii="Times New Roman" w:cs="Times New Roman" w:eastAsia="Times New Roman" w:hAnsi="Times New Roman"/>
          <w:sz w:val="22"/>
          <w:szCs w:val="22"/>
          <w:color w:val="auto"/>
        </w:rPr>
      </w:pPr>
    </w:p>
    <w:p>
      <w:pPr>
        <w:ind w:left="120" w:right="140" w:firstLine="741"/>
        <w:spacing w:after="0" w:line="246" w:lineRule="auto"/>
        <w:tabs>
          <w:tab w:leader="none" w:pos="160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Transfer of RSUs</w:t>
      </w:r>
      <w:r>
        <w:rPr>
          <w:rFonts w:ascii="Times New Roman" w:cs="Times New Roman" w:eastAsia="Times New Roman" w:hAnsi="Times New Roman"/>
          <w:sz w:val="22"/>
          <w:szCs w:val="22"/>
          <w:color w:val="auto"/>
        </w:rPr>
        <w:t>. Subject to Section 15 of the Plan, neither the RSUs evidenced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nor any interest therein or in the Common Stock underlying such RSUs shall be transferable prior to payment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other than by will or pursuant to the laws of descent and distribution.</w:t>
      </w:r>
    </w:p>
    <w:p>
      <w:pPr>
        <w:spacing w:after="0" w:line="207" w:lineRule="exact"/>
        <w:rPr>
          <w:rFonts w:ascii="Times New Roman" w:cs="Times New Roman" w:eastAsia="Times New Roman" w:hAnsi="Times New Roman"/>
          <w:sz w:val="22"/>
          <w:szCs w:val="22"/>
          <w:color w:val="auto"/>
        </w:rPr>
      </w:pPr>
    </w:p>
    <w:p>
      <w:pPr>
        <w:ind w:left="120" w:firstLine="741"/>
        <w:spacing w:after="0" w:line="241" w:lineRule="auto"/>
        <w:tabs>
          <w:tab w:leader="none" w:pos="160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The RSUs covered by this Agreement shall become nonforfeitable and payable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as of the vesting date identified above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if the Grantee remains a member of the Board until such date . Subject to the terms of the Plan, any RSUs that do not so become nonforfeitable will be forfeited, including if the Grantee ceases to serve on the Board prior to the Vesting Date.</w:t>
      </w:r>
    </w:p>
    <w:p>
      <w:pPr>
        <w:spacing w:after="0" w:line="198" w:lineRule="exact"/>
        <w:rPr>
          <w:rFonts w:ascii="Times New Roman" w:cs="Times New Roman" w:eastAsia="Times New Roman" w:hAnsi="Times New Roman"/>
          <w:sz w:val="22"/>
          <w:szCs w:val="22"/>
          <w:color w:val="auto"/>
        </w:rPr>
      </w:pPr>
    </w:p>
    <w:p>
      <w:pPr>
        <w:ind w:left="1620" w:hanging="758"/>
        <w:spacing w:after="0"/>
        <w:tabs>
          <w:tab w:leader="none" w:pos="162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Payment of RSUs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left="1580" w:right="280" w:hanging="718"/>
        <w:spacing w:after="0" w:line="238" w:lineRule="auto"/>
        <w:tabs>
          <w:tab w:leader="none" w:pos="1580"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for the RSUs, after and to the extent they have become nonforfeitable, shall be made in the form of Common Stock. Payment shall be made as soon as administratively practicable following (but no later than thirty (30) days following) the date that the RSUs become nonforfeitable pursuant to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Notwithstanding the foregoing, if the Grantee has elected to defer payment of Common Stock due upon vesting of the RSUs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t>EX-10.27</w:t>
      </w:r>
    </w:p>
    <w:p>
      <w:pPr>
        <w:spacing w:after="0" w:line="24" w:lineRule="exact"/>
        <w:rPr>
          <w:sz w:val="20"/>
          <w:szCs w:val="20"/>
          <w:color w:val="auto"/>
        </w:rPr>
      </w:pPr>
    </w:p>
    <w:p>
      <w:pPr>
        <w:jc w:val="both"/>
        <w:ind w:left="1580" w:right="620"/>
        <w:spacing w:after="0" w:line="235" w:lineRule="auto"/>
        <w:rPr>
          <w:sz w:val="20"/>
          <w:szCs w:val="20"/>
          <w:color w:val="auto"/>
        </w:rPr>
      </w:pPr>
      <w:r>
        <w:rPr>
          <w:rFonts w:ascii="Times New Roman" w:cs="Times New Roman" w:eastAsia="Times New Roman" w:hAnsi="Times New Roman"/>
          <w:sz w:val="22"/>
          <w:szCs w:val="22"/>
          <w:color w:val="auto"/>
        </w:rPr>
        <w:t>the Company’s Deferred Compensation Plan for Non-Employee Directors, such issuance of Common Stock will instead be made, or commence, on the date that the Grantee elected in accordance with the deferred compensation plan.</w:t>
      </w:r>
    </w:p>
    <w:p>
      <w:pPr>
        <w:spacing w:after="0" w:line="218" w:lineRule="exact"/>
        <w:rPr>
          <w:sz w:val="20"/>
          <w:szCs w:val="20"/>
          <w:color w:val="auto"/>
        </w:rPr>
      </w:pPr>
    </w:p>
    <w:p>
      <w:pPr>
        <w:ind w:left="1600" w:right="720" w:hanging="738"/>
        <w:spacing w:after="0" w:line="258" w:lineRule="auto"/>
        <w:tabs>
          <w:tab w:leader="none" w:pos="160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RSUs will be satisfied in full upon the issuance of Common Stock corresponding to such RSUs.</w:t>
      </w:r>
    </w:p>
    <w:p>
      <w:pPr>
        <w:spacing w:after="0" w:line="181" w:lineRule="exact"/>
        <w:rPr>
          <w:sz w:val="20"/>
          <w:szCs w:val="20"/>
          <w:color w:val="auto"/>
        </w:rPr>
      </w:pPr>
    </w:p>
    <w:p>
      <w:pPr>
        <w:ind w:left="1620" w:hanging="758"/>
        <w:spacing w:after="0"/>
        <w:tabs>
          <w:tab w:leader="none" w:pos="162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 Voting and Other Rights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1600" w:right="260" w:hanging="738"/>
        <w:spacing w:after="0" w:line="244" w:lineRule="auto"/>
        <w:tabs>
          <w:tab w:leader="none" w:pos="160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above.</w:t>
      </w:r>
    </w:p>
    <w:p>
      <w:pPr>
        <w:spacing w:after="0" w:line="24" w:lineRule="exact"/>
        <w:rPr>
          <w:rFonts w:ascii="Times New Roman" w:cs="Times New Roman" w:eastAsia="Times New Roman" w:hAnsi="Times New Roman"/>
          <w:sz w:val="22"/>
          <w:szCs w:val="22"/>
          <w:color w:val="auto"/>
        </w:rPr>
      </w:pPr>
    </w:p>
    <w:p>
      <w:pPr>
        <w:ind w:left="1580" w:right="160" w:hanging="718"/>
        <w:spacing w:after="0" w:line="241" w:lineRule="auto"/>
        <w:tabs>
          <w:tab w:leader="none" w:pos="158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Grant and until the earlier of (i) the time when the RSUs become nonforfeitable and are paid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or</w:t>
      </w:r>
    </w:p>
    <w:p>
      <w:pPr>
        <w:spacing w:after="0" w:line="1" w:lineRule="exact"/>
        <w:rPr>
          <w:rFonts w:ascii="Times New Roman" w:cs="Times New Roman" w:eastAsia="Times New Roman" w:hAnsi="Times New Roman"/>
          <w:sz w:val="22"/>
          <w:szCs w:val="22"/>
          <w:color w:val="auto"/>
        </w:rPr>
      </w:pPr>
    </w:p>
    <w:p>
      <w:pPr>
        <w:ind w:left="1600" w:firstLine="9"/>
        <w:spacing w:after="0" w:line="232" w:lineRule="auto"/>
        <w:tabs>
          <w:tab w:leader="none" w:pos="1918" w:val="left"/>
        </w:tabs>
        <w:numPr>
          <w:ilvl w:val="2"/>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time when the Grantee’s right to receive Common Stock in payment of the RSUs is forfeited in accordance with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221" w:lineRule="exact"/>
        <w:rPr>
          <w:rFonts w:ascii="Times New Roman" w:cs="Times New Roman" w:eastAsia="Times New Roman" w:hAnsi="Times New Roman"/>
          <w:sz w:val="22"/>
          <w:szCs w:val="22"/>
          <w:color w:val="auto"/>
        </w:rPr>
      </w:pPr>
    </w:p>
    <w:p>
      <w:pPr>
        <w:ind w:left="1600" w:right="320" w:hanging="738"/>
        <w:spacing w:after="0" w:line="239" w:lineRule="auto"/>
        <w:tabs>
          <w:tab w:leader="none" w:pos="160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216" w:lineRule="exact"/>
        <w:rPr>
          <w:rFonts w:ascii="Times New Roman" w:cs="Times New Roman" w:eastAsia="Times New Roman" w:hAnsi="Times New Roman"/>
          <w:sz w:val="22"/>
          <w:szCs w:val="22"/>
          <w:color w:val="auto"/>
        </w:rPr>
      </w:pPr>
    </w:p>
    <w:p>
      <w:pPr>
        <w:ind w:left="120" w:right="140" w:firstLine="741"/>
        <w:spacing w:after="0" w:line="246" w:lineRule="auto"/>
        <w:tabs>
          <w:tab w:leader="none" w:pos="1594"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RSUs and the number of shares of Common Stock issuable for each RSU,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the grant evidenced by this Agreement, are subject to mandatory adjustment, including as provided in Section 11 of the Plan.</w:t>
      </w:r>
    </w:p>
    <w:p>
      <w:pPr>
        <w:spacing w:after="0" w:line="194" w:lineRule="exact"/>
        <w:rPr>
          <w:rFonts w:ascii="Times New Roman" w:cs="Times New Roman" w:eastAsia="Times New Roman" w:hAnsi="Times New Roman"/>
          <w:sz w:val="22"/>
          <w:szCs w:val="22"/>
          <w:color w:val="auto"/>
        </w:rPr>
      </w:pPr>
    </w:p>
    <w:p>
      <w:pPr>
        <w:ind w:left="120" w:right="520" w:firstLine="742"/>
        <w:spacing w:after="0" w:line="262" w:lineRule="auto"/>
        <w:tabs>
          <w:tab w:leader="none" w:pos="160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Grantee will be solely responsible for the payment of all taxes that arise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granting and payment of the RSUs, including the payment of any shares of Common Stock.</w:t>
      </w:r>
    </w:p>
    <w:p>
      <w:pPr>
        <w:spacing w:after="0" w:line="190" w:lineRule="exact"/>
        <w:rPr>
          <w:rFonts w:ascii="Times New Roman" w:cs="Times New Roman" w:eastAsia="Times New Roman" w:hAnsi="Times New Roman"/>
          <w:sz w:val="22"/>
          <w:szCs w:val="22"/>
          <w:color w:val="auto"/>
        </w:rPr>
      </w:pPr>
    </w:p>
    <w:p>
      <w:pPr>
        <w:ind w:left="120" w:right="160" w:firstLine="741"/>
        <w:spacing w:after="0" w:line="241" w:lineRule="auto"/>
        <w:tabs>
          <w:tab w:leader="none" w:pos="15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212" w:lineRule="exact"/>
        <w:rPr>
          <w:rFonts w:ascii="Times New Roman" w:cs="Times New Roman" w:eastAsia="Times New Roman" w:hAnsi="Times New Roman"/>
          <w:sz w:val="22"/>
          <w:szCs w:val="22"/>
          <w:color w:val="auto"/>
        </w:rPr>
      </w:pPr>
    </w:p>
    <w:p>
      <w:pPr>
        <w:ind w:left="200" w:right="120" w:firstLine="661"/>
        <w:spacing w:after="0" w:line="262" w:lineRule="auto"/>
        <w:tabs>
          <w:tab w:leader="none" w:pos="159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or Exemption From Section 409A of the Code</w:t>
      </w:r>
      <w:r>
        <w:rPr>
          <w:rFonts w:ascii="Times New Roman" w:cs="Times New Roman" w:eastAsia="Times New Roman" w:hAnsi="Times New Roman"/>
          <w:sz w:val="22"/>
          <w:szCs w:val="22"/>
          <w:color w:val="auto"/>
        </w:rPr>
        <w:t>. To the extent applicable, it is intended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this Agreement and the Plan comply with or be exempt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t>EX-10.27</w:t>
      </w:r>
    </w:p>
    <w:p>
      <w:pPr>
        <w:spacing w:after="0" w:line="24" w:lineRule="exact"/>
        <w:rPr>
          <w:sz w:val="20"/>
          <w:szCs w:val="20"/>
          <w:color w:val="auto"/>
        </w:rPr>
      </w:pPr>
    </w:p>
    <w:p>
      <w:pPr>
        <w:ind w:left="200"/>
        <w:spacing w:after="0" w:line="232" w:lineRule="auto"/>
        <w:rPr>
          <w:sz w:val="20"/>
          <w:szCs w:val="20"/>
          <w:color w:val="auto"/>
        </w:rPr>
      </w:pPr>
      <w:r>
        <w:rPr>
          <w:rFonts w:ascii="Times New Roman" w:cs="Times New Roman" w:eastAsia="Times New Roman" w:hAnsi="Times New Roman"/>
          <w:sz w:val="22"/>
          <w:szCs w:val="22"/>
          <w:color w:val="auto"/>
        </w:rPr>
        <w:t>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Further, the Company does not make any representation to the Grantee that the RSUs satisfy the requirements of Section 409A of the Code, and the Company will have no liability or other obligation to indemnify or hold harmless the Grantee or any other party for any tax, additional tax, interest or penalties that the Grantee or any other party may incur in the event that any provision of the Agreement or any amendment or modification thereof or any other action taken with respect thereto, is deemed to violate any of the requirements of Section 409A of the Code.</w:t>
      </w:r>
    </w:p>
    <w:p>
      <w:pPr>
        <w:spacing w:after="0" w:line="215" w:lineRule="exact"/>
        <w:rPr>
          <w:sz w:val="20"/>
          <w:szCs w:val="20"/>
          <w:color w:val="auto"/>
        </w:rPr>
      </w:pPr>
    </w:p>
    <w:p>
      <w:pPr>
        <w:ind w:left="200" w:right="680" w:firstLine="649"/>
        <w:spacing w:after="0" w:line="246" w:lineRule="auto"/>
        <w:tabs>
          <w:tab w:leader="none" w:pos="1577"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Any reference in this Agreement to Section 409A of the Code will also include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proposed, temporary or final regulations, or any other guidance, promulgated with respect to such Section by the U.S. Department of the Treasury or the Internal Revenue Service.</w:t>
      </w:r>
    </w:p>
    <w:p>
      <w:pPr>
        <w:spacing w:after="0" w:line="18" w:lineRule="exact"/>
        <w:rPr>
          <w:rFonts w:ascii="Times New Roman" w:cs="Times New Roman" w:eastAsia="Times New Roman" w:hAnsi="Times New Roman"/>
          <w:sz w:val="22"/>
          <w:szCs w:val="22"/>
          <w:color w:val="auto"/>
        </w:rPr>
      </w:pPr>
    </w:p>
    <w:p>
      <w:pPr>
        <w:ind w:left="120" w:right="340" w:firstLine="741"/>
        <w:spacing w:after="0" w:line="241" w:lineRule="auto"/>
        <w:tabs>
          <w:tab w:leader="none" w:pos="1582" w:val="left"/>
        </w:tabs>
        <w:numPr>
          <w:ilvl w:val="2"/>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Future Awards or Board Membership</w:t>
      </w:r>
      <w:r>
        <w:rPr>
          <w:rFonts w:ascii="Times New Roman" w:cs="Times New Roman" w:eastAsia="Times New Roman" w:hAnsi="Times New Roman"/>
          <w:sz w:val="22"/>
          <w:szCs w:val="22"/>
          <w:color w:val="auto"/>
        </w:rPr>
        <w:t>. The grant of the RSUs under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is a voluntary, discretionary award being made on a one- time basis and it does not constitute a commitment to make any future awards. Nothing contained in this Agreement shall confer upon the Grantee any right to continued service as a member of the Board.</w:t>
      </w:r>
    </w:p>
    <w:p>
      <w:pPr>
        <w:spacing w:after="0" w:line="212" w:lineRule="exact"/>
        <w:rPr>
          <w:rFonts w:ascii="Times New Roman" w:cs="Times New Roman" w:eastAsia="Times New Roman" w:hAnsi="Times New Roman"/>
          <w:sz w:val="22"/>
          <w:szCs w:val="22"/>
          <w:color w:val="auto"/>
        </w:rPr>
      </w:pPr>
    </w:p>
    <w:p>
      <w:pPr>
        <w:ind w:left="120" w:right="340" w:firstLine="742"/>
        <w:spacing w:after="0" w:line="243" w:lineRule="auto"/>
        <w:tabs>
          <w:tab w:leader="none" w:pos="1600" w:val="left"/>
        </w:tabs>
        <w:numPr>
          <w:ilvl w:val="2"/>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Any amendment to the Plan shall be deemed to be an amendment to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extent that 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 w:lineRule="exact"/>
        <w:rPr>
          <w:rFonts w:ascii="Times New Roman" w:cs="Times New Roman" w:eastAsia="Times New Roman" w:hAnsi="Times New Roman"/>
          <w:sz w:val="22"/>
          <w:szCs w:val="22"/>
          <w:color w:val="auto"/>
        </w:rPr>
      </w:pPr>
    </w:p>
    <w:p>
      <w:pPr>
        <w:ind w:left="120" w:right="60" w:hanging="9"/>
        <w:spacing w:after="0" w:line="235" w:lineRule="auto"/>
        <w:tabs>
          <w:tab w:leader="none" w:pos="414"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shall adversely affect the rights of the Grantee under this Agreement without the Grantee’s written consent, and (b) the Grantee’s consent shall not be required to an amendment that is deemed necessary by the Company to ensure compliance with Section 409A of the Code.</w:t>
      </w:r>
    </w:p>
    <w:p>
      <w:pPr>
        <w:spacing w:after="0" w:line="200" w:lineRule="exact"/>
        <w:rPr>
          <w:rFonts w:ascii="Times New Roman" w:cs="Times New Roman" w:eastAsia="Times New Roman" w:hAnsi="Times New Roman"/>
          <w:sz w:val="22"/>
          <w:szCs w:val="22"/>
          <w:color w:val="auto"/>
        </w:rPr>
      </w:pPr>
    </w:p>
    <w:p>
      <w:pPr>
        <w:ind w:left="120" w:right="240" w:firstLine="741"/>
        <w:spacing w:after="0" w:line="246" w:lineRule="auto"/>
        <w:tabs>
          <w:tab w:leader="none" w:pos="1594" w:val="left"/>
        </w:tabs>
        <w:numPr>
          <w:ilvl w:val="2"/>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by a court of competent jurisdiction, any provision so invalidated shall be deemed to be separable from the other provisions hereof, and the remaining provisions hereof shall continue to be valid and fully enforceable.</w:t>
      </w:r>
    </w:p>
    <w:p>
      <w:pPr>
        <w:spacing w:after="0" w:line="207" w:lineRule="exact"/>
        <w:rPr>
          <w:rFonts w:ascii="Times New Roman" w:cs="Times New Roman" w:eastAsia="Times New Roman" w:hAnsi="Times New Roman"/>
          <w:sz w:val="22"/>
          <w:szCs w:val="22"/>
          <w:color w:val="auto"/>
        </w:rPr>
      </w:pPr>
    </w:p>
    <w:p>
      <w:pPr>
        <w:ind w:left="120" w:right="220" w:firstLine="741"/>
        <w:spacing w:after="0" w:line="241" w:lineRule="auto"/>
        <w:tabs>
          <w:tab w:leader="none" w:pos="1591" w:val="left"/>
        </w:tabs>
        <w:numPr>
          <w:ilvl w:val="2"/>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12" w:lineRule="exact"/>
        <w:rPr>
          <w:rFonts w:ascii="Times New Roman" w:cs="Times New Roman" w:eastAsia="Times New Roman" w:hAnsi="Times New Roman"/>
          <w:sz w:val="22"/>
          <w:szCs w:val="22"/>
          <w:color w:val="auto"/>
        </w:rPr>
      </w:pPr>
    </w:p>
    <w:p>
      <w:pPr>
        <w:ind w:left="120" w:right="300" w:firstLine="741"/>
        <w:spacing w:after="0" w:line="238" w:lineRule="auto"/>
        <w:tabs>
          <w:tab w:leader="none" w:pos="1595" w:val="left"/>
        </w:tabs>
        <w:numPr>
          <w:ilvl w:val="2"/>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t>EX-10.27</w:t>
      </w:r>
    </w:p>
    <w:p>
      <w:pPr>
        <w:spacing w:after="0" w:line="252" w:lineRule="exact"/>
        <w:rPr>
          <w:sz w:val="20"/>
          <w:szCs w:val="20"/>
          <w:color w:val="auto"/>
        </w:rPr>
      </w:pPr>
    </w:p>
    <w:p>
      <w:pPr>
        <w:jc w:val="both"/>
        <w:ind w:left="120" w:right="80" w:firstLine="742"/>
        <w:spacing w:after="0" w:line="236" w:lineRule="auto"/>
        <w:tabs>
          <w:tab w:leader="none" w:pos="159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with the internal substantive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laws of the State of Delaware, without giving effect to any principle of law that would result in the application of the law of any other jurisdiction. </w:t>
      </w:r>
      <w:r>
        <w:rPr>
          <w:rFonts w:ascii="Times New Roman" w:cs="Times New Roman" w:eastAsia="Times New Roman" w:hAnsi="Times New Roman"/>
          <w:sz w:val="19"/>
          <w:szCs w:val="19"/>
          <w:color w:val="auto"/>
        </w:rPr>
        <w:t>For any legal action relating to this Agreement, the parties to this Agreement consent to the exclusive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jurisdiction and venue of the United States District Court for the District of Delaware, U.S.A.</w:t>
      </w:r>
    </w:p>
    <w:p>
      <w:pPr>
        <w:spacing w:after="0" w:line="206" w:lineRule="exact"/>
        <w:rPr>
          <w:rFonts w:ascii="Times New Roman" w:cs="Times New Roman" w:eastAsia="Times New Roman" w:hAnsi="Times New Roman"/>
          <w:sz w:val="22"/>
          <w:szCs w:val="22"/>
          <w:color w:val="auto"/>
        </w:rPr>
      </w:pPr>
    </w:p>
    <w:p>
      <w:pPr>
        <w:ind w:left="120" w:right="40" w:firstLine="741"/>
        <w:spacing w:after="0" w:line="246" w:lineRule="auto"/>
        <w:tabs>
          <w:tab w:leader="none" w:pos="1598"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Without limiting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the provisions of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be binding upon, the successors, administrators, heirs, legal representatives and assigns of the Grantee, and the successors and assigns of the Company.</w:t>
      </w:r>
    </w:p>
    <w:p>
      <w:pPr>
        <w:spacing w:after="0" w:line="207" w:lineRule="exact"/>
        <w:rPr>
          <w:rFonts w:ascii="Times New Roman" w:cs="Times New Roman" w:eastAsia="Times New Roman" w:hAnsi="Times New Roman"/>
          <w:sz w:val="22"/>
          <w:szCs w:val="22"/>
          <w:color w:val="auto"/>
        </w:rPr>
      </w:pPr>
    </w:p>
    <w:p>
      <w:pPr>
        <w:ind w:left="120" w:firstLine="741"/>
        <w:spacing w:after="0" w:line="246" w:lineRule="auto"/>
        <w:tabs>
          <w:tab w:leader="none" w:pos="1602"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Grantee acknowledges that the Grantee (a) has received a copy of the Plan, (b)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had an opportunity to review the terms of this Agreement and the Plan, (c) understands the terms and conditions of this Agreement and the Plan and (d) agrees to such terms and conditions.</w:t>
      </w:r>
    </w:p>
    <w:p>
      <w:pPr>
        <w:spacing w:after="0" w:line="18" w:lineRule="exact"/>
        <w:rPr>
          <w:rFonts w:ascii="Times New Roman" w:cs="Times New Roman" w:eastAsia="Times New Roman" w:hAnsi="Times New Roman"/>
          <w:sz w:val="22"/>
          <w:szCs w:val="22"/>
          <w:color w:val="auto"/>
        </w:rPr>
      </w:pPr>
    </w:p>
    <w:p>
      <w:pPr>
        <w:ind w:left="120" w:right="580" w:firstLine="742"/>
        <w:spacing w:after="0" w:line="262" w:lineRule="auto"/>
        <w:tabs>
          <w:tab w:leader="none" w:pos="1597"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will constitute one and the same agreement.</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t>EX-10.27</w:t>
      </w:r>
    </w:p>
    <w:p>
      <w:pPr>
        <w:spacing w:after="0" w:line="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Todd R Gleason</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u w:val="single" w:color="auto"/>
          <w:color w:val="auto"/>
        </w:rPr>
        <w:t>Grantee Acknowledgment and Acceptance</w:t>
      </w: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 Electronic Signature*</w:t>
      </w:r>
    </w:p>
    <w:p>
      <w:pPr>
        <w:spacing w:after="0" w:line="238" w:lineRule="exact"/>
        <w:rPr>
          <w:sz w:val="20"/>
          <w:szCs w:val="20"/>
          <w:color w:val="auto"/>
        </w:rPr>
      </w:pPr>
    </w:p>
    <w:p>
      <w:pPr>
        <w:ind w:left="5060" w:right="40" w:hanging="89"/>
        <w:spacing w:after="0" w:line="235" w:lineRule="auto"/>
        <w:tabs>
          <w:tab w:leader="none" w:pos="5129"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and agrees that by clicking the [“Accept”] button on the E*TRADE website, it will act as the Grantee’s electronic signature to this Agreement and will constitute the Grantee’s acceptance of and agreement with all of the terms and conditions set forth in this Agreement and the Plan.</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4F81B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392"/>
        </w:trPr>
        <w:tc>
          <w:tcPr>
            <w:tcW w:w="4080" w:type="dxa"/>
            <w:vAlign w:val="bottom"/>
          </w:tcPr>
          <w:p>
            <w:pPr>
              <w:spacing w:after="0"/>
              <w:rPr>
                <w:sz w:val="24"/>
                <w:szCs w:val="24"/>
                <w:color w:val="auto"/>
              </w:rPr>
            </w:pPr>
          </w:p>
        </w:tc>
        <w:tc>
          <w:tcPr>
            <w:tcW w:w="7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r>
      <w:tr>
        <w:trPr>
          <w:trHeight w:val="675"/>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0" w:type="dxa"/>
            <w:vAlign w:val="bottom"/>
            <w:tcBorders>
              <w:bottom w:val="single" w:sz="8" w:color="auto"/>
            </w:tcBorders>
          </w:tcPr>
          <w:p>
            <w:pPr>
              <w:spacing w:after="0"/>
              <w:rPr>
                <w:sz w:val="24"/>
                <w:szCs w:val="24"/>
                <w:color w:val="auto"/>
              </w:rPr>
            </w:pPr>
          </w:p>
        </w:tc>
        <w:tc>
          <w:tcPr>
            <w:tcW w:w="2960" w:type="dxa"/>
            <w:vAlign w:val="bottom"/>
            <w:tcBorders>
              <w:top w:val="single" w:sz="8" w:color="auto"/>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830"/>
              <w:spacing w:after="0"/>
              <w:rPr>
                <w:sz w:val="20"/>
                <w:szCs w:val="20"/>
                <w:color w:val="auto"/>
              </w:rPr>
            </w:pPr>
            <w:r>
              <w:rPr>
                <w:rFonts w:ascii="Times New Roman" w:cs="Times New Roman" w:eastAsia="Times New Roman" w:hAnsi="Times New Roman"/>
                <w:sz w:val="14"/>
                <w:szCs w:val="14"/>
                <w:b w:val="1"/>
                <w:bCs w:val="1"/>
                <w:color w:val="auto"/>
              </w:rPr>
              <w:t>State/County</w:t>
            </w: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Aarding Thermal Acoustics B.V.</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Aarding Thermal Acoustics USA, Inc.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Emtrol Buell India Pvt. Ltd.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IP, Inc.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Mexico S de RL de CV.</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Mexico</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Middle East DMCC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Netherlands B.V.</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Environmental Services Mexico S de RL de CV.</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Group Global Holdings, LLC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Group, Inc.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Industrial Solutions, Inc.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Mexico Holdings, LLC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Peerless (China) Environmental Co. Ltd.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CECO Peerless China Holdings LLC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Compass Water Solutions, Inc.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DS21 Co.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South Korea</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EFM Equipment Company LLC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Effox-Flextor-Mader Inc.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Emtrol-Buell Services FZE</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1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Emtrol, LLC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Emtrol, Ltd.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Integrated Solutions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(Shanghai) Co. Ltd.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FKI, LLC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Flextor, Inc.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Rubber LLC</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H.M. White, Inc.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Mefiag (Guangzhou) Filter Systems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China</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Mefiag B.V.</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Met-Pro (Hong Kong) Co.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Met-Pro Technologies, LLC</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MP China Co.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Asia-Pacific Pte. Ltd.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Peerless Europe, Ltd.</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Peerless Manufacturing Co.</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Kirk &amp; Blum Manufacturing Co.</w:t>
            </w: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Air Ducts Limited</w:t>
            </w:r>
          </w:p>
        </w:tc>
        <w:tc>
          <w:tcPr>
            <w:tcW w:w="4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4160" w:type="dxa"/>
            <w:vAlign w:val="bottom"/>
            <w:shd w:val="clear" w:color="auto" w:fill="CFF0FC"/>
          </w:tcPr>
          <w:p>
            <w:pPr>
              <w:jc w:val="center"/>
              <w:ind w:left="183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547"/>
        </w:trPr>
        <w:tc>
          <w:tcPr>
            <w:tcW w:w="4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1" w:name="page292"/>
    <w:bookmarkEnd w:id="291"/>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rPr>
          <w:sz w:val="20"/>
          <w:szCs w:val="20"/>
          <w:color w:val="auto"/>
        </w:rPr>
      </w:pPr>
      <w:r>
        <w:rPr>
          <w:rFonts w:ascii="Arial" w:cs="Arial" w:eastAsia="Arial" w:hAnsi="Arial"/>
          <w:sz w:val="18"/>
          <w:szCs w:val="18"/>
          <w:color w:val="auto"/>
        </w:rPr>
        <w:t>Dallas, Texas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333-239224, 333-239707, and 333-256466) and Form S-3 (No. 333-264623) of CECO Environmental Corp. and Subsidiaries of our reports dated March 6, 2023, relating to the consolidated financial statements, and the effectiveness of CECO Environmental Corp. and Subsidiaries’ internal control over financial reporting, which appear in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2" w:name="page293"/>
    <w:bookmarkEnd w:id="29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20" w:hanging="512"/>
        <w:spacing w:after="0"/>
        <w:tabs>
          <w:tab w:leader="none" w:pos="5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2022,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312" w:lineRule="auto"/>
        <w:tabs>
          <w:tab w:leader="none" w:pos="1020"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Todd Gleason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3" w:name="page294"/>
    <w:bookmarkEnd w:id="29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520" w:hanging="512"/>
        <w:spacing w:after="0"/>
        <w:tabs>
          <w:tab w:leader="none" w:pos="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2022,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312" w:lineRule="auto"/>
        <w:tabs>
          <w:tab w:leader="none" w:pos="1020"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2022,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68" w:lineRule="exact"/>
        <w:rPr>
          <w:sz w:val="20"/>
          <w:szCs w:val="20"/>
          <w:color w:val="auto"/>
        </w:rPr>
      </w:pPr>
    </w:p>
    <w:p>
      <w:pPr>
        <w:ind w:left="1020" w:hanging="503"/>
        <w:spacing w:after="0"/>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Todd Gleason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2022, as filed with the Securities and Exchange Commission on the date hereof (the “Report”), I, Peter Johansson, Chief Financial and Strategy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6" w:name="page297"/>
    <w:bookmarkEnd w:id="2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
      <w:numFmt w:val="bullet"/>
      <w:start w:val="1"/>
    </w:lvl>
  </w:abstractNum>
  <w:abstractNum w:abstractNumId="3">
    <w:nsid w:val="14D53685"/>
    <w:multiLevelType w:val="hybridMultilevel"/>
    <w:lvl w:ilvl="0">
      <w:lvlJc w:val="left"/>
      <w:lvlText w:val="•"/>
      <w:numFmt w:val="bullet"/>
      <w:start w:val="1"/>
    </w:lvl>
  </w:abstractNum>
  <w:abstractNum w:abstractNumId="4">
    <w:nsid w:val="230F856C"/>
    <w:multiLevelType w:val="hybridMultilevel"/>
    <w:lvl w:ilvl="0">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abstractNum>
  <w:abstractNum w:abstractNumId="7">
    <w:nsid w:val="3B594807"/>
    <w:multiLevelType w:val="hybridMultilevel"/>
    <w:lvl w:ilvl="0">
      <w:lvlJc w:val="left"/>
      <w:lvlText w:val="•"/>
      <w:numFmt w:val="bullet"/>
      <w:start w:val="1"/>
    </w:lvl>
  </w:abstractNum>
  <w:abstractNum w:abstractNumId="8">
    <w:nsid w:val="6CAA2304"/>
    <w:multiLevelType w:val="hybridMultilevel"/>
    <w:lvl w:ilvl="0">
      <w:lvlJc w:val="left"/>
      <w:lvlText w:val="•"/>
      <w:numFmt w:val="bullet"/>
      <w:start w:val="1"/>
    </w:lvl>
  </w:abstractNum>
  <w:abstractNum w:abstractNumId="9">
    <w:nsid w:val="3F7C2FF4"/>
    <w:multiLevelType w:val="hybridMultilevel"/>
    <w:lvl w:ilvl="0">
      <w:lvlJc w:val="left"/>
      <w:lvlText w:val="•"/>
      <w:numFmt w:val="bullet"/>
      <w:start w:val="1"/>
    </w:lvl>
  </w:abstractNum>
  <w:abstractNum w:abstractNumId="10">
    <w:nsid w:val="25413BEC"/>
    <w:multiLevelType w:val="hybridMultilevel"/>
    <w:lvl w:ilvl="0">
      <w:lvlJc w:val="left"/>
      <w:lvlText w:val="•"/>
      <w:numFmt w:val="bullet"/>
      <w:start w:val="1"/>
    </w:lvl>
  </w:abstractNum>
  <w:abstractNum w:abstractNumId="11">
    <w:nsid w:val="17180B0B"/>
    <w:multiLevelType w:val="hybridMultilevel"/>
    <w:lvl w:ilvl="0">
      <w:lvlJc w:val="left"/>
      <w:lvlText w:val="•"/>
      <w:numFmt w:val="bullet"/>
      <w:start w:val="1"/>
    </w:lvl>
  </w:abstractNum>
  <w:abstractNum w:abstractNumId="12">
    <w:nsid w:val="579328B9"/>
    <w:multiLevelType w:val="hybridMultilevel"/>
    <w:lvl w:ilvl="0">
      <w:lvlJc w:val="left"/>
      <w:lvlText w:val="(%1)"/>
      <w:numFmt w:val="decimal"/>
      <w:start w:val="1"/>
    </w:lvl>
  </w:abstractNum>
  <w:abstractNum w:abstractNumId="13">
    <w:nsid w:val="5D205E20"/>
    <w:multiLevelType w:val="hybridMultilevel"/>
    <w:lvl w:ilvl="0">
      <w:lvlJc w:val="left"/>
      <w:lvlText w:val="•"/>
      <w:numFmt w:val="bullet"/>
      <w:start w:val="1"/>
    </w:lvl>
  </w:abstractNum>
  <w:abstractNum w:abstractNumId="14">
    <w:nsid w:val="11CCA8BA"/>
    <w:multiLevelType w:val="hybridMultilevel"/>
    <w:lvl w:ilvl="0">
      <w:lvlJc w:val="left"/>
      <w:lvlText w:val="•"/>
      <w:numFmt w:val="bullet"/>
      <w:start w:val="1"/>
    </w:lvl>
  </w:abstractNum>
  <w:abstractNum w:abstractNumId="15">
    <w:nsid w:val="4D32AB86"/>
    <w:multiLevelType w:val="hybridMultilevel"/>
    <w:lvl w:ilvl="0">
      <w:lvlJc w:val="left"/>
      <w:lvlText w:val="(%1)"/>
      <w:numFmt w:val="decimal"/>
      <w:start w:val="1"/>
    </w:lvl>
  </w:abstractNum>
  <w:abstractNum w:abstractNumId="16">
    <w:nsid w:val="3F07ACC3"/>
    <w:multiLevelType w:val="hybridMultilevel"/>
    <w:lvl w:ilvl="0">
      <w:lvlJc w:val="left"/>
      <w:lvlText w:val="(%1)"/>
      <w:numFmt w:val="decimal"/>
      <w:start w:val="1"/>
    </w:lvl>
  </w:abstractNum>
  <w:abstractNum w:abstractNumId="17">
    <w:nsid w:val="6B47F63E"/>
    <w:multiLevelType w:val="hybridMultilevel"/>
    <w:lvl w:ilvl="0">
      <w:lvlJc w:val="left"/>
      <w:lvlText w:val="(%1)"/>
      <w:numFmt w:val="decimal"/>
      <w:start w:val="1"/>
    </w:lvl>
  </w:abstractNum>
  <w:abstractNum w:abstractNumId="18">
    <w:nsid w:val="5CB44A05"/>
    <w:multiLevelType w:val="hybridMultilevel"/>
    <w:lvl w:ilvl="0">
      <w:lvlJc w:val="left"/>
      <w:lvlText w:val="%1."/>
      <w:numFmt w:val="decimal"/>
      <w:start w:val="1"/>
    </w:lvl>
  </w:abstractNum>
  <w:abstractNum w:abstractNumId="19">
    <w:nsid w:val="16CF80F1"/>
    <w:multiLevelType w:val="hybridMultilevel"/>
    <w:lvl w:ilvl="0">
      <w:lvlJc w:val="left"/>
      <w:lvlText w:val="†"/>
      <w:numFmt w:val="bullet"/>
      <w:start w:val="1"/>
    </w:lvl>
  </w:abstractNum>
  <w:abstractNum w:abstractNumId="20">
    <w:nsid w:val="1C695DEC"/>
    <w:multiLevelType w:val="hybridMultilevel"/>
    <w:lvl w:ilvl="0">
      <w:lvlJc w:val="left"/>
      <w:lvlText w:val="•"/>
      <w:numFmt w:val="bullet"/>
      <w:start w:val="1"/>
    </w:lvl>
  </w:abstractNum>
  <w:abstractNum w:abstractNumId="21">
    <w:nsid w:val="3FCFAED9"/>
    <w:multiLevelType w:val="hybridMultilevel"/>
    <w:lvl w:ilvl="0">
      <w:lvlJc w:val="left"/>
      <w:lvlText w:val="%1."/>
      <w:numFmt w:val="decimal"/>
      <w:start w:val="1"/>
    </w:lvl>
  </w:abstractNum>
  <w:abstractNum w:abstractNumId="22">
    <w:nsid w:val="F856867"/>
    <w:multiLevelType w:val="hybridMultilevel"/>
    <w:lvl w:ilvl="0">
      <w:lvlJc w:val="left"/>
      <w:lvlText w:val="(%1)"/>
      <w:numFmt w:val="lowerLetter"/>
      <w:start w:val="1"/>
    </w:lvl>
  </w:abstractNum>
  <w:abstractNum w:abstractNumId="23">
    <w:nsid w:val="11B1CC33"/>
    <w:multiLevelType w:val="hybridMultilevel"/>
    <w:lvl w:ilvl="0">
      <w:lvlJc w:val="left"/>
      <w:lvlText w:val="%1."/>
      <w:numFmt w:val="decimal"/>
      <w:start w:val="2"/>
    </w:lvl>
  </w:abstractNum>
  <w:abstractNum w:abstractNumId="24">
    <w:nsid w:val="2E22FBB7"/>
    <w:multiLevelType w:val="hybridMultilevel"/>
    <w:lvl w:ilvl="0">
      <w:lvlJc w:val="left"/>
      <w:lvlText w:val="%1."/>
      <w:numFmt w:val="decimal"/>
      <w:start w:val="8"/>
    </w:lvl>
  </w:abstractNum>
  <w:abstractNum w:abstractNumId="25">
    <w:nsid w:val="29934699"/>
    <w:multiLevelType w:val="hybridMultilevel"/>
    <w:lvl w:ilvl="0">
      <w:lvlJc w:val="left"/>
      <w:lvlText w:val="%1."/>
      <w:numFmt w:val="decimal"/>
      <w:start w:val="9"/>
    </w:lvl>
  </w:abstractNum>
  <w:abstractNum w:abstractNumId="26">
    <w:nsid w:val="77485850"/>
    <w:multiLevelType w:val="hybridMultilevel"/>
    <w:lvl w:ilvl="0">
      <w:lvlJc w:val="left"/>
      <w:lvlText w:val="%1."/>
      <w:numFmt w:val="decimal"/>
      <w:start w:val="10"/>
    </w:lvl>
  </w:abstractNum>
  <w:abstractNum w:abstractNumId="27">
    <w:nsid w:val="744939A3"/>
    <w:multiLevelType w:val="hybridMultilevel"/>
    <w:lvl w:ilvl="0">
      <w:lvlJc w:val="left"/>
      <w:lvlText w:val="•"/>
      <w:numFmt w:val="bullet"/>
      <w:start w:val="1"/>
    </w:lvl>
  </w:abstractNum>
  <w:abstractNum w:abstractNumId="28">
    <w:nsid w:val="4FA0D2E3"/>
    <w:multiLevelType w:val="hybridMultilevel"/>
    <w:lvl w:ilvl="0">
      <w:lvlJc w:val="left"/>
      <w:lvlText w:val="%1."/>
      <w:numFmt w:val="decimal"/>
      <w:start w:val="11"/>
    </w:lvl>
  </w:abstractNum>
  <w:abstractNum w:abstractNumId="29">
    <w:nsid w:val="6B1D2C14"/>
    <w:multiLevelType w:val="hybridMultilevel"/>
    <w:lvl w:ilvl="0">
      <w:lvlJc w:val="left"/>
      <w:lvlText w:val="%1."/>
      <w:numFmt w:val="decimal"/>
      <w:start w:val="12"/>
    </w:lvl>
  </w:abstractNum>
  <w:abstractNum w:abstractNumId="30">
    <w:nsid w:val="68B867D3"/>
    <w:multiLevelType w:val="hybridMultilevel"/>
    <w:lvl w:ilvl="0">
      <w:lvlJc w:val="left"/>
      <w:lvlText w:val="%1."/>
      <w:numFmt w:val="decimal"/>
      <w:start w:val="13"/>
    </w:lvl>
  </w:abstractNum>
  <w:abstractNum w:abstractNumId="31">
    <w:nsid w:val="3F7F5DD9"/>
    <w:multiLevelType w:val="hybridMultilevel"/>
    <w:lvl w:ilvl="0">
      <w:lvlJc w:val="left"/>
      <w:lvlText w:val="%1."/>
      <w:numFmt w:val="decimal"/>
      <w:start w:val="14"/>
    </w:lvl>
  </w:abstractNum>
  <w:abstractNum w:abstractNumId="32">
    <w:nsid w:val="2AE05A34"/>
    <w:multiLevelType w:val="hybridMultilevel"/>
    <w:lvl w:ilvl="0">
      <w:lvlJc w:val="left"/>
      <w:lvlText w:val="$"/>
      <w:numFmt w:val="bullet"/>
      <w:start w:val="1"/>
    </w:lvl>
  </w:abstractNum>
  <w:abstractNum w:abstractNumId="33">
    <w:nsid w:val="32794FF7"/>
    <w:multiLevelType w:val="hybridMultilevel"/>
    <w:lvl w:ilvl="0">
      <w:lvlJc w:val="left"/>
      <w:lvlText w:val="%1."/>
      <w:numFmt w:val="decimal"/>
      <w:start w:val="15"/>
    </w:lvl>
  </w:abstractNum>
  <w:abstractNum w:abstractNumId="34">
    <w:nsid w:val="5454945E"/>
    <w:multiLevelType w:val="hybridMultilevel"/>
    <w:lvl w:ilvl="0">
      <w:lvlJc w:val="left"/>
      <w:lvlText w:val="•"/>
      <w:numFmt w:val="bullet"/>
      <w:start w:val="1"/>
    </w:lvl>
  </w:abstractNum>
  <w:abstractNum w:abstractNumId="35">
    <w:nsid w:val="4DEFDFA0"/>
    <w:multiLevelType w:val="hybridMultilevel"/>
    <w:lvl w:ilvl="0">
      <w:lvlJc w:val="left"/>
      <w:lvlText w:val="(%1)"/>
      <w:numFmt w:val="decimal"/>
      <w:start w:val="1"/>
    </w:lvl>
  </w:abstractNum>
  <w:abstractNum w:abstractNumId="36">
    <w:nsid w:val="2123D5F2"/>
    <w:multiLevelType w:val="hybridMultilevel"/>
    <w:lvl w:ilvl="0">
      <w:lvlJc w:val="left"/>
      <w:lvlText w:val="(%1)"/>
      <w:numFmt w:val="decimal"/>
      <w:start w:val="2"/>
    </w:lvl>
  </w:abstractNum>
  <w:abstractNum w:abstractNumId="37">
    <w:nsid w:val="135B8110"/>
    <w:multiLevelType w:val="hybridMultilevel"/>
    <w:lvl w:ilvl="0">
      <w:lvlJc w:val="left"/>
      <w:lvlText w:val="%1."/>
      <w:numFmt w:val="upperLetter"/>
      <w:start w:val="1"/>
    </w:lvl>
  </w:abstractNum>
  <w:abstractNum w:abstractNumId="38">
    <w:nsid w:val="94927A8"/>
    <w:multiLevelType w:val="hybridMultilevel"/>
    <w:lvl w:ilvl="0">
      <w:lvlJc w:val="left"/>
      <w:lvlText w:val="%1."/>
      <w:numFmt w:val="decimal"/>
      <w:start w:val="1"/>
    </w:lvl>
    <w:lvl w:ilvl="1">
      <w:lvlJc w:val="left"/>
      <w:lvlText w:val="(%2)"/>
      <w:numFmt w:val="lowerLetter"/>
      <w:start w:val="1"/>
    </w:lvl>
  </w:abstractNum>
  <w:abstractNum w:abstractNumId="39">
    <w:nsid w:val="DCDF8F6"/>
    <w:multiLevelType w:val="hybridMultilevel"/>
    <w:lvl w:ilvl="0">
      <w:lvlJc w:val="left"/>
      <w:lvlText w:val="(%1)"/>
      <w:numFmt w:val="lowerLetter"/>
      <w:start w:val="1"/>
    </w:lvl>
    <w:lvl w:ilvl="1">
      <w:lvlJc w:val="left"/>
      <w:lvlText w:val="(%2)"/>
      <w:numFmt w:val="lowerRoman"/>
      <w:start w:val="1"/>
    </w:lvl>
  </w:abstractNum>
  <w:abstractNum w:abstractNumId="40">
    <w:nsid w:val="52D7B105"/>
    <w:multiLevelType w:val="hybridMultilevel"/>
    <w:lvl w:ilvl="0">
      <w:lvlJc w:val="left"/>
      <w:lvlText w:val="(%1)"/>
      <w:numFmt w:val="lowerLetter"/>
      <w:start w:val="1"/>
    </w:lvl>
    <w:lvl w:ilvl="1">
      <w:lvlJc w:val="left"/>
      <w:lvlText w:val="(%2)"/>
      <w:numFmt w:val="lowerRoman"/>
      <w:start w:val="1"/>
    </w:lvl>
  </w:abstractNum>
  <w:abstractNum w:abstractNumId="41">
    <w:nsid w:val="2E8A6394"/>
    <w:multiLevelType w:val="hybridMultilevel"/>
    <w:lvl w:ilvl="0">
      <w:lvlJc w:val="left"/>
      <w:lvlText w:val="(%1)"/>
      <w:numFmt w:val="lowerLetter"/>
      <w:start w:val="1"/>
    </w:lvl>
  </w:abstractNum>
  <w:abstractNum w:abstractNumId="42">
    <w:nsid w:val="24E60401"/>
    <w:multiLevelType w:val="hybridMultilevel"/>
    <w:lvl w:ilvl="0">
      <w:lvlJc w:val="left"/>
      <w:lvlText w:val="(%1)"/>
      <w:numFmt w:val="lowerLetter"/>
      <w:start w:val="4"/>
    </w:lvl>
  </w:abstractNum>
  <w:abstractNum w:abstractNumId="43">
    <w:nsid w:val="2A6AD9BE"/>
    <w:multiLevelType w:val="hybridMultilevel"/>
    <w:lvl w:ilvl="0">
      <w:lvlJc w:val="left"/>
      <w:lvlText w:val="A"/>
      <w:numFmt w:val="bullet"/>
      <w:start w:val="1"/>
    </w:lvl>
  </w:abstractNum>
  <w:abstractNum w:abstractNumId="44">
    <w:nsid w:val="BAAC1B4"/>
    <w:multiLevelType w:val="hybridMultilevel"/>
    <w:lvl w:ilvl="0">
      <w:lvlJc w:val="left"/>
      <w:lvlText w:val="B"/>
      <w:numFmt w:val="bullet"/>
      <w:start w:val="1"/>
    </w:lvl>
  </w:abstractNum>
  <w:abstractNum w:abstractNumId="45">
    <w:nsid w:val="36B2ACBC"/>
    <w:multiLevelType w:val="hybridMultilevel"/>
    <w:lvl w:ilvl="0">
      <w:lvlJc w:val="left"/>
      <w:lvlText w:val="E"/>
      <w:numFmt w:val="bullet"/>
      <w:start w:val="1"/>
    </w:lvl>
  </w:abstractNum>
  <w:abstractNum w:abstractNumId="46">
    <w:nsid w:val="779D8544"/>
    <w:multiLevelType w:val="hybridMultilevel"/>
    <w:lvl w:ilvl="0">
      <w:lvlJc w:val="left"/>
      <w:lvlText w:val="F"/>
      <w:numFmt w:val="bullet"/>
      <w:start w:val="1"/>
    </w:lvl>
  </w:abstractNum>
  <w:abstractNum w:abstractNumId="47">
    <w:nsid w:val="4AB26E78"/>
    <w:multiLevelType w:val="hybridMultilevel"/>
    <w:lvl w:ilvl="0">
      <w:lvlJc w:val="left"/>
      <w:lvlText w:val="G"/>
      <w:numFmt w:val="bullet"/>
      <w:start w:val="1"/>
    </w:lvl>
  </w:abstractNum>
  <w:abstractNum w:abstractNumId="48">
    <w:nsid w:val="21FAA2FA"/>
    <w:multiLevelType w:val="hybridMultilevel"/>
    <w:lvl w:ilvl="0">
      <w:lvlJc w:val="left"/>
      <w:lvlText w:val="H"/>
      <w:numFmt w:val="bullet"/>
      <w:start w:val="1"/>
    </w:lvl>
  </w:abstractNum>
  <w:abstractNum w:abstractNumId="49">
    <w:nsid w:val="5451CF49"/>
    <w:multiLevelType w:val="hybridMultilevel"/>
    <w:lvl w:ilvl="0">
      <w:lvlJc w:val="left"/>
      <w:lvlText w:val="I"/>
      <w:numFmt w:val="bullet"/>
      <w:start w:val="1"/>
    </w:lvl>
  </w:abstractNum>
  <w:abstractNum w:abstractNumId="50">
    <w:nsid w:val="6181EF69"/>
    <w:multiLevelType w:val="hybridMultilevel"/>
    <w:lvl w:ilvl="0">
      <w:lvlJc w:val="left"/>
      <w:lvlText w:val="J"/>
      <w:numFmt w:val="bullet"/>
      <w:start w:val="1"/>
    </w:lvl>
  </w:abstractNum>
  <w:abstractNum w:abstractNumId="51">
    <w:nsid w:val="3E6400E6"/>
    <w:multiLevelType w:val="hybridMultilevel"/>
    <w:lvl w:ilvl="0">
      <w:lvlJc w:val="left"/>
      <w:lvlText w:val="%1."/>
      <w:numFmt w:val="upperLetter"/>
      <w:start w:val="1"/>
    </w:lvl>
  </w:abstractNum>
  <w:abstractNum w:abstractNumId="52">
    <w:nsid w:val="14217E23"/>
    <w:multiLevelType w:val="hybridMultilevel"/>
    <w:lvl w:ilvl="0">
      <w:lvlJc w:val="left"/>
      <w:lvlText w:val="(%1)"/>
      <w:numFmt w:val="lowerLetter"/>
      <w:start w:val="2"/>
    </w:lvl>
  </w:abstractNum>
  <w:abstractNum w:abstractNumId="53">
    <w:nsid w:val="710757D0"/>
    <w:multiLevelType w:val="hybridMultilevel"/>
    <w:lvl w:ilvl="0">
      <w:lvlJc w:val="left"/>
      <w:lvlText w:val="(%1)"/>
      <w:numFmt w:val="lowerRoman"/>
      <w:start w:val="2"/>
    </w:lvl>
  </w:abstractNum>
  <w:abstractNum w:abstractNumId="54">
    <w:nsid w:val="5015CD1A"/>
    <w:multiLevelType w:val="hybridMultilevel"/>
    <w:lvl w:ilvl="0">
      <w:lvlJc w:val="left"/>
      <w:lvlText w:val="(%1)"/>
      <w:numFmt w:val="lowerLetter"/>
      <w:start w:val="1"/>
    </w:lvl>
  </w:abstractNum>
  <w:abstractNum w:abstractNumId="55">
    <w:nsid w:val="424479DA"/>
    <w:multiLevelType w:val="hybridMultilevel"/>
    <w:lvl w:ilvl="0">
      <w:lvlJc w:val="left"/>
      <w:lvlText w:val="(%1)"/>
      <w:numFmt w:val="lowerLetter"/>
      <w:start w:val="2"/>
    </w:lvl>
  </w:abstractNum>
  <w:abstractNum w:abstractNumId="56">
    <w:nsid w:val="1A9A9E69"/>
    <w:multiLevelType w:val="hybridMultilevel"/>
    <w:lvl w:ilvl="0">
      <w:lvlJc w:val="left"/>
      <w:lvlText w:val="(%1)"/>
      <w:numFmt w:val="lowerLetter"/>
      <w:start w:val="2"/>
    </w:lvl>
    <w:lvl w:ilvl="1">
      <w:lvlJc w:val="left"/>
      <w:lvlText w:val="(%2)"/>
      <w:numFmt w:val="lowerLetter"/>
      <w:start w:val="1"/>
    </w:lvl>
  </w:abstractNum>
  <w:abstractNum w:abstractNumId="57">
    <w:nsid w:val="475E256A"/>
    <w:multiLevelType w:val="hybridMultilevel"/>
    <w:lvl w:ilvl="0">
      <w:lvlJc w:val="left"/>
      <w:lvlText w:val="(%1)"/>
      <w:numFmt w:val="lowerLetter"/>
      <w:start w:val="2"/>
    </w:lvl>
  </w:abstractNum>
  <w:abstractNum w:abstractNumId="58">
    <w:nsid w:val="368DB37E"/>
    <w:multiLevelType w:val="hybridMultilevel"/>
    <w:lvl w:ilvl="0">
      <w:lvlJc w:val="left"/>
      <w:lvlText w:val="(%1)"/>
      <w:numFmt w:val="lowerLetter"/>
      <w:start w:val="1"/>
    </w:lvl>
  </w:abstractNum>
  <w:abstractNum w:abstractNumId="59">
    <w:nsid w:val="6A3B714C"/>
    <w:multiLevelType w:val="hybridMultilevel"/>
    <w:lvl w:ilvl="0">
      <w:lvlJc w:val="left"/>
      <w:lvlText w:val="(%1)"/>
      <w:numFmt w:val="lowerLetter"/>
      <w:start w:val="1"/>
    </w:lvl>
  </w:abstractNum>
  <w:abstractNum w:abstractNumId="60">
    <w:nsid w:val="327B517E"/>
    <w:multiLevelType w:val="hybridMultilevel"/>
    <w:lvl w:ilvl="0">
      <w:lvlJc w:val="left"/>
      <w:lvlText w:val="(%1)"/>
      <w:numFmt w:val="lowerLetter"/>
      <w:start w:val="1"/>
    </w:lvl>
  </w:abstractNum>
  <w:abstractNum w:abstractNumId="61">
    <w:nsid w:val="1F461B51"/>
    <w:multiLevelType w:val="hybridMultilevel"/>
    <w:lvl w:ilvl="0">
      <w:lvlJc w:val="left"/>
      <w:lvlText w:val="(%1)"/>
      <w:numFmt w:val="lowerLetter"/>
      <w:start w:val="3"/>
    </w:lvl>
  </w:abstractNum>
  <w:abstractNum w:abstractNumId="62">
    <w:nsid w:val="29BACF25"/>
    <w:multiLevelType w:val="hybridMultilevel"/>
    <w:lvl w:ilvl="0">
      <w:lvlJc w:val="left"/>
      <w:lvlText w:val="(%1)"/>
      <w:numFmt w:val="lowerLetter"/>
      <w:start w:val="1"/>
    </w:lvl>
  </w:abstractNum>
  <w:abstractNum w:abstractNumId="63">
    <w:nsid w:val="5D5BABB3"/>
    <w:multiLevelType w:val="hybridMultilevel"/>
    <w:lvl w:ilvl="0">
      <w:lvlJc w:val="left"/>
      <w:lvlText w:val="(%1)"/>
      <w:numFmt w:val="lowerLetter"/>
      <w:start w:val="1"/>
    </w:lvl>
    <w:lvl w:ilvl="1">
      <w:lvlJc w:val="left"/>
      <w:lvlText w:val="(%2)"/>
      <w:numFmt w:val="lowerRoman"/>
      <w:start w:val="1"/>
    </w:lvl>
  </w:abstractNum>
  <w:abstractNum w:abstractNumId="64">
    <w:nsid w:val="51BF6B48"/>
    <w:multiLevelType w:val="hybridMultilevel"/>
    <w:lvl w:ilvl="0">
      <w:lvlJc w:val="left"/>
      <w:lvlText w:val="(%1)"/>
      <w:numFmt w:val="lowerRoman"/>
      <w:start w:val="5"/>
    </w:lvl>
  </w:abstractNum>
  <w:abstractNum w:abstractNumId="65">
    <w:nsid w:val="7E0F6384"/>
    <w:multiLevelType w:val="hybridMultilevel"/>
    <w:lvl w:ilvl="0">
      <w:lvlJc w:val="left"/>
      <w:lvlText w:val="(%1)"/>
      <w:numFmt w:val="lowerLetter"/>
      <w:start w:val="3"/>
    </w:lvl>
    <w:lvl w:ilvl="1">
      <w:lvlJc w:val="left"/>
      <w:lvlText w:val="(%2)"/>
      <w:numFmt w:val="lowerRoman"/>
      <w:start w:val="1"/>
    </w:lvl>
  </w:abstractNum>
  <w:abstractNum w:abstractNumId="66">
    <w:nsid w:val="2B4B8B53"/>
    <w:multiLevelType w:val="hybridMultilevel"/>
    <w:lvl w:ilvl="0">
      <w:lvlJc w:val="left"/>
      <w:lvlText w:val="(%1)"/>
      <w:numFmt w:val="lowerLetter"/>
      <w:start w:val="1"/>
    </w:lvl>
  </w:abstractNum>
  <w:abstractNum w:abstractNumId="67">
    <w:nsid w:val="72E3413A"/>
    <w:multiLevelType w:val="hybridMultilevel"/>
    <w:lvl w:ilvl="0">
      <w:lvlJc w:val="left"/>
      <w:lvlText w:val="(%1)"/>
      <w:numFmt w:val="lowerRoman"/>
      <w:start w:val="4"/>
    </w:lvl>
  </w:abstractNum>
  <w:abstractNum w:abstractNumId="68">
    <w:nsid w:val="116AE494"/>
    <w:multiLevelType w:val="hybridMultilevel"/>
    <w:lvl w:ilvl="0">
      <w:lvlJc w:val="left"/>
      <w:lvlText w:val="(%1)"/>
      <w:numFmt w:val="lowerLetter"/>
      <w:start w:val="7"/>
    </w:lvl>
  </w:abstractNum>
  <w:abstractNum w:abstractNumId="69">
    <w:nsid w:val="3494B2FB"/>
    <w:multiLevelType w:val="hybridMultilevel"/>
    <w:lvl w:ilvl="0">
      <w:lvlJc w:val="left"/>
      <w:lvlText w:val="(%1)"/>
      <w:numFmt w:val="lowerLetter"/>
      <w:start w:val="3"/>
    </w:lvl>
  </w:abstractNum>
  <w:abstractNum w:abstractNumId="70">
    <w:nsid w:val="B13A31"/>
    <w:multiLevelType w:val="hybridMultilevel"/>
    <w:lvl w:ilvl="0">
      <w:lvlJc w:val="left"/>
      <w:lvlText w:val="(%1)"/>
      <w:numFmt w:val="lowerRoman"/>
      <w:start w:val="1"/>
    </w:lvl>
  </w:abstractNum>
  <w:abstractNum w:abstractNumId="71">
    <w:nsid w:val="64429599"/>
    <w:multiLevelType w:val="hybridMultilevel"/>
    <w:lvl w:ilvl="0">
      <w:lvlJc w:val="left"/>
      <w:lvlText w:val="(%1)"/>
      <w:numFmt w:val="lowerLetter"/>
      <w:start w:val="1"/>
    </w:lvl>
  </w:abstractNum>
  <w:abstractNum w:abstractNumId="72">
    <w:nsid w:val="631F1690"/>
    <w:multiLevelType w:val="hybridMultilevel"/>
    <w:lvl w:ilvl="0">
      <w:lvlJc w:val="left"/>
      <w:lvlText w:val="(%1)"/>
      <w:numFmt w:val="lowerLetter"/>
      <w:start w:val="1"/>
    </w:lvl>
  </w:abstractNum>
  <w:abstractNum w:abstractNumId="73">
    <w:nsid w:val="25973E32"/>
    <w:multiLevelType w:val="hybridMultilevel"/>
    <w:lvl w:ilvl="0">
      <w:lvlJc w:val="left"/>
      <w:lvlText w:val="(%1)"/>
      <w:numFmt w:val="lowerLetter"/>
      <w:start w:val="2"/>
    </w:lvl>
  </w:abstractNum>
  <w:abstractNum w:abstractNumId="74">
    <w:nsid w:val="EAD6F57"/>
    <w:multiLevelType w:val="hybridMultilevel"/>
    <w:lvl w:ilvl="0">
      <w:lvlJc w:val="left"/>
      <w:lvlText w:val="(%1)"/>
      <w:numFmt w:val="lowerLetter"/>
      <w:start w:val="1"/>
    </w:lvl>
  </w:abstractNum>
  <w:abstractNum w:abstractNumId="75">
    <w:nsid w:val="6EC9D844"/>
    <w:multiLevelType w:val="hybridMultilevel"/>
    <w:lvl w:ilvl="0">
      <w:lvlJc w:val="left"/>
      <w:lvlText w:val="(%1)"/>
      <w:numFmt w:val="lowerLetter"/>
      <w:start w:val="2"/>
    </w:lvl>
  </w:abstractNum>
  <w:abstractNum w:abstractNumId="76">
    <w:nsid w:val="5C49EAEE"/>
    <w:multiLevelType w:val="hybridMultilevel"/>
    <w:lvl w:ilvl="0">
      <w:lvlJc w:val="left"/>
      <w:lvlText w:val="(%1)"/>
      <w:numFmt w:val="lowerLetter"/>
      <w:start w:val="1"/>
    </w:lvl>
  </w:abstractNum>
  <w:abstractNum w:abstractNumId="77">
    <w:nsid w:val="64AF49B"/>
    <w:multiLevelType w:val="hybridMultilevel"/>
    <w:lvl w:ilvl="0">
      <w:lvlJc w:val="left"/>
      <w:lvlText w:val="(%1)"/>
      <w:numFmt w:val="lowerLetter"/>
      <w:start w:val="3"/>
    </w:lvl>
  </w:abstractNum>
  <w:abstractNum w:abstractNumId="78">
    <w:nsid w:val="397C46BC"/>
    <w:multiLevelType w:val="hybridMultilevel"/>
    <w:lvl w:ilvl="0">
      <w:lvlJc w:val="left"/>
      <w:lvlText w:val="(%1)"/>
      <w:numFmt w:val="lowerLetter"/>
      <w:start w:val="3"/>
    </w:lvl>
  </w:abstractNum>
  <w:abstractNum w:abstractNumId="79">
    <w:nsid w:val="7E448DE9"/>
    <w:multiLevelType w:val="hybridMultilevel"/>
    <w:lvl w:ilvl="0">
      <w:lvlJc w:val="left"/>
      <w:lvlText w:val="%1"/>
      <w:numFmt w:val="upperLetter"/>
      <w:start w:val="1"/>
    </w:lvl>
    <w:lvl w:ilvl="1">
      <w:lvlJc w:val="left"/>
      <w:lvlText w:val="(%2)"/>
      <w:numFmt w:val="lowerLetter"/>
      <w:start w:val="1"/>
    </w:lvl>
  </w:abstractNum>
  <w:abstractNum w:abstractNumId="80">
    <w:nsid w:val="5A9CC3E5"/>
    <w:multiLevelType w:val="hybridMultilevel"/>
    <w:lvl w:ilvl="0">
      <w:lvlJc w:val="left"/>
      <w:lvlText w:val="(%1)"/>
      <w:numFmt w:val="upperLetter"/>
      <w:start w:val="2"/>
    </w:lvl>
    <w:lvl w:ilvl="1">
      <w:lvlJc w:val="left"/>
      <w:lvlText w:val="(%2)"/>
      <w:numFmt w:val="lowerLetter"/>
      <w:start w:val="2"/>
    </w:lvl>
  </w:abstractNum>
  <w:abstractNum w:abstractNumId="81">
    <w:nsid w:val="1AFE3625"/>
    <w:multiLevelType w:val="hybridMultilevel"/>
    <w:lvl w:ilvl="0">
      <w:lvlJc w:val="left"/>
      <w:lvlText w:val="(%1)"/>
      <w:numFmt w:val="lowerLetter"/>
      <w:start w:val="1"/>
    </w:lvl>
  </w:abstractNum>
  <w:abstractNum w:abstractNumId="82">
    <w:nsid w:val="3CA88ECF"/>
    <w:multiLevelType w:val="hybridMultilevel"/>
    <w:lvl w:ilvl="0">
      <w:lvlJc w:val="left"/>
      <w:lvlText w:val="(%1)"/>
      <w:numFmt w:val="lowerRoman"/>
      <w:start w:val="1"/>
    </w:lvl>
  </w:abstractNum>
  <w:abstractNum w:abstractNumId="83">
    <w:nsid w:val="6EBE4208"/>
    <w:multiLevelType w:val="hybridMultilevel"/>
    <w:lvl w:ilvl="0">
      <w:lvlJc w:val="left"/>
      <w:lvlText w:val="(%1)"/>
      <w:numFmt w:val="lowerLetter"/>
      <w:start w:val="2"/>
    </w:lvl>
  </w:abstractNum>
  <w:abstractNum w:abstractNumId="84">
    <w:nsid w:val="C058DF5"/>
    <w:multiLevelType w:val="hybridMultilevel"/>
    <w:lvl w:ilvl="0">
      <w:lvlJc w:val="left"/>
      <w:lvlText w:val="(%1)"/>
      <w:numFmt w:val="lowerLetter"/>
      <w:start w:val="1"/>
    </w:lvl>
  </w:abstractNum>
  <w:abstractNum w:abstractNumId="85">
    <w:nsid w:val="CBE5BE9"/>
    <w:multiLevelType w:val="hybridMultilevel"/>
    <w:lvl w:ilvl="0">
      <w:lvlJc w:val="left"/>
      <w:lvlText w:val="(%1)"/>
      <w:numFmt w:val="lowerLetter"/>
      <w:start w:val="1"/>
    </w:lvl>
  </w:abstractNum>
  <w:abstractNum w:abstractNumId="86">
    <w:nsid w:val="3102BBE2"/>
    <w:multiLevelType w:val="hybridMultilevel"/>
    <w:lvl w:ilvl="0">
      <w:lvlJc w:val="left"/>
      <w:lvlText w:val="(%1)"/>
      <w:numFmt w:val="lowerLetter"/>
      <w:start w:val="2"/>
    </w:lvl>
  </w:abstractNum>
  <w:abstractNum w:abstractNumId="87">
    <w:nsid w:val="26A02C5E"/>
    <w:multiLevelType w:val="hybridMultilevel"/>
    <w:lvl w:ilvl="0">
      <w:lvlJc w:val="left"/>
      <w:lvlText w:val="(%1)"/>
      <w:numFmt w:val="lowerLetter"/>
      <w:start w:val="1"/>
    </w:lvl>
  </w:abstractNum>
  <w:abstractNum w:abstractNumId="88">
    <w:nsid w:val="541C8153"/>
    <w:multiLevelType w:val="hybridMultilevel"/>
    <w:lvl w:ilvl="0">
      <w:lvlJc w:val="left"/>
      <w:lvlText w:val="(%1)"/>
      <w:numFmt w:val="lowerLetter"/>
      <w:start w:val="2"/>
    </w:lvl>
    <w:lvl w:ilvl="1">
      <w:lvlJc w:val="left"/>
      <w:lvlText w:val="(%2)"/>
      <w:numFmt w:val="lowerRoman"/>
      <w:start w:val="1"/>
    </w:lvl>
  </w:abstractNum>
  <w:abstractNum w:abstractNumId="89">
    <w:nsid w:val="67906F60"/>
    <w:multiLevelType w:val="hybridMultilevel"/>
    <w:lvl w:ilvl="0">
      <w:lvlJc w:val="left"/>
      <w:lvlText w:val="(%1)"/>
      <w:numFmt w:val="lowerLetter"/>
      <w:start w:val="1"/>
    </w:lvl>
  </w:abstractNum>
  <w:abstractNum w:abstractNumId="90">
    <w:nsid w:val="10DB9DAA"/>
    <w:multiLevelType w:val="hybridMultilevel"/>
    <w:lvl w:ilvl="0">
      <w:lvlJc w:val="left"/>
      <w:lvlText w:val="(%1)"/>
      <w:numFmt w:val="lowerLetter"/>
      <w:start w:val="1"/>
    </w:lvl>
  </w:abstractNum>
  <w:abstractNum w:abstractNumId="91">
    <w:nsid w:val="697D2D2"/>
    <w:multiLevelType w:val="hybridMultilevel"/>
    <w:lvl w:ilvl="0">
      <w:lvlJc w:val="left"/>
      <w:lvlText w:val="(%1)"/>
      <w:numFmt w:val="lowerLetter"/>
      <w:start w:val="3"/>
    </w:lvl>
  </w:abstractNum>
  <w:abstractNum w:abstractNumId="92">
    <w:nsid w:val="6D68AB2"/>
    <w:multiLevelType w:val="hybridMultilevel"/>
    <w:lvl w:ilvl="0">
      <w:lvlJc w:val="left"/>
      <w:lvlText w:val="(%1)"/>
      <w:numFmt w:val="lowerLetter"/>
      <w:start w:val="1"/>
    </w:lvl>
  </w:abstractNum>
  <w:abstractNum w:abstractNumId="93">
    <w:nsid w:val="3A966CD0"/>
    <w:multiLevelType w:val="hybridMultilevel"/>
    <w:lvl w:ilvl="0">
      <w:lvlJc w:val="left"/>
      <w:lvlText w:val="%1"/>
      <w:numFmt w:val="lowerRoman"/>
      <w:start w:val="1"/>
    </w:lvl>
    <w:lvl w:ilvl="1">
      <w:lvlJc w:val="left"/>
      <w:lvlText w:val="(%2)"/>
      <w:numFmt w:val="lowerLetter"/>
      <w:start w:val="1"/>
    </w:lvl>
  </w:abstractNum>
  <w:abstractNum w:abstractNumId="94">
    <w:nsid w:val="63F37E85"/>
    <w:multiLevelType w:val="hybridMultilevel"/>
    <w:lvl w:ilvl="0">
      <w:lvlJc w:val="left"/>
      <w:lvlText w:val="(%1)"/>
      <w:numFmt w:val="lowerRoman"/>
      <w:start w:val="4"/>
    </w:lvl>
    <w:lvl w:ilvl="1">
      <w:lvlJc w:val="left"/>
      <w:lvlText w:val="(%2)"/>
      <w:numFmt w:val="lowerLetter"/>
      <w:start w:val="2"/>
    </w:lvl>
  </w:abstractNum>
  <w:abstractNum w:abstractNumId="95">
    <w:nsid w:val="5895F5FA"/>
    <w:multiLevelType w:val="hybridMultilevel"/>
    <w:lvl w:ilvl="0">
      <w:lvlJc w:val="left"/>
      <w:lvlText w:val="(%1)"/>
      <w:numFmt w:val="lowerLetter"/>
      <w:start w:val="1"/>
    </w:lvl>
  </w:abstractNum>
  <w:abstractNum w:abstractNumId="96">
    <w:nsid w:val="38A5D054"/>
    <w:multiLevelType w:val="hybridMultilevel"/>
    <w:lvl w:ilvl="0">
      <w:lvlJc w:val="left"/>
      <w:lvlText w:val="(%1)"/>
      <w:numFmt w:val="lowerLetter"/>
      <w:start w:val="3"/>
    </w:lvl>
  </w:abstractNum>
  <w:abstractNum w:abstractNumId="97">
    <w:nsid w:val="F3F09D8"/>
    <w:multiLevelType w:val="hybridMultilevel"/>
    <w:lvl w:ilvl="0">
      <w:lvlJc w:val="left"/>
      <w:lvlText w:val="(%1)"/>
      <w:numFmt w:val="lowerLetter"/>
      <w:start w:val="1"/>
    </w:lvl>
  </w:abstractNum>
  <w:abstractNum w:abstractNumId="98">
    <w:nsid w:val="4B793735"/>
    <w:multiLevelType w:val="hybridMultilevel"/>
    <w:lvl w:ilvl="0">
      <w:lvlJc w:val="left"/>
      <w:lvlText w:val="(%1)"/>
      <w:numFmt w:val="lowerRoman"/>
      <w:start w:val="1"/>
    </w:lvl>
  </w:abstractNum>
  <w:abstractNum w:abstractNumId="99">
    <w:nsid w:val="4A10B4E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00">
    <w:nsid w:val="43D3BCD4"/>
    <w:multiLevelType w:val="hybridMultilevel"/>
    <w:lvl w:ilvl="0">
      <w:lvlJc w:val="left"/>
      <w:lvlText w:val="%1"/>
      <w:numFmt w:val="lowerRoman"/>
      <w:start w:val="1"/>
    </w:lvl>
    <w:lvl w:ilvl="1">
      <w:lvlJc w:val="left"/>
      <w:lvlText w:val="(%2)"/>
      <w:numFmt w:val="upperLetter"/>
      <w:start w:val="2"/>
    </w:lvl>
  </w:abstractNum>
  <w:abstractNum w:abstractNumId="101">
    <w:nsid w:val="4C2A7166"/>
    <w:multiLevelType w:val="hybridMultilevel"/>
    <w:lvl w:ilvl="0">
      <w:lvlJc w:val="left"/>
      <w:lvlText w:val="(%1)"/>
      <w:numFmt w:val="lowerRoman"/>
      <w:start w:val="4"/>
    </w:lvl>
    <w:lvl w:ilvl="1">
      <w:lvlJc w:val="left"/>
      <w:lvlText w:val="%2"/>
      <w:numFmt w:val="upperLetter"/>
      <w:start w:val="1"/>
    </w:lvl>
  </w:abstractNum>
  <w:abstractNum w:abstractNumId="102">
    <w:nsid w:val="2E534A82"/>
    <w:multiLevelType w:val="hybridMultilevel"/>
    <w:lvl w:ilvl="0">
      <w:lvlJc w:val="left"/>
      <w:lvlText w:val="%1"/>
      <w:numFmt w:val="upperLetter"/>
      <w:start w:val="1"/>
    </w:lvl>
    <w:lvl w:ilvl="1">
      <w:lvlJc w:val="left"/>
      <w:lvlText w:val="(%2)"/>
      <w:numFmt w:val="lowerRoman"/>
      <w:start w:val="1"/>
    </w:lvl>
  </w:abstractNum>
  <w:abstractNum w:abstractNumId="103">
    <w:nsid w:val="26F2D364"/>
    <w:multiLevelType w:val="hybridMultilevel"/>
    <w:lvl w:ilvl="0">
      <w:lvlJc w:val="left"/>
      <w:lvlText w:val="(%1)"/>
      <w:numFmt w:val="upperLetter"/>
      <w:start w:val="8"/>
    </w:lvl>
    <w:lvl w:ilvl="1">
      <w:lvlJc w:val="left"/>
      <w:lvlText w:val="(%2)"/>
      <w:numFmt w:val="lowerRoman"/>
      <w:start w:val="2"/>
    </w:lvl>
  </w:abstractNum>
  <w:abstractNum w:abstractNumId="104">
    <w:nsid w:val="71C1AF98"/>
    <w:multiLevelType w:val="hybridMultilevel"/>
    <w:lvl w:ilvl="0">
      <w:lvlJc w:val="left"/>
      <w:lvlText w:val="(%1)"/>
      <w:numFmt w:val="upperLetter"/>
      <w:start w:val="2"/>
    </w:lvl>
    <w:lvl w:ilvl="1">
      <w:lvlJc w:val="left"/>
      <w:lvlText w:val="(%2)"/>
      <w:numFmt w:val="lowerRoman"/>
      <w:start w:val="4"/>
    </w:lvl>
  </w:abstractNum>
  <w:abstractNum w:abstractNumId="105">
    <w:nsid w:val="3D00B9D9"/>
    <w:multiLevelType w:val="hybridMultilevel"/>
    <w:lvl w:ilvl="0">
      <w:lvlJc w:val="left"/>
      <w:lvlText w:val="(%1)"/>
      <w:numFmt w:val="lowerLetter"/>
      <w:start w:val="3"/>
    </w:lvl>
    <w:lvl w:ilvl="1">
      <w:lvlJc w:val="left"/>
      <w:lvlText w:val="(%2)"/>
      <w:numFmt w:val="lowerLetter"/>
      <w:start w:val="9"/>
    </w:lvl>
  </w:abstractNum>
  <w:abstractNum w:abstractNumId="106">
    <w:nsid w:val="15BCABA8"/>
    <w:multiLevelType w:val="hybridMultilevel"/>
    <w:lvl w:ilvl="0">
      <w:lvlJc w:val="left"/>
      <w:lvlText w:val="(%1)"/>
      <w:numFmt w:val="lowerRoman"/>
      <w:start w:val="2"/>
    </w:lvl>
  </w:abstractNum>
  <w:abstractNum w:abstractNumId="107">
    <w:nsid w:val="4E0B9A87"/>
    <w:multiLevelType w:val="hybridMultilevel"/>
    <w:lvl w:ilvl="0">
      <w:lvlJc w:val="left"/>
      <w:lvlText w:val="%1"/>
      <w:numFmt w:val="lowerLetter"/>
      <w:start w:val="1"/>
    </w:lvl>
    <w:lvl w:ilvl="1">
      <w:lvlJc w:val="left"/>
      <w:lvlText w:val="(%2)"/>
      <w:numFmt w:val="lowerRoman"/>
      <w:start w:val="6"/>
    </w:lvl>
  </w:abstractNum>
  <w:abstractNum w:abstractNumId="108">
    <w:nsid w:val="434BAE75"/>
    <w:multiLevelType w:val="hybridMultilevel"/>
    <w:lvl w:ilvl="0">
      <w:lvlJc w:val="left"/>
      <w:lvlText w:val="(%1)"/>
      <w:numFmt w:val="lowerLetter"/>
      <w:start w:val="4"/>
    </w:lvl>
    <w:lvl w:ilvl="1">
      <w:lvlJc w:val="left"/>
      <w:lvlText w:val="(%2)"/>
      <w:numFmt w:val="lowerRoman"/>
      <w:start w:val="1"/>
    </w:lvl>
  </w:abstractNum>
  <w:abstractNum w:abstractNumId="109">
    <w:nsid w:val="4F38F265"/>
    <w:multiLevelType w:val="hybridMultilevel"/>
    <w:lvl w:ilvl="0">
      <w:lvlJc w:val="left"/>
      <w:lvlText w:val="(%1)"/>
      <w:numFmt w:val="lowerRoman"/>
      <w:start w:val="2"/>
    </w:lvl>
  </w:abstractNum>
  <w:abstractNum w:abstractNumId="110">
    <w:nsid w:val="4C502870"/>
    <w:multiLevelType w:val="hybridMultilevel"/>
    <w:lvl w:ilvl="0">
      <w:lvlJc w:val="left"/>
      <w:lvlText w:val="(%1)"/>
      <w:numFmt w:val="lowerLetter"/>
      <w:start w:val="6"/>
    </w:lvl>
  </w:abstractNum>
  <w:abstractNum w:abstractNumId="111">
    <w:nsid w:val="1DE8725A"/>
    <w:multiLevelType w:val="hybridMultilevel"/>
    <w:lvl w:ilvl="0">
      <w:lvlJc w:val="left"/>
      <w:lvlText w:val="%1"/>
      <w:numFmt w:val="upperLetter"/>
      <w:start w:val="1"/>
    </w:lvl>
    <w:lvl w:ilvl="1">
      <w:lvlJc w:val="left"/>
      <w:lvlText w:val="(%2)"/>
      <w:numFmt w:val="lowerLetter"/>
      <w:start w:val="9"/>
    </w:lvl>
  </w:abstractNum>
  <w:abstractNum w:abstractNumId="112">
    <w:nsid w:val="6A37288A"/>
    <w:multiLevelType w:val="hybridMultilevel"/>
    <w:lvl w:ilvl="0">
      <w:lvlJc w:val="left"/>
      <w:lvlText w:val="(%1)"/>
      <w:numFmt w:val="upperLetter"/>
      <w:start w:val="2"/>
    </w:lvl>
    <w:lvl w:ilvl="1">
      <w:lvlJc w:val="left"/>
      <w:lvlText w:val="(%2)"/>
      <w:numFmt w:val="lowerLetter"/>
      <w:start w:val="10"/>
    </w:lvl>
  </w:abstractNum>
  <w:abstractNum w:abstractNumId="113">
    <w:nsid w:val="8F8B73F"/>
    <w:multiLevelType w:val="hybridMultilevel"/>
    <w:lvl w:ilvl="0">
      <w:lvlJc w:val="left"/>
      <w:lvlText w:val="%1"/>
      <w:numFmt w:val="upperLetter"/>
      <w:start w:val="1"/>
    </w:lvl>
    <w:lvl w:ilvl="1">
      <w:lvlJc w:val="left"/>
      <w:lvlText w:val="(%2)"/>
      <w:numFmt w:val="lowerLetter"/>
      <w:start w:val="1"/>
    </w:lvl>
  </w:abstractNum>
  <w:abstractNum w:abstractNumId="114">
    <w:nsid w:val="CA6B462"/>
    <w:multiLevelType w:val="hybridMultilevel"/>
    <w:lvl w:ilvl="0">
      <w:lvlJc w:val="left"/>
      <w:lvlText w:val="(%1)"/>
      <w:numFmt w:val="upperLetter"/>
      <w:start w:val="1"/>
    </w:lvl>
    <w:lvl w:ilvl="1">
      <w:lvlJc w:val="left"/>
      <w:lvlText w:val="%2"/>
      <w:numFmt w:val="lowerLetter"/>
      <w:start w:val="1"/>
    </w:lvl>
  </w:abstractNum>
  <w:abstractNum w:abstractNumId="115">
    <w:nsid w:val="763CB680"/>
    <w:multiLevelType w:val="hybridMultilevel"/>
    <w:lvl w:ilvl="0">
      <w:lvlJc w:val="left"/>
      <w:lvlText w:val="(%1)"/>
      <w:numFmt w:val="lowerLetter"/>
      <w:start w:val="3"/>
    </w:lvl>
    <w:lvl w:ilvl="1">
      <w:lvlJc w:val="left"/>
      <w:lvlText w:val="(%2)"/>
      <w:numFmt w:val="lowerRoman"/>
      <w:start w:val="1"/>
    </w:lvl>
  </w:abstractNum>
  <w:abstractNum w:abstractNumId="116">
    <w:nsid w:val="15B71329"/>
    <w:multiLevelType w:val="hybridMultilevel"/>
    <w:lvl w:ilvl="0">
      <w:lvlJc w:val="left"/>
      <w:lvlText w:val="%1"/>
      <w:numFmt w:val="upperLetter"/>
      <w:start w:val="1"/>
    </w:lvl>
    <w:lvl w:ilvl="1">
      <w:lvlJc w:val="left"/>
      <w:lvlText w:val="(%2)"/>
      <w:numFmt w:val="lowerRoman"/>
      <w:start w:val="4"/>
    </w:lvl>
  </w:abstractNum>
  <w:abstractNum w:abstractNumId="117">
    <w:nsid w:val="3DA97044"/>
    <w:multiLevelType w:val="hybridMultilevel"/>
    <w:lvl w:ilvl="0">
      <w:lvlJc w:val="left"/>
      <w:lvlText w:val="(%1)"/>
      <w:numFmt w:val="upperLetter"/>
      <w:start w:val="1"/>
    </w:lvl>
    <w:lvl w:ilvl="1">
      <w:lvlJc w:val="left"/>
      <w:lvlText w:val="%2"/>
      <w:numFmt w:val="lowerRoman"/>
      <w:start w:val="1"/>
    </w:lvl>
  </w:abstractNum>
  <w:abstractNum w:abstractNumId="118">
    <w:nsid w:val="1CDCE2DE"/>
    <w:multiLevelType w:val="hybridMultilevel"/>
    <w:lvl w:ilvl="0">
      <w:lvlJc w:val="left"/>
      <w:lvlText w:val="(%1)"/>
      <w:numFmt w:val="lowerLetter"/>
      <w:start w:val="4"/>
    </w:lvl>
    <w:lvl w:ilvl="1">
      <w:lvlJc w:val="left"/>
      <w:lvlText w:val="(%2)"/>
      <w:numFmt w:val="lowerRoman"/>
      <w:start w:val="1"/>
    </w:lvl>
  </w:abstractNum>
  <w:abstractNum w:abstractNumId="119">
    <w:nsid w:val="69D3947C"/>
    <w:multiLevelType w:val="hybridMultilevel"/>
    <w:lvl w:ilvl="0">
      <w:lvlJc w:val="left"/>
      <w:lvlText w:val="(%1)"/>
      <w:numFmt w:val="lowerLetter"/>
      <w:start w:val="1"/>
    </w:lvl>
    <w:lvl w:ilvl="1">
      <w:lvlJc w:val="left"/>
      <w:lvlText w:val="(%2)"/>
      <w:numFmt w:val="lowerLetter"/>
      <w:start w:val="9"/>
    </w:lvl>
  </w:abstractNum>
  <w:abstractNum w:abstractNumId="120">
    <w:nsid w:val="2539DFA5"/>
    <w:multiLevelType w:val="hybridMultilevel"/>
    <w:lvl w:ilvl="0">
      <w:lvlJc w:val="left"/>
      <w:lvlText w:val="%1"/>
      <w:numFmt w:val="lowerLetter"/>
      <w:start w:val="1"/>
    </w:lvl>
    <w:lvl w:ilvl="1">
      <w:lvlJc w:val="left"/>
      <w:lvlText w:val="(%2)"/>
      <w:numFmt w:val="lowerLetter"/>
      <w:start w:val="35"/>
    </w:lvl>
  </w:abstractNum>
  <w:abstractNum w:abstractNumId="121">
    <w:nsid w:val="2DB88089"/>
    <w:multiLevelType w:val="hybridMultilevel"/>
    <w:lvl w:ilvl="0">
      <w:lvlJc w:val="left"/>
      <w:lvlText w:val="(%1)"/>
      <w:numFmt w:val="lowerLetter"/>
      <w:start w:val="2"/>
    </w:lvl>
    <w:lvl w:ilvl="1">
      <w:lvlJc w:val="left"/>
      <w:lvlText w:val="(%2)"/>
      <w:numFmt w:val="lowerLetter"/>
      <w:start w:val="9"/>
    </w:lvl>
  </w:abstractNum>
  <w:abstractNum w:abstractNumId="122">
    <w:nsid w:val="706B674E"/>
    <w:multiLevelType w:val="hybridMultilevel"/>
    <w:lvl w:ilvl="0">
      <w:lvlJc w:val="left"/>
      <w:lvlText w:val="(%1)"/>
      <w:numFmt w:val="lowerRoman"/>
      <w:start w:val="2"/>
    </w:lvl>
  </w:abstractNum>
  <w:abstractNum w:abstractNumId="123">
    <w:nsid w:val="2C106A57"/>
    <w:multiLevelType w:val="hybridMultilevel"/>
    <w:lvl w:ilvl="0">
      <w:lvlJc w:val="left"/>
      <w:lvlText w:val="(%1)"/>
      <w:numFmt w:val="lowerRoman"/>
      <w:start w:val="5"/>
    </w:lvl>
    <w:lvl w:ilvl="1">
      <w:lvlJc w:val="left"/>
      <w:lvlText w:val="(%2)"/>
      <w:numFmt w:val="upperLetter"/>
      <w:start w:val="1"/>
    </w:lvl>
  </w:abstractNum>
  <w:abstractNum w:abstractNumId="124">
    <w:nsid w:val="684EED59"/>
    <w:multiLevelType w:val="hybridMultilevel"/>
    <w:lvl w:ilvl="0">
      <w:lvlJc w:val="left"/>
      <w:lvlText w:val="(%1)"/>
      <w:numFmt w:val="lowerLetter"/>
      <w:start w:val="1"/>
    </w:lvl>
  </w:abstractNum>
  <w:abstractNum w:abstractNumId="125">
    <w:nsid w:val="545EE5D3"/>
    <w:multiLevelType w:val="hybridMultilevel"/>
    <w:lvl w:ilvl="0">
      <w:lvlJc w:val="left"/>
      <w:lvlText w:val="(%1)"/>
      <w:numFmt w:val="lowerLetter"/>
      <w:start w:val="1"/>
    </w:lvl>
  </w:abstractNum>
  <w:abstractNum w:abstractNumId="126">
    <w:nsid w:val="4A66051"/>
    <w:multiLevelType w:val="hybridMultilevel"/>
    <w:lvl w:ilvl="0">
      <w:lvlJc w:val="left"/>
      <w:lvlText w:val="(%1)"/>
      <w:numFmt w:val="lowerLetter"/>
      <w:start w:val="2"/>
    </w:lvl>
  </w:abstractNum>
  <w:abstractNum w:abstractNumId="127">
    <w:nsid w:val="20F4BDAD"/>
    <w:multiLevelType w:val="hybridMultilevel"/>
    <w:lvl w:ilvl="0">
      <w:lvlJc w:val="left"/>
      <w:lvlText w:val="%1"/>
      <w:numFmt w:val="lowerLetter"/>
      <w:start w:val="1"/>
    </w:lvl>
    <w:lvl w:ilvl="1">
      <w:lvlJc w:val="left"/>
      <w:lvlText w:val="(%2)"/>
      <w:numFmt w:val="lowerLetter"/>
      <w:start w:val="1"/>
    </w:lvl>
  </w:abstractNum>
  <w:abstractNum w:abstractNumId="128">
    <w:nsid w:val="639DEFAC"/>
    <w:multiLevelType w:val="hybridMultilevel"/>
    <w:lvl w:ilvl="0">
      <w:lvlJc w:val="left"/>
      <w:lvlText w:val="(%1)"/>
      <w:numFmt w:val="lowerLetter"/>
      <w:start w:val="2"/>
    </w:lvl>
    <w:lvl w:ilvl="1">
      <w:lvlJc w:val="left"/>
      <w:lvlText w:val="%2"/>
      <w:numFmt w:val="lowerLetter"/>
      <w:start w:val="1"/>
    </w:lvl>
  </w:abstractNum>
  <w:abstractNum w:abstractNumId="129">
    <w:nsid w:val="501F9786"/>
    <w:multiLevelType w:val="hybridMultilevel"/>
    <w:lvl w:ilvl="0">
      <w:lvlJc w:val="left"/>
      <w:lvlText w:val="%1"/>
      <w:numFmt w:val="lowerLetter"/>
      <w:start w:val="1"/>
    </w:lvl>
    <w:lvl w:ilvl="1">
      <w:lvlJc w:val="left"/>
      <w:lvlText w:val="(%2)"/>
      <w:numFmt w:val="lowerLetter"/>
      <w:start w:val="22"/>
    </w:lvl>
  </w:abstractNum>
  <w:abstractNum w:abstractNumId="130">
    <w:nsid w:val="6B057295"/>
    <w:multiLevelType w:val="hybridMultilevel"/>
    <w:lvl w:ilvl="0">
      <w:lvlJc w:val="left"/>
      <w:lvlText w:val="(%1)"/>
      <w:numFmt w:val="lowerLetter"/>
      <w:start w:val="3"/>
    </w:lvl>
    <w:lvl w:ilvl="1">
      <w:lvlJc w:val="left"/>
      <w:lvlText w:val="%2"/>
      <w:numFmt w:val="lowerLetter"/>
      <w:start w:val="1"/>
    </w:lvl>
  </w:abstractNum>
  <w:abstractNum w:abstractNumId="131">
    <w:nsid w:val="2771AC80"/>
    <w:multiLevelType w:val="hybridMultilevel"/>
    <w:lvl w:ilvl="0">
      <w:lvlJc w:val="left"/>
      <w:lvlText w:val="(%1)"/>
      <w:numFmt w:val="lowerLetter"/>
      <w:start w:val="1"/>
    </w:lvl>
  </w:abstractNum>
  <w:abstractNum w:abstractNumId="132">
    <w:nsid w:val="1C4A08EC"/>
    <w:multiLevelType w:val="hybridMultilevel"/>
    <w:lvl w:ilvl="0">
      <w:lvlJc w:val="left"/>
      <w:lvlText w:val="(%1)"/>
      <w:numFmt w:val="lowerLetter"/>
      <w:start w:val="1"/>
    </w:lvl>
  </w:abstractNum>
  <w:abstractNum w:abstractNumId="133">
    <w:nsid w:val="1958BD17"/>
    <w:multiLevelType w:val="hybridMultilevel"/>
    <w:lvl w:ilvl="0">
      <w:lvlJc w:val="left"/>
      <w:lvlText w:val="(%1)"/>
      <w:numFmt w:val="lowerLetter"/>
      <w:start w:val="2"/>
    </w:lvl>
  </w:abstractNum>
  <w:abstractNum w:abstractNumId="134">
    <w:nsid w:val="4E647FE4"/>
    <w:multiLevelType w:val="hybridMultilevel"/>
    <w:lvl w:ilvl="0">
      <w:lvlJc w:val="left"/>
      <w:lvlText w:val="(%1)"/>
      <w:numFmt w:val="lowerLetter"/>
      <w:start w:val="1"/>
    </w:lvl>
  </w:abstractNum>
  <w:abstractNum w:abstractNumId="135">
    <w:nsid w:val="E0BB885"/>
    <w:multiLevelType w:val="hybridMultilevel"/>
    <w:lvl w:ilvl="0">
      <w:lvlJc w:val="left"/>
      <w:lvlText w:val="%1"/>
      <w:numFmt w:val="lowerLetter"/>
      <w:start w:val="1"/>
    </w:lvl>
    <w:lvl w:ilvl="1">
      <w:lvlJc w:val="left"/>
      <w:lvlText w:val="(%2)"/>
      <w:numFmt w:val="lowerLetter"/>
      <w:start w:val="1"/>
    </w:lvl>
  </w:abstractNum>
  <w:abstractNum w:abstractNumId="136">
    <w:nsid w:val="565976F1"/>
    <w:multiLevelType w:val="hybridMultilevel"/>
    <w:lvl w:ilvl="0">
      <w:lvlJc w:val="left"/>
      <w:lvlText w:val="(%1)"/>
      <w:numFmt w:val="lowerLetter"/>
      <w:start w:val="35"/>
    </w:lvl>
    <w:lvl w:ilvl="1">
      <w:lvlJc w:val="left"/>
      <w:lvlText w:val="%2"/>
      <w:numFmt w:val="lowerLetter"/>
      <w:start w:val="1"/>
    </w:lvl>
  </w:abstractNum>
  <w:abstractNum w:abstractNumId="137">
    <w:nsid w:val="64212B8C"/>
    <w:multiLevelType w:val="hybridMultilevel"/>
    <w:lvl w:ilvl="0">
      <w:lvlJc w:val="left"/>
      <w:lvlText w:val="(%1)"/>
      <w:numFmt w:val="lowerLetter"/>
      <w:start w:val="2"/>
    </w:lvl>
  </w:abstractNum>
  <w:abstractNum w:abstractNumId="138">
    <w:nsid w:val="5C17530C"/>
    <w:multiLevelType w:val="hybridMultilevel"/>
    <w:lvl w:ilvl="0">
      <w:lvlJc w:val="left"/>
      <w:lvlText w:val="(%1)"/>
      <w:numFmt w:val="upperLetter"/>
      <w:start w:val="2"/>
    </w:lvl>
    <w:lvl w:ilvl="1">
      <w:lvlJc w:val="left"/>
      <w:lvlText w:val="(%2)"/>
      <w:numFmt w:val="lowerLetter"/>
      <w:start w:val="24"/>
    </w:lvl>
    <w:lvl w:ilvl="2">
      <w:lvlJc w:val="left"/>
      <w:lvlText w:val="(%3)"/>
      <w:numFmt w:val="lowerRoman"/>
      <w:start w:val="1"/>
    </w:lvl>
  </w:abstractNum>
  <w:abstractNum w:abstractNumId="139">
    <w:nsid w:val="19A52566"/>
    <w:multiLevelType w:val="hybridMultilevel"/>
    <w:lvl w:ilvl="0">
      <w:lvlJc w:val="left"/>
      <w:lvlText w:val="(%1)"/>
      <w:numFmt w:val="lowerLetter"/>
      <w:start w:val="1"/>
    </w:lvl>
  </w:abstractNum>
  <w:abstractNum w:abstractNumId="140">
    <w:nsid w:val="335A1DF1"/>
    <w:multiLevelType w:val="hybridMultilevel"/>
    <w:lvl w:ilvl="0">
      <w:lvlJc w:val="left"/>
      <w:lvlText w:val="(%1)"/>
      <w:numFmt w:val="lowerLetter"/>
      <w:start w:val="2"/>
    </w:lvl>
  </w:abstractNum>
  <w:abstractNum w:abstractNumId="141">
    <w:nsid w:val="28677B7C"/>
    <w:multiLevelType w:val="hybridMultilevel"/>
    <w:lvl w:ilvl="0">
      <w:lvlJc w:val="left"/>
      <w:lvlText w:val="(%1)"/>
      <w:numFmt w:val="lowerLetter"/>
      <w:start w:val="1"/>
    </w:lvl>
  </w:abstractNum>
  <w:abstractNum w:abstractNumId="142">
    <w:nsid w:val="378D97C0"/>
    <w:multiLevelType w:val="hybridMultilevel"/>
    <w:lvl w:ilvl="0">
      <w:lvlJc w:val="left"/>
      <w:lvlText w:val="%1"/>
      <w:numFmt w:val="lowerLetter"/>
      <w:start w:val="1"/>
    </w:lvl>
    <w:lvl w:ilvl="1">
      <w:lvlJc w:val="left"/>
      <w:lvlText w:val="(%2)"/>
      <w:numFmt w:val="lowerLetter"/>
      <w:start w:val="2"/>
    </w:lvl>
  </w:abstractNum>
  <w:abstractNum w:abstractNumId="143">
    <w:nsid w:val="1D91467C"/>
    <w:multiLevelType w:val="hybridMultilevel"/>
    <w:lvl w:ilvl="0">
      <w:lvlJc w:val="left"/>
      <w:lvlText w:val="(%1)"/>
      <w:numFmt w:val="lowerLetter"/>
      <w:start w:val="61"/>
    </w:lvl>
    <w:lvl w:ilvl="1">
      <w:lvlJc w:val="left"/>
      <w:lvlText w:val="(%2)"/>
      <w:numFmt w:val="lowerLetter"/>
      <w:start w:val="3"/>
    </w:lvl>
  </w:abstractNum>
  <w:abstractNum w:abstractNumId="144">
    <w:nsid w:val="316032BB"/>
    <w:multiLevelType w:val="hybridMultilevel"/>
    <w:lvl w:ilvl="0">
      <w:lvlJc w:val="left"/>
      <w:lvlText w:val="(%1)"/>
      <w:numFmt w:val="lowerLetter"/>
      <w:start w:val="5"/>
    </w:lvl>
    <w:lvl w:ilvl="1">
      <w:lvlJc w:val="left"/>
      <w:lvlText w:val="(%2)"/>
      <w:numFmt w:val="lowerRoman"/>
      <w:start w:val="1"/>
    </w:lvl>
  </w:abstractNum>
  <w:abstractNum w:abstractNumId="145">
    <w:nsid w:val="44344C22"/>
    <w:multiLevelType w:val="hybridMultilevel"/>
    <w:lvl w:ilvl="0">
      <w:lvlJc w:val="left"/>
      <w:lvlText w:val="(%1)"/>
      <w:numFmt w:val="lowerRoman"/>
      <w:start w:val="5"/>
    </w:lvl>
  </w:abstractNum>
  <w:abstractNum w:abstractNumId="146">
    <w:nsid w:val="13CDFCFC"/>
    <w:multiLevelType w:val="hybridMultilevel"/>
    <w:lvl w:ilvl="0">
      <w:lvlJc w:val="left"/>
      <w:lvlText w:val="(%1)"/>
      <w:numFmt w:val="lowerLetter"/>
      <w:start w:val="7"/>
    </w:lvl>
  </w:abstractNum>
  <w:abstractNum w:abstractNumId="147">
    <w:nsid w:val="471745E4"/>
    <w:multiLevelType w:val="hybridMultilevel"/>
    <w:lvl w:ilvl="0">
      <w:lvlJc w:val="left"/>
      <w:lvlText w:val="(%1)"/>
      <w:numFmt w:val="lowerRoman"/>
      <w:start w:val="4"/>
    </w:lvl>
  </w:abstractNum>
  <w:abstractNum w:abstractNumId="148">
    <w:nsid w:val="1DDBC66"/>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149">
    <w:nsid w:val="30AADFD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50">
    <w:nsid w:val="30EADA61"/>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151">
    <w:nsid w:val="27179C0B"/>
    <w:multiLevelType w:val="hybridMultilevel"/>
    <w:lvl w:ilvl="0">
      <w:lvlJc w:val="left"/>
      <w:lvlText w:val="(%1)"/>
      <w:numFmt w:val="lowerLetter"/>
      <w:start w:val="2"/>
    </w:lvl>
  </w:abstractNum>
  <w:abstractNum w:abstractNumId="152">
    <w:nsid w:val="5E636063"/>
    <w:multiLevelType w:val="hybridMultilevel"/>
    <w:lvl w:ilvl="0">
      <w:lvlJc w:val="left"/>
      <w:lvlText w:val="(%1)"/>
      <w:numFmt w:val="lowerLetter"/>
      <w:start w:val="1"/>
    </w:lvl>
    <w:lvl w:ilvl="1">
      <w:lvlJc w:val="left"/>
      <w:lvlText w:val="(%2)"/>
      <w:numFmt w:val="lowerLetter"/>
      <w:start w:val="9"/>
    </w:lvl>
  </w:abstractNum>
  <w:abstractNum w:abstractNumId="153">
    <w:nsid w:val="215641AF"/>
    <w:multiLevelType w:val="hybridMultilevel"/>
    <w:lvl w:ilvl="0">
      <w:lvlJc w:val="left"/>
      <w:lvlText w:val="(%1)"/>
      <w:numFmt w:val="lowerRoman"/>
      <w:start w:val="2"/>
    </w:lvl>
    <w:lvl w:ilvl="1">
      <w:lvlJc w:val="left"/>
      <w:lvlText w:val="(%2)"/>
      <w:numFmt w:val="upperLetter"/>
      <w:start w:val="1"/>
    </w:lvl>
  </w:abstractNum>
  <w:abstractNum w:abstractNumId="154">
    <w:nsid w:val="532806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55">
    <w:nsid w:val="46B24DB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56">
    <w:nsid w:val="75B52783"/>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57">
    <w:nsid w:val="57CE66B4"/>
    <w:multiLevelType w:val="hybridMultilevel"/>
    <w:lvl w:ilvl="0">
      <w:lvlJc w:val="left"/>
      <w:lvlText w:val="(%1)"/>
      <w:numFmt w:val="lowerLetter"/>
      <w:start w:val="2"/>
    </w:lvl>
  </w:abstractNum>
  <w:abstractNum w:abstractNumId="158">
    <w:nsid w:val="67A70B69"/>
    <w:multiLevelType w:val="hybridMultilevel"/>
    <w:lvl w:ilvl="0">
      <w:lvlJc w:val="left"/>
      <w:lvlText w:val="(%1)"/>
      <w:numFmt w:val="lowerLetter"/>
      <w:start w:val="3"/>
    </w:lvl>
  </w:abstractNum>
  <w:abstractNum w:abstractNumId="159">
    <w:nsid w:val="5953172F"/>
    <w:multiLevelType w:val="hybridMultilevel"/>
    <w:lvl w:ilvl="0">
      <w:lvlJc w:val="left"/>
      <w:lvlText w:val="%1"/>
      <w:numFmt w:val="lowerLetter"/>
      <w:start w:val="1"/>
    </w:lvl>
    <w:lvl w:ilvl="1">
      <w:lvlJc w:val="left"/>
      <w:lvlText w:val="(%2)"/>
      <w:numFmt w:val="lowerLetter"/>
      <w:start w:val="1"/>
    </w:lvl>
  </w:abstractNum>
  <w:abstractNum w:abstractNumId="160">
    <w:nsid w:val="27EDFE3A"/>
    <w:multiLevelType w:val="hybridMultilevel"/>
    <w:lvl w:ilvl="0">
      <w:lvlJc w:val="left"/>
      <w:lvlText w:val="(%1)"/>
      <w:numFmt w:val="lowerLetter"/>
      <w:start w:val="61"/>
    </w:lvl>
    <w:lvl w:ilvl="1">
      <w:lvlJc w:val="left"/>
      <w:lvlText w:val="(%2)"/>
      <w:numFmt w:val="lowerLetter"/>
      <w:start w:val="2"/>
    </w:lvl>
  </w:abstractNum>
  <w:abstractNum w:abstractNumId="161">
    <w:nsid w:val="52AC7DFF"/>
    <w:multiLevelType w:val="hybridMultilevel"/>
    <w:lvl w:ilvl="0">
      <w:lvlJc w:val="left"/>
      <w:lvlText w:val="(%1)"/>
      <w:numFmt w:val="lowerLetter"/>
      <w:start w:val="9"/>
    </w:lvl>
    <w:lvl w:ilvl="1">
      <w:lvlJc w:val="left"/>
      <w:lvlText w:val="(%2)"/>
      <w:numFmt w:val="lowerLetter"/>
      <w:start w:val="3"/>
    </w:lvl>
  </w:abstractNum>
  <w:abstractNum w:abstractNumId="162">
    <w:nsid w:val="C4C3AF"/>
    <w:multiLevelType w:val="hybridMultilevel"/>
    <w:lvl w:ilvl="0">
      <w:lvlJc w:val="left"/>
      <w:lvlText w:val="(%1)"/>
      <w:numFmt w:val="lowerLetter"/>
      <w:start w:val="4"/>
    </w:lvl>
  </w:abstractNum>
  <w:abstractNum w:abstractNumId="163">
    <w:nsid w:val="44380727"/>
    <w:multiLevelType w:val="hybridMultilevel"/>
    <w:lvl w:ilvl="0">
      <w:lvlJc w:val="left"/>
      <w:lvlText w:val="(%1)"/>
      <w:numFmt w:val="lowerLetter"/>
      <w:start w:val="1"/>
    </w:lvl>
    <w:lvl w:ilvl="1">
      <w:lvlJc w:val="left"/>
      <w:lvlText w:val="(%2)"/>
      <w:numFmt w:val="lowerRoman"/>
      <w:start w:val="1"/>
    </w:lvl>
  </w:abstractNum>
  <w:abstractNum w:abstractNumId="164">
    <w:nsid w:val="6C053B16"/>
    <w:multiLevelType w:val="hybridMultilevel"/>
    <w:lvl w:ilvl="0">
      <w:lvlJc w:val="left"/>
      <w:lvlText w:val="(%1)"/>
      <w:numFmt w:val="upperLetter"/>
      <w:start w:val="1"/>
    </w:lvl>
  </w:abstractNum>
  <w:abstractNum w:abstractNumId="165">
    <w:nsid w:val="4F294393"/>
    <w:multiLevelType w:val="hybridMultilevel"/>
    <w:lvl w:ilvl="0">
      <w:lvlJc w:val="left"/>
      <w:lvlText w:val="(%1)"/>
      <w:numFmt w:val="upperLetter"/>
      <w:start w:val="3"/>
    </w:lvl>
  </w:abstractNum>
  <w:abstractNum w:abstractNumId="166">
    <w:nsid w:val="5243BFA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67">
    <w:nsid w:val="425EB20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68">
    <w:nsid w:val="334A6F1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69">
    <w:nsid w:val="2E5B12B8"/>
    <w:multiLevelType w:val="hybridMultilevel"/>
    <w:lvl w:ilvl="0">
      <w:lvlJc w:val="left"/>
      <w:lvlText w:val="(%1)"/>
      <w:numFmt w:val="upperLetter"/>
      <w:start w:val="35"/>
    </w:lvl>
  </w:abstractNum>
  <w:abstractNum w:abstractNumId="170">
    <w:nsid w:val="5C03D76D"/>
    <w:multiLevelType w:val="hybridMultilevel"/>
    <w:lvl w:ilvl="0">
      <w:lvlJc w:val="left"/>
      <w:lvlText w:val="%1"/>
      <w:numFmt w:val="lowerLetter"/>
      <w:start w:val="1"/>
    </w:lvl>
    <w:lvl w:ilvl="1">
      <w:lvlJc w:val="left"/>
      <w:lvlText w:val="(%2)"/>
      <w:numFmt w:val="upperLetter"/>
      <w:start w:val="61"/>
    </w:lvl>
  </w:abstractNum>
  <w:abstractNum w:abstractNumId="171">
    <w:nsid w:val="66A48D11"/>
    <w:multiLevelType w:val="hybridMultilevel"/>
    <w:lvl w:ilvl="0">
      <w:lvlJc w:val="left"/>
      <w:lvlText w:val="(%1)"/>
      <w:numFmt w:val="lowerLetter"/>
      <w:start w:val="25"/>
    </w:lvl>
    <w:lvl w:ilvl="1">
      <w:lvlJc w:val="left"/>
      <w:lvlText w:val="%2"/>
      <w:numFmt w:val="upperLetter"/>
      <w:start w:val="1"/>
    </w:lvl>
  </w:abstractNum>
  <w:abstractNum w:abstractNumId="172">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73">
    <w:nsid w:val="13916F2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74">
    <w:nsid w:val="435D38D"/>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75">
    <w:nsid w:val="822C0EF"/>
    <w:multiLevelType w:val="hybridMultilevel"/>
    <w:lvl w:ilvl="0">
      <w:lvlJc w:val="left"/>
      <w:lvlText w:val="(%1)"/>
      <w:numFmt w:val="lowerLetter"/>
      <w:start w:val="7"/>
    </w:lvl>
  </w:abstractNum>
  <w:abstractNum w:abstractNumId="176">
    <w:nsid w:val="57C5BB4F"/>
    <w:multiLevelType w:val="hybridMultilevel"/>
    <w:lvl w:ilvl="0">
      <w:lvlJc w:val="left"/>
      <w:lvlText w:val="(%1)"/>
      <w:numFmt w:val="lowerLetter"/>
      <w:start w:val="2"/>
    </w:lvl>
  </w:abstractNum>
  <w:abstractNum w:abstractNumId="177">
    <w:nsid w:val="1803D089"/>
    <w:multiLevelType w:val="hybridMultilevel"/>
    <w:lvl w:ilvl="0">
      <w:lvlJc w:val="left"/>
      <w:lvlText w:val="%1"/>
      <w:numFmt w:val="lowerLetter"/>
      <w:start w:val="1"/>
    </w:lvl>
    <w:lvl w:ilvl="1">
      <w:lvlJc w:val="left"/>
      <w:lvlText w:val="(%2)"/>
      <w:numFmt w:val="lowerLetter"/>
      <w:start w:val="1"/>
    </w:lvl>
  </w:abstractNum>
  <w:abstractNum w:abstractNumId="178">
    <w:nsid w:val="4F3A06D4"/>
    <w:multiLevelType w:val="hybridMultilevel"/>
    <w:lvl w:ilvl="0">
      <w:lvlJc w:val="left"/>
      <w:lvlText w:val="(%1)"/>
      <w:numFmt w:val="lowerLetter"/>
      <w:start w:val="35"/>
    </w:lvl>
    <w:lvl w:ilvl="1">
      <w:lvlJc w:val="left"/>
      <w:lvlText w:val="%2"/>
      <w:numFmt w:val="lowerLetter"/>
      <w:start w:val="1"/>
    </w:lvl>
  </w:abstractNum>
  <w:abstractNum w:abstractNumId="179">
    <w:nsid w:val="59A377B6"/>
    <w:multiLevelType w:val="hybridMultilevel"/>
    <w:lvl w:ilvl="0">
      <w:lvlJc w:val="left"/>
      <w:lvlText w:val="(%1)"/>
      <w:numFmt w:val="lowerLetter"/>
      <w:start w:val="2"/>
    </w:lvl>
    <w:lvl w:ilvl="1">
      <w:lvlJc w:val="left"/>
      <w:lvlText w:val="(%2)"/>
      <w:numFmt w:val="lowerRoman"/>
      <w:start w:val="1"/>
    </w:lvl>
  </w:abstractNum>
  <w:abstractNum w:abstractNumId="180">
    <w:nsid w:val="48AEB063"/>
    <w:multiLevelType w:val="hybridMultilevel"/>
    <w:lvl w:ilvl="0">
      <w:lvlJc w:val="left"/>
      <w:lvlText w:val="(%1)"/>
      <w:numFmt w:val="lowerLetter"/>
      <w:start w:val="1"/>
    </w:lvl>
    <w:lvl w:ilvl="1">
      <w:lvlJc w:val="left"/>
      <w:lvlText w:val="(%2)"/>
      <w:numFmt w:val="lowerRoman"/>
      <w:start w:val="1"/>
    </w:lvl>
  </w:abstractNum>
  <w:abstractNum w:abstractNumId="181">
    <w:nsid w:val="24E135"/>
    <w:multiLevelType w:val="hybridMultilevel"/>
    <w:lvl w:ilvl="0">
      <w:lvlJc w:val="left"/>
      <w:lvlText w:val="(%1)"/>
      <w:numFmt w:val="lowerLetter"/>
      <w:start w:val="2"/>
    </w:lvl>
  </w:abstractNum>
  <w:abstractNum w:abstractNumId="182">
    <w:nsid w:val="BB13C1"/>
    <w:multiLevelType w:val="hybridMultilevel"/>
    <w:lvl w:ilvl="0">
      <w:lvlJc w:val="left"/>
      <w:lvlText w:val="(%1)"/>
      <w:numFmt w:val="lowerLetter"/>
      <w:start w:val="3"/>
    </w:lvl>
  </w:abstractNum>
  <w:abstractNum w:abstractNumId="183">
    <w:nsid w:val="271210C7"/>
    <w:multiLevelType w:val="hybridMultilevel"/>
    <w:lvl w:ilvl="0">
      <w:lvlJc w:val="left"/>
      <w:lvlText w:val="(%1)"/>
      <w:numFmt w:val="lowerLetter"/>
      <w:start w:val="1"/>
    </w:lvl>
  </w:abstractNum>
  <w:abstractNum w:abstractNumId="184">
    <w:nsid w:val="217B22E4"/>
    <w:multiLevelType w:val="hybridMultilevel"/>
    <w:lvl w:ilvl="0">
      <w:lvlJc w:val="left"/>
      <w:lvlText w:val="%1"/>
      <w:numFmt w:val="lowerLetter"/>
      <w:start w:val="1"/>
    </w:lvl>
    <w:lvl w:ilvl="1">
      <w:lvlJc w:val="left"/>
      <w:lvlText w:val="(%2)"/>
      <w:numFmt w:val="lowerLetter"/>
      <w:start w:val="1"/>
    </w:lvl>
  </w:abstractNum>
  <w:abstractNum w:abstractNumId="185">
    <w:nsid w:val="53E31A24"/>
    <w:multiLevelType w:val="hybridMultilevel"/>
    <w:lvl w:ilvl="0">
      <w:lvlJc w:val="left"/>
      <w:lvlText w:val="(%1)"/>
      <w:numFmt w:val="lowerLetter"/>
      <w:start w:val="35"/>
    </w:lvl>
    <w:lvl w:ilvl="1">
      <w:lvlJc w:val="left"/>
      <w:lvlText w:val="(%2)"/>
      <w:numFmt w:val="lowerLetter"/>
      <w:start w:val="2"/>
    </w:lvl>
  </w:abstractNum>
  <w:abstractNum w:abstractNumId="186">
    <w:nsid w:val="6DC45E83"/>
    <w:multiLevelType w:val="hybridMultilevel"/>
    <w:lvl w:ilvl="0">
      <w:lvlJc w:val="left"/>
      <w:lvlText w:val="(%1)"/>
      <w:numFmt w:val="lowerLetter"/>
      <w:start w:val="1"/>
    </w:lvl>
  </w:abstractNum>
  <w:abstractNum w:abstractNumId="187">
    <w:nsid w:val="17304A67"/>
    <w:multiLevelType w:val="hybridMultilevel"/>
    <w:lvl w:ilvl="0">
      <w:lvlJc w:val="left"/>
      <w:lvlText w:val="(%1)"/>
      <w:numFmt w:val="lowerRoman"/>
      <w:start w:val="1"/>
    </w:lvl>
  </w:abstractNum>
  <w:abstractNum w:abstractNumId="188">
    <w:nsid w:val="2BB180D8"/>
    <w:multiLevelType w:val="hybridMultilevel"/>
    <w:lvl w:ilvl="0">
      <w:lvlJc w:val="left"/>
      <w:lvlText w:val="(%1)"/>
      <w:numFmt w:val="lowerLetter"/>
      <w:start w:val="2"/>
    </w:lvl>
  </w:abstractNum>
  <w:abstractNum w:abstractNumId="189">
    <w:nsid w:val="556B69ED"/>
    <w:multiLevelType w:val="hybridMultilevel"/>
    <w:lvl w:ilvl="0">
      <w:lvlJc w:val="left"/>
      <w:lvlText w:val="(%1)"/>
      <w:numFmt w:val="lowerLetter"/>
      <w:start w:val="8"/>
    </w:lvl>
  </w:abstractNum>
  <w:abstractNum w:abstractNumId="190">
    <w:nsid w:val="70836196"/>
    <w:multiLevelType w:val="hybridMultilevel"/>
    <w:lvl w:ilvl="0">
      <w:lvlJc w:val="left"/>
      <w:lvlText w:val="(%1)"/>
      <w:numFmt w:val="lowerLetter"/>
      <w:start w:val="1"/>
    </w:lvl>
  </w:abstractNum>
  <w:abstractNum w:abstractNumId="191">
    <w:nsid w:val="539F7F12"/>
    <w:multiLevelType w:val="hybridMultilevel"/>
    <w:lvl w:ilvl="0">
      <w:lvlJc w:val="left"/>
      <w:lvlText w:val="(%1)"/>
      <w:numFmt w:val="lowerLetter"/>
      <w:start w:val="3"/>
    </w:lvl>
  </w:abstractNum>
  <w:abstractNum w:abstractNumId="192">
    <w:nsid w:val="2817E7EC"/>
    <w:multiLevelType w:val="hybridMultilevel"/>
    <w:lvl w:ilvl="0">
      <w:lvlJc w:val="left"/>
      <w:lvlText w:val="%1"/>
      <w:numFmt w:val="lowerLetter"/>
      <w:start w:val="1"/>
    </w:lvl>
    <w:lvl w:ilvl="1">
      <w:lvlJc w:val="left"/>
      <w:lvlText w:val="(%2)"/>
      <w:numFmt w:val="lowerLetter"/>
      <w:start w:val="1"/>
    </w:lvl>
  </w:abstractNum>
  <w:abstractNum w:abstractNumId="193">
    <w:nsid w:val="71482545"/>
    <w:multiLevelType w:val="hybridMultilevel"/>
    <w:lvl w:ilvl="0">
      <w:lvlJc w:val="left"/>
      <w:lvlText w:val="(%1)"/>
      <w:numFmt w:val="lowerLetter"/>
      <w:start w:val="35"/>
    </w:lvl>
    <w:lvl w:ilvl="1">
      <w:lvlJc w:val="left"/>
      <w:lvlText w:val="(%2)"/>
      <w:numFmt w:val="lowerLetter"/>
      <w:start w:val="2"/>
    </w:lvl>
  </w:abstractNum>
  <w:abstractNum w:abstractNumId="194">
    <w:nsid w:val="17D78639"/>
    <w:multiLevelType w:val="hybridMultilevel"/>
    <w:lvl w:ilvl="0">
      <w:lvlJc w:val="left"/>
      <w:lvlText w:val="(%1)"/>
      <w:numFmt w:val="lowerLetter"/>
      <w:start w:val="3"/>
    </w:lvl>
  </w:abstractNum>
  <w:abstractNum w:abstractNumId="195">
    <w:nsid w:val="141D2302"/>
    <w:multiLevelType w:val="hybridMultilevel"/>
    <w:lvl w:ilvl="0">
      <w:lvlJc w:val="left"/>
      <w:lvlText w:val="(%1)"/>
      <w:numFmt w:val="lowerLetter"/>
      <w:start w:val="1"/>
    </w:lvl>
  </w:abstractNum>
  <w:abstractNum w:abstractNumId="196">
    <w:nsid w:val="407168D8"/>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97">
    <w:nsid w:val="6A1B45E5"/>
    <w:multiLevelType w:val="hybridMultilevel"/>
    <w:lvl w:ilvl="0">
      <w:lvlJc w:val="left"/>
      <w:lvlText w:val="(%1)"/>
      <w:numFmt w:val="lowerLetter"/>
      <w:start w:val="1"/>
    </w:lvl>
  </w:abstractNum>
  <w:abstractNum w:abstractNumId="198">
    <w:nsid w:val="567BD50A"/>
    <w:multiLevelType w:val="hybridMultilevel"/>
    <w:lvl w:ilvl="0">
      <w:lvlJc w:val="left"/>
      <w:lvlText w:val="(%1)"/>
      <w:numFmt w:val="lowerLetter"/>
      <w:start w:val="1"/>
    </w:lvl>
  </w:abstractNum>
  <w:abstractNum w:abstractNumId="199">
    <w:nsid w:val="73BBD7F8"/>
    <w:multiLevelType w:val="hybridMultilevel"/>
    <w:lvl w:ilvl="0">
      <w:lvlJc w:val="left"/>
      <w:lvlText w:val="(%1)"/>
      <w:numFmt w:val="lowerLetter"/>
      <w:start w:val="1"/>
    </w:lvl>
  </w:abstractNum>
  <w:abstractNum w:abstractNumId="200">
    <w:nsid w:val="1876589D"/>
    <w:multiLevelType w:val="hybridMultilevel"/>
    <w:lvl w:ilvl="0">
      <w:lvlJc w:val="left"/>
      <w:lvlText w:val="(%1)"/>
      <w:numFmt w:val="lowerLetter"/>
      <w:start w:val="3"/>
    </w:lvl>
  </w:abstractNum>
  <w:abstractNum w:abstractNumId="201">
    <w:nsid w:val="327FAC77"/>
    <w:multiLevelType w:val="hybridMultilevel"/>
    <w:lvl w:ilvl="0">
      <w:lvlJc w:val="left"/>
      <w:lvlText w:val="(%1)"/>
      <w:numFmt w:val="lowerLetter"/>
      <w:start w:val="1"/>
    </w:lvl>
  </w:abstractNum>
  <w:abstractNum w:abstractNumId="202">
    <w:nsid w:val="5A606509"/>
    <w:multiLevelType w:val="hybridMultilevel"/>
    <w:lvl w:ilvl="0">
      <w:lvlJc w:val="left"/>
      <w:lvlText w:val="(%1)"/>
      <w:numFmt w:val="lowerLetter"/>
      <w:start w:val="3"/>
    </w:lvl>
  </w:abstractNum>
  <w:abstractNum w:abstractNumId="203">
    <w:nsid w:val="6F38E6D1"/>
    <w:multiLevelType w:val="hybridMultilevel"/>
    <w:lvl w:ilvl="0">
      <w:lvlJc w:val="left"/>
      <w:lvlText w:val="(%1)"/>
      <w:numFmt w:val="lowerLetter"/>
      <w:start w:val="1"/>
    </w:lvl>
  </w:abstractNum>
  <w:abstractNum w:abstractNumId="204">
    <w:nsid w:val="46111BA5"/>
    <w:multiLevelType w:val="hybridMultilevel"/>
    <w:lvl w:ilvl="0">
      <w:lvlJc w:val="left"/>
      <w:lvlText w:val="(%1)"/>
      <w:numFmt w:val="lowerLetter"/>
      <w:start w:val="5"/>
    </w:lvl>
  </w:abstractNum>
  <w:abstractNum w:abstractNumId="205">
    <w:nsid w:val="5E963896"/>
    <w:multiLevelType w:val="hybridMultilevel"/>
    <w:lvl w:ilvl="0">
      <w:lvlJc w:val="left"/>
      <w:lvlText w:val="(%1)"/>
      <w:numFmt w:val="lowerLetter"/>
      <w:start w:val="23"/>
    </w:lvl>
  </w:abstractNum>
  <w:abstractNum w:abstractNumId="206">
    <w:nsid w:val="775BA7C1"/>
    <w:multiLevelType w:val="hybridMultilevel"/>
    <w:lvl w:ilvl="0">
      <w:lvlJc w:val="left"/>
      <w:lvlText w:val="(%1)"/>
      <w:numFmt w:val="lowerLetter"/>
      <w:start w:val="1"/>
    </w:lvl>
  </w:abstractNum>
  <w:abstractNum w:abstractNumId="207">
    <w:nsid w:val="1DD6D6F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8">
    <w:nsid w:val="769A091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09">
    <w:nsid w:val="4695AE95"/>
    <w:multiLevelType w:val="hybridMultilevel"/>
    <w:lvl w:ilvl="0">
      <w:lvlJc w:val="left"/>
      <w:lvlText w:val="(%1)"/>
      <w:numFmt w:val="lowerRoman"/>
      <w:start w:val="1"/>
    </w:lvl>
  </w:abstractNum>
  <w:abstractNum w:abstractNumId="210">
    <w:nsid w:val="777A4EAA"/>
    <w:multiLevelType w:val="hybridMultilevel"/>
    <w:lvl w:ilvl="0">
      <w:lvlJc w:val="left"/>
      <w:lvlText w:val="(%1)"/>
      <w:numFmt w:val="lowerLetter"/>
      <w:start w:val="3"/>
    </w:lvl>
  </w:abstractNum>
  <w:abstractNum w:abstractNumId="211">
    <w:nsid w:val="3F48B982"/>
    <w:multiLevelType w:val="hybridMultilevel"/>
    <w:lvl w:ilvl="0">
      <w:lvlJc w:val="left"/>
      <w:lvlText w:val="%1"/>
      <w:numFmt w:val="lowerLetter"/>
      <w:start w:val="1"/>
    </w:lvl>
    <w:lvl w:ilvl="1">
      <w:lvlJc w:val="left"/>
      <w:lvlText w:val="(%2)"/>
      <w:numFmt w:val="lowerLetter"/>
      <w:start w:val="1"/>
    </w:lvl>
  </w:abstractNum>
  <w:abstractNum w:abstractNumId="212">
    <w:nsid w:val="46BA8FCA"/>
    <w:multiLevelType w:val="hybridMultilevel"/>
    <w:lvl w:ilvl="0">
      <w:lvlJc w:val="left"/>
      <w:lvlText w:val="(%1)"/>
      <w:numFmt w:val="lowerLetter"/>
      <w:start w:val="9"/>
    </w:lvl>
    <w:lvl w:ilvl="1">
      <w:lvlJc w:val="left"/>
      <w:lvlText w:val="(%2)"/>
      <w:numFmt w:val="lowerLetter"/>
      <w:start w:val="3"/>
    </w:lvl>
  </w:abstractNum>
  <w:abstractNum w:abstractNumId="213">
    <w:nsid w:val="7835626C"/>
    <w:multiLevelType w:val="hybridMultilevel"/>
    <w:lvl w:ilvl="0">
      <w:lvlJc w:val="left"/>
      <w:lvlText w:val="(%1)"/>
      <w:numFmt w:val="lowerLetter"/>
      <w:start w:val="5"/>
    </w:lvl>
  </w:abstractNum>
  <w:abstractNum w:abstractNumId="214">
    <w:nsid w:val="665ACA49"/>
    <w:multiLevelType w:val="hybridMultilevel"/>
    <w:lvl w:ilvl="0">
      <w:lvlJc w:val="left"/>
      <w:lvlText w:val="(%1)"/>
      <w:numFmt w:val="lowerLetter"/>
      <w:start w:val="1"/>
    </w:lvl>
  </w:abstractNum>
  <w:abstractNum w:abstractNumId="215">
    <w:nsid w:val="6835B2A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16">
    <w:nsid w:val="4C187C90"/>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17">
    <w:nsid w:val="541F28CD"/>
    <w:multiLevelType w:val="hybridMultilevel"/>
    <w:lvl w:ilvl="0">
      <w:lvlJc w:val="left"/>
      <w:lvlText w:val="(%1)"/>
      <w:numFmt w:val="lowerLetter"/>
      <w:start w:val="11"/>
    </w:lvl>
  </w:abstractNum>
  <w:abstractNum w:abstractNumId="218">
    <w:nsid w:val="7F65FD16"/>
    <w:multiLevelType w:val="hybridMultilevel"/>
    <w:lvl w:ilvl="0">
      <w:lvlJc w:val="left"/>
      <w:lvlText w:val="(%1)"/>
      <w:numFmt w:val="lowerLetter"/>
      <w:start w:val="1"/>
    </w:lvl>
  </w:abstractNum>
  <w:abstractNum w:abstractNumId="219">
    <w:nsid w:val="77C9FD68"/>
    <w:multiLevelType w:val="hybridMultilevel"/>
    <w:lvl w:ilvl="0">
      <w:lvlJc w:val="left"/>
      <w:lvlText w:val="%1"/>
      <w:numFmt w:val="lowerLetter"/>
      <w:start w:val="1"/>
    </w:lvl>
    <w:lvl w:ilvl="1">
      <w:lvlJc w:val="left"/>
      <w:lvlText w:val="(%2)"/>
      <w:numFmt w:val="lowerLetter"/>
      <w:start w:val="7"/>
    </w:lvl>
  </w:abstractNum>
  <w:abstractNum w:abstractNumId="220">
    <w:nsid w:val="298A92BA"/>
    <w:multiLevelType w:val="hybridMultilevel"/>
    <w:lvl w:ilvl="0">
      <w:lvlJc w:val="left"/>
      <w:lvlText w:val="(%1)"/>
      <w:numFmt w:val="lowerLetter"/>
      <w:start w:val="35"/>
    </w:lvl>
    <w:lvl w:ilvl="1">
      <w:lvlJc w:val="left"/>
      <w:lvlText w:val="(%2)"/>
      <w:numFmt w:val="lowerLetter"/>
      <w:start w:val="13"/>
    </w:lvl>
  </w:abstractNum>
  <w:abstractNum w:abstractNumId="221">
    <w:nsid w:val="6FE95EAC"/>
    <w:multiLevelType w:val="hybridMultilevel"/>
    <w:lvl w:ilvl="0">
      <w:lvlJc w:val="left"/>
      <w:lvlText w:val="(%1)"/>
      <w:numFmt w:val="lowerLetter"/>
      <w:start w:val="1"/>
    </w:lvl>
  </w:abstractNum>
  <w:abstractNum w:abstractNumId="222">
    <w:nsid w:val="4B697C7A"/>
    <w:multiLevelType w:val="hybridMultilevel"/>
    <w:lvl w:ilvl="0">
      <w:lvlJc w:val="left"/>
      <w:lvlText w:val="(%1)"/>
      <w:numFmt w:val="lowerLetter"/>
      <w:start w:val="3"/>
    </w:lvl>
  </w:abstractNum>
  <w:abstractNum w:abstractNumId="223">
    <w:nsid w:val="51A27AA6"/>
    <w:multiLevelType w:val="hybridMultilevel"/>
    <w:lvl w:ilvl="0">
      <w:lvlJc w:val="left"/>
      <w:lvlText w:val="%1"/>
      <w:numFmt w:val="lowerLetter"/>
      <w:start w:val="1"/>
    </w:lvl>
    <w:lvl w:ilvl="1">
      <w:lvlJc w:val="left"/>
      <w:lvlText w:val="(%2)"/>
      <w:numFmt w:val="lowerLetter"/>
      <w:start w:val="1"/>
    </w:lvl>
  </w:abstractNum>
  <w:abstractNum w:abstractNumId="224">
    <w:nsid w:val="613183F2"/>
    <w:multiLevelType w:val="hybridMultilevel"/>
    <w:lvl w:ilvl="0">
      <w:lvlJc w:val="left"/>
      <w:lvlText w:val="(%1)"/>
      <w:numFmt w:val="lowerLetter"/>
      <w:start w:val="35"/>
    </w:lvl>
    <w:lvl w:ilvl="1">
      <w:lvlJc w:val="left"/>
      <w:lvlText w:val="(%2)"/>
      <w:numFmt w:val="lowerLetter"/>
      <w:start w:val="5"/>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Letter"/>
      <w:start w:val="1"/>
    </w:lvl>
  </w:abstractNum>
  <w:abstractNum w:abstractNumId="227">
    <w:nsid w:val="21A2ECCA"/>
    <w:multiLevelType w:val="hybridMultilevel"/>
    <w:lvl w:ilvl="0">
      <w:lvlJc w:val="left"/>
      <w:lvlText w:val="(%1)"/>
      <w:numFmt w:val="lowerLetter"/>
      <w:start w:val="1"/>
    </w:lvl>
  </w:abstractNum>
  <w:abstractNum w:abstractNumId="228">
    <w:nsid w:val="4D5C4899"/>
    <w:multiLevelType w:val="hybridMultilevel"/>
    <w:lvl w:ilvl="0">
      <w:lvlJc w:val="left"/>
      <w:lvlText w:val="(%1)"/>
      <w:numFmt w:val="lowerLetter"/>
      <w:start w:val="1"/>
    </w:lvl>
  </w:abstractNum>
  <w:abstractNum w:abstractNumId="229">
    <w:nsid w:val="3C3B72B2"/>
    <w:multiLevelType w:val="hybridMultilevel"/>
    <w:lvl w:ilvl="0">
      <w:lvlJc w:val="left"/>
      <w:lvlText w:val="(%1)"/>
      <w:numFmt w:val="lowerLetter"/>
      <w:start w:val="1"/>
    </w:lvl>
  </w:abstractNum>
  <w:abstractNum w:abstractNumId="230">
    <w:nsid w:val="155EC4C2"/>
    <w:multiLevelType w:val="hybridMultilevel"/>
    <w:lvl w:ilvl="0">
      <w:lvlJc w:val="left"/>
      <w:lvlText w:val="%1"/>
      <w:numFmt w:val="lowerLetter"/>
      <w:start w:val="1"/>
    </w:lvl>
    <w:lvl w:ilvl="1">
      <w:lvlJc w:val="left"/>
      <w:lvlText w:val="(%2)"/>
      <w:numFmt w:val="lowerLetter"/>
      <w:start w:val="3"/>
    </w:lvl>
  </w:abstractNum>
  <w:abstractNum w:abstractNumId="231">
    <w:nsid w:val="65D2A137"/>
    <w:multiLevelType w:val="hybridMultilevel"/>
    <w:lvl w:ilvl="0">
      <w:lvlJc w:val="left"/>
      <w:lvlText w:val="(%1)"/>
      <w:numFmt w:val="lowerLetter"/>
      <w:start w:val="35"/>
    </w:lvl>
    <w:lvl w:ilvl="1">
      <w:lvlJc w:val="left"/>
      <w:lvlText w:val="(%2)"/>
      <w:numFmt w:val="lowerLetter"/>
      <w:start w:val="8"/>
    </w:lvl>
  </w:abstractNum>
  <w:abstractNum w:abstractNumId="232">
    <w:nsid w:val="6EBB1F2A"/>
    <w:multiLevelType w:val="hybridMultilevel"/>
    <w:lvl w:ilvl="0">
      <w:lvlJc w:val="left"/>
      <w:lvlText w:val="(%1)"/>
      <w:numFmt w:val="lowerLetter"/>
      <w:start w:val="9"/>
    </w:lvl>
  </w:abstractNum>
  <w:abstractNum w:abstractNumId="233">
    <w:nsid w:val="6FBF29CB"/>
    <w:multiLevelType w:val="hybridMultilevel"/>
    <w:lvl w:ilvl="0">
      <w:lvlJc w:val="left"/>
      <w:lvlText w:val="(%1)"/>
      <w:numFmt w:val="lowerLetter"/>
      <w:start w:val="1"/>
    </w:lvl>
  </w:abstractNum>
  <w:abstractNum w:abstractNumId="234">
    <w:nsid w:val="550B8808"/>
    <w:multiLevelType w:val="hybridMultilevel"/>
    <w:lvl w:ilvl="0">
      <w:lvlJc w:val="left"/>
      <w:lvlText w:val="(%1)"/>
      <w:numFmt w:val="lowerLetter"/>
      <w:start w:val="1"/>
    </w:lvl>
  </w:abstractNum>
  <w:abstractNum w:abstractNumId="235">
    <w:nsid w:val="34CC3ACF"/>
    <w:multiLevelType w:val="hybridMultilevel"/>
    <w:lvl w:ilvl="0">
      <w:lvlJc w:val="left"/>
      <w:lvlText w:val="(%1)"/>
      <w:numFmt w:val="lowerLetter"/>
      <w:start w:val="1"/>
    </w:lvl>
  </w:abstractNum>
  <w:abstractNum w:abstractNumId="236">
    <w:nsid w:val="4E556261"/>
    <w:multiLevelType w:val="hybridMultilevel"/>
    <w:lvl w:ilvl="0">
      <w:lvlJc w:val="left"/>
      <w:lvlText w:val="(%1)"/>
      <w:numFmt w:val="upperLetter"/>
      <w:start w:val="1"/>
    </w:lvl>
  </w:abstractNum>
  <w:abstractNum w:abstractNumId="237">
    <w:nsid w:val="4C672FC9"/>
    <w:multiLevelType w:val="hybridMultilevel"/>
    <w:lvl w:ilvl="0">
      <w:lvlJc w:val="left"/>
      <w:lvlText w:val="(%1)"/>
      <w:numFmt w:val="lowerLetter"/>
      <w:start w:val="2"/>
    </w:lvl>
  </w:abstractNum>
  <w:abstractNum w:abstractNumId="238">
    <w:nsid w:val="52A311C3"/>
    <w:multiLevelType w:val="hybridMultilevel"/>
    <w:lvl w:ilvl="0">
      <w:lvlJc w:val="left"/>
      <w:lvlText w:val="(%1)"/>
      <w:numFmt w:val="lowerLetter"/>
      <w:start w:val="1"/>
    </w:lvl>
  </w:abstractNum>
  <w:abstractNum w:abstractNumId="239">
    <w:nsid w:val="44EF6B80"/>
    <w:multiLevelType w:val="hybridMultilevel"/>
    <w:lvl w:ilvl="0">
      <w:lvlJc w:val="left"/>
      <w:lvlText w:val="(%1)"/>
      <w:numFmt w:val="lowerRoman"/>
      <w:start w:val="1"/>
    </w:lvl>
  </w:abstractNum>
  <w:abstractNum w:abstractNumId="240">
    <w:nsid w:val="12FCDE5E"/>
    <w:multiLevelType w:val="hybridMultilevel"/>
    <w:lvl w:ilvl="0">
      <w:lvlJc w:val="left"/>
      <w:lvlText w:val="(%1)"/>
      <w:numFmt w:val="lowerLetter"/>
      <w:start w:val="1"/>
    </w:lvl>
  </w:abstractNum>
  <w:abstractNum w:abstractNumId="241">
    <w:nsid w:val="4A1D606E"/>
    <w:multiLevelType w:val="hybridMultilevel"/>
    <w:lvl w:ilvl="0">
      <w:lvlJc w:val="left"/>
      <w:lvlText w:val="(%1)"/>
      <w:numFmt w:val="lowerLetter"/>
      <w:start w:val="2"/>
    </w:lvl>
  </w:abstractNum>
  <w:abstractNum w:abstractNumId="242">
    <w:nsid w:val="4382503"/>
    <w:multiLevelType w:val="hybridMultilevel"/>
    <w:lvl w:ilvl="0">
      <w:lvlJc w:val="left"/>
      <w:lvlText w:val="(%1)"/>
      <w:numFmt w:val="lowerLetter"/>
      <w:start w:val="1"/>
    </w:lvl>
  </w:abstractNum>
  <w:abstractNum w:abstractNumId="243">
    <w:nsid w:val="59B76E2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4252C2D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5">
    <w:nsid w:val="6A92EF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6">
    <w:nsid w:val="41ED20D7"/>
    <w:multiLevelType w:val="hybridMultilevel"/>
    <w:lvl w:ilvl="0">
      <w:lvlJc w:val="left"/>
      <w:lvlText w:val="(%1)"/>
      <w:numFmt w:val="lowerLetter"/>
      <w:start w:val="2"/>
    </w:lvl>
  </w:abstractNum>
  <w:abstractNum w:abstractNumId="247">
    <w:nsid w:val="E6B3F6A"/>
    <w:multiLevelType w:val="hybridMultilevel"/>
    <w:lvl w:ilvl="0">
      <w:lvlJc w:val="left"/>
      <w:lvlText w:val="(%1)"/>
      <w:numFmt w:val="lowerLetter"/>
      <w:start w:val="3"/>
    </w:lvl>
  </w:abstractNum>
  <w:abstractNum w:abstractNumId="248">
    <w:nsid w:val="3EB21819"/>
    <w:multiLevelType w:val="hybridMultilevel"/>
    <w:lvl w:ilvl="0">
      <w:lvlJc w:val="left"/>
      <w:lvlText w:val="%1"/>
      <w:numFmt w:val="lowerLetter"/>
      <w:start w:val="1"/>
    </w:lvl>
    <w:lvl w:ilvl="1">
      <w:lvlJc w:val="left"/>
      <w:lvlText w:val="(%2)"/>
      <w:numFmt w:val="lowerLetter"/>
      <w:start w:val="8"/>
    </w:lvl>
  </w:abstractNum>
  <w:abstractNum w:abstractNumId="249">
    <w:nsid w:val="41531DED"/>
    <w:multiLevelType w:val="hybridMultilevel"/>
    <w:lvl w:ilvl="0">
      <w:lvlJc w:val="left"/>
      <w:lvlText w:val="(%1)"/>
      <w:numFmt w:val="lowerLetter"/>
      <w:start w:val="35"/>
    </w:lvl>
    <w:lvl w:ilvl="1">
      <w:lvlJc w:val="left"/>
      <w:lvlText w:val="(%2)"/>
      <w:numFmt w:val="lowerLetter"/>
      <w:start w:val="9"/>
    </w:lvl>
  </w:abstractNum>
  <w:abstractNum w:abstractNumId="250">
    <w:nsid w:val="6353CD2"/>
    <w:multiLevelType w:val="hybridMultilevel"/>
    <w:lvl w:ilvl="0">
      <w:lvlJc w:val="left"/>
      <w:lvlText w:val="(%1)"/>
      <w:numFmt w:val="lowerLetter"/>
      <w:start w:val="14"/>
    </w:lvl>
  </w:abstractNum>
  <w:abstractNum w:abstractNumId="251">
    <w:nsid w:val="683CAAD3"/>
    <w:multiLevelType w:val="hybridMultilevel"/>
    <w:lvl w:ilvl="0">
      <w:lvlJc w:val="left"/>
      <w:lvlText w:val="(%1)"/>
      <w:numFmt w:val="lowerLetter"/>
      <w:start w:val="1"/>
    </w:lvl>
    <w:lvl w:ilvl="1">
      <w:lvlJc w:val="left"/>
      <w:lvlText w:val="(%2)"/>
      <w:numFmt w:val="lowerRoman"/>
      <w:start w:val="1"/>
    </w:lvl>
  </w:abstractNum>
  <w:abstractNum w:abstractNumId="252">
    <w:nsid w:val="313C7C99"/>
    <w:multiLevelType w:val="hybridMultilevel"/>
    <w:lvl w:ilvl="0">
      <w:lvlJc w:val="left"/>
      <w:lvlText w:val="(%1)"/>
      <w:numFmt w:val="lowerLetter"/>
      <w:start w:val="2"/>
    </w:lvl>
  </w:abstractNum>
  <w:abstractNum w:abstractNumId="253">
    <w:nsid w:val="519EB94C"/>
    <w:multiLevelType w:val="hybridMultilevel"/>
    <w:lvl w:ilvl="0">
      <w:lvlJc w:val="left"/>
      <w:lvlText w:val="(%1)"/>
      <w:numFmt w:val="lowerLetter"/>
      <w:start w:val="3"/>
    </w:lvl>
  </w:abstractNum>
  <w:abstractNum w:abstractNumId="254">
    <w:nsid w:val="39DF2579"/>
    <w:multiLevelType w:val="hybridMultilevel"/>
    <w:lvl w:ilvl="0">
      <w:lvlJc w:val="left"/>
      <w:lvlText w:val="(%1)"/>
      <w:numFmt w:val="lowerLetter"/>
      <w:start w:val="5"/>
    </w:lvl>
  </w:abstractNum>
  <w:abstractNum w:abstractNumId="255">
    <w:nsid w:val="126E008B"/>
    <w:multiLevelType w:val="hybridMultilevel"/>
    <w:lvl w:ilvl="0">
      <w:lvlJc w:val="left"/>
      <w:lvlText w:val="(%1)"/>
      <w:numFmt w:val="lowerRoman"/>
      <w:start w:val="2"/>
    </w:lvl>
  </w:abstractNum>
  <w:abstractNum w:abstractNumId="256">
    <w:nsid w:val="34DFBC00"/>
    <w:multiLevelType w:val="hybridMultilevel"/>
    <w:lvl w:ilvl="0">
      <w:lvlJc w:val="left"/>
      <w:lvlText w:val="(%1)"/>
      <w:numFmt w:val="lowerLetter"/>
      <w:start w:val="1"/>
    </w:lvl>
  </w:abstractNum>
  <w:abstractNum w:abstractNumId="257">
    <w:nsid w:val="1F9EC322"/>
    <w:multiLevelType w:val="hybridMultilevel"/>
    <w:lvl w:ilvl="0">
      <w:lvlJc w:val="left"/>
      <w:lvlText w:val="(%1)"/>
      <w:numFmt w:val="lowerLetter"/>
      <w:start w:val="2"/>
    </w:lvl>
  </w:abstractNum>
  <w:abstractNum w:abstractNumId="258">
    <w:nsid w:val="3410ED56"/>
    <w:multiLevelType w:val="hybridMultilevel"/>
    <w:lvl w:ilvl="0">
      <w:lvlJc w:val="left"/>
      <w:lvlText w:val="%1"/>
      <w:numFmt w:val="lowerLetter"/>
      <w:start w:val="1"/>
    </w:lvl>
    <w:lvl w:ilvl="1">
      <w:lvlJc w:val="left"/>
      <w:lvlText w:val="(%2)"/>
      <w:numFmt w:val="lowerLetter"/>
      <w:start w:val="4"/>
    </w:lvl>
  </w:abstractNum>
  <w:abstractNum w:abstractNumId="259">
    <w:nsid w:val="23C049A"/>
    <w:multiLevelType w:val="hybridMultilevel"/>
    <w:lvl w:ilvl="0">
      <w:lvlJc w:val="left"/>
      <w:lvlText w:val="(%1)"/>
      <w:numFmt w:val="lowerLetter"/>
      <w:start w:val="2"/>
    </w:lvl>
    <w:lvl w:ilvl="1">
      <w:lvlJc w:val="left"/>
      <w:lvlText w:val="(%2)"/>
      <w:numFmt w:val="lowerLetter"/>
      <w:start w:val="5"/>
    </w:lvl>
  </w:abstractNum>
  <w:abstractNum w:abstractNumId="260">
    <w:nsid w:val="5BDA35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1">
    <w:nsid w:val="496FB218"/>
    <w:multiLevelType w:val="hybridMultilevel"/>
    <w:lvl w:ilvl="0">
      <w:lvlJc w:val="left"/>
      <w:lvlText w:val="(%1)"/>
      <w:numFmt w:val="lowerRoman"/>
      <w:start w:val="3"/>
    </w:lvl>
    <w:lvl w:ilvl="1">
      <w:lvlJc w:val="left"/>
      <w:lvlText w:val="(%2)"/>
      <w:numFmt w:val="upperLetter"/>
      <w:start w:val="1"/>
    </w:lvl>
  </w:abstractNum>
  <w:abstractNum w:abstractNumId="262">
    <w:nsid w:val="680EA5D1"/>
    <w:multiLevelType w:val="hybridMultilevel"/>
    <w:lvl w:ilvl="0">
      <w:lvlJc w:val="left"/>
      <w:lvlText w:val="(%1)"/>
      <w:numFmt w:val="lowerRoman"/>
      <w:start w:val="7"/>
    </w:lvl>
  </w:abstractNum>
  <w:abstractNum w:abstractNumId="263">
    <w:nsid w:val="4A9554FE"/>
    <w:multiLevelType w:val="hybridMultilevel"/>
    <w:lvl w:ilvl="0">
      <w:lvlJc w:val="left"/>
      <w:lvlText w:val="(%1)"/>
      <w:numFmt w:val="lowerLetter"/>
      <w:start w:val="3"/>
    </w:lvl>
  </w:abstractNum>
  <w:abstractNum w:abstractNumId="264">
    <w:nsid w:val="392EDBE4"/>
    <w:multiLevelType w:val="hybridMultilevel"/>
    <w:lvl w:ilvl="0">
      <w:lvlJc w:val="left"/>
      <w:lvlText w:val="%1"/>
      <w:numFmt w:val="upperLetter"/>
      <w:start w:val="1"/>
    </w:lvl>
    <w:lvl w:ilvl="1">
      <w:lvlJc w:val="left"/>
      <w:lvlText w:val="(%2)"/>
      <w:numFmt w:val="lowerLetter"/>
      <w:start w:val="5"/>
    </w:lvl>
  </w:abstractNum>
  <w:abstractNum w:abstractNumId="265">
    <w:nsid w:val="3D1A2DD9"/>
    <w:multiLevelType w:val="hybridMultilevel"/>
    <w:lvl w:ilvl="0">
      <w:lvlJc w:val="left"/>
      <w:lvlText w:val="(%1)"/>
      <w:numFmt w:val="upperLetter"/>
      <w:start w:val="1"/>
    </w:lvl>
    <w:lvl w:ilvl="1">
      <w:lvlJc w:val="left"/>
      <w:lvlText w:val="%2"/>
      <w:numFmt w:val="lowerLetter"/>
      <w:start w:val="1"/>
    </w:lvl>
  </w:abstractNum>
  <w:abstractNum w:abstractNumId="266">
    <w:nsid w:val="7F618FCD"/>
    <w:multiLevelType w:val="hybridMultilevel"/>
    <w:lvl w:ilvl="0">
      <w:lvlJc w:val="left"/>
      <w:lvlText w:val="(%1)"/>
      <w:numFmt w:val="lowerLetter"/>
      <w:start w:val="1"/>
    </w:lvl>
  </w:abstractNum>
  <w:abstractNum w:abstractNumId="267">
    <w:nsid w:val="7843E45"/>
    <w:multiLevelType w:val="hybridMultilevel"/>
    <w:lvl w:ilvl="0">
      <w:lvlJc w:val="left"/>
      <w:lvlText w:val="(%1)"/>
      <w:numFmt w:val="lowerRoman"/>
      <w:start w:val="3"/>
    </w:lvl>
  </w:abstractNum>
  <w:abstractNum w:abstractNumId="268">
    <w:nsid w:val="9815DA3"/>
    <w:multiLevelType w:val="hybridMultilevel"/>
    <w:lvl w:ilvl="0">
      <w:lvlJc w:val="left"/>
      <w:lvlText w:val="(%1)"/>
      <w:numFmt w:val="lowerLetter"/>
      <w:start w:val="2"/>
    </w:lvl>
  </w:abstractNum>
  <w:abstractNum w:abstractNumId="269">
    <w:nsid w:val="5204A191"/>
    <w:multiLevelType w:val="hybridMultilevel"/>
    <w:lvl w:ilvl="0">
      <w:lvlJc w:val="left"/>
      <w:lvlText w:val="(%1)"/>
      <w:numFmt w:val="lowerLetter"/>
      <w:start w:val="1"/>
    </w:lvl>
  </w:abstractNum>
  <w:abstractNum w:abstractNumId="270">
    <w:nsid w:val="4C73A9C6"/>
    <w:multiLevelType w:val="hybridMultilevel"/>
    <w:lvl w:ilvl="0">
      <w:lvlJc w:val="left"/>
      <w:lvlText w:val="(%1)"/>
      <w:numFmt w:val="lowerLetter"/>
      <w:start w:val="3"/>
    </w:lvl>
  </w:abstractNum>
  <w:abstractNum w:abstractNumId="271">
    <w:nsid w:val="1C7E3C01"/>
    <w:multiLevelType w:val="hybridMultilevel"/>
    <w:lvl w:ilvl="0">
      <w:lvlJc w:val="left"/>
      <w:lvlText w:val="(%1)"/>
      <w:numFmt w:val="lowerLetter"/>
      <w:start w:val="4"/>
    </w:lvl>
  </w:abstractNum>
  <w:abstractNum w:abstractNumId="272">
    <w:nsid w:val="1C2201FF"/>
    <w:multiLevelType w:val="hybridMultilevel"/>
    <w:lvl w:ilvl="0">
      <w:lvlJc w:val="left"/>
      <w:lvlText w:val="(%1)"/>
      <w:numFmt w:val="lowerLetter"/>
      <w:start w:val="1"/>
    </w:lvl>
  </w:abstractNum>
  <w:abstractNum w:abstractNumId="273">
    <w:nsid w:val="50ABCEC9"/>
    <w:multiLevelType w:val="hybridMultilevel"/>
    <w:lvl w:ilvl="0">
      <w:lvlJc w:val="left"/>
      <w:lvlText w:val="(%1)"/>
      <w:numFmt w:val="lowerLetter"/>
      <w:start w:val="3"/>
    </w:lvl>
  </w:abstractNum>
  <w:abstractNum w:abstractNumId="274">
    <w:nsid w:val="7635AA2A"/>
    <w:multiLevelType w:val="hybridMultilevel"/>
    <w:lvl w:ilvl="0">
      <w:lvlJc w:val="left"/>
      <w:lvlText w:val="%1"/>
      <w:numFmt w:val="upperLetter"/>
      <w:start w:val="61"/>
    </w:lvl>
  </w:abstractNum>
  <w:abstractNum w:abstractNumId="275">
    <w:nsid w:val="5E74C4D9"/>
    <w:multiLevelType w:val="hybridMultilevel"/>
    <w:lvl w:ilvl="0">
      <w:lvlJc w:val="left"/>
      <w:lvlText w:val="(%1)"/>
      <w:numFmt w:val="lowerLetter"/>
      <w:start w:val="1"/>
    </w:lvl>
    <w:lvl w:ilvl="1">
      <w:lvlJc w:val="left"/>
      <w:lvlText w:val="(%2)"/>
      <w:numFmt w:val="lowerRoman"/>
      <w:start w:val="1"/>
    </w:lvl>
  </w:abstractNum>
  <w:abstractNum w:abstractNumId="276">
    <w:nsid w:val="3B3EBE15"/>
    <w:multiLevelType w:val="hybridMultilevel"/>
    <w:lvl w:ilvl="0">
      <w:lvlJc w:val="left"/>
      <w:lvlText w:val="(%1)"/>
      <w:numFmt w:val="lowerLetter"/>
      <w:start w:val="1"/>
    </w:lvl>
  </w:abstractNum>
  <w:abstractNum w:abstractNumId="277">
    <w:nsid w:val="3822CB01"/>
    <w:multiLevelType w:val="hybridMultilevel"/>
    <w:lvl w:ilvl="0">
      <w:lvlJc w:val="left"/>
      <w:lvlText w:val="%1."/>
      <w:numFmt w:val="decimal"/>
      <w:start w:val="1"/>
    </w:lvl>
  </w:abstractNum>
  <w:abstractNum w:abstractNumId="278">
    <w:nsid w:val="6CE00443"/>
    <w:multiLevelType w:val="hybridMultilevel"/>
    <w:lvl w:ilvl="0">
      <w:lvlJc w:val="left"/>
      <w:lvlText w:val="%1."/>
      <w:numFmt w:val="decimal"/>
      <w:start w:val="5"/>
    </w:lvl>
  </w:abstractNum>
  <w:abstractNum w:abstractNumId="279">
    <w:nsid w:val="79F0D62F"/>
    <w:multiLevelType w:val="hybridMultilevel"/>
    <w:lvl w:ilvl="0">
      <w:lvlJc w:val="left"/>
      <w:lvlText w:val="(%1)"/>
      <w:numFmt w:val="lowerLetter"/>
      <w:start w:val="1"/>
    </w:lvl>
  </w:abstractNum>
  <w:abstractNum w:abstractNumId="280">
    <w:nsid w:val="7975E8EE"/>
    <w:multiLevelType w:val="hybridMultilevel"/>
    <w:lvl w:ilvl="0">
      <w:lvlJc w:val="left"/>
      <w:lvlText w:val="%1."/>
      <w:numFmt w:val="decimal"/>
      <w:start w:val="6"/>
    </w:lvl>
  </w:abstractNum>
  <w:abstractNum w:abstractNumId="281">
    <w:nsid w:val="73154115"/>
    <w:multiLevelType w:val="hybridMultilevel"/>
    <w:lvl w:ilvl="0">
      <w:lvlJc w:val="left"/>
      <w:lvlText w:val="(%1)"/>
      <w:numFmt w:val="lowerLetter"/>
      <w:start w:val="1"/>
    </w:lvl>
  </w:abstractNum>
  <w:abstractNum w:abstractNumId="282">
    <w:nsid w:val="622D8102"/>
    <w:multiLevelType w:val="hybridMultilevel"/>
    <w:lvl w:ilvl="0">
      <w:lvlJc w:val="left"/>
      <w:lvlText w:val="%1."/>
      <w:numFmt w:val="decimal"/>
      <w:start w:val="7"/>
    </w:lvl>
  </w:abstractNum>
  <w:abstractNum w:abstractNumId="283">
    <w:nsid w:val="2AB26587"/>
    <w:multiLevelType w:val="hybridMultilevel"/>
    <w:lvl w:ilvl="0">
      <w:lvlJc w:val="left"/>
      <w:lvlText w:val="%1."/>
      <w:numFmt w:val="decimal"/>
      <w:start w:val="9"/>
    </w:lvl>
  </w:abstractNum>
  <w:abstractNum w:abstractNumId="284">
    <w:nsid w:val="44B3FA61"/>
    <w:multiLevelType w:val="hybridMultilevel"/>
    <w:lvl w:ilvl="0">
      <w:lvlJc w:val="left"/>
      <w:lvlText w:val="%1."/>
      <w:numFmt w:val="decimal"/>
      <w:start w:val="13"/>
    </w:lvl>
  </w:abstractNum>
  <w:abstractNum w:abstractNumId="285">
    <w:nsid w:val="1C0CA67C"/>
    <w:multiLevelType w:val="hybridMultilevel"/>
    <w:lvl w:ilvl="0">
      <w:lvlJc w:val="left"/>
      <w:lvlText w:val="%1."/>
      <w:numFmt w:val="decimal"/>
      <w:start w:val="19"/>
    </w:lvl>
  </w:abstractNum>
  <w:abstractNum w:abstractNumId="286">
    <w:nsid w:val="3D206613"/>
    <w:multiLevelType w:val="hybridMultilevel"/>
    <w:lvl w:ilvl="0">
      <w:lvlJc w:val="left"/>
      <w:lvlText w:val="(%1)"/>
      <w:numFmt w:val="lowerLetter"/>
      <w:start w:val="1"/>
    </w:lvl>
  </w:abstractNum>
  <w:abstractNum w:abstractNumId="287">
    <w:nsid w:val="7993B662"/>
    <w:multiLevelType w:val="hybridMultilevel"/>
    <w:lvl w:ilvl="0">
      <w:lvlJc w:val="left"/>
      <w:lvlText w:val="(%1)"/>
      <w:numFmt w:val="lowerLetter"/>
      <w:start w:val="6"/>
    </w:lvl>
  </w:abstractNum>
  <w:abstractNum w:abstractNumId="288">
    <w:nsid w:val="3BAB699E"/>
    <w:multiLevelType w:val="hybridMultilevel"/>
    <w:lvl w:ilvl="0">
      <w:lvlJc w:val="left"/>
      <w:lvlText w:val="%1."/>
      <w:numFmt w:val="decimal"/>
      <w:start w:val="20"/>
    </w:lvl>
  </w:abstractNum>
  <w:abstractNum w:abstractNumId="289">
    <w:nsid w:val="71315369"/>
    <w:multiLevelType w:val="hybridMultilevel"/>
    <w:lvl w:ilvl="0">
      <w:lvlJc w:val="left"/>
      <w:lvlText w:val="*"/>
      <w:numFmt w:val="bullet"/>
      <w:start w:val="1"/>
    </w:lvl>
  </w:abstractNum>
  <w:abstractNum w:abstractNumId="290">
    <w:nsid w:val="7BCFBAFC"/>
    <w:multiLevelType w:val="hybridMultilevel"/>
    <w:lvl w:ilvl="0">
      <w:lvlJc w:val="left"/>
      <w:lvlText w:val="%1."/>
      <w:numFmt w:val="decimal"/>
      <w:start w:val="1"/>
    </w:lvl>
    <w:lvl w:ilvl="1">
      <w:lvlJc w:val="left"/>
      <w:lvlText w:val="(%2)"/>
      <w:numFmt w:val="lowerLetter"/>
      <w:start w:val="1"/>
    </w:lvl>
  </w:abstractNum>
  <w:abstractNum w:abstractNumId="291">
    <w:nsid w:val="17859F72"/>
    <w:multiLevelType w:val="hybridMultilevel"/>
    <w:lvl w:ilvl="0">
      <w:lvlJc w:val="left"/>
      <w:lvlText w:val="(%1)"/>
      <w:numFmt w:val="lowerLetter"/>
      <w:start w:val="2"/>
    </w:lvl>
  </w:abstractNum>
  <w:abstractNum w:abstractNumId="292">
    <w:nsid w:val="3AA10581"/>
    <w:multiLevelType w:val="hybridMultilevel"/>
    <w:lvl w:ilvl="0">
      <w:lvlJc w:val="left"/>
      <w:lvlText w:val="%1."/>
      <w:numFmt w:val="decimal"/>
      <w:start w:val="6"/>
    </w:lvl>
  </w:abstractNum>
  <w:abstractNum w:abstractNumId="293">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94">
    <w:nsid w:val="621AF47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95">
    <w:nsid w:val="73CFE165"/>
    <w:multiLevelType w:val="hybridMultilevel"/>
    <w:lvl w:ilvl="0">
      <w:lvlJc w:val="left"/>
      <w:lvlText w:val="%1"/>
      <w:numFmt w:val="lowerLetter"/>
      <w:start w:val="1"/>
    </w:lvl>
    <w:lvl w:ilvl="1">
      <w:lvlJc w:val="left"/>
      <w:lvlText w:val="%2."/>
      <w:numFmt w:val="decimal"/>
      <w:start w:val="11"/>
    </w:lvl>
    <w:lvl w:ilvl="2">
      <w:lvlJc w:val="left"/>
      <w:lvlText w:val="%3."/>
      <w:numFmt w:val="decimal"/>
      <w:start w:val="12"/>
    </w:lvl>
  </w:abstractNum>
  <w:abstractNum w:abstractNumId="296">
    <w:nsid w:val="20F88EA6"/>
    <w:multiLevelType w:val="hybridMultilevel"/>
    <w:lvl w:ilvl="0">
      <w:lvlJc w:val="left"/>
      <w:lvlText w:val="(%1)"/>
      <w:numFmt w:val="lowerLetter"/>
      <w:start w:val="1"/>
    </w:lvl>
    <w:lvl w:ilvl="1">
      <w:lvlJc w:val="left"/>
      <w:lvlText w:val="%2"/>
      <w:numFmt w:val="decimal"/>
      <w:start w:val="1"/>
    </w:lvl>
    <w:lvl w:ilvl="2">
      <w:lvlJc w:val="left"/>
      <w:lvlText w:val="%3."/>
      <w:numFmt w:val="decimal"/>
      <w:start w:val="14"/>
    </w:lvl>
  </w:abstractNum>
  <w:abstractNum w:abstractNumId="297">
    <w:nsid w:val="617C843E"/>
    <w:multiLevelType w:val="hybridMultilevel"/>
    <w:lvl w:ilvl="0">
      <w:lvlJc w:val="left"/>
      <w:lvlText w:val="%1."/>
      <w:numFmt w:val="decimal"/>
      <w:start w:val="17"/>
    </w:lvl>
  </w:abstractNum>
  <w:abstractNum w:abstractNumId="298">
    <w:nsid w:val="7B541FAB"/>
    <w:multiLevelType w:val="hybridMultilevel"/>
    <w:lvl w:ilvl="0">
      <w:lvlJc w:val="left"/>
      <w:lvlText w:val="*"/>
      <w:numFmt w:val="bullet"/>
      <w:start w:val="1"/>
    </w:lvl>
  </w:abstractNum>
  <w:abstractNum w:abstractNumId="299">
    <w:nsid w:val="2A79EC49"/>
    <w:multiLevelType w:val="hybridMultilevel"/>
    <w:lvl w:ilvl="0">
      <w:lvlJc w:val="left"/>
      <w:lvlText w:val="%1."/>
      <w:numFmt w:val="decimal"/>
      <w:start w:val="1"/>
    </w:lvl>
    <w:lvl w:ilvl="1">
      <w:lvlJc w:val="left"/>
      <w:lvlText w:val="%2)"/>
      <w:numFmt w:val="lowerLetter"/>
      <w:start w:val="1"/>
    </w:lvl>
  </w:abstractNum>
  <w:abstractNum w:abstractNumId="300">
    <w:nsid w:val="338125CF"/>
    <w:multiLevelType w:val="hybridMultilevel"/>
    <w:lvl w:ilvl="0">
      <w:lvlJc w:val="left"/>
      <w:lvlText w:val="%1."/>
      <w:numFmt w:val="decimal"/>
      <w:start w:val="1"/>
    </w:lvl>
    <w:lvl w:ilvl="1">
      <w:lvlJc w:val="left"/>
      <w:lvlText w:val="%2)"/>
      <w:numFmt w:val="lowerLetter"/>
      <w:start w:val="1"/>
    </w:lvl>
  </w:abstractNum>
  <w:abstractNum w:abstractNumId="301">
    <w:nsid w:val="47C7C971"/>
    <w:multiLevelType w:val="hybridMultilevel"/>
    <w:lvl w:ilvl="0">
      <w:lvlJc w:val="left"/>
      <w:lvlText w:val="(%1)"/>
      <w:numFmt w:val="decimal"/>
      <w:start w:val="1"/>
    </w:lvl>
  </w:abstractNum>
  <w:abstractNum w:abstractNumId="302">
    <w:nsid w:val="46F828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97" Type="http://schemas.openxmlformats.org/officeDocument/2006/relationships/hyperlink" Target="https://www.sec.gov/Archives/edgar/data/0000003197/000095013102001241/dex3i.txt" TargetMode="External"/><Relationship Id="rId98" Type="http://schemas.openxmlformats.org/officeDocument/2006/relationships/hyperlink" Target="https://www.sec.gov/Archives/edgar/data/3197/000119312517368365/d477604dex31.htm" TargetMode="External"/><Relationship Id="rId99" Type="http://schemas.openxmlformats.org/officeDocument/2006/relationships/hyperlink" Target="https://www.sec.gov/Archives/edgar/data/3197/000156459020008551/cece-ex41_99.htm" TargetMode="External"/><Relationship Id="rId100" Type="http://schemas.openxmlformats.org/officeDocument/2006/relationships/hyperlink" Target="https://www.sec.gov/Archives/edgar/data/3197/000156459019006619/cece-ex101_495.htm" TargetMode="External"/><Relationship Id="rId101" Type="http://schemas.openxmlformats.org/officeDocument/2006/relationships/hyperlink" Target="https://www.sec.gov/Archives/edgar/data/3197/000156459019006619/cece-ex107_496.htm" TargetMode="External"/><Relationship Id="rId102" Type="http://schemas.openxmlformats.org/officeDocument/2006/relationships/hyperlink" Target="https://www.sec.gov/Archives/edgar/data/3197/000119312516590632/d130161dex101.htm" TargetMode="External"/><Relationship Id="rId103" Type="http://schemas.openxmlformats.org/officeDocument/2006/relationships/hyperlink" Target="https://www.sec.gov/Archives/edgar/data/3197/000156459017010062/cece-ex101_240.htm" TargetMode="External"/><Relationship Id="rId104" Type="http://schemas.openxmlformats.org/officeDocument/2006/relationships/hyperlink" Target="https://www.sec.gov/Archives/edgar/data/3197/000156459020050183/cece-ex102_49.htm" TargetMode="External"/><Relationship Id="rId105" Type="http://schemas.openxmlformats.org/officeDocument/2006/relationships/hyperlink" Target="https://www.sec.gov/Archives/edgar/data/3197/000119312520187900/d948376dex43.htm" TargetMode="External"/><Relationship Id="rId106" Type="http://schemas.openxmlformats.org/officeDocument/2006/relationships/hyperlink" Target="https://www.sec.gov/Archives/edgar/data/3197/000119312520187900/d948376dex44.htm" TargetMode="External"/><Relationship Id="rId107" Type="http://schemas.openxmlformats.org/officeDocument/2006/relationships/hyperlink" Target="https://www.sec.gov/Archives/edgar/data/3197/000119312520187900/d948376dex45.htm" TargetMode="External"/><Relationship Id="rId108" Type="http://schemas.openxmlformats.org/officeDocument/2006/relationships/hyperlink" Target="https://www.sec.gov/Archives/edgar/data/3197/000119312515311954/d73522dex106.htm" TargetMode="External"/><Relationship Id="rId111" Type="http://schemas.openxmlformats.org/officeDocument/2006/relationships/hyperlink" Target="https://www.sec.gov/Archives/edgar/data/3197/000119312511067373/dex1012.htm" TargetMode="External"/><Relationship Id="rId112" Type="http://schemas.openxmlformats.org/officeDocument/2006/relationships/hyperlink" Target="https://www.sec.gov/Archives/edgar/data/3197/000119312511067373/dex1013.htm" TargetMode="External"/><Relationship Id="rId113" Type="http://schemas.openxmlformats.org/officeDocument/2006/relationships/hyperlink" Target="https://www.sec.gov/Archives/edgar/data/3197/000119312517171790/d394916dex43.htm" TargetMode="External"/><Relationship Id="rId114" Type="http://schemas.openxmlformats.org/officeDocument/2006/relationships/hyperlink" Target="https://www.sec.gov/Archives/edgar/data/3197/000156459017016752/cece-ex102_87.htm" TargetMode="External"/><Relationship Id="rId115" Type="http://schemas.openxmlformats.org/officeDocument/2006/relationships/hyperlink" Target="https://www.sec.gov/Archives/edgar/data/3197/000156459017016752/cece-ex103_86.htm" TargetMode="External"/><Relationship Id="rId116" Type="http://schemas.openxmlformats.org/officeDocument/2006/relationships/hyperlink" Target="https://www.sec.gov/Archives/edgar/data/3197/000156459017016752/cece-ex104_88.htm" TargetMode="External"/><Relationship Id="rId117" Type="http://schemas.openxmlformats.org/officeDocument/2006/relationships/hyperlink" Target="https://www.sec.gov/Archives/edgar/data/3197/000156459017016752/cece-ex105_89.htm" TargetMode="External"/><Relationship Id="rId118" Type="http://schemas.openxmlformats.org/officeDocument/2006/relationships/hyperlink" Target="https://www.sec.gov/Archives/edgar/data/3197/000156459020029431/cece-ex101_16.htm" TargetMode="External"/><Relationship Id="rId119" Type="http://schemas.openxmlformats.org/officeDocument/2006/relationships/hyperlink" Target="https://www.sec.gov/Archives/edgar/data/3197/000156459021030239/cece-ex101_6.htm" TargetMode="External"/><Relationship Id="rId120" Type="http://schemas.openxmlformats.org/officeDocument/2006/relationships/hyperlink" Target="https://www.sec.gov/Archives/edgar/data/3197/000095017022003502/cece-ex10_19.htm" TargetMode="External"/><Relationship Id="rId121" Type="http://schemas.openxmlformats.org/officeDocument/2006/relationships/hyperlink" Target="https://www.sec.gov/Archives/edgar/data/3197/000095017022003502/cece-ex10_20.htm" TargetMode="External"/><Relationship Id="rId122" Type="http://schemas.openxmlformats.org/officeDocument/2006/relationships/hyperlink" Target="https://www.sec.gov/Archives/edgar/data/3197/000095017021003303/cece-ex10_1.htm" TargetMode="External"/><Relationship Id="rId123" Type="http://schemas.openxmlformats.org/officeDocument/2006/relationships/hyperlink" Target="https://www.sec.gov/Archives/edgar/data/3197/000095017022022319/ceco-ex10_1.htm" TargetMode="External"/><Relationship Id="rId124" Type="http://schemas.openxmlformats.org/officeDocument/2006/relationships/hyperlink" Target="https://www.sec.gov/Archives/edgar/data/3197/000119312519170723/d766052dex101.htm" TargetMode="External"/><Relationship Id="rId125" Type="http://schemas.openxmlformats.org/officeDocument/2006/relationships/hyperlink" Target="https://www.sec.gov/Archives/edgar/data/3197/000095017022003502/cece-ex10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2023-03-06T11:28:16Z</dcterms:created>
  <dcterms:modified xsi:type="dcterms:W3CDTF">2023-03-06T11:28:16Z</dcterms:modified>
</cp:coreProperties>
</file>