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double" w:sz="6" w:space="1" w:color="000000"/>
        </w:pBdr>
        <w:spacing w:before="0" w:after="0"/>
        <w:rPr/>
      </w:pPr>
      <w:bookmarkStart w:id="0" w:name="cece-10q_20190630.htm"/>
      <w:bookmarkStart w:id="1" w:name="kscece10q_20190630"/>
      <w:bookmarkEnd w:id="0"/>
      <w:bookmarkEnd w:id="1"/>
      <w:r>
        <w:rPr/>
        <w:t> </w:t>
      </w:r>
    </w:p>
    <w:p>
      <w:pPr>
        <w:pStyle w:val="TextBody"/>
        <w:spacing w:before="80" w:after="0"/>
        <w:jc w:val="center"/>
        <w:rPr>
          <w:rFonts w:ascii="Times New Roman" w:hAnsi="Times New Roman"/>
          <w:b/>
          <w:i w:val="false"/>
          <w:caps w:val="false"/>
          <w:smallCaps w:val="false"/>
          <w:color w:val="000000"/>
          <w:sz w:val="27"/>
        </w:rPr>
      </w:pPr>
      <w:r>
        <w:rPr>
          <w:rFonts w:ascii="Times New Roman" w:hAnsi="Times New Roman"/>
          <w:b/>
          <w:i w:val="false"/>
          <w:caps w:val="false"/>
          <w:smallCaps w:val="false"/>
          <w:color w:val="000000"/>
          <w:sz w:val="27"/>
        </w:rPr>
        <w:t>UNITED STATES</w:t>
      </w:r>
    </w:p>
    <w:p>
      <w:pPr>
        <w:pStyle w:val="TextBody"/>
        <w:spacing w:before="0" w:after="0"/>
        <w:jc w:val="center"/>
        <w:rPr>
          <w:rFonts w:ascii="Times New Roman" w:hAnsi="Times New Roman"/>
          <w:b/>
          <w:i w:val="false"/>
          <w:caps w:val="false"/>
          <w:smallCaps w:val="false"/>
          <w:color w:val="000000"/>
          <w:sz w:val="27"/>
        </w:rPr>
      </w:pPr>
      <w:r>
        <w:rPr>
          <w:rFonts w:ascii="Times New Roman" w:hAnsi="Times New Roman"/>
          <w:b/>
          <w:i w:val="false"/>
          <w:caps w:val="false"/>
          <w:smallCaps w:val="false"/>
          <w:color w:val="000000"/>
          <w:sz w:val="27"/>
        </w:rPr>
        <w:t>SECURITIES AND EXCHANGE COMMISSION</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Washington, D.C. 20549</w:t>
      </w:r>
    </w:p>
    <w:p>
      <w:pPr>
        <w:pStyle w:val="TextBody"/>
        <w:pBdr>
          <w:bottom w:val="single" w:sz="6" w:space="1" w:color="000000"/>
        </w:pBdr>
        <w:spacing w:before="0" w:after="0"/>
        <w:jc w:val="center"/>
        <w:rPr/>
      </w:pPr>
      <w:r>
        <w:rPr/>
        <w:t> </w:t>
      </w:r>
    </w:p>
    <w:p>
      <w:pPr>
        <w:pStyle w:val="TextBody"/>
        <w:spacing w:before="120" w:after="0"/>
        <w:jc w:val="center"/>
        <w:rPr>
          <w:rFonts w:ascii="Times New Roman" w:hAnsi="Times New Roman"/>
          <w:b/>
          <w:i w:val="false"/>
          <w:caps w:val="false"/>
          <w:smallCaps w:val="false"/>
          <w:color w:val="000000"/>
          <w:sz w:val="27"/>
        </w:rPr>
      </w:pPr>
      <w:r>
        <w:rPr>
          <w:rFonts w:ascii="Times New Roman" w:hAnsi="Times New Roman"/>
          <w:b/>
          <w:i w:val="false"/>
          <w:caps w:val="false"/>
          <w:smallCaps w:val="false"/>
          <w:color w:val="000000"/>
          <w:sz w:val="27"/>
        </w:rPr>
        <w:t>FORM 10-Q</w:t>
      </w:r>
    </w:p>
    <w:p>
      <w:pPr>
        <w:pStyle w:val="TextBody"/>
        <w:pBdr>
          <w:bottom w:val="single" w:sz="6" w:space="1" w:color="000000"/>
        </w:pBdr>
        <w:spacing w:before="0" w:after="0"/>
        <w:jc w:val="center"/>
        <w:rPr/>
      </w:pPr>
      <w:r>
        <w:rPr/>
        <w:t> </w:t>
      </w:r>
    </w:p>
    <w:p>
      <w:pPr>
        <w:pStyle w:val="TextBody"/>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(Mark one)</w:t>
      </w:r>
    </w:p>
    <w:tbl>
      <w:tblPr>
        <w:tblW w:w="7660" w:type="dxa"/>
        <w:jc w:val="left"/>
        <w:tblInd w:w="0" w:type="dxa"/>
        <w:tblCellMar>
          <w:top w:w="0" w:type="dxa"/>
          <w:left w:w="0" w:type="dxa"/>
          <w:bottom w:w="0" w:type="dxa"/>
          <w:right w:w="0" w:type="dxa"/>
        </w:tblCellMar>
      </w:tblPr>
      <w:tblGrid>
        <w:gridCol w:w="230"/>
        <w:gridCol w:w="7430"/>
      </w:tblGrid>
      <w:tr>
        <w:trPr/>
        <w:tc>
          <w:tcPr>
            <w:tcW w:w="230" w:type="dxa"/>
            <w:tcBorders/>
            <w:shd w:fill="auto" w:val="clear"/>
          </w:tcPr>
          <w:p>
            <w:pPr>
              <w:pStyle w:val="TableContents"/>
              <w:spacing w:before="0" w:after="0"/>
              <w:rPr>
                <w:caps w:val="false"/>
                <w:smallCaps w:val="false"/>
                <w:color w:val="000000"/>
              </w:rPr>
            </w:pPr>
            <w:r>
              <w:rPr>
                <w:caps w:val="false"/>
                <w:smallCaps w:val="false"/>
                <w:color w:val="000000"/>
              </w:rPr>
              <w:t>☒</w:t>
            </w:r>
          </w:p>
        </w:tc>
        <w:tc>
          <w:tcPr>
            <w:tcW w:w="7430" w:type="dxa"/>
            <w:tcBorders/>
            <w:shd w:fill="auto" w:val="clear"/>
          </w:tcPr>
          <w:p>
            <w:pPr>
              <w:pStyle w:val="TableContents"/>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Quarterly Report Pursuant to Section 13 or 15(d) of the Securities Exchange Act of 1934</w:t>
            </w:r>
          </w:p>
        </w:tc>
      </w:tr>
    </w:tbl>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For the quarterly period ended June 30, 2019</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or</w:t>
      </w:r>
    </w:p>
    <w:tbl>
      <w:tblPr>
        <w:tblW w:w="7705" w:type="dxa"/>
        <w:jc w:val="left"/>
        <w:tblInd w:w="0" w:type="dxa"/>
        <w:tblCellMar>
          <w:top w:w="0" w:type="dxa"/>
          <w:left w:w="0" w:type="dxa"/>
          <w:bottom w:w="0" w:type="dxa"/>
          <w:right w:w="0" w:type="dxa"/>
        </w:tblCellMar>
      </w:tblPr>
      <w:tblGrid>
        <w:gridCol w:w="230"/>
        <w:gridCol w:w="7475"/>
      </w:tblGrid>
      <w:tr>
        <w:trPr/>
        <w:tc>
          <w:tcPr>
            <w:tcW w:w="230" w:type="dxa"/>
            <w:tcBorders/>
            <w:shd w:fill="auto" w:val="clear"/>
          </w:tcPr>
          <w:p>
            <w:pPr>
              <w:pStyle w:val="TableContents"/>
              <w:spacing w:before="0" w:after="0"/>
              <w:rPr>
                <w:caps w:val="false"/>
                <w:smallCaps w:val="false"/>
                <w:color w:val="000000"/>
              </w:rPr>
            </w:pPr>
            <w:r>
              <w:rPr>
                <w:caps w:val="false"/>
                <w:smallCaps w:val="false"/>
                <w:color w:val="000000"/>
              </w:rPr>
              <w:t>☐</w:t>
            </w:r>
          </w:p>
        </w:tc>
        <w:tc>
          <w:tcPr>
            <w:tcW w:w="7475" w:type="dxa"/>
            <w:tcBorders/>
            <w:shd w:fill="auto" w:val="clear"/>
          </w:tcPr>
          <w:p>
            <w:pPr>
              <w:pStyle w:val="TableContents"/>
              <w:spacing w:before="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Transition Report Pursuant to Section 13 or 15(d) of the Securities Exchange Act of 1934</w:t>
            </w:r>
          </w:p>
        </w:tc>
      </w:tr>
    </w:tbl>
    <w:p>
      <w:pPr>
        <w:pStyle w:val="TextBody"/>
        <w:spacing w:before="12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For the transition period from</w:t>
      </w:r>
      <w:r>
        <w:rPr>
          <w:rFonts w:ascii="Times New Roman" w:hAnsi="Times New Roman"/>
          <w:b/>
          <w:i w:val="false"/>
          <w:caps w:val="false"/>
          <w:smallCaps w:val="false"/>
          <w:color w:val="000000"/>
          <w:sz w:val="17"/>
          <w:u w:val="single"/>
        </w:rPr>
        <w:t xml:space="preserve">                      </w:t>
      </w:r>
      <w:r>
        <w:rPr>
          <w:rFonts w:ascii="Times New Roman" w:hAnsi="Times New Roman"/>
          <w:b/>
          <w:i w:val="false"/>
          <w:caps w:val="false"/>
          <w:smallCaps w:val="false"/>
          <w:color w:val="000000"/>
          <w:sz w:val="17"/>
        </w:rPr>
        <w:t>to</w:t>
      </w:r>
      <w:r>
        <w:rPr>
          <w:rFonts w:ascii="Times New Roman" w:hAnsi="Times New Roman"/>
          <w:b/>
          <w:i w:val="false"/>
          <w:caps w:val="false"/>
          <w:smallCaps w:val="false"/>
          <w:color w:val="000000"/>
          <w:sz w:val="17"/>
          <w:u w:val="single"/>
        </w:rPr>
        <w:t xml:space="preserve">                     </w:t>
      </w:r>
      <w:r>
        <w:rPr>
          <w:rFonts w:ascii="Times New Roman" w:hAnsi="Times New Roman"/>
          <w:b/>
          <w:i w:val="false"/>
          <w:caps w:val="false"/>
          <w:smallCaps w:val="false"/>
          <w:color w:val="000000"/>
          <w:sz w:val="17"/>
        </w:rPr>
        <w:t>    </w:t>
      </w:r>
    </w:p>
    <w:p>
      <w:pPr>
        <w:pStyle w:val="TextBody"/>
        <w:spacing w:before="12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Commission File No. 0-7099</w:t>
      </w:r>
    </w:p>
    <w:p>
      <w:pPr>
        <w:pStyle w:val="TextBody"/>
        <w:pBdr>
          <w:bottom w:val="single" w:sz="6" w:space="1" w:color="000000"/>
        </w:pBdr>
        <w:spacing w:before="0" w:after="0"/>
        <w:jc w:val="center"/>
        <w:rPr/>
      </w:pPr>
      <w:r>
        <w:rPr/>
        <w:t> </w:t>
      </w:r>
    </w:p>
    <w:p>
      <w:pPr>
        <w:pStyle w:val="TextBody"/>
        <w:spacing w:before="120" w:after="0"/>
        <w:jc w:val="center"/>
        <w:rPr>
          <w:caps w:val="false"/>
          <w:smallCaps w:val="false"/>
        </w:rPr>
      </w:pPr>
      <w:r>
        <w:rPr>
          <w:caps w:val="false"/>
          <w:smallCaps w:val="false"/>
        </w:rPr>
        <w:drawing>
          <wp:inline distT="0" distB="0" distL="0" distR="0">
            <wp:extent cx="781050"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81050" cy="352425"/>
                    </a:xfrm>
                    <a:prstGeom prst="rect">
                      <a:avLst/>
                    </a:prstGeom>
                  </pic:spPr>
                </pic:pic>
              </a:graphicData>
            </a:graphic>
          </wp:inline>
        </w:drawing>
      </w:r>
    </w:p>
    <w:p>
      <w:pPr>
        <w:pStyle w:val="TextBody"/>
        <w:spacing w:before="120" w:after="0"/>
        <w:jc w:val="center"/>
        <w:rPr>
          <w:rFonts w:ascii="Times New Roman" w:hAnsi="Times New Roman"/>
          <w:b/>
          <w:i w:val="false"/>
          <w:caps w:val="false"/>
          <w:smallCaps w:val="false"/>
          <w:color w:val="000000"/>
          <w:sz w:val="32"/>
        </w:rPr>
      </w:pPr>
      <w:r>
        <w:rPr>
          <w:rFonts w:ascii="Times New Roman" w:hAnsi="Times New Roman"/>
          <w:b/>
          <w:i w:val="false"/>
          <w:caps w:val="false"/>
          <w:smallCaps w:val="false"/>
          <w:color w:val="000000"/>
          <w:sz w:val="32"/>
        </w:rPr>
        <w:t>CECO ENVIRONMENTAL CORP.</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3070" w:type="dxa"/>
        <w:jc w:val="center"/>
        <w:tblInd w:w="0" w:type="dxa"/>
        <w:tblCellMar>
          <w:top w:w="0" w:type="dxa"/>
          <w:left w:w="0" w:type="dxa"/>
          <w:bottom w:w="0" w:type="dxa"/>
          <w:right w:w="0" w:type="dxa"/>
        </w:tblCellMar>
      </w:tblPr>
      <w:tblGrid>
        <w:gridCol w:w="1895"/>
        <w:gridCol w:w="60"/>
        <w:gridCol w:w="1115"/>
      </w:tblGrid>
      <w:tr>
        <w:trPr/>
        <w:tc>
          <w:tcPr>
            <w:tcW w:w="189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Delaware</w:t>
            </w:r>
          </w:p>
        </w:tc>
        <w:tc>
          <w:tcPr>
            <w:tcW w:w="60" w:type="dxa"/>
            <w:tcBorders/>
            <w:shd w:fill="auto" w:val="clear"/>
          </w:tcPr>
          <w:p>
            <w:pPr>
              <w:pStyle w:val="TableContents"/>
              <w:spacing w:before="0" w:after="0"/>
              <w:ind w:left="0" w:right="0" w:hanging="0"/>
              <w:jc w:val="center"/>
              <w:rPr/>
            </w:pPr>
            <w:r>
              <w:rPr/>
              <w:t> </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13-2566064</w:t>
            </w:r>
          </w:p>
        </w:tc>
      </w:tr>
      <w:tr>
        <w:trPr/>
        <w:tc>
          <w:tcPr>
            <w:tcW w:w="189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(State or other jurisdiction of</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Incorporation or organization)</w:t>
            </w:r>
          </w:p>
        </w:tc>
        <w:tc>
          <w:tcPr>
            <w:tcW w:w="60" w:type="dxa"/>
            <w:tcBorders/>
            <w:shd w:fill="auto" w:val="clear"/>
          </w:tcPr>
          <w:p>
            <w:pPr>
              <w:pStyle w:val="TableContents"/>
              <w:spacing w:before="0" w:after="0"/>
              <w:ind w:left="0" w:right="0" w:hanging="0"/>
              <w:jc w:val="center"/>
              <w:rPr/>
            </w:pPr>
            <w:r>
              <w:rPr/>
              <w:t> </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(IRS Employer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Identification No.)</w:t>
            </w:r>
          </w:p>
        </w:tc>
      </w:tr>
    </w:tbl>
    <w:p>
      <w:pPr>
        <w:pStyle w:val="TextBody"/>
        <w:spacing w:before="0" w:after="0"/>
        <w:rPr/>
      </w:pPr>
      <w:r>
        <w:rPr/>
        <w:t> </w:t>
      </w:r>
    </w:p>
    <w:tbl>
      <w:tblPr>
        <w:tblW w:w="3040" w:type="dxa"/>
        <w:jc w:val="center"/>
        <w:tblInd w:w="0" w:type="dxa"/>
        <w:tblCellMar>
          <w:top w:w="0" w:type="dxa"/>
          <w:left w:w="0" w:type="dxa"/>
          <w:bottom w:w="0" w:type="dxa"/>
          <w:right w:w="0" w:type="dxa"/>
        </w:tblCellMar>
      </w:tblPr>
      <w:tblGrid>
        <w:gridCol w:w="2330"/>
        <w:gridCol w:w="60"/>
        <w:gridCol w:w="650"/>
      </w:tblGrid>
      <w:tr>
        <w:trPr/>
        <w:tc>
          <w:tcPr>
            <w:tcW w:w="233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14651 North Dallas Parkway</w:t>
            </w:r>
          </w:p>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Suite 500</w:t>
            </w:r>
          </w:p>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Dallas, Texas</w:t>
            </w:r>
          </w:p>
        </w:tc>
        <w:tc>
          <w:tcPr>
            <w:tcW w:w="60" w:type="dxa"/>
            <w:tcBorders/>
            <w:shd w:fill="auto" w:val="clear"/>
          </w:tcPr>
          <w:p>
            <w:pPr>
              <w:pStyle w:val="TableContents"/>
              <w:spacing w:before="0" w:after="0"/>
              <w:ind w:left="0" w:right="0" w:hanging="0"/>
              <w:jc w:val="center"/>
              <w:rPr/>
            </w:pPr>
            <w:r>
              <w:rPr/>
              <w:t> </w:t>
            </w:r>
          </w:p>
        </w:tc>
        <w:tc>
          <w:tcPr>
            <w:tcW w:w="650" w:type="dxa"/>
            <w:tcBorders/>
            <w:shd w:fill="auto" w:val="clear"/>
          </w:tcPr>
          <w:p>
            <w:pPr>
              <w:pStyle w:val="TableContents"/>
              <w:spacing w:before="0" w:after="0"/>
              <w:ind w:left="0" w:right="0" w:hanging="0"/>
              <w:jc w:val="center"/>
              <w:rPr/>
            </w:pPr>
            <w:r>
              <w:rPr/>
              <w:t> </w:t>
            </w:r>
          </w:p>
          <w:p>
            <w:pPr>
              <w:pStyle w:val="TableContents"/>
              <w:spacing w:before="0" w:after="0"/>
              <w:ind w:left="0" w:right="0" w:hanging="0"/>
              <w:jc w:val="center"/>
              <w:rPr/>
            </w:pPr>
            <w:r>
              <w:rPr/>
              <w:t> </w:t>
            </w:r>
          </w:p>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75254</w:t>
            </w:r>
          </w:p>
        </w:tc>
      </w:tr>
      <w:tr>
        <w:trPr/>
        <w:tc>
          <w:tcPr>
            <w:tcW w:w="233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(Address of principal executive offices)</w:t>
            </w:r>
          </w:p>
        </w:tc>
        <w:tc>
          <w:tcPr>
            <w:tcW w:w="60" w:type="dxa"/>
            <w:tcBorders/>
            <w:shd w:fill="auto" w:val="clear"/>
          </w:tcPr>
          <w:p>
            <w:pPr>
              <w:pStyle w:val="TableContents"/>
              <w:spacing w:before="0" w:after="0"/>
              <w:ind w:left="0" w:right="0" w:hanging="0"/>
              <w:jc w:val="center"/>
              <w:rPr/>
            </w:pPr>
            <w:r>
              <w:rPr/>
              <w:t> </w:t>
            </w:r>
          </w:p>
        </w:tc>
        <w:tc>
          <w:tcPr>
            <w:tcW w:w="650" w:type="dxa"/>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(Zip Code)</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Registrant’s telephone number, including area code: (214) 357-6181</w:t>
      </w:r>
    </w:p>
    <w:p>
      <w:pPr>
        <w:pStyle w:val="TextBody"/>
        <w:spacing w:before="120" w:after="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Securities registered pursuant to Section 12(b) of the Act:</w:t>
      </w:r>
    </w:p>
    <w:tbl>
      <w:tblPr>
        <w:tblW w:w="6534" w:type="dxa"/>
        <w:jc w:val="left"/>
        <w:tblInd w:w="0" w:type="dxa"/>
        <w:tblCellMar>
          <w:top w:w="0" w:type="dxa"/>
          <w:left w:w="0" w:type="dxa"/>
          <w:bottom w:w="0" w:type="dxa"/>
          <w:right w:w="0" w:type="dxa"/>
        </w:tblCellMar>
      </w:tblPr>
      <w:tblGrid>
        <w:gridCol w:w="2678"/>
        <w:gridCol w:w="1118"/>
        <w:gridCol w:w="2738"/>
      </w:tblGrid>
      <w:tr>
        <w:trPr/>
        <w:tc>
          <w:tcPr>
            <w:tcW w:w="267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738" w:type="dxa"/>
            <w:tcBorders/>
            <w:shd w:fill="auto" w:val="clear"/>
            <w:vAlign w:val="center"/>
          </w:tcPr>
          <w:p>
            <w:pPr>
              <w:pStyle w:val="TableContents"/>
              <w:spacing w:before="0" w:after="283"/>
              <w:ind w:left="0" w:right="0" w:firstLine="108"/>
              <w:rPr>
                <w:sz w:val="4"/>
                <w:szCs w:val="4"/>
              </w:rPr>
            </w:pPr>
            <w:r>
              <w:rPr>
                <w:sz w:val="4"/>
                <w:szCs w:val="4"/>
              </w:rPr>
            </w:r>
          </w:p>
        </w:tc>
      </w:tr>
      <w:tr>
        <w:trPr/>
        <w:tc>
          <w:tcPr>
            <w:tcW w:w="2678" w:type="dxa"/>
            <w:tcBorders>
              <w:top w:val="single" w:sz="8" w:space="0" w:color="000000"/>
              <w:left w:val="single" w:sz="8" w:space="0" w:color="000000"/>
              <w:bottom w:val="single" w:sz="8" w:space="0" w:color="000000"/>
              <w:right w:val="single" w:sz="8" w:space="0" w:color="000000"/>
            </w:tcBorders>
            <w:shd w:fill="auto" w:val="clear"/>
            <w:tcMar>
              <w:top w:w="28" w:type="dxa"/>
              <w:left w:w="28" w:type="dxa"/>
              <w:bottom w:w="28" w:type="dxa"/>
              <w:right w:w="108" w:type="dxa"/>
            </w:tcMar>
          </w:tcPr>
          <w:p>
            <w:pPr>
              <w:pStyle w:val="TableContents"/>
              <w:spacing w:before="0" w:after="40"/>
              <w:ind w:left="0" w:right="0" w:firstLine="108"/>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Title of each class</w:t>
            </w:r>
          </w:p>
        </w:tc>
        <w:tc>
          <w:tcPr>
            <w:tcW w:w="1118" w:type="dxa"/>
            <w:tcBorders>
              <w:top w:val="single" w:sz="8" w:space="0" w:color="000000"/>
              <w:bottom w:val="single" w:sz="8" w:space="0" w:color="000000"/>
              <w:right w:val="single" w:sz="8" w:space="0" w:color="000000"/>
            </w:tcBorders>
            <w:shd w:fill="auto" w:val="clear"/>
            <w:tcMar>
              <w:top w:w="28" w:type="dxa"/>
              <w:bottom w:w="28" w:type="dxa"/>
              <w:right w:w="108" w:type="dxa"/>
            </w:tcMar>
          </w:tcPr>
          <w:p>
            <w:pPr>
              <w:pStyle w:val="TableContents"/>
              <w:spacing w:before="0" w:after="40"/>
              <w:ind w:left="0" w:right="0" w:firstLine="108"/>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Trading Symbol</w:t>
            </w:r>
          </w:p>
        </w:tc>
        <w:tc>
          <w:tcPr>
            <w:tcW w:w="2738" w:type="dxa"/>
            <w:tcBorders>
              <w:top w:val="single" w:sz="8" w:space="0" w:color="000000"/>
              <w:bottom w:val="single" w:sz="8" w:space="0" w:color="000000"/>
              <w:right w:val="single" w:sz="8" w:space="0" w:color="000000"/>
            </w:tcBorders>
            <w:shd w:fill="auto" w:val="clear"/>
            <w:tcMar>
              <w:top w:w="28" w:type="dxa"/>
              <w:bottom w:w="28" w:type="dxa"/>
              <w:right w:w="108" w:type="dxa"/>
            </w:tcMar>
          </w:tcPr>
          <w:p>
            <w:pPr>
              <w:pStyle w:val="TableContents"/>
              <w:spacing w:before="0" w:after="40"/>
              <w:ind w:left="0" w:right="0" w:firstLine="108"/>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Name of each exchange on which registered</w:t>
            </w:r>
          </w:p>
        </w:tc>
      </w:tr>
      <w:tr>
        <w:trPr/>
        <w:tc>
          <w:tcPr>
            <w:tcW w:w="2678" w:type="dxa"/>
            <w:tcBorders>
              <w:left w:val="single" w:sz="8" w:space="0" w:color="000000"/>
              <w:bottom w:val="single" w:sz="8" w:space="0" w:color="000000"/>
              <w:right w:val="single" w:sz="8" w:space="0" w:color="000000"/>
            </w:tcBorders>
            <w:shd w:fill="auto" w:val="clear"/>
            <w:tcMar>
              <w:left w:w="28" w:type="dxa"/>
              <w:bottom w:w="28" w:type="dxa"/>
              <w:right w:w="108" w:type="dxa"/>
            </w:tcMar>
          </w:tcPr>
          <w:p>
            <w:pPr>
              <w:pStyle w:val="TableContents"/>
              <w:spacing w:before="0" w:after="40"/>
              <w:ind w:left="0" w:right="0" w:firstLine="108"/>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Common Stock, par value $0.01 per share</w:t>
            </w:r>
          </w:p>
        </w:tc>
        <w:tc>
          <w:tcPr>
            <w:tcW w:w="1118" w:type="dxa"/>
            <w:tcBorders>
              <w:bottom w:val="single" w:sz="8" w:space="0" w:color="000000"/>
              <w:right w:val="single" w:sz="8" w:space="0" w:color="000000"/>
            </w:tcBorders>
            <w:shd w:fill="auto" w:val="clear"/>
            <w:tcMar>
              <w:bottom w:w="28" w:type="dxa"/>
              <w:right w:w="108" w:type="dxa"/>
            </w:tcMar>
          </w:tcPr>
          <w:p>
            <w:pPr>
              <w:pStyle w:val="TableContents"/>
              <w:spacing w:before="0" w:after="40"/>
              <w:ind w:left="0" w:right="0" w:firstLine="108"/>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CECE</w:t>
            </w:r>
          </w:p>
        </w:tc>
        <w:tc>
          <w:tcPr>
            <w:tcW w:w="2738" w:type="dxa"/>
            <w:tcBorders>
              <w:bottom w:val="single" w:sz="8" w:space="0" w:color="000000"/>
              <w:right w:val="single" w:sz="8" w:space="0" w:color="000000"/>
            </w:tcBorders>
            <w:shd w:fill="auto" w:val="clear"/>
            <w:tcMar>
              <w:bottom w:w="28" w:type="dxa"/>
              <w:right w:w="108" w:type="dxa"/>
            </w:tcMar>
          </w:tcPr>
          <w:p>
            <w:pPr>
              <w:pStyle w:val="TableContents"/>
              <w:spacing w:before="0" w:after="40"/>
              <w:ind w:left="0" w:right="0" w:hanging="0"/>
              <w:jc w:val="center"/>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The NASDAQ Stock Market LLC</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files).    Yes  ☒    No  ☐</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325" w:type="dxa"/>
        <w:jc w:val="center"/>
        <w:tblInd w:w="0" w:type="dxa"/>
        <w:tblCellMar>
          <w:top w:w="0" w:type="dxa"/>
          <w:left w:w="0" w:type="dxa"/>
          <w:bottom w:w="0" w:type="dxa"/>
          <w:right w:w="0" w:type="dxa"/>
        </w:tblCellMar>
      </w:tblPr>
      <w:tblGrid>
        <w:gridCol w:w="1940"/>
        <w:gridCol w:w="230"/>
        <w:gridCol w:w="1925"/>
        <w:gridCol w:w="230"/>
      </w:tblGrid>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Large Accelerated Filer</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Accelerated Filer</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c>
          <w:tcPr>
            <w:tcW w:w="1925" w:type="dxa"/>
            <w:tcBorders/>
            <w:shd w:fill="auto" w:val="clear"/>
            <w:vAlign w:val="cente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pPr>
            <w:r>
              <w:rPr/>
              <w:t> </w:t>
            </w:r>
          </w:p>
        </w:tc>
      </w:tr>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Non-Accelerated Filer</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92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Smaller reporting company</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r>
      <w:tr>
        <w:trPr/>
        <w:tc>
          <w:tcPr>
            <w:tcW w:w="194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925"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r>
        <w:trPr/>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Emerging growth company</w:t>
            </w:r>
          </w:p>
        </w:tc>
        <w:tc>
          <w:tcPr>
            <w:tcW w:w="230" w:type="dxa"/>
            <w:tcBorders/>
            <w:shd w:fill="auto" w:val="clear"/>
            <w:vAlign w:val="bottom"/>
          </w:tcPr>
          <w:p>
            <w:pPr>
              <w:pStyle w:val="TableContents"/>
              <w:spacing w:before="0" w:after="0"/>
              <w:ind w:left="0" w:right="0" w:hanging="0"/>
              <w:rPr>
                <w:caps w:val="false"/>
                <w:smallCaps w:val="false"/>
                <w:color w:val="000000"/>
              </w:rPr>
            </w:pPr>
            <w:r>
              <w:rPr>
                <w:caps w:val="false"/>
                <w:smallCaps w:val="false"/>
                <w:color w:val="000000"/>
              </w:rPr>
              <w:t>☐</w:t>
            </w:r>
          </w:p>
        </w:tc>
        <w:tc>
          <w:tcPr>
            <w:tcW w:w="1925"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120" w:after="0"/>
        <w:ind w:left="72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Indicate by check mark whether the registrant is a shell company (as defined in Rule 12b-2 of the Exchange Act) Yes  ☐    No  ☒</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number of shares outstanding of each of the issuer’s classes of common equity, as of the latest practical date: 35,204,911 shares of common stock, par value $0.01 per share, as of July 31, 2019.</w:t>
      </w:r>
    </w:p>
    <w:p>
      <w:pPr>
        <w:pStyle w:val="TextBody"/>
        <w:pBdr>
          <w:bottom w:val="double" w:sz="6" w:space="1" w:color="000000"/>
        </w:pBdr>
        <w:spacing w:before="0" w:after="0"/>
        <w:rPr/>
      </w:pPr>
      <w:r>
        <w:rPr/>
        <w:t> </w:t>
      </w:r>
    </w:p>
    <w:p>
      <w:pPr>
        <w:pStyle w:val="TextBody"/>
        <w:spacing w:before="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CECO ENVIRONMENTAL CORP. AND SUBSIDIARIES</w:t>
      </w:r>
    </w:p>
    <w:p>
      <w:pPr>
        <w:pStyle w:val="TextBody"/>
        <w:spacing w:before="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QUARTERLY REPORT ON FORM 10-Q</w:t>
      </w:r>
    </w:p>
    <w:p>
      <w:pPr>
        <w:pStyle w:val="TextBody"/>
        <w:spacing w:before="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 the quarter ended June 30, 2019</w:t>
      </w:r>
    </w:p>
    <w:p>
      <w:pPr>
        <w:pStyle w:val="TextBody"/>
        <w:spacing w:before="120" w:after="0"/>
        <w:jc w:val="center"/>
        <w:rPr>
          <w:rFonts w:ascii="Times New Roman" w:hAnsi="Times New Roman"/>
          <w:b/>
          <w:i w:val="false"/>
          <w:caps w:val="false"/>
          <w:smallCaps w:val="false"/>
          <w:color w:val="000000"/>
          <w:sz w:val="17"/>
          <w:u w:val="single"/>
        </w:rPr>
      </w:pPr>
      <w:r>
        <w:rPr>
          <w:rFonts w:ascii="Times New Roman" w:hAnsi="Times New Roman"/>
          <w:b/>
          <w:i w:val="false"/>
          <w:caps w:val="false"/>
          <w:smallCaps w:val="false"/>
          <w:color w:val="000000"/>
          <w:sz w:val="17"/>
          <w:u w:val="single"/>
        </w:rPr>
        <w:t>Table of Contents</w:t>
      </w:r>
    </w:p>
    <w:p>
      <w:pPr>
        <w:pStyle w:val="TextBody"/>
        <w:spacing w:before="0" w:after="0"/>
        <w:rPr/>
      </w:pPr>
      <w:r>
        <w:rPr/>
        <w:t> </w:t>
      </w:r>
    </w:p>
    <w:tbl>
      <w:tblPr>
        <w:tblW w:w="10205" w:type="dxa"/>
        <w:jc w:val="center"/>
        <w:tblInd w:w="0" w:type="dxa"/>
        <w:tblCellMar>
          <w:top w:w="0" w:type="dxa"/>
          <w:left w:w="0" w:type="dxa"/>
          <w:bottom w:w="0" w:type="dxa"/>
          <w:right w:w="0" w:type="dxa"/>
        </w:tblCellMar>
      </w:tblPr>
      <w:tblGrid>
        <w:gridCol w:w="484"/>
        <w:gridCol w:w="60"/>
        <w:gridCol w:w="9400"/>
        <w:gridCol w:w="60"/>
        <w:gridCol w:w="201"/>
      </w:tblGrid>
      <w:tr>
        <w:trPr/>
        <w:tc>
          <w:tcPr>
            <w:tcW w:w="484" w:type="dxa"/>
            <w:tcBorders/>
            <w:shd w:fill="FFFFFF"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Part I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PART_I_FINANCIAL_INFORMATION">
              <w:r>
                <w:rPr>
                  <w:rStyle w:val="InternetLink"/>
                  <w:u w:val="single"/>
                </w:rPr>
                <w:t>Financial Information</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1_FINANCIAL_STATEMENTS">
              <w:r>
                <w:rPr>
                  <w:rStyle w:val="InternetLink"/>
                  <w:u w:val="single"/>
                </w:rPr>
                <w:t>Item 1. Financial Statements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735" w:right="0" w:hanging="245"/>
              <w:rPr/>
            </w:pPr>
            <w:hyperlink w:anchor="CONDENSED_CONSOLIDATED_BALANCE_SHEETS">
              <w:r>
                <w:rPr>
                  <w:rStyle w:val="InternetLink"/>
                  <w:u w:val="single"/>
                </w:rPr>
                <w:t>Condensed Consolidated Balance Sheets as of June 30, 2019 and December 31, 201</w:t>
              </w:r>
            </w:hyperlink>
            <w:r>
              <w:rPr>
                <w:u w:val="single"/>
              </w:rPr>
              <w:t>8</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735" w:right="0" w:hanging="245"/>
              <w:rPr/>
            </w:pPr>
            <w:hyperlink w:anchor="CONDENSED_CONSOLIDATED_STATEMENTS_OPERAT">
              <w:r>
                <w:rPr>
                  <w:rStyle w:val="InternetLink"/>
                  <w:u w:val="single"/>
                </w:rPr>
                <w:t>Condensed Consolidated Statements of Operations for the three-month and six-month periods ended June 30, 2019 and 2018</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735" w:right="0" w:hanging="245"/>
              <w:rPr/>
            </w:pPr>
            <w:hyperlink w:anchor="CONDENSED_CONSOLIDATED_STATEMENTS_COMPRE">
              <w:r>
                <w:rPr>
                  <w:rStyle w:val="InternetLink"/>
                  <w:u w:val="single"/>
                </w:rPr>
                <w:t>Condensed Consolidated Statements of Comprehensive Income (Loss) for the three-month and six-month periods ended June 30, 2019 and 201</w:t>
              </w:r>
            </w:hyperlink>
            <w:r>
              <w:rPr>
                <w:u w:val="single"/>
              </w:rPr>
              <w:t>8</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w:t>
            </w:r>
          </w:p>
        </w:tc>
      </w:tr>
      <w:tr>
        <w:trPr/>
        <w:tc>
          <w:tcPr>
            <w:tcW w:w="484" w:type="dxa"/>
            <w:tcBorders/>
            <w:shd w:fill="FFFFFF" w:val="clear"/>
          </w:tcPr>
          <w:p>
            <w:pPr>
              <w:pStyle w:val="TableContents"/>
              <w:spacing w:before="0" w:after="0"/>
              <w:ind w:left="0" w:right="0" w:hanging="0"/>
              <w:rPr/>
            </w:pPr>
            <w:r>
              <w:rPr/>
              <w:t> </w:t>
            </w:r>
          </w:p>
        </w:tc>
        <w:tc>
          <w:tcPr>
            <w:tcW w:w="60" w:type="dxa"/>
            <w:tcBorders/>
            <w:shd w:fill="FFFFFF" w:val="clear"/>
          </w:tcPr>
          <w:p>
            <w:pPr>
              <w:pStyle w:val="TableContents"/>
              <w:spacing w:before="0" w:after="0"/>
              <w:ind w:left="0" w:right="0" w:hanging="0"/>
              <w:rPr/>
            </w:pPr>
            <w:r>
              <w:rPr/>
              <w:t> </w:t>
            </w:r>
          </w:p>
        </w:tc>
        <w:tc>
          <w:tcPr>
            <w:tcW w:w="9400" w:type="dxa"/>
            <w:tcBorders/>
            <w:shd w:fill="FFFFFF" w:val="clear"/>
          </w:tcPr>
          <w:p>
            <w:pPr>
              <w:pStyle w:val="TableContents"/>
              <w:spacing w:before="0" w:after="0"/>
              <w:ind w:left="735" w:right="0" w:hanging="245"/>
              <w:rPr/>
            </w:pPr>
            <w:r>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735" w:right="0" w:hanging="245"/>
              <w:rPr/>
            </w:pPr>
            <w:hyperlink w:anchor="Stmt_of_Equity">
              <w:r>
                <w:rPr>
                  <w:rStyle w:val="InternetLink"/>
                  <w:u w:val="single"/>
                </w:rPr>
                <w:t>Condensed Consolidated Statements of Shareholders’ Equity for the six-month periods ended June 30, 2019 and 2018</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735" w:right="0" w:hanging="245"/>
              <w:rPr/>
            </w:pPr>
            <w:hyperlink w:anchor="CONDENSED_CONSOLIDATED_STATEMENTS_CASH_F">
              <w:r>
                <w:rPr>
                  <w:rStyle w:val="InternetLink"/>
                  <w:u w:val="single"/>
                </w:rPr>
                <w:t>Condensed Consolidated Statements of Cash Flows for the six-month periods ended June 30, 2019 and 201</w:t>
              </w:r>
            </w:hyperlink>
            <w:r>
              <w:rPr>
                <w:u w:val="single"/>
              </w:rPr>
              <w:t>8</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735" w:right="0" w:hanging="245"/>
              <w:rPr/>
            </w:pPr>
            <w:hyperlink w:anchor="NOTES_TO_CONDENSED_CONSOLIDATED_FINANCIA">
              <w:r>
                <w:rPr>
                  <w:rStyle w:val="InternetLink"/>
                  <w:u w:val="single"/>
                </w:rPr>
                <w:t>Notes to Condensed Consolidated Financial Statements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2_MANAGEMENTS_DISCUSSION_ANALYSIS_F">
              <w:r>
                <w:rPr>
                  <w:rStyle w:val="InternetLink"/>
                  <w:u w:val="single"/>
                </w:rPr>
                <w:t>Item 2. Management’s Discussion and Analysis of Financial Condition and Results of Operations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3_QUANTITATIVE_QUALITATIVE_DISCLOSU">
              <w:r>
                <w:rPr>
                  <w:rStyle w:val="InternetLink"/>
                  <w:u w:val="single"/>
                </w:rPr>
                <w:t>Item 3. Quantitative and Qualitative Disclosures about Market Risk</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4_CONTROLS_PROCEDURES">
              <w:r>
                <w:rPr>
                  <w:rStyle w:val="InternetLink"/>
                  <w:u w:val="single"/>
                </w:rPr>
                <w:t>Item 4. Controls and Procedures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Part II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PART_II_OR_INFORMATION">
              <w:r>
                <w:rPr>
                  <w:rStyle w:val="InternetLink"/>
                  <w:u w:val="single"/>
                </w:rPr>
                <w:t>Other Information</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1_LEGAL_PROCEEDINGS">
              <w:r>
                <w:rPr>
                  <w:rStyle w:val="InternetLink"/>
                  <w:u w:val="single"/>
                </w:rPr>
                <w:t>Item 1. Legal Proceedings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1A_RISK_FACTORS">
              <w:r>
                <w:rPr>
                  <w:rStyle w:val="InternetLink"/>
                  <w:u w:val="single"/>
                </w:rPr>
                <w:t>Item 1A. Risk Factors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2_UNREGISTERED_SALES_EQUITY_SECURIT">
              <w:r>
                <w:rPr>
                  <w:rStyle w:val="InternetLink"/>
                  <w:u w:val="single"/>
                </w:rPr>
                <w:t>Item 2. Unregistered Sales of Equity Securities and Use of Proceeds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3_DEFAULTS_UPON_SENIOR_SECURITIES">
              <w:r>
                <w:rPr>
                  <w:rStyle w:val="InternetLink"/>
                  <w:u w:val="single"/>
                </w:rPr>
                <w:t>Item 3. Defaults Upon Senior Securities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4_MINE_SAFETY_DISCLOSURES">
              <w:r>
                <w:rPr>
                  <w:rStyle w:val="InternetLink"/>
                  <w:u w:val="single"/>
                </w:rPr>
                <w:t>Item 4. Mine Safety Disclosures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5_OR_INFORMATION">
              <w:r>
                <w:rPr>
                  <w:rStyle w:val="InternetLink"/>
                  <w:u w:val="single"/>
                </w:rPr>
                <w:t>Item 5. Other Information</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pPr>
            <w:hyperlink w:anchor="ITEM_6_EXHIBITS">
              <w:r>
                <w:rPr>
                  <w:rStyle w:val="InternetLink"/>
                  <w:u w:val="single"/>
                </w:rPr>
                <w:t>Item 6. Exhibits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w:t>
            </w:r>
          </w:p>
        </w:tc>
      </w:tr>
      <w:tr>
        <w:trPr/>
        <w:tc>
          <w:tcPr>
            <w:tcW w:w="484"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9400"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pPr>
            <w:r>
              <w:rPr/>
              <w:t> </w:t>
            </w:r>
          </w:p>
        </w:tc>
      </w:tr>
      <w:tr>
        <w:trPr/>
        <w:tc>
          <w:tcPr>
            <w:tcW w:w="9944" w:type="dxa"/>
            <w:gridSpan w:val="3"/>
            <w:tcBorders/>
            <w:shd w:fill="FFFFFF" w:val="clear"/>
          </w:tcPr>
          <w:p>
            <w:pPr>
              <w:pStyle w:val="TableContents"/>
              <w:spacing w:before="0" w:after="0"/>
              <w:ind w:left="0" w:right="0" w:hanging="0"/>
              <w:rPr/>
            </w:pPr>
            <w:hyperlink w:anchor="SIGNATURES">
              <w:r>
                <w:rPr>
                  <w:rStyle w:val="InternetLink"/>
                  <w:u w:val="single"/>
                </w:rPr>
                <w:t>Signatures</w:t>
              </w:r>
            </w:hyperlink>
          </w:p>
        </w:tc>
        <w:tc>
          <w:tcPr>
            <w:tcW w:w="60" w:type="dxa"/>
            <w:tcBorders/>
            <w:shd w:fill="FFFFFF" w:val="clear"/>
          </w:tcPr>
          <w:p>
            <w:pPr>
              <w:pStyle w:val="TableContents"/>
              <w:spacing w:before="0" w:after="0"/>
              <w:ind w:left="0" w:right="0" w:hanging="0"/>
              <w:rPr/>
            </w:pPr>
            <w:r>
              <w:rPr/>
              <w:t> </w:t>
            </w:r>
          </w:p>
        </w:tc>
        <w:tc>
          <w:tcPr>
            <w:tcW w:w="20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p>
      <w:pPr>
        <w:pStyle w:val="HorizontalLine"/>
        <w:rPr/>
      </w:pPr>
      <w:r>
        <w:rPr/>
      </w:r>
    </w:p>
    <w:p>
      <w:pPr>
        <w:pStyle w:val="TextBody"/>
        <w:spacing w:before="0" w:after="0"/>
        <w:jc w:val="center"/>
        <w:rPr>
          <w:rFonts w:ascii="Times New Roman" w:hAnsi="Times New Roman"/>
          <w:b w:val="false"/>
          <w:i w:val="false"/>
          <w:caps w:val="false"/>
          <w:smallCaps w:val="false"/>
          <w:color w:val="000000"/>
          <w:sz w:val="17"/>
          <w:u w:val="single"/>
        </w:rPr>
      </w:pPr>
      <w:bookmarkStart w:id="2" w:name="_AEIOULastRenderedPageBreakAEIOU2"/>
      <w:bookmarkEnd w:id="2"/>
      <w:r>
        <w:rPr>
          <w:rFonts w:ascii="Times New Roman" w:hAnsi="Times New Roman"/>
          <w:b w:val="false"/>
          <w:i w:val="false"/>
          <w:caps w:val="false"/>
          <w:smallCaps w:val="false"/>
          <w:color w:val="000000"/>
          <w:sz w:val="17"/>
          <w:u w:val="single"/>
        </w:rPr>
        <w:t>CECO ENVIRONMENTAL CORP. AND SUBSIDIARIES</w:t>
      </w:r>
    </w:p>
    <w:p>
      <w:pPr>
        <w:pStyle w:val="TextBody"/>
        <w:spacing w:before="240" w:after="0"/>
        <w:rPr>
          <w:rFonts w:ascii="Times New Roman" w:hAnsi="Times New Roman"/>
          <w:b/>
          <w:i w:val="false"/>
          <w:caps w:val="false"/>
          <w:smallCaps w:val="false"/>
          <w:color w:val="000000"/>
          <w:sz w:val="15"/>
        </w:rPr>
      </w:pPr>
      <w:bookmarkStart w:id="3" w:name="PART_I_FINANCIAL_INFORMATION"/>
      <w:bookmarkEnd w:id="3"/>
      <w:r>
        <w:rPr>
          <w:rFonts w:ascii="Times New Roman" w:hAnsi="Times New Roman"/>
          <w:b/>
          <w:i w:val="false"/>
          <w:caps w:val="false"/>
          <w:smallCaps w:val="false"/>
          <w:color w:val="000000"/>
          <w:sz w:val="15"/>
        </w:rPr>
        <w:t>PART I – FINANCIAL INFORMATION</w:t>
      </w:r>
    </w:p>
    <w:p>
      <w:pPr>
        <w:pStyle w:val="TextBody"/>
        <w:spacing w:before="0" w:after="0"/>
        <w:rPr/>
      </w:pPr>
      <w:r>
        <w:rPr/>
        <w:t> </w:t>
      </w:r>
    </w:p>
    <w:p>
      <w:pPr>
        <w:pStyle w:val="TextBody"/>
        <w:spacing w:before="0" w:after="0"/>
        <w:rPr/>
      </w:pPr>
      <w:r>
        <w:rPr/>
        <w:t> </w:t>
      </w:r>
    </w:p>
    <w:tbl>
      <w:tblPr>
        <w:tblW w:w="2545" w:type="dxa"/>
        <w:jc w:val="left"/>
        <w:tblInd w:w="0" w:type="dxa"/>
        <w:tblCellMar>
          <w:top w:w="0" w:type="dxa"/>
          <w:left w:w="0" w:type="dxa"/>
          <w:bottom w:w="0" w:type="dxa"/>
          <w:right w:w="0" w:type="dxa"/>
        </w:tblCellMar>
      </w:tblPr>
      <w:tblGrid>
        <w:gridCol w:w="590"/>
        <w:gridCol w:w="1955"/>
      </w:tblGrid>
      <w:tr>
        <w:trPr/>
        <w:tc>
          <w:tcPr>
            <w:tcW w:w="590" w:type="dxa"/>
            <w:tcBorders/>
            <w:shd w:fill="auto" w:val="clear"/>
          </w:tcPr>
          <w:p>
            <w:pPr>
              <w:pStyle w:val="TableContents"/>
              <w:spacing w:before="0" w:after="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ITEM 1.</w:t>
            </w:r>
          </w:p>
        </w:tc>
        <w:tc>
          <w:tcPr>
            <w:tcW w:w="1955" w:type="dxa"/>
            <w:tcBorders/>
            <w:shd w:fill="auto" w:val="clear"/>
          </w:tcPr>
          <w:p>
            <w:pPr>
              <w:pStyle w:val="TableContents"/>
              <w:spacing w:before="0" w:after="0"/>
              <w:rPr>
                <w:rFonts w:ascii="Times New Roman" w:hAnsi="Times New Roman"/>
                <w:b/>
                <w:i w:val="false"/>
                <w:caps w:val="false"/>
                <w:smallCaps w:val="false"/>
                <w:color w:val="000000"/>
                <w:sz w:val="15"/>
              </w:rPr>
            </w:pPr>
            <w:bookmarkStart w:id="4" w:name="ITEM_1_FINANCIAL_STATEMENTS"/>
            <w:bookmarkEnd w:id="4"/>
            <w:r>
              <w:rPr>
                <w:rFonts w:ascii="Times New Roman" w:hAnsi="Times New Roman"/>
                <w:b/>
                <w:i w:val="false"/>
                <w:caps w:val="false"/>
                <w:smallCaps w:val="false"/>
                <w:color w:val="000000"/>
                <w:sz w:val="15"/>
              </w:rPr>
              <w:t>FINANCIAL STATEMENTS</w:t>
            </w:r>
          </w:p>
        </w:tc>
      </w:tr>
    </w:tbl>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17"/>
        </w:rPr>
      </w:pPr>
      <w:bookmarkStart w:id="5" w:name="CONDENSED_CONSOLIDATED_BALANCE_SHEETS"/>
      <w:bookmarkEnd w:id="5"/>
      <w:r>
        <w:rPr>
          <w:rFonts w:ascii="Times New Roman" w:hAnsi="Times New Roman"/>
          <w:b/>
          <w:i w:val="false"/>
          <w:caps w:val="false"/>
          <w:smallCaps w:val="false"/>
          <w:color w:val="000000"/>
          <w:sz w:val="17"/>
        </w:rPr>
        <w:t>CONDENSED CONSOLIDATED BALANCE SHEETS</w:t>
      </w:r>
    </w:p>
    <w:tbl>
      <w:tblPr>
        <w:tblW w:w="9248" w:type="dxa"/>
        <w:jc w:val="center"/>
        <w:tblInd w:w="0" w:type="dxa"/>
        <w:tblCellMar>
          <w:top w:w="0" w:type="dxa"/>
          <w:left w:w="0" w:type="dxa"/>
          <w:bottom w:w="0" w:type="dxa"/>
          <w:right w:w="0" w:type="dxa"/>
        </w:tblCellMar>
      </w:tblPr>
      <w:tblGrid>
        <w:gridCol w:w="6755"/>
        <w:gridCol w:w="60"/>
        <w:gridCol w:w="139"/>
        <w:gridCol w:w="765"/>
        <w:gridCol w:w="80"/>
        <w:gridCol w:w="60"/>
        <w:gridCol w:w="200"/>
        <w:gridCol w:w="1109"/>
        <w:gridCol w:w="80"/>
      </w:tblGrid>
      <w:tr>
        <w:trPr/>
        <w:tc>
          <w:tcPr>
            <w:tcW w:w="6755" w:type="dxa"/>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 except per share data)</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0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(unaudited)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and cash equivalents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28,828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43,676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Restricted cash</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receivable,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60,037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53,225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Costs and estimated earnings in excess of billings on uncompleted contracts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32,205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29,694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Inventories,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22,376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20,817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expenses and other current assets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12,754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10,117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Prepaid income taxes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Assets held for sale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1,182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1,186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current assets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160,514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160,865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plant and equipment, net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11,858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22,200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Right-of-use assets from operating leases (Note 12)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13,056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152,199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152,156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Intangible assets – finite life,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35,527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35,959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Intangible assets – indefinite life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14,342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18,258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Deferred charges and other assets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4,230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assets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391,726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392,582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LIABILITIES AND SHAREHOLDERS’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Current portion of debt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0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Accounts payable and accrued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75,084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80,229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Billings in excess of costs and estimated earnings on uncompleted contracts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22,015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20,144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Note payable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taxes payable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1,813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current liabilities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99,599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103,886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liabilities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19,343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26,925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Debt, less current portion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72,539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74,456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Deferred income tax liability, net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6,976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liabilities (Note 12)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liabilities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209,157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214,022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Commitments and contingencies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Shareholders’ equity: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Preferred stock, $.01 par value; 10,000 shares authorized, none issued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Common stock, $.01 par value; 100,000,000 shares authorized, 35,180,060 and</w:t>
            </w:r>
          </w:p>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34,953,825 shares issued and outstanding at June 30, 2019 and December 31, 2018, respectively</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Capital in excess of par value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252,916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251,409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Accumulated loss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(56,668</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(59,427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7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Accumulated other comprehensive loss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(13,675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(13,415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75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182,925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178,916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treasury stock, at cost, 137,920 shares at June 30, 2019 and December 31, 2018</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675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shareholders’ equity</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182,569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9"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178,560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75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liabilities and shareholders' equity</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391,726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10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392,582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notes to the condensed consolidated financial statements are an integral part of the above statements.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p>
      <w:pPr>
        <w:pStyle w:val="HorizontalLine"/>
        <w:rPr/>
      </w:pPr>
      <w:r>
        <w:rPr/>
      </w:r>
    </w:p>
    <w:p>
      <w:pPr>
        <w:pStyle w:val="TextBody"/>
        <w:spacing w:before="0" w:after="0"/>
        <w:jc w:val="center"/>
        <w:rPr>
          <w:rFonts w:ascii="Times New Roman" w:hAnsi="Times New Roman"/>
          <w:b/>
          <w:i w:val="false"/>
          <w:caps w:val="false"/>
          <w:smallCaps w:val="false"/>
          <w:color w:val="000000"/>
          <w:sz w:val="17"/>
        </w:rPr>
      </w:pPr>
      <w:bookmarkStart w:id="6" w:name="CONDENSED_CONSOLIDATED_STATEMENTS_OPERAT"/>
      <w:bookmarkStart w:id="7" w:name="_AEIOULastRenderedPageBreakAEIOU3"/>
      <w:bookmarkEnd w:id="6"/>
      <w:bookmarkEnd w:id="7"/>
      <w:r>
        <w:rPr>
          <w:rFonts w:ascii="Times New Roman" w:hAnsi="Times New Roman"/>
          <w:b/>
          <w:i w:val="false"/>
          <w:caps w:val="false"/>
          <w:smallCaps w:val="false"/>
          <w:color w:val="000000"/>
          <w:sz w:val="17"/>
        </w:rPr>
        <w:t>CONDENSED CONSOLIDATED STATEMENTS OF OPERATIONS</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(unaudited)</w:t>
      </w:r>
    </w:p>
    <w:p>
      <w:pPr>
        <w:pStyle w:val="TextBody"/>
        <w:spacing w:before="0" w:after="0"/>
        <w:rPr>
          <w:caps w:val="false"/>
          <w:smallCaps w:val="false"/>
          <w:color w:val="000000"/>
        </w:rPr>
      </w:pPr>
      <w:r>
        <w:rPr>
          <w:caps w:val="false"/>
          <w:smallCaps w:val="false"/>
          <w:color w:val="000000"/>
        </w:rPr>
        <w:t> </w:t>
      </w:r>
    </w:p>
    <w:p>
      <w:pPr>
        <w:pStyle w:val="TextBody"/>
        <w:spacing w:before="0" w:after="0"/>
        <w:rPr>
          <w:caps w:val="false"/>
          <w:smallCaps w:val="false"/>
          <w:color w:val="000000"/>
        </w:rPr>
      </w:pPr>
      <w:r>
        <w:rPr>
          <w:caps w:val="false"/>
          <w:smallCaps w:val="false"/>
          <w:color w:val="000000"/>
        </w:rPr>
        <w:t> </w:t>
      </w:r>
    </w:p>
    <w:tbl>
      <w:tblPr>
        <w:tblW w:w="8390" w:type="dxa"/>
        <w:jc w:val="center"/>
        <w:tblInd w:w="0" w:type="dxa"/>
        <w:tblCellMar>
          <w:top w:w="0" w:type="dxa"/>
          <w:left w:w="0" w:type="dxa"/>
          <w:bottom w:w="28" w:type="dxa"/>
          <w:right w:w="0" w:type="dxa"/>
        </w:tblCellMar>
      </w:tblPr>
      <w:tblGrid>
        <w:gridCol w:w="4070"/>
        <w:gridCol w:w="60"/>
        <w:gridCol w:w="110"/>
        <w:gridCol w:w="830"/>
        <w:gridCol w:w="80"/>
        <w:gridCol w:w="60"/>
        <w:gridCol w:w="110"/>
        <w:gridCol w:w="830"/>
        <w:gridCol w:w="80"/>
        <w:gridCol w:w="60"/>
        <w:gridCol w:w="110"/>
        <w:gridCol w:w="830"/>
        <w:gridCol w:w="80"/>
        <w:gridCol w:w="60"/>
        <w:gridCol w:w="110"/>
        <w:gridCol w:w="830"/>
        <w:gridCol w:w="80"/>
      </w:tblGrid>
      <w:tr>
        <w:trPr/>
        <w:tc>
          <w:tcPr>
            <w:tcW w:w="407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 except per share data)</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81,179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81,089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167,190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155,229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 of sales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54,333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53,937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111,911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102,143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Gross profit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26,846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27,152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55,279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53,086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Selling and administrative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22,426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21,967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43,740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43,931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and earnout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2,153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4,313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5,397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Loss (gain) on divestitures, net of selling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(11,104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7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Restructuring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from operations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14,712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income (expense),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(1,460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(1,793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(3,004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(3,713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before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4,071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10,288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tax (benefit)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(4,149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(3,308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5,426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5,515</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4,862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Earnings (loss)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0.14</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(0.03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 average number of common shares outstanding:</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34,923,587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34,669,810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34,879,811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34,631,519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7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35,582,727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34,669,810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35,471,628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34,715,141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center"/>
        <w:rPr/>
      </w:pPr>
      <w:r>
        <w:rPr/>
        <w:t> </w:t>
      </w:r>
    </w:p>
    <w:p>
      <w:pPr>
        <w:pStyle w:val="TextBody"/>
        <w:spacing w:before="4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notes to the condensed consolidated financial statements are an integral part of the above statements.</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p>
      <w:pPr>
        <w:pStyle w:val="HorizontalLine"/>
        <w:rPr/>
      </w:pPr>
      <w:r>
        <w:rPr/>
      </w:r>
    </w:p>
    <w:p>
      <w:pPr>
        <w:pStyle w:val="TextBody"/>
        <w:spacing w:before="0" w:after="0"/>
        <w:jc w:val="center"/>
        <w:rPr>
          <w:rFonts w:ascii="Times New Roman" w:hAnsi="Times New Roman"/>
          <w:b/>
          <w:i w:val="false"/>
          <w:caps w:val="false"/>
          <w:smallCaps w:val="false"/>
          <w:color w:val="000000"/>
          <w:sz w:val="17"/>
        </w:rPr>
      </w:pPr>
      <w:bookmarkStart w:id="8" w:name="CONDENSED_CONSOLIDATED_STATEMENTS_COMPRE"/>
      <w:bookmarkStart w:id="9" w:name="_AEIOULastRenderedPageBreakAEIOU4"/>
      <w:bookmarkEnd w:id="8"/>
      <w:bookmarkEnd w:id="9"/>
      <w:r>
        <w:rPr>
          <w:rFonts w:ascii="Times New Roman" w:hAnsi="Times New Roman"/>
          <w:b/>
          <w:i w:val="false"/>
          <w:caps w:val="false"/>
          <w:smallCaps w:val="false"/>
          <w:color w:val="000000"/>
          <w:sz w:val="17"/>
        </w:rPr>
        <w:t>CONDENSED CONSOLIDATED STATEMENTS OF COMPREHENSIVE INCOME (LOSS)</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(unaudited)</w:t>
      </w:r>
    </w:p>
    <w:p>
      <w:pPr>
        <w:pStyle w:val="TextBody"/>
        <w:spacing w:before="0" w:after="0"/>
        <w:rPr>
          <w:caps w:val="false"/>
          <w:smallCaps w:val="false"/>
          <w:color w:val="000000"/>
        </w:rPr>
      </w:pPr>
      <w:r>
        <w:rPr>
          <w:caps w:val="false"/>
          <w:smallCaps w:val="false"/>
          <w:color w:val="000000"/>
        </w:rPr>
        <w:t> </w:t>
      </w:r>
    </w:p>
    <w:p>
      <w:pPr>
        <w:pStyle w:val="TextBody"/>
        <w:spacing w:before="0" w:after="0"/>
        <w:rPr>
          <w:caps w:val="false"/>
          <w:smallCaps w:val="false"/>
          <w:color w:val="000000"/>
        </w:rPr>
      </w:pPr>
      <w:r>
        <w:rPr>
          <w:caps w:val="false"/>
          <w:smallCaps w:val="false"/>
          <w:color w:val="000000"/>
        </w:rPr>
        <w:t> </w:t>
      </w:r>
    </w:p>
    <w:tbl>
      <w:tblPr>
        <w:tblW w:w="6946" w:type="dxa"/>
        <w:jc w:val="center"/>
        <w:tblInd w:w="0" w:type="dxa"/>
        <w:tblCellMar>
          <w:top w:w="0" w:type="dxa"/>
          <w:left w:w="0" w:type="dxa"/>
          <w:bottom w:w="28" w:type="dxa"/>
          <w:right w:w="0" w:type="dxa"/>
        </w:tblCellMar>
      </w:tblPr>
      <w:tblGrid>
        <w:gridCol w:w="3275"/>
        <w:gridCol w:w="60"/>
        <w:gridCol w:w="153"/>
        <w:gridCol w:w="593"/>
        <w:gridCol w:w="111"/>
        <w:gridCol w:w="83"/>
        <w:gridCol w:w="153"/>
        <w:gridCol w:w="677"/>
        <w:gridCol w:w="80"/>
        <w:gridCol w:w="60"/>
        <w:gridCol w:w="140"/>
        <w:gridCol w:w="543"/>
        <w:gridCol w:w="102"/>
        <w:gridCol w:w="76"/>
        <w:gridCol w:w="140"/>
        <w:gridCol w:w="620"/>
        <w:gridCol w:w="80"/>
      </w:tblGrid>
      <w:tr>
        <w:trPr/>
        <w:tc>
          <w:tcPr>
            <w:tcW w:w="32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9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5,515</w:t>
            </w:r>
          </w:p>
        </w:tc>
        <w:tc>
          <w:tcPr>
            <w:tcW w:w="1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7"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7,379</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4,862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comprehensive (loss) income, net of tax:</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rate swap</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w:t>
            </w:r>
          </w:p>
        </w:tc>
        <w:tc>
          <w:tcPr>
            <w:tcW w:w="111"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(506</w:t>
            </w:r>
          </w:p>
        </w:tc>
        <w:tc>
          <w:tcPr>
            <w:tcW w:w="10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translation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w:t>
            </w:r>
          </w:p>
        </w:tc>
        <w:tc>
          <w:tcPr>
            <w:tcW w:w="111"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(3,292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234</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(1,282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27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Comprehensive (loss) income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9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4,478</w:t>
            </w:r>
          </w:p>
        </w:tc>
        <w:tc>
          <w:tcPr>
            <w:tcW w:w="111"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(4,138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7,107</w:t>
            </w:r>
          </w:p>
        </w:tc>
        <w:tc>
          <w:tcPr>
            <w:tcW w:w="10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3,828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center"/>
        <w:rPr/>
      </w:pPr>
      <w:r>
        <w:rPr/>
        <w:t> </w:t>
      </w:r>
    </w:p>
    <w:p>
      <w:pPr>
        <w:pStyle w:val="TextBody"/>
        <w:spacing w:before="4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notes to the condensed consolidated financial statements are an integral part of the above statements.</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p>
      <w:pPr>
        <w:pStyle w:val="HorizontalLine"/>
        <w:rPr/>
      </w:pPr>
      <w:r>
        <w:rPr/>
      </w:r>
    </w:p>
    <w:p>
      <w:pPr>
        <w:pStyle w:val="TextBody"/>
        <w:spacing w:before="0" w:after="0"/>
        <w:jc w:val="center"/>
        <w:rPr>
          <w:rFonts w:ascii="Times New Roman" w:hAnsi="Times New Roman"/>
          <w:b/>
          <w:i w:val="false"/>
          <w:caps w:val="false"/>
          <w:smallCaps w:val="false"/>
          <w:color w:val="000000"/>
          <w:sz w:val="17"/>
        </w:rPr>
      </w:pPr>
      <w:bookmarkStart w:id="10" w:name="_AEIOULastRenderedPageBreakAEIOU5"/>
      <w:bookmarkStart w:id="11" w:name="Stmt_of_Equity"/>
      <w:bookmarkEnd w:id="10"/>
      <w:bookmarkEnd w:id="11"/>
      <w:r>
        <w:rPr>
          <w:rFonts w:ascii="Times New Roman" w:hAnsi="Times New Roman"/>
          <w:b/>
          <w:i w:val="false"/>
          <w:caps w:val="false"/>
          <w:smallCaps w:val="false"/>
          <w:color w:val="000000"/>
          <w:sz w:val="17"/>
        </w:rPr>
        <w:t xml:space="preserve">CONDENSED CONSOLIDATED STATEMENTS OF SHAREHOLDERS’ EQUITY </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(unaudited)</w:t>
      </w:r>
    </w:p>
    <w:p>
      <w:pPr>
        <w:pStyle w:val="TextBody"/>
        <w:spacing w:before="0" w:after="0"/>
        <w:jc w:val="center"/>
        <w:rPr/>
      </w:pPr>
      <w:r>
        <w:rPr/>
        <w:t> </w:t>
      </w:r>
    </w:p>
    <w:tbl>
      <w:tblPr>
        <w:tblW w:w="10205" w:type="dxa"/>
        <w:jc w:val="center"/>
        <w:tblInd w:w="0" w:type="dxa"/>
        <w:tblCellMar>
          <w:top w:w="0" w:type="dxa"/>
          <w:left w:w="0" w:type="dxa"/>
          <w:bottom w:w="28" w:type="dxa"/>
          <w:right w:w="0" w:type="dxa"/>
        </w:tblCellMar>
      </w:tblPr>
      <w:tblGrid>
        <w:gridCol w:w="4780"/>
        <w:gridCol w:w="60"/>
        <w:gridCol w:w="60"/>
        <w:gridCol w:w="350"/>
        <w:gridCol w:w="60"/>
        <w:gridCol w:w="60"/>
        <w:gridCol w:w="103"/>
        <w:gridCol w:w="337"/>
        <w:gridCol w:w="60"/>
        <w:gridCol w:w="60"/>
        <w:gridCol w:w="84"/>
        <w:gridCol w:w="428"/>
        <w:gridCol w:w="65"/>
        <w:gridCol w:w="60"/>
        <w:gridCol w:w="119"/>
        <w:gridCol w:w="591"/>
        <w:gridCol w:w="65"/>
        <w:gridCol w:w="60"/>
        <w:gridCol w:w="139"/>
        <w:gridCol w:w="691"/>
        <w:gridCol w:w="65"/>
        <w:gridCol w:w="60"/>
        <w:gridCol w:w="71"/>
        <w:gridCol w:w="294"/>
        <w:gridCol w:w="69"/>
        <w:gridCol w:w="63"/>
        <w:gridCol w:w="108"/>
        <w:gridCol w:w="332"/>
        <w:gridCol w:w="65"/>
        <w:gridCol w:w="60"/>
        <w:gridCol w:w="116"/>
        <w:gridCol w:w="603"/>
        <w:gridCol w:w="67"/>
      </w:tblGrid>
      <w:tr>
        <w:trPr/>
        <w:tc>
          <w:tcPr>
            <w:tcW w:w="47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 in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excess of</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Comprehensive</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Treasury Stock</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Shareholders'</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par value</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Loss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Loss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Shares</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Amount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Equity</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Balance December 31, 2017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34,708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4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248,170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5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(52,673</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(8,919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(138</w:t>
            </w:r>
          </w:p>
        </w:tc>
        <w:tc>
          <w:tcPr>
            <w:tcW w:w="6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186,569</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income for the six-months ended June 30,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4,862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4,862</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Cumulative effect adjustment upon adoption of new accounting standards (ASU 2018-02) and (ASU 2014-09)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415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(1,067</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(652</w:t>
            </w:r>
          </w:p>
        </w:tc>
        <w:tc>
          <w:tcPr>
            <w:tcW w:w="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47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Exercise of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33</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33</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Restricted stock units issued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(99</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(121</w:t>
            </w:r>
          </w:p>
        </w:tc>
        <w:tc>
          <w:tcPr>
            <w:tcW w:w="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47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Share based compensation earned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1,570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1,570</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Adjustment for interest rate swap</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248</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Translation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(1,282</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(1,282</w:t>
            </w:r>
          </w:p>
        </w:tc>
        <w:tc>
          <w:tcPr>
            <w:tcW w:w="6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47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Balance June 30, 2018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34,747</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4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249,674</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5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(47,420</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(11,020</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(138</w:t>
            </w:r>
          </w:p>
        </w:tc>
        <w:tc>
          <w:tcPr>
            <w:tcW w:w="6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(356</w:t>
            </w:r>
          </w:p>
        </w:tc>
        <w:tc>
          <w:tcPr>
            <w:tcW w:w="6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191,227</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40" w:after="0"/>
        <w:jc w:val="center"/>
        <w:rPr/>
      </w:pPr>
      <w:r>
        <w:rPr/>
        <w:t> </w:t>
      </w:r>
    </w:p>
    <w:tbl>
      <w:tblPr>
        <w:tblW w:w="10205" w:type="dxa"/>
        <w:jc w:val="center"/>
        <w:tblInd w:w="0" w:type="dxa"/>
        <w:tblCellMar>
          <w:top w:w="0" w:type="dxa"/>
          <w:left w:w="0" w:type="dxa"/>
          <w:bottom w:w="28" w:type="dxa"/>
          <w:right w:w="0" w:type="dxa"/>
        </w:tblCellMar>
      </w:tblPr>
      <w:tblGrid>
        <w:gridCol w:w="4780"/>
        <w:gridCol w:w="60"/>
        <w:gridCol w:w="60"/>
        <w:gridCol w:w="350"/>
        <w:gridCol w:w="60"/>
        <w:gridCol w:w="60"/>
        <w:gridCol w:w="103"/>
        <w:gridCol w:w="337"/>
        <w:gridCol w:w="60"/>
        <w:gridCol w:w="60"/>
        <w:gridCol w:w="84"/>
        <w:gridCol w:w="428"/>
        <w:gridCol w:w="65"/>
        <w:gridCol w:w="60"/>
        <w:gridCol w:w="119"/>
        <w:gridCol w:w="591"/>
        <w:gridCol w:w="65"/>
        <w:gridCol w:w="60"/>
        <w:gridCol w:w="139"/>
        <w:gridCol w:w="691"/>
        <w:gridCol w:w="65"/>
        <w:gridCol w:w="60"/>
        <w:gridCol w:w="71"/>
        <w:gridCol w:w="294"/>
        <w:gridCol w:w="69"/>
        <w:gridCol w:w="63"/>
        <w:gridCol w:w="108"/>
        <w:gridCol w:w="332"/>
        <w:gridCol w:w="65"/>
        <w:gridCol w:w="60"/>
        <w:gridCol w:w="116"/>
        <w:gridCol w:w="603"/>
        <w:gridCol w:w="67"/>
      </w:tblGrid>
      <w:tr>
        <w:trPr/>
        <w:tc>
          <w:tcPr>
            <w:tcW w:w="478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Capital in</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excess of</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Accumulated</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Other</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Comprehensive</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Treasury Stock</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Shareholders'</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2"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par value</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Loss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Loss</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Shares</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Amount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9"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u w:val="single"/>
              </w:rPr>
            </w:pPr>
            <w:r>
              <w:rPr>
                <w:rFonts w:ascii="Times New Roman" w:hAnsi="Times New Roman"/>
                <w:b/>
                <w:i w:val="false"/>
                <w:caps w:val="false"/>
                <w:smallCaps w:val="false"/>
                <w:color w:val="000000"/>
                <w:sz w:val="13"/>
                <w:u w:val="single"/>
              </w:rPr>
              <w:t>Equity</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Balance December 31, 2018</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34,954</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7"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349</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428"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251,409</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591"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(59,427</w:t>
            </w:r>
          </w:p>
        </w:tc>
        <w:tc>
          <w:tcPr>
            <w:tcW w:w="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1"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(13,415</w:t>
            </w:r>
          </w:p>
        </w:tc>
        <w:tc>
          <w:tcPr>
            <w:tcW w:w="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(138</w:t>
            </w:r>
          </w:p>
        </w:tc>
        <w:tc>
          <w:tcPr>
            <w:tcW w:w="69"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2"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(356</w:t>
            </w:r>
          </w:p>
        </w:tc>
        <w:tc>
          <w:tcPr>
            <w:tcW w:w="6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3"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178,560</w:t>
            </w:r>
          </w:p>
        </w:tc>
        <w:tc>
          <w:tcPr>
            <w:tcW w:w="67"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Net income for the six-months ended June 30, 2019</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7,379</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7,379</w:t>
            </w:r>
          </w:p>
        </w:tc>
        <w:tc>
          <w:tcPr>
            <w:tcW w:w="67"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Cumulative effect adjustment upon adoption of new accounting standards (ASU 2017-12) and (ASU 2016-02)</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(4,602</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12</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(4,590</w:t>
            </w:r>
          </w:p>
        </w:tc>
        <w:tc>
          <w:tcPr>
            <w:tcW w:w="6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4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Restricted stock units issued</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212</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(322</w:t>
            </w:r>
          </w:p>
        </w:tc>
        <w:tc>
          <w:tcPr>
            <w:tcW w:w="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w:t>
            </w:r>
          </w:p>
        </w:tc>
        <w:tc>
          <w:tcPr>
            <w:tcW w:w="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(337</w:t>
            </w:r>
          </w:p>
        </w:tc>
        <w:tc>
          <w:tcPr>
            <w:tcW w:w="6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47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Share based compensation earned</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14</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1,829</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CFF0FC"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1,829</w:t>
            </w:r>
          </w:p>
        </w:tc>
        <w:tc>
          <w:tcPr>
            <w:tcW w:w="67"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Adjustment for interest rate swap</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(506</w:t>
            </w:r>
          </w:p>
        </w:tc>
        <w:tc>
          <w:tcPr>
            <w:tcW w:w="6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shd w:fill="FFFFFF"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shd w:fill="FFFFFF" w:val="clear"/>
            <w:tcMar>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(506</w:t>
            </w:r>
          </w:p>
        </w:tc>
        <w:tc>
          <w:tcPr>
            <w:tcW w:w="67"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r>
      <w:tr>
        <w:trPr/>
        <w:tc>
          <w:tcPr>
            <w:tcW w:w="478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Translation gain</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337" w:type="dxa"/>
            <w:tcBorders>
              <w:bottom w:val="single" w:sz="6" w:space="0" w:color="000000"/>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428" w:type="dxa"/>
            <w:tcBorders>
              <w:bottom w:val="single" w:sz="6" w:space="0" w:color="000000"/>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bottom w:val="single" w:sz="6" w:space="0" w:color="000000"/>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91" w:type="dxa"/>
            <w:tcBorders>
              <w:bottom w:val="single" w:sz="6" w:space="0" w:color="000000"/>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234</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bottom w:val="single" w:sz="6" w:space="0" w:color="000000"/>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9"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332" w:type="dxa"/>
            <w:tcBorders>
              <w:bottom w:val="single" w:sz="6" w:space="0" w:color="000000"/>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3" w:type="dxa"/>
            <w:tcBorders>
              <w:bottom w:val="single" w:sz="6" w:space="0" w:color="000000"/>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234</w:t>
            </w:r>
          </w:p>
        </w:tc>
        <w:tc>
          <w:tcPr>
            <w:tcW w:w="67"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8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Balance June 30, 2019</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35,180</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03"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7"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352</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428"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252,916</w:t>
            </w:r>
          </w:p>
        </w:tc>
        <w:tc>
          <w:tcPr>
            <w:tcW w:w="6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591"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(56,668</w:t>
            </w:r>
          </w:p>
        </w:tc>
        <w:tc>
          <w:tcPr>
            <w:tcW w:w="6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9"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91"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(13,675</w:t>
            </w:r>
          </w:p>
        </w:tc>
        <w:tc>
          <w:tcPr>
            <w:tcW w:w="6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71"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94"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(138</w:t>
            </w:r>
          </w:p>
        </w:tc>
        <w:tc>
          <w:tcPr>
            <w:tcW w:w="69"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3"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08"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332"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(356</w:t>
            </w:r>
          </w:p>
        </w:tc>
        <w:tc>
          <w:tcPr>
            <w:tcW w:w="6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tcBorders>
              <w:top w:val="single" w:sz="6" w:space="0" w:color="000000"/>
              <w:bottom w:val="double" w:sz="6" w:space="0" w:color="000000"/>
            </w:tcBorders>
            <w:shd w:fill="FFFFFF"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w:t>
            </w:r>
          </w:p>
        </w:tc>
        <w:tc>
          <w:tcPr>
            <w:tcW w:w="603" w:type="dxa"/>
            <w:tcBorders>
              <w:top w:val="single" w:sz="6" w:space="0" w:color="000000"/>
              <w:bottom w:val="double" w:sz="6" w:space="0" w:color="000000"/>
            </w:tcBorders>
            <w:shd w:fill="FFFFFF"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182,569</w:t>
            </w:r>
          </w:p>
        </w:tc>
        <w:tc>
          <w:tcPr>
            <w:tcW w:w="67"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center"/>
        <w:rPr/>
      </w:pPr>
      <w:r>
        <w:rPr/>
        <w:t> </w:t>
      </w:r>
    </w:p>
    <w:p>
      <w:pPr>
        <w:pStyle w:val="TextBody"/>
        <w:spacing w:before="4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notes to the condensed consolidated financial statements are an integral part of the above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p>
      <w:pPr>
        <w:pStyle w:val="HorizontalLine"/>
        <w:rPr/>
      </w:pPr>
      <w:r>
        <w:rPr/>
      </w:r>
    </w:p>
    <w:p>
      <w:pPr>
        <w:pStyle w:val="TextBody"/>
        <w:spacing w:before="0" w:after="0"/>
        <w:jc w:val="center"/>
        <w:rPr>
          <w:rFonts w:ascii="Times New Roman" w:hAnsi="Times New Roman"/>
          <w:b/>
          <w:i w:val="false"/>
          <w:caps w:val="false"/>
          <w:smallCaps w:val="false"/>
          <w:color w:val="000000"/>
          <w:sz w:val="17"/>
        </w:rPr>
      </w:pPr>
      <w:bookmarkStart w:id="12" w:name="CONDENSED_CONSOLIDATED_STATEMENTS_CASH_F"/>
      <w:bookmarkStart w:id="13" w:name="_AEIOULastRenderedPageBreakAEIOU6"/>
      <w:bookmarkEnd w:id="12"/>
      <w:bookmarkEnd w:id="13"/>
      <w:r>
        <w:rPr>
          <w:rFonts w:ascii="Times New Roman" w:hAnsi="Times New Roman"/>
          <w:b/>
          <w:i w:val="false"/>
          <w:caps w:val="false"/>
          <w:smallCaps w:val="false"/>
          <w:color w:val="000000"/>
          <w:sz w:val="17"/>
        </w:rPr>
        <w:t>CONDENSED CONSOLIDATED STATEMENTS OF CASH FLOWS</w:t>
      </w:r>
    </w:p>
    <w:p>
      <w:pPr>
        <w:pStyle w:val="TextBody"/>
        <w:spacing w:before="0" w:after="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(unaudited)</w:t>
      </w:r>
    </w:p>
    <w:p>
      <w:pPr>
        <w:pStyle w:val="TextBody"/>
        <w:spacing w:before="0" w:after="0"/>
        <w:rPr/>
      </w:pPr>
      <w:r>
        <w:rPr/>
        <w:t> </w:t>
      </w:r>
    </w:p>
    <w:tbl>
      <w:tblPr>
        <w:tblW w:w="7168" w:type="dxa"/>
        <w:jc w:val="center"/>
        <w:tblInd w:w="0" w:type="dxa"/>
        <w:tblCellMar>
          <w:top w:w="0" w:type="dxa"/>
          <w:left w:w="0" w:type="dxa"/>
          <w:bottom w:w="28" w:type="dxa"/>
          <w:right w:w="0" w:type="dxa"/>
        </w:tblCellMar>
      </w:tblPr>
      <w:tblGrid>
        <w:gridCol w:w="5420"/>
        <w:gridCol w:w="60"/>
        <w:gridCol w:w="120"/>
        <w:gridCol w:w="613"/>
        <w:gridCol w:w="82"/>
        <w:gridCol w:w="75"/>
        <w:gridCol w:w="120"/>
        <w:gridCol w:w="613"/>
        <w:gridCol w:w="65"/>
      </w:tblGrid>
      <w:tr>
        <w:trPr/>
        <w:tc>
          <w:tcPr>
            <w:tcW w:w="54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flows from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7,379</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4,862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Adjustment to reconcile net income to net cash (used in) provided by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Depreciation and amortization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5,520</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6,956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 xml:space="preserve">Unrealized foreign currency loss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258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746</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gain on interest rate swaps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(248</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(104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Earnout payments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(2,050</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Gain on sale of property and equipment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Loss (gain) on 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70</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(11,104</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Debt discount amortization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847</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582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Share-based compensation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1,756</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1,488</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Bad debt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394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646</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Inventory reserve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361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444</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Deferred income tax benefit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(337</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(744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Changes in operating assets and liabilities, net of 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Accounts receivable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(7,046</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(6,539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Costs and estimated earnings in excess of billings on uncompleted contracts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(2,416</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(2,911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Inventories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(1,929</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(1,629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Prepaid expense and other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(3,366</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2,407</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Deferred charges and other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(1,703</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(219</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Accounts payable and accrued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(8,291</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12,605</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Billings in excess of costs and estimated earnings on uncompleted contracts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1,854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3,110</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taxes payable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(1,656</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1,589</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Other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(2,744</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(291</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cash (used in) provided by operating activities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(11,297</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9,835</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flows from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Acquisitions of property and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(1,201</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(591</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cash proceeds from divestitures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30,692</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Proceeds from sale of property and equipment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112</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cash (used in) provided by investing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(1,201</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30,213</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flows from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borrowings (repayments) on revolving credit lines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853</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(3,792</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Repayments of debt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(1,700</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(30,756</w:t>
            </w:r>
          </w:p>
        </w:tc>
        <w:tc>
          <w:tcPr>
            <w:tcW w:w="6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Deferred financing fees paid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(1,117</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Proceeds from lease financing transaction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800</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Payments on finance leases and financing liability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(232</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(344</w:t>
            </w:r>
          </w:p>
        </w:tc>
        <w:tc>
          <w:tcPr>
            <w:tcW w:w="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Proceeds from employee stock purchase plan and exercise of stock options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75</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18</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cash used in financing activities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(2,121</w:t>
            </w:r>
          </w:p>
        </w:tc>
        <w:tc>
          <w:tcPr>
            <w:tcW w:w="82"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(34,074</w:t>
            </w:r>
          </w:p>
        </w:tc>
        <w:tc>
          <w:tcPr>
            <w:tcW w:w="6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Effect of exchange rate changes on cash, cash equivalents and restricted cash</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136</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(793</w:t>
            </w:r>
          </w:p>
        </w:tc>
        <w:tc>
          <w:tcPr>
            <w:tcW w:w="6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r>
      <w:tr>
        <w:trPr/>
        <w:tc>
          <w:tcPr>
            <w:tcW w:w="54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(decrease) increase in cash, cash equivalents and restricted cash</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(14,483</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5,181</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cash equivalents and restricted cash at beginning of period</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44,438</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30,659</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cash equivalents and restricted cash at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29,955</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35,840</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Cash paid during the period for: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Interest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2,300</w:t>
            </w:r>
          </w:p>
        </w:tc>
        <w:tc>
          <w:tcPr>
            <w:tcW w:w="8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2,924</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Income taxes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3,582</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3,318</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Non-cash transaction: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Net consideration receivable from divestiture</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w:t>
            </w:r>
          </w:p>
        </w:tc>
        <w:tc>
          <w:tcPr>
            <w:tcW w:w="61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2,685</w:t>
            </w:r>
          </w:p>
        </w:tc>
        <w:tc>
          <w:tcPr>
            <w:tcW w:w="6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2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notes to the condensed consolidated financial statements are an integral part of the above statements.</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6</w:t>
      </w:r>
    </w:p>
    <w:p>
      <w:pPr>
        <w:pStyle w:val="HorizontalLine"/>
        <w:rPr/>
      </w:pPr>
      <w:r>
        <w:rPr/>
      </w:r>
    </w:p>
    <w:p>
      <w:pPr>
        <w:pStyle w:val="TextBody"/>
        <w:spacing w:before="0" w:after="0"/>
        <w:jc w:val="center"/>
        <w:rPr>
          <w:rFonts w:ascii="Times New Roman" w:hAnsi="Times New Roman"/>
          <w:b w:val="false"/>
          <w:i w:val="false"/>
          <w:caps w:val="false"/>
          <w:smallCaps w:val="false"/>
          <w:color w:val="000000"/>
          <w:sz w:val="17"/>
          <w:u w:val="single"/>
        </w:rPr>
      </w:pPr>
      <w:bookmarkStart w:id="14" w:name="CECO_ENVIRONMENTAL_CORP_SUBSIDIARIES"/>
      <w:bookmarkStart w:id="15" w:name="_AEIOULastRenderedPageBreakAEIOU7"/>
      <w:bookmarkEnd w:id="14"/>
      <w:bookmarkEnd w:id="15"/>
      <w:r>
        <w:rPr>
          <w:rFonts w:ascii="Times New Roman" w:hAnsi="Times New Roman"/>
          <w:b w:val="false"/>
          <w:i w:val="false"/>
          <w:caps w:val="false"/>
          <w:smallCaps w:val="false"/>
          <w:color w:val="000000"/>
          <w:sz w:val="17"/>
          <w:u w:val="single"/>
        </w:rPr>
        <w:t>CECO ENVIRONMENTAL CORP. AND SUBSIDIARIES</w:t>
      </w:r>
    </w:p>
    <w:p>
      <w:pPr>
        <w:pStyle w:val="TextBody"/>
        <w:spacing w:before="0" w:after="0"/>
        <w:jc w:val="center"/>
        <w:rPr>
          <w:rFonts w:ascii="Times New Roman" w:hAnsi="Times New Roman"/>
          <w:b w:val="false"/>
          <w:i w:val="false"/>
          <w:caps w:val="false"/>
          <w:smallCaps w:val="false"/>
          <w:color w:val="000000"/>
          <w:sz w:val="17"/>
          <w:u w:val="single"/>
        </w:rPr>
      </w:pPr>
      <w:bookmarkStart w:id="16" w:name="NOTES_TO_CONDENSED_CONSOLIDATED_FINANCIA"/>
      <w:bookmarkEnd w:id="16"/>
      <w:r>
        <w:rPr>
          <w:rFonts w:ascii="Times New Roman" w:hAnsi="Times New Roman"/>
          <w:b w:val="false"/>
          <w:i w:val="false"/>
          <w:caps w:val="false"/>
          <w:smallCaps w:val="false"/>
          <w:color w:val="000000"/>
          <w:sz w:val="17"/>
          <w:u w:val="single"/>
        </w:rPr>
        <w:t>NOTES TO CONDENSED CONSOLIDATED FINANCIAL STATEMENTS</w:t>
      </w:r>
    </w:p>
    <w:p>
      <w:pPr>
        <w:pStyle w:val="TextBody"/>
        <w:spacing w:before="0" w:after="0"/>
        <w:jc w:val="center"/>
        <w:rPr>
          <w:rFonts w:ascii="Times New Roman" w:hAnsi="Times New Roman"/>
          <w:b w:val="false"/>
          <w:i w:val="false"/>
          <w:caps w:val="false"/>
          <w:smallCaps w:val="false"/>
          <w:color w:val="000000"/>
          <w:sz w:val="17"/>
          <w:u w:val="single"/>
        </w:rPr>
      </w:pPr>
      <w:r>
        <w:rPr>
          <w:rFonts w:ascii="Times New Roman" w:hAnsi="Times New Roman"/>
          <w:b w:val="false"/>
          <w:i w:val="false"/>
          <w:caps w:val="false"/>
          <w:smallCaps w:val="false"/>
          <w:color w:val="000000"/>
          <w:sz w:val="17"/>
          <w:u w:val="single"/>
        </w:rPr>
        <w:t>(unaudited)</w:t>
      </w:r>
    </w:p>
    <w:p>
      <w:pPr>
        <w:pStyle w:val="TextBody"/>
        <w:spacing w:before="0" w:after="0"/>
        <w:rPr/>
      </w:pPr>
      <w:r>
        <w:rPr/>
        <w:t> </w:t>
      </w:r>
    </w:p>
    <w:p>
      <w:pPr>
        <w:pStyle w:val="TextBody"/>
        <w:spacing w:before="0" w:after="0"/>
        <w:rPr/>
      </w:pPr>
      <w:r>
        <w:rPr/>
        <w:t> </w:t>
      </w:r>
    </w:p>
    <w:tbl>
      <w:tblPr>
        <w:tblW w:w="4330" w:type="dxa"/>
        <w:jc w:val="left"/>
        <w:tblInd w:w="0" w:type="dxa"/>
        <w:tblCellMar>
          <w:top w:w="0" w:type="dxa"/>
          <w:left w:w="0" w:type="dxa"/>
          <w:bottom w:w="0" w:type="dxa"/>
          <w:right w:w="0" w:type="dxa"/>
        </w:tblCellMar>
      </w:tblPr>
      <w:tblGrid>
        <w:gridCol w:w="155"/>
        <w:gridCol w:w="4175"/>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w:t>
            </w:r>
          </w:p>
        </w:tc>
        <w:tc>
          <w:tcPr>
            <w:tcW w:w="417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Basis of Reporting for Consolidated Financial Statements</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June 30, 2019 and the results of operations, cash flows and shareholders’ equity for the three-month and six-month periods ended June 30, 2019 and 2018. The results of operations for the three-month and six-month periods ended June 30, 2019 are not necessarily indicative of the results to be expected for the full year. The balance sheet as of December 31, 2018 has been derived from the audited consolidated financial statements included in the Company’s Annual Report on Form 10-K for the year ended December 31, 2018 as filed with the SEC.</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These financial statements and accompanying notes should be read in conjunction with the audited financial statements and the notes thereto included in the Company’s Annual Report on Form 10-K for the year ended December 31, 2018 filed with the SEC.</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Unless otherwise indicated, all balances within tables are in thousands, except per share amounts.</w:t>
      </w:r>
    </w:p>
    <w:p>
      <w:pPr>
        <w:pStyle w:val="TextBody"/>
        <w:spacing w:before="0" w:after="0"/>
        <w:rPr/>
      </w:pPr>
      <w:r>
        <w:rPr/>
        <w:t> </w:t>
      </w:r>
    </w:p>
    <w:p>
      <w:pPr>
        <w:pStyle w:val="TextBody"/>
        <w:spacing w:before="0" w:after="0"/>
        <w:rPr/>
      </w:pPr>
      <w:r>
        <w:rPr/>
        <w:t> </w:t>
      </w:r>
    </w:p>
    <w:tbl>
      <w:tblPr>
        <w:tblW w:w="3325" w:type="dxa"/>
        <w:jc w:val="left"/>
        <w:tblInd w:w="0" w:type="dxa"/>
        <w:tblCellMar>
          <w:top w:w="0" w:type="dxa"/>
          <w:left w:w="0" w:type="dxa"/>
          <w:bottom w:w="0" w:type="dxa"/>
          <w:right w:w="0" w:type="dxa"/>
        </w:tblCellMar>
      </w:tblPr>
      <w:tblGrid>
        <w:gridCol w:w="155"/>
        <w:gridCol w:w="3170"/>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2.</w:t>
            </w:r>
          </w:p>
        </w:tc>
        <w:tc>
          <w:tcPr>
            <w:tcW w:w="317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New Financial Accounting Pronouncements</w:t>
            </w:r>
          </w:p>
        </w:tc>
      </w:tr>
    </w:tbl>
    <w:p>
      <w:pPr>
        <w:pStyle w:val="TextBody"/>
        <w:spacing w:before="0" w:after="0"/>
        <w:rPr/>
      </w:pPr>
      <w:r>
        <w:rPr/>
        <w:t> </w:t>
      </w:r>
    </w:p>
    <w:p>
      <w:pPr>
        <w:pStyle w:val="TextBody"/>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Accounting Standards adopted in Fiscal 2019</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 February 2016, the Financial Accounting Standards Board (“FASB”) issued Accounting Standards Update (“ASU”) 2016-02, “Leases,” which, together with its related clarifying ASUs, provides revised guidance for lease accounting and related disclosure requirements and establishes a right-of-use (“ROU”) model that requires a lessee to record a ROU asset and a lease liability on the balance sheet for all leases with terms longer than 12 months. Under the guidance, leases are classified as either finance or operating, with classification affecting the pattern of expense recognition. We adopted ASU 2016-02 effective January 1, 2019, using the modified retrospective method which was applied to leases that existed or were entered into on or after January 1, 2019.  The Company elected to utilize the package of practical expedients that allows us to 1) not reassess whether any expired or existing contracts are or contain leases, 2) retain the existing classification of lease contracts as of the date of adoption, and 3) not reassess initial direct costs for any existing leases. We also elected to not separate lease and non-lease components, for all leases. The adoption of this standard had a material impact on our consolidated balance sheet due to the recognition of ROU assets and liabilities for our operating leases totaling $13.3 million, as well as an adjustment to beginning equity of $4.6 million, net of tax, related to a prior sales lease back transaction. The adoption of the standard did not have a material impact on our statement of operations or liquidity. See Note 12 – Leases for disclosures related to the amended guidance.</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In August 2017, the FASB issued ASU 2017-12, “Derivatives and Hedging (Topic 815): Targeted Improvements to Accounting for Hedging Activities.” This guidance </w:t>
      </w:r>
      <w:r>
        <w:rPr>
          <w:rFonts w:ascii="Times New Roman" w:hAnsi="Times New Roman"/>
          <w:b w:val="false"/>
          <w:i w:val="false"/>
          <w:caps w:val="false"/>
          <w:smallCaps w:val="false"/>
          <w:color w:val="000000"/>
          <w:sz w:val="17"/>
        </w:rPr>
        <w:t xml:space="preserve">expands an entity’s ability to apply hedge accounting for nonfinancial and financial risk components and allows for a simplified approach for fair value hedging of interest rate risk. Additionally, this ASU eliminates the need to separately measure and report hedge ineffectiveness and generally requires the entire change in fair value of a hedging instrument to be presented in the same income statement line as the hedged item. </w:t>
      </w:r>
      <w:r>
        <w:rPr>
          <w:rFonts w:ascii="Times New Roman" w:hAnsi="Times New Roman"/>
          <w:b w:val="false"/>
          <w:i w:val="false"/>
          <w:caps w:val="false"/>
          <w:smallCaps w:val="false"/>
          <w:sz w:val="17"/>
        </w:rPr>
        <w:t xml:space="preserve">The Company adopted this ASU on January 1, 2019 and applied the modified retrospective approach through a cumulative-effect adjustment from accumulated other comprehensive income (“AOCI”) to retained earnings as of the effective date. The impact of the adoption of this ASU was not material. </w:t>
      </w:r>
    </w:p>
    <w:p>
      <w:pPr>
        <w:pStyle w:val="TextBody"/>
        <w:spacing w:before="240" w:after="0"/>
        <w:rPr>
          <w:caps w:val="false"/>
          <w:smallCaps w:val="false"/>
        </w:rPr>
      </w:pPr>
      <w:r>
        <w:rPr>
          <w:caps w:val="false"/>
          <w:smallCaps w:val="false"/>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7</w:t>
      </w:r>
    </w:p>
    <w:p>
      <w:pPr>
        <w:pStyle w:val="HorizontalLine"/>
        <w:rPr/>
      </w:pPr>
      <w:r>
        <w:rPr/>
      </w:r>
    </w:p>
    <w:p>
      <w:pPr>
        <w:pStyle w:val="TextBody"/>
        <w:spacing w:before="160" w:after="0"/>
        <w:rPr>
          <w:rFonts w:ascii="Times New Roman" w:hAnsi="Times New Roman"/>
          <w:b/>
          <w:i w:val="false"/>
          <w:caps w:val="false"/>
          <w:smallCaps w:val="false"/>
          <w:color w:val="000000"/>
          <w:sz w:val="17"/>
        </w:rPr>
      </w:pPr>
      <w:bookmarkStart w:id="17" w:name="_AEIOULastRenderedPageBreakAEIOU8"/>
      <w:bookmarkEnd w:id="17"/>
      <w:r>
        <w:rPr>
          <w:rFonts w:ascii="Times New Roman" w:hAnsi="Times New Roman"/>
          <w:b/>
          <w:i w:val="false"/>
          <w:caps w:val="false"/>
          <w:smallCaps w:val="false"/>
          <w:color w:val="000000"/>
          <w:sz w:val="17"/>
        </w:rPr>
        <w:t>Accounting Standards Yet to be Adopted</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pStyle w:val="TextBody"/>
        <w:spacing w:before="0" w:after="0"/>
        <w:rPr/>
      </w:pPr>
      <w:r>
        <w:rPr/>
        <w:t> </w:t>
      </w:r>
    </w:p>
    <w:p>
      <w:pPr>
        <w:pStyle w:val="TextBody"/>
        <w:spacing w:before="0" w:after="0"/>
        <w:rPr/>
      </w:pPr>
      <w:r>
        <w:rPr/>
        <w:t> </w:t>
      </w:r>
    </w:p>
    <w:tbl>
      <w:tblPr>
        <w:tblW w:w="1660" w:type="dxa"/>
        <w:jc w:val="left"/>
        <w:tblInd w:w="0" w:type="dxa"/>
        <w:tblCellMar>
          <w:top w:w="0" w:type="dxa"/>
          <w:left w:w="0" w:type="dxa"/>
          <w:bottom w:w="0" w:type="dxa"/>
          <w:right w:w="0" w:type="dxa"/>
        </w:tblCellMar>
      </w:tblPr>
      <w:tblGrid>
        <w:gridCol w:w="155"/>
        <w:gridCol w:w="1505"/>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3.</w:t>
            </w:r>
          </w:p>
        </w:tc>
        <w:tc>
          <w:tcPr>
            <w:tcW w:w="150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Accounts Receivable</w:t>
            </w:r>
          </w:p>
        </w:tc>
      </w:tr>
    </w:tbl>
    <w:p>
      <w:pPr>
        <w:pStyle w:val="TextBody"/>
        <w:spacing w:before="0" w:after="0"/>
        <w:rPr>
          <w:caps w:val="false"/>
          <w:smallCaps w:val="false"/>
          <w:color w:val="000000"/>
        </w:rPr>
      </w:pPr>
      <w:r>
        <w:rPr>
          <w:caps w:val="false"/>
          <w:smallCaps w:val="false"/>
          <w:color w:val="000000"/>
        </w:rPr>
        <w:t> </w:t>
      </w:r>
    </w:p>
    <w:tbl>
      <w:tblPr>
        <w:tblW w:w="4553" w:type="dxa"/>
        <w:jc w:val="center"/>
        <w:tblInd w:w="0" w:type="dxa"/>
        <w:tblCellMar>
          <w:top w:w="0" w:type="dxa"/>
          <w:left w:w="0" w:type="dxa"/>
          <w:bottom w:w="28" w:type="dxa"/>
          <w:right w:w="0" w:type="dxa"/>
        </w:tblCellMar>
      </w:tblPr>
      <w:tblGrid>
        <w:gridCol w:w="2300"/>
        <w:gridCol w:w="60"/>
        <w:gridCol w:w="148"/>
        <w:gridCol w:w="696"/>
        <w:gridCol w:w="80"/>
        <w:gridCol w:w="60"/>
        <w:gridCol w:w="198"/>
        <w:gridCol w:w="931"/>
        <w:gridCol w:w="80"/>
      </w:tblGrid>
      <w:tr>
        <w:trPr/>
        <w:tc>
          <w:tcPr>
            <w:tcW w:w="23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Contract receivables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50,458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48,826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Trade receivables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12,375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7,296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0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Allowance for doubtful accounts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(2,796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(2,897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30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accounts receivable</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60,037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53,225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Balances billed but not paid by customers under retainage provisions in contracts within the Condensed Consolidated Balance Sheets amounted to approximately $1.3 million and $0.9 million at June 30, 2019 and December 31, 2018, respectively. Retainage receivables on contracts in progress are generally collected within a year after contract completion.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Bad debt expense was $0.3 million and $0.5 million for the three-month periods ended June 30, 2019 and 2018, respectively, and $0.4 million and $0.6 for the six-month periods ended June 30, 2019 and 2018, respectively. </w:t>
      </w:r>
    </w:p>
    <w:p>
      <w:pPr>
        <w:pStyle w:val="TextBody"/>
        <w:spacing w:before="0" w:after="0"/>
        <w:rPr/>
      </w:pPr>
      <w:r>
        <w:rPr/>
        <w:t> </w:t>
      </w:r>
    </w:p>
    <w:p>
      <w:pPr>
        <w:pStyle w:val="TextBody"/>
        <w:spacing w:before="0" w:after="0"/>
        <w:rPr/>
      </w:pPr>
      <w:r>
        <w:rPr/>
        <w:t> </w:t>
      </w:r>
    </w:p>
    <w:tbl>
      <w:tblPr>
        <w:tblW w:w="4315" w:type="dxa"/>
        <w:jc w:val="left"/>
        <w:tblInd w:w="0" w:type="dxa"/>
        <w:tblCellMar>
          <w:top w:w="0" w:type="dxa"/>
          <w:left w:w="0" w:type="dxa"/>
          <w:bottom w:w="0" w:type="dxa"/>
          <w:right w:w="0" w:type="dxa"/>
        </w:tblCellMar>
      </w:tblPr>
      <w:tblGrid>
        <w:gridCol w:w="155"/>
        <w:gridCol w:w="4160"/>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4.</w:t>
            </w:r>
          </w:p>
        </w:tc>
        <w:tc>
          <w:tcPr>
            <w:tcW w:w="416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Costs and Estimated Earnings on Uncompleted Contracts</w:t>
            </w:r>
          </w:p>
        </w:tc>
      </w:tr>
    </w:tbl>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contracts have various lengths to completion ranging from a few days to several months. We anticipate that a majority of our current contracts will be completed within the next twelve to eighteen months.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pStyle w:val="TextBody"/>
        <w:spacing w:before="240" w:after="0"/>
        <w:rPr/>
      </w:pPr>
      <w:r>
        <w:rPr/>
        <w:t> </w:t>
      </w:r>
    </w:p>
    <w:tbl>
      <w:tblPr>
        <w:tblW w:w="7493" w:type="dxa"/>
        <w:jc w:val="left"/>
        <w:tblInd w:w="0" w:type="dxa"/>
        <w:tblCellMar>
          <w:top w:w="0" w:type="dxa"/>
          <w:left w:w="0" w:type="dxa"/>
          <w:bottom w:w="28" w:type="dxa"/>
          <w:right w:w="0" w:type="dxa"/>
        </w:tblCellMar>
      </w:tblPr>
      <w:tblGrid>
        <w:gridCol w:w="5240"/>
        <w:gridCol w:w="60"/>
        <w:gridCol w:w="119"/>
        <w:gridCol w:w="725"/>
        <w:gridCol w:w="80"/>
        <w:gridCol w:w="60"/>
        <w:gridCol w:w="160"/>
        <w:gridCol w:w="969"/>
        <w:gridCol w:w="80"/>
      </w:tblGrid>
      <w:tr>
        <w:trPr/>
        <w:tc>
          <w:tcPr>
            <w:tcW w:w="524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Costs incurred on uncompleted contracts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180,241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174,168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Estimated earnings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72,881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67,427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costs and estimated earnings on uncompleted contracts, gross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253,122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241,595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billings to date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(242,932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(232,045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24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costs and estimated earnings on uncompleted contracts, net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10,190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Included in the accompanying condensed consolidated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balance sheets under the following captions: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Costs and estimated earnings in excess of billings on uncompleted contracts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32,205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29,694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4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Billings in excess of costs and estimated earnings on uncompleted contracts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(22,015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(20,144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24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costs and estimated earnings on uncompleted contracts, net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10,190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6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9,550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color w:val="000000"/>
        </w:rPr>
      </w:pPr>
      <w:r>
        <w:rPr>
          <w:caps w:val="false"/>
          <w:smallCaps w:val="false"/>
          <w:color w:val="000000"/>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No provision for estimated losses on uncompleted contracts was required as of June 30, 2019 or December 31, 2018.</w:t>
      </w:r>
    </w:p>
    <w:p>
      <w:pPr>
        <w:pStyle w:val="TextBody"/>
        <w:spacing w:before="0" w:after="0"/>
        <w:rPr/>
      </w:pPr>
      <w:r>
        <w:rPr/>
        <w:t> </w:t>
      </w:r>
    </w:p>
    <w:p>
      <w:pPr>
        <w:pStyle w:val="TextBody"/>
        <w:spacing w:before="0" w:after="0"/>
        <w:rPr/>
      </w:pPr>
      <w:r>
        <w:rPr/>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8</w:t>
      </w:r>
    </w:p>
    <w:p>
      <w:pPr>
        <w:pStyle w:val="HorizontalLine"/>
        <w:rPr/>
      </w:pPr>
      <w:r>
        <w:rPr/>
      </w:r>
    </w:p>
    <w:p>
      <w:pPr>
        <w:pStyle w:val="TextBody"/>
        <w:spacing w:before="0" w:after="0"/>
        <w:rPr/>
      </w:pPr>
      <w:r>
        <w:rPr/>
        <w:t> </w:t>
      </w:r>
    </w:p>
    <w:tbl>
      <w:tblPr>
        <w:tblW w:w="985" w:type="dxa"/>
        <w:jc w:val="left"/>
        <w:tblInd w:w="0" w:type="dxa"/>
        <w:tblCellMar>
          <w:top w:w="0" w:type="dxa"/>
          <w:left w:w="0" w:type="dxa"/>
          <w:bottom w:w="0" w:type="dxa"/>
          <w:right w:w="0" w:type="dxa"/>
        </w:tblCellMar>
      </w:tblPr>
      <w:tblGrid>
        <w:gridCol w:w="155"/>
        <w:gridCol w:w="830"/>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5.</w:t>
            </w:r>
          </w:p>
        </w:tc>
        <w:tc>
          <w:tcPr>
            <w:tcW w:w="83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Inventories</w:t>
            </w:r>
          </w:p>
        </w:tc>
      </w:tr>
    </w:tbl>
    <w:p>
      <w:pPr>
        <w:pStyle w:val="TextBody"/>
        <w:spacing w:before="0" w:after="0"/>
        <w:rPr>
          <w:caps w:val="false"/>
          <w:smallCaps w:val="false"/>
          <w:color w:val="000000"/>
        </w:rPr>
      </w:pPr>
      <w:r>
        <w:rPr>
          <w:caps w:val="false"/>
          <w:smallCaps w:val="false"/>
          <w:color w:val="000000"/>
        </w:rPr>
        <w:t> </w:t>
      </w:r>
    </w:p>
    <w:tbl>
      <w:tblPr>
        <w:tblW w:w="3938" w:type="dxa"/>
        <w:jc w:val="center"/>
        <w:tblInd w:w="0" w:type="dxa"/>
        <w:tblCellMar>
          <w:top w:w="0" w:type="dxa"/>
          <w:left w:w="0" w:type="dxa"/>
          <w:bottom w:w="28" w:type="dxa"/>
          <w:right w:w="0" w:type="dxa"/>
        </w:tblCellMar>
      </w:tblPr>
      <w:tblGrid>
        <w:gridCol w:w="1685"/>
        <w:gridCol w:w="60"/>
        <w:gridCol w:w="148"/>
        <w:gridCol w:w="696"/>
        <w:gridCol w:w="80"/>
        <w:gridCol w:w="60"/>
        <w:gridCol w:w="198"/>
        <w:gridCol w:w="931"/>
        <w:gridCol w:w="80"/>
      </w:tblGrid>
      <w:tr>
        <w:trPr/>
        <w:tc>
          <w:tcPr>
            <w:tcW w:w="168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Raw materials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16,747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15,819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Work in process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Finished goods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8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Obsolescence allowance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(2,472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(1,907</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168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inventories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22,376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20,817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Amounts credited to the allowance for obsolete inventory and charged to cost of sales amounted to $0.2 million and $0.1 million for the three-month periods ended June 30, 2019 and 2018, respectively, and $0.4 million for the six-month periods ended June 30, 2019 and 2018.</w:t>
      </w:r>
    </w:p>
    <w:p>
      <w:pPr>
        <w:pStyle w:val="TextBody"/>
        <w:spacing w:before="0" w:after="0"/>
        <w:rPr/>
      </w:pPr>
      <w:r>
        <w:rPr/>
        <w:t> </w:t>
      </w:r>
    </w:p>
    <w:p>
      <w:pPr>
        <w:pStyle w:val="TextBody"/>
        <w:spacing w:before="0" w:after="0"/>
        <w:rPr/>
      </w:pPr>
      <w:r>
        <w:rPr/>
        <w:t> </w:t>
      </w:r>
    </w:p>
    <w:tbl>
      <w:tblPr>
        <w:tblW w:w="2410" w:type="dxa"/>
        <w:jc w:val="left"/>
        <w:tblInd w:w="0" w:type="dxa"/>
        <w:tblCellMar>
          <w:top w:w="0" w:type="dxa"/>
          <w:left w:w="0" w:type="dxa"/>
          <w:bottom w:w="0" w:type="dxa"/>
          <w:right w:w="0" w:type="dxa"/>
        </w:tblCellMar>
      </w:tblPr>
      <w:tblGrid>
        <w:gridCol w:w="155"/>
        <w:gridCol w:w="2255"/>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6.</w:t>
            </w:r>
          </w:p>
        </w:tc>
        <w:tc>
          <w:tcPr>
            <w:tcW w:w="22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Goodwill and Intangible Assets</w:t>
            </w:r>
          </w:p>
        </w:tc>
      </w:tr>
    </w:tbl>
    <w:p>
      <w:pPr>
        <w:pStyle w:val="TextBody"/>
        <w:spacing w:before="0" w:after="0"/>
        <w:rPr>
          <w:caps w:val="false"/>
          <w:smallCaps w:val="false"/>
          <w:color w:val="000000"/>
        </w:rPr>
      </w:pPr>
      <w:r>
        <w:rPr>
          <w:caps w:val="false"/>
          <w:smallCaps w:val="false"/>
          <w:color w:val="000000"/>
        </w:rPr>
        <w:t> </w:t>
      </w:r>
    </w:p>
    <w:tbl>
      <w:tblPr>
        <w:tblW w:w="6453" w:type="dxa"/>
        <w:jc w:val="center"/>
        <w:tblInd w:w="0" w:type="dxa"/>
        <w:tblCellMar>
          <w:top w:w="0" w:type="dxa"/>
          <w:left w:w="0" w:type="dxa"/>
          <w:bottom w:w="28" w:type="dxa"/>
          <w:right w:w="0" w:type="dxa"/>
        </w:tblCellMar>
      </w:tblPr>
      <w:tblGrid>
        <w:gridCol w:w="2450"/>
        <w:gridCol w:w="60"/>
        <w:gridCol w:w="143"/>
        <w:gridCol w:w="791"/>
        <w:gridCol w:w="78"/>
        <w:gridCol w:w="78"/>
        <w:gridCol w:w="143"/>
        <w:gridCol w:w="673"/>
        <w:gridCol w:w="80"/>
        <w:gridCol w:w="60"/>
        <w:gridCol w:w="135"/>
        <w:gridCol w:w="743"/>
        <w:gridCol w:w="98"/>
        <w:gridCol w:w="73"/>
        <w:gridCol w:w="135"/>
        <w:gridCol w:w="633"/>
        <w:gridCol w:w="80"/>
      </w:tblGrid>
      <w:tr>
        <w:trPr/>
        <w:tc>
          <w:tcPr>
            <w:tcW w:w="24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17"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Year ended December 31, 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Goodwill / Tradename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Goodwill</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Tradename</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7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Goodwill</w:t>
            </w:r>
          </w:p>
        </w:tc>
        <w:tc>
          <w:tcPr>
            <w:tcW w:w="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Tradename</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Beginning balance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152,156</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18,258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4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166,951</w:t>
            </w:r>
          </w:p>
        </w:tc>
        <w:tc>
          <w:tcPr>
            <w:tcW w:w="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19,691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Transfers to finite life classification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(3,904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(14,317</w:t>
            </w:r>
          </w:p>
        </w:tc>
        <w:tc>
          <w:tcPr>
            <w:tcW w:w="9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(1,340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5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translation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w:t>
            </w:r>
          </w:p>
        </w:tc>
        <w:tc>
          <w:tcPr>
            <w:tcW w:w="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(478</w:t>
            </w:r>
          </w:p>
        </w:tc>
        <w:tc>
          <w:tcPr>
            <w:tcW w:w="9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5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152,199</w:t>
            </w:r>
          </w:p>
        </w:tc>
        <w:tc>
          <w:tcPr>
            <w:tcW w:w="7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14,342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152,156</w:t>
            </w:r>
          </w:p>
        </w:tc>
        <w:tc>
          <w:tcPr>
            <w:tcW w:w="98"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18,258</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tbl>
      <w:tblPr>
        <w:tblW w:w="5749" w:type="dxa"/>
        <w:jc w:val="center"/>
        <w:tblInd w:w="0" w:type="dxa"/>
        <w:tblCellMar>
          <w:top w:w="0" w:type="dxa"/>
          <w:left w:w="0" w:type="dxa"/>
          <w:bottom w:w="28" w:type="dxa"/>
          <w:right w:w="0" w:type="dxa"/>
        </w:tblCellMar>
      </w:tblPr>
      <w:tblGrid>
        <w:gridCol w:w="2075"/>
        <w:gridCol w:w="60"/>
        <w:gridCol w:w="110"/>
        <w:gridCol w:w="515"/>
        <w:gridCol w:w="80"/>
        <w:gridCol w:w="60"/>
        <w:gridCol w:w="79"/>
        <w:gridCol w:w="37"/>
        <w:gridCol w:w="837"/>
        <w:gridCol w:w="80"/>
        <w:gridCol w:w="60"/>
        <w:gridCol w:w="115"/>
        <w:gridCol w:w="540"/>
        <w:gridCol w:w="84"/>
        <w:gridCol w:w="63"/>
        <w:gridCol w:w="153"/>
        <w:gridCol w:w="721"/>
        <w:gridCol w:w="80"/>
      </w:tblGrid>
      <w:tr>
        <w:trPr/>
        <w:tc>
          <w:tcPr>
            <w:tcW w:w="20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8"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 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7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As of 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Intangible assets – finite life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Cost</w:t>
            </w:r>
          </w:p>
        </w:tc>
        <w:tc>
          <w:tcPr>
            <w:tcW w:w="140"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 Amort.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Cost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Accum. Amort.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Technology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14,457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gridSpan w:val="2"/>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9,933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14,457</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9,414</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Customer lists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68,943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41,342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68,943</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37,873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Noncompetition agreements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gridSpan w:val="2"/>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910</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Tradename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5,294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gridSpan w:val="2"/>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1,390</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07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adjustments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gridSpan w:val="2"/>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(1,520</w:t>
            </w:r>
          </w:p>
        </w:tc>
        <w:tc>
          <w:tcPr>
            <w:tcW w:w="8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075"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88,083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6" w:type="dxa"/>
            <w:gridSpan w:val="2"/>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52,556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84,180</w:t>
            </w:r>
          </w:p>
        </w:tc>
        <w:tc>
          <w:tcPr>
            <w:tcW w:w="8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48,221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Activity for the six-months ended June 30, 2019 and 2018 is as follows:</w:t>
      </w:r>
    </w:p>
    <w:p>
      <w:pPr>
        <w:pStyle w:val="TextBody"/>
        <w:spacing w:before="40" w:after="0"/>
        <w:rPr/>
      </w:pPr>
      <w:r>
        <w:rPr/>
        <w:t> </w:t>
      </w:r>
    </w:p>
    <w:tbl>
      <w:tblPr>
        <w:tblW w:w="5390" w:type="dxa"/>
        <w:jc w:val="left"/>
        <w:tblInd w:w="0" w:type="dxa"/>
        <w:tblCellMar>
          <w:top w:w="0" w:type="dxa"/>
          <w:left w:w="0" w:type="dxa"/>
          <w:bottom w:w="28" w:type="dxa"/>
          <w:right w:w="0" w:type="dxa"/>
        </w:tblCellMar>
      </w:tblPr>
      <w:tblGrid>
        <w:gridCol w:w="3860"/>
        <w:gridCol w:w="60"/>
        <w:gridCol w:w="110"/>
        <w:gridCol w:w="515"/>
        <w:gridCol w:w="80"/>
        <w:gridCol w:w="60"/>
        <w:gridCol w:w="110"/>
        <w:gridCol w:w="515"/>
        <w:gridCol w:w="80"/>
      </w:tblGrid>
      <w:tr>
        <w:trPr/>
        <w:tc>
          <w:tcPr>
            <w:tcW w:w="3860"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Intangible assets – finite life, net at beginning of period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35,959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49,956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expense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(4,320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(4,988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Divestitures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(2,372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Transfers from indefinite life classification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3,904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86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Foreign currency adjustments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86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Intangible assets – finite life, net at end of period</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35,527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42,444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rPr>
          <w:caps w:val="false"/>
          <w:smallCaps w:val="false"/>
        </w:rPr>
      </w:pPr>
      <w:r>
        <w:rPr>
          <w:caps w:val="false"/>
          <w:smallCaps w:val="false"/>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expense of finite life intangible assets was $2.2 million and $2.4 million for the three-month periods ended June 30, 2019 and 2018, respectively and $4.3 million and $5.0 million for the six-month periods ended June 30, 2019 and 2018. Amortization over the next five years for finite life intangibles is expected to be $4.1 million for the remainder of 2019, $6.8 million in 2020, $5.7 million in 2021, $4.8 million in 2022, and $4.0 million in 2023.</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During the six-month period ended June 30, 2019, the Company reassessed the useful lives of certain tradenames and determined that $3.9 million of their tradenames would have useful lives of 10 years now versus indefinite. The Company did not identify any triggering events during the three-month period ended June 30, 2019 that would require an interim impairment assessment of goodwill or intangible assets.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9</w:t>
      </w:r>
    </w:p>
    <w:p>
      <w:pPr>
        <w:pStyle w:val="HorizontalLine"/>
        <w:rPr/>
      </w:pPr>
      <w:r>
        <w:rPr/>
      </w:r>
    </w:p>
    <w:tbl>
      <w:tblPr>
        <w:tblW w:w="3115" w:type="dxa"/>
        <w:jc w:val="left"/>
        <w:tblInd w:w="0" w:type="dxa"/>
        <w:tblCellMar>
          <w:top w:w="0" w:type="dxa"/>
          <w:left w:w="0" w:type="dxa"/>
          <w:bottom w:w="0" w:type="dxa"/>
          <w:right w:w="0" w:type="dxa"/>
        </w:tblCellMar>
      </w:tblPr>
      <w:tblGrid>
        <w:gridCol w:w="155"/>
        <w:gridCol w:w="2960"/>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7.</w:t>
            </w:r>
          </w:p>
        </w:tc>
        <w:tc>
          <w:tcPr>
            <w:tcW w:w="296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18" w:name="_AEIOULastRenderedPageBreakAEIOU9"/>
            <w:bookmarkEnd w:id="18"/>
            <w:r>
              <w:rPr>
                <w:rFonts w:ascii="Times New Roman" w:hAnsi="Times New Roman"/>
                <w:b/>
                <w:i w:val="false"/>
                <w:caps w:val="false"/>
                <w:smallCaps w:val="false"/>
                <w:color w:val="000000"/>
                <w:sz w:val="17"/>
              </w:rPr>
              <w:t>Accounts Payable and Accrued Expenses</w:t>
            </w:r>
          </w:p>
        </w:tc>
      </w:tr>
    </w:tbl>
    <w:p>
      <w:pPr>
        <w:pStyle w:val="TextBody"/>
        <w:spacing w:before="0" w:after="0"/>
        <w:rPr>
          <w:caps w:val="false"/>
          <w:smallCaps w:val="false"/>
          <w:color w:val="000000"/>
        </w:rPr>
      </w:pPr>
      <w:r>
        <w:rPr>
          <w:caps w:val="false"/>
          <w:smallCaps w:val="false"/>
          <w:color w:val="000000"/>
        </w:rPr>
        <w:t> </w:t>
      </w:r>
    </w:p>
    <w:p>
      <w:pPr>
        <w:pStyle w:val="TextBody"/>
        <w:spacing w:before="0" w:after="0"/>
        <w:rPr/>
      </w:pPr>
      <w:r>
        <w:rPr/>
        <w:t> </w:t>
      </w:r>
    </w:p>
    <w:tbl>
      <w:tblPr>
        <w:tblW w:w="6148" w:type="dxa"/>
        <w:jc w:val="center"/>
        <w:tblInd w:w="0" w:type="dxa"/>
        <w:tblCellMar>
          <w:top w:w="0" w:type="dxa"/>
          <w:left w:w="0" w:type="dxa"/>
          <w:bottom w:w="28" w:type="dxa"/>
          <w:right w:w="0" w:type="dxa"/>
        </w:tblCellMar>
      </w:tblPr>
      <w:tblGrid>
        <w:gridCol w:w="3935"/>
        <w:gridCol w:w="60"/>
        <w:gridCol w:w="148"/>
        <w:gridCol w:w="696"/>
        <w:gridCol w:w="60"/>
        <w:gridCol w:w="60"/>
        <w:gridCol w:w="198"/>
        <w:gridCol w:w="931"/>
        <w:gridCol w:w="60"/>
      </w:tblGrid>
      <w:tr>
        <w:trPr/>
        <w:tc>
          <w:tcPr>
            <w:tcW w:w="3935" w:type="dxa"/>
            <w:tcBorders>
              <w:bottom w:val="sing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Trade accounts payable, including due to subcontractors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48,174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51,984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Compensation and related benefits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6,056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7,578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Short-term lease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Accrued warranty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3,384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Contract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5,053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Other accrued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8,919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10,742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3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accounts payable and accrued expenses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75,084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80,229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tbl>
      <w:tblPr>
        <w:tblW w:w="1000" w:type="dxa"/>
        <w:jc w:val="left"/>
        <w:tblInd w:w="0" w:type="dxa"/>
        <w:tblCellMar>
          <w:top w:w="0" w:type="dxa"/>
          <w:left w:w="0" w:type="dxa"/>
          <w:bottom w:w="0" w:type="dxa"/>
          <w:right w:w="0" w:type="dxa"/>
        </w:tblCellMar>
      </w:tblPr>
      <w:tblGrid>
        <w:gridCol w:w="155"/>
        <w:gridCol w:w="845"/>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8.</w:t>
            </w:r>
          </w:p>
        </w:tc>
        <w:tc>
          <w:tcPr>
            <w:tcW w:w="8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Senior debt</w:t>
            </w:r>
          </w:p>
        </w:tc>
      </w:tr>
    </w:tbl>
    <w:p>
      <w:pPr>
        <w:pStyle w:val="TextBody"/>
        <w:spacing w:before="120" w:after="0"/>
        <w:ind w:left="768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Debt consisted of the following at June 30, 2019 and December 31, 2018:</w:t>
      </w:r>
    </w:p>
    <w:p>
      <w:pPr>
        <w:pStyle w:val="TextBody"/>
        <w:spacing w:before="40" w:after="0"/>
        <w:rPr/>
      </w:pPr>
      <w:r>
        <w:rPr/>
        <w:t> </w:t>
      </w:r>
    </w:p>
    <w:tbl>
      <w:tblPr>
        <w:tblW w:w="7148" w:type="dxa"/>
        <w:jc w:val="left"/>
        <w:tblInd w:w="0" w:type="dxa"/>
        <w:tblCellMar>
          <w:top w:w="0" w:type="dxa"/>
          <w:left w:w="0" w:type="dxa"/>
          <w:bottom w:w="28" w:type="dxa"/>
          <w:right w:w="0" w:type="dxa"/>
        </w:tblCellMar>
      </w:tblPr>
      <w:tblGrid>
        <w:gridCol w:w="4895"/>
        <w:gridCol w:w="60"/>
        <w:gridCol w:w="148"/>
        <w:gridCol w:w="696"/>
        <w:gridCol w:w="80"/>
        <w:gridCol w:w="60"/>
        <w:gridCol w:w="198"/>
        <w:gridCol w:w="931"/>
        <w:gridCol w:w="80"/>
      </w:tblGrid>
      <w:tr>
        <w:trPr/>
        <w:tc>
          <w:tcPr>
            <w:tcW w:w="48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bookmarkStart w:id="19" w:name="_Hlk15913782"/>
            <w:bookmarkEnd w:id="19"/>
            <w:r>
              <w:rPr>
                <w:rFonts w:ascii="Times New Roman" w:hAnsi="Times New Roman"/>
                <w:b w:val="false"/>
                <w:i w:val="false"/>
                <w:caps w:val="false"/>
                <w:smallCaps w:val="false"/>
                <w:color w:val="000000"/>
                <w:sz w:val="17"/>
              </w:rPr>
              <w:t>Outstanding borrowings under Credit Facility (defined below).</w:t>
            </w:r>
          </w:p>
          <w:p>
            <w:pPr>
              <w:pStyle w:val="TableContents"/>
              <w:spacing w:before="0" w:after="0"/>
              <w:ind w:left="288"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Term loan payable in quarterly principal installments of $0.6 million</w:t>
            </w:r>
          </w:p>
          <w:p>
            <w:pPr>
              <w:pStyle w:val="TableContents"/>
              <w:spacing w:before="0" w:after="0"/>
              <w:ind w:left="288"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through June 2021, $0.9 million through June 2023, and $1.3 million</w:t>
            </w:r>
          </w:p>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thereafter with balance due upon maturity in June 2024.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76,147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Revolving Credit Loan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Unamortized debt discount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(1,691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89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outstanding borrowings under Credit Facility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current portion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(2,500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9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debt, less current portion</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72,539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74,456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Scheduled principal payments under our new Credit Facility are $1.2 million in 2019, $2.5 million in 2020, $3.1 million in 2021, $3.8 million in 2022, $4.4 million in 2023, $35.0 million in 2024.</w:t>
      </w:r>
    </w:p>
    <w:p>
      <w:pPr>
        <w:pStyle w:val="TextBody"/>
        <w:spacing w:before="360" w:after="0"/>
        <w:rPr>
          <w:rFonts w:ascii="Times New Roman" w:hAnsi="Times New Roman"/>
          <w:b w:val="false"/>
          <w:i w:val="false"/>
          <w:caps w:val="false"/>
          <w:smallCaps w:val="false"/>
          <w:color w:val="000000"/>
          <w:sz w:val="17"/>
          <w:u w:val="single"/>
        </w:rPr>
      </w:pPr>
      <w:r>
        <w:rPr>
          <w:rFonts w:ascii="Times New Roman" w:hAnsi="Times New Roman"/>
          <w:b w:val="false"/>
          <w:i w:val="false"/>
          <w:caps w:val="false"/>
          <w:smallCaps w:val="false"/>
          <w:color w:val="000000"/>
          <w:sz w:val="17"/>
          <w:u w:val="single"/>
        </w:rPr>
        <w:t>United States Debt</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On June 11, 2019, the Company entered into a Second Amended and Restated Credit Agreement (the “Credit Facility”). The new Credit Facility amends the Company’s existing amended and restated agreement, dated September 3, 2015. Pursuant to the new Credit Facility, the lenders provided a term loan in the aggregate principal amount of $50.0 million and the lenders increased their senior secured revolving credit commitments to the aggregate principal amount of $140.0 million. This revolving credit commitment allows the Company the ability to borrow loans denominated in different currencies. Additionally, the new Credit Facility extended the maturity date to June 11, 2024, reduced interest rates, and redefined certain financial covenants.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 of June 30, 2019 and December 31, 2018, $15.7 million and $29.3 million of letters of credit were outstanding, respectively. Total unused credit availability under the Company’s senior secured term loan and senior secured revolver loan with sub-facilities for letters of credit, swing-line loans and senior secured multi-currency loans was $97.3 million and $50.7 million at June 30, 2019 and December 31, 2018, respectively. Revolving loans may be borrowed, repaid and reborrowed until June 11, 2024, at which time all outstanding balances of the new Credit Facility must be repaid.</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weighted average stated interest rate on outstanding borrowings was 4.41% and 5.27% at June 30, 2019 and December 31, 2018, respectively.</w:t>
      </w:r>
    </w:p>
    <w:p>
      <w:pPr>
        <w:pStyle w:val="TextBody"/>
        <w:spacing w:before="240" w:after="0"/>
        <w:rPr>
          <w:rFonts w:ascii="Times New Roman" w:hAnsi="Times New Roman"/>
          <w:b w:val="false"/>
          <w:i w:val="false"/>
          <w:caps w:val="false"/>
          <w:smallCaps w:val="false"/>
          <w:color w:val="000000"/>
          <w:sz w:val="17"/>
        </w:rPr>
      </w:pPr>
      <w:bookmarkStart w:id="20" w:name="_AEIOULastRenderedPageBreakAEIOU10"/>
      <w:bookmarkEnd w:id="20"/>
      <w:r>
        <w:rPr>
          <w:rFonts w:ascii="Times New Roman" w:hAnsi="Times New Roman"/>
          <w:b w:val="false"/>
          <w:i w:val="false"/>
          <w:caps w:val="false"/>
          <w:smallCaps w:val="false"/>
          <w:color w:val="000000"/>
          <w:sz w:val="17"/>
        </w:rPr>
        <w:t xml:space="preserve">In connection with the new Credit Facility, the Company terminated its existing interest rate swap agreement. The fair value of the interest rate swap was zero and an asset of $0.5 million as of June 30, 2019 and December 31, 2018, respectively, and is classified within the “Deferred charges and other assets” on the Condensed Consolidated Balance Sheets. The Company designated the interest rate swap as an effective hedge until the date of termination; therefore, the changes to the fair value of the interest rate swap were recorded in other comprehensive income, until the date of termination. Upon termination of the swap agreement, $0.2 million previously recognized in other comprehensive income was recognized into income during the three- and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10</w:t>
      </w:r>
    </w:p>
    <w:p>
      <w:pPr>
        <w:pStyle w:val="HorizontalLine"/>
        <w:rPr/>
      </w:pPr>
      <w:r>
        <w:rPr/>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six-month periods ended June 30, 2019, and is classified within “Other income (expense), net” on the Condensed Consolidated Statements of Operations.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Under the terms of the new Credit Facility, the Company is required to maintain certain financial covenants, including the maintenance of a Consolidated Net Leverage Ratio.  Through </w:t>
      </w:r>
      <w:r>
        <w:rPr>
          <w:rFonts w:ascii="Times New Roman" w:hAnsi="Times New Roman"/>
          <w:b w:val="false"/>
          <w:i w:val="false"/>
          <w:caps w:val="false"/>
          <w:smallCaps w:val="false"/>
          <w:color w:val="000000"/>
          <w:sz w:val="17"/>
        </w:rPr>
        <w:t>September 30,</w:t>
      </w:r>
      <w:r>
        <w:rPr>
          <w:rFonts w:ascii="Times New Roman" w:hAnsi="Times New Roman"/>
          <w:b w:val="false"/>
          <w:i w:val="false"/>
          <w:caps w:val="false"/>
          <w:smallCaps w:val="false"/>
          <w:sz w:val="17"/>
        </w:rPr>
        <w:t xml:space="preserve"> 2020, the maximum Consolidated Net Leverage Ratio is 3.75, after which time it will decrease to 3.50 through September 30, 2021. The Consolidated Net Leverage Ratio will then decrease to 3.25 until the end of the term of the new Credit Facility.</w:t>
      </w:r>
      <w:r>
        <w:rPr>
          <w:rFonts w:ascii="Times New Roman" w:hAnsi="Times New Roman"/>
          <w:b w:val="false"/>
          <w:i w:val="false"/>
          <w:caps w:val="false"/>
          <w:smallCaps w:val="false"/>
          <w:color w:val="000000"/>
          <w:sz w:val="17"/>
        </w:rPr>
        <w:t xml:space="preserve">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 of June 30, 2019 and December 31, 2018, the Company was in compliance with all related financial and other restrictive covenants under the Credit Facility.</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 connection with the new Credit Facility, the Company paid $1.1 million in customary closing fees during the three-month period ended June 30, 2019 that were deferred and classified as a debt discount. Additionally, during the three-month period ended June 30, 2019, $0.4 million of the existing debt discount was expensed, and classified as interest expense, as a result of the debt modification.</w:t>
      </w:r>
    </w:p>
    <w:p>
      <w:pPr>
        <w:pStyle w:val="TextBody"/>
        <w:spacing w:before="240" w:after="0"/>
        <w:rPr>
          <w:rFonts w:ascii="Times New Roman" w:hAnsi="Times New Roman"/>
          <w:b w:val="false"/>
          <w:i w:val="false"/>
          <w:caps w:val="false"/>
          <w:smallCaps w:val="false"/>
          <w:color w:val="000000"/>
          <w:sz w:val="17"/>
          <w:u w:val="single"/>
        </w:rPr>
      </w:pPr>
      <w:r>
        <w:rPr>
          <w:rFonts w:ascii="Times New Roman" w:hAnsi="Times New Roman"/>
          <w:b w:val="false"/>
          <w:i w:val="false"/>
          <w:caps w:val="false"/>
          <w:smallCaps w:val="false"/>
          <w:color w:val="000000"/>
          <w:sz w:val="17"/>
          <w:u w:val="single"/>
        </w:rPr>
        <w:t>Foreign Debt</w:t>
      </w:r>
    </w:p>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 has a number of bank guarantee facilities and bilateral lines in various countries currently supported by cash, letters of credit or pledged assets and collateral under the new Credit Facility.  The new Credit Facility allows letters of credit and bank guarantee issuances of up to $50.0 million from the bilateral lines secured by pledged assets and collateral under the new Credit Facility. As of June 30, 2019, $10.5 million in bank guarantees were outstanding. </w:t>
      </w:r>
      <w:r>
        <w:rPr>
          <w:rFonts w:ascii="Times New Roman" w:hAnsi="Times New Roman"/>
          <w:b w:val="false"/>
          <w:i w:val="false"/>
          <w:caps w:val="false"/>
          <w:smallCaps w:val="false"/>
          <w:color w:val="000000"/>
          <w:sz w:val="17"/>
        </w:rPr>
        <w:t>In addition, a subsidiary of the Company located in the Netherlands has a Euro-denominated bank guarantee agreement secured by local assets under which $3.1 million in bank guarantees were outstanding as of June 30, 2019.  As of June 30, 2019, the borrowers of these facilities and agreements were in compliance with all related financial and other restrictive covenants.   </w:t>
      </w:r>
      <w:r>
        <w:rPr>
          <w:rFonts w:ascii="Times New Roman" w:hAnsi="Times New Roman"/>
          <w:b w:val="false"/>
          <w:i w:val="false"/>
          <w:caps w:val="false"/>
          <w:smallCaps w:val="false"/>
          <w:sz w:val="17"/>
        </w:rPr>
        <w:t> </w:t>
      </w:r>
      <w:r>
        <w:rPr>
          <w:rFonts w:ascii="Times New Roman" w:hAnsi="Times New Roman"/>
          <w:b w:val="false"/>
          <w:i w:val="false"/>
          <w:caps w:val="false"/>
          <w:smallCaps w:val="false"/>
          <w:color w:val="000000"/>
          <w:sz w:val="17"/>
        </w:rPr>
        <w:t xml:space="preserve"> </w:t>
      </w:r>
      <w:r>
        <w:rPr>
          <w:rFonts w:ascii="Times New Roman" w:hAnsi="Times New Roman"/>
          <w:b w:val="false"/>
          <w:i w:val="false"/>
          <w:caps w:val="false"/>
          <w:smallCaps w:val="false"/>
          <w:sz w:val="17"/>
        </w:rPr>
        <w:t>   </w:t>
      </w:r>
    </w:p>
    <w:p>
      <w:pPr>
        <w:pStyle w:val="TextBody"/>
        <w:spacing w:before="0" w:after="0"/>
        <w:rPr/>
      </w:pPr>
      <w:r>
        <w:rPr/>
        <w:t> </w:t>
      </w:r>
    </w:p>
    <w:tbl>
      <w:tblPr>
        <w:tblW w:w="2635" w:type="dxa"/>
        <w:jc w:val="left"/>
        <w:tblInd w:w="0" w:type="dxa"/>
        <w:tblCellMar>
          <w:top w:w="0" w:type="dxa"/>
          <w:left w:w="0" w:type="dxa"/>
          <w:bottom w:w="0" w:type="dxa"/>
          <w:right w:w="0" w:type="dxa"/>
        </w:tblCellMar>
      </w:tblPr>
      <w:tblGrid>
        <w:gridCol w:w="155"/>
        <w:gridCol w:w="2480"/>
      </w:tblGrid>
      <w:tr>
        <w:trPr/>
        <w:tc>
          <w:tcPr>
            <w:tcW w:w="15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9.</w:t>
            </w:r>
          </w:p>
        </w:tc>
        <w:tc>
          <w:tcPr>
            <w:tcW w:w="248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Earnings and Dividends per Share</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computational components of basic and diluted earnings per share for the three-month and six-month periods ended June 30, 2019 and 2018 are below.</w:t>
      </w:r>
    </w:p>
    <w:tbl>
      <w:tblPr>
        <w:tblW w:w="8306" w:type="dxa"/>
        <w:jc w:val="left"/>
        <w:tblInd w:w="0" w:type="dxa"/>
        <w:tblCellMar>
          <w:top w:w="0" w:type="dxa"/>
          <w:left w:w="0" w:type="dxa"/>
          <w:bottom w:w="28" w:type="dxa"/>
          <w:right w:w="0" w:type="dxa"/>
        </w:tblCellMar>
      </w:tblPr>
      <w:tblGrid>
        <w:gridCol w:w="5660"/>
        <w:gridCol w:w="60"/>
        <w:gridCol w:w="201"/>
        <w:gridCol w:w="943"/>
        <w:gridCol w:w="109"/>
        <w:gridCol w:w="109"/>
        <w:gridCol w:w="201"/>
        <w:gridCol w:w="943"/>
        <w:gridCol w:w="80"/>
      </w:tblGrid>
      <w:tr>
        <w:trPr/>
        <w:tc>
          <w:tcPr>
            <w:tcW w:w="56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6" w:type="dxa"/>
            <w:gridSpan w:val="6"/>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For the three-month period ended June 30,</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 xml:space="preserve">Numerator </w:t>
            </w:r>
            <w:r>
              <w:rPr>
                <w:rFonts w:ascii="Times New Roman" w:hAnsi="Times New Roman"/>
                <w:b w:val="false"/>
                <w:i w:val="false"/>
                <w:caps w:val="false"/>
                <w:smallCaps w:val="false"/>
                <w:color w:val="000000"/>
                <w:sz w:val="17"/>
              </w:rPr>
              <w:t>(for basic and diluted earnings (loss)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 (loss)</w:t>
            </w:r>
          </w:p>
        </w:tc>
        <w:tc>
          <w:tcPr>
            <w:tcW w:w="60"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43" w:type="dxa"/>
            <w:tcBorders>
              <w:bottom w:val="doub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5,515</w:t>
            </w:r>
          </w:p>
        </w:tc>
        <w:tc>
          <w:tcPr>
            <w:tcW w:w="109"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doub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43" w:type="dxa"/>
            <w:tcBorders>
              <w:bottom w:val="doub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(901</w:t>
            </w:r>
          </w:p>
        </w:tc>
        <w:tc>
          <w:tcPr>
            <w:tcW w:w="80"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6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CCEC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Denominator</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9"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 weighted-average shares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34,924</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34,670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sing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Common stock equivalents arising from stock options and restricted stock awards</w:t>
            </w:r>
          </w:p>
        </w:tc>
        <w:tc>
          <w:tcPr>
            <w:tcW w:w="6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659</w:t>
            </w:r>
          </w:p>
        </w:tc>
        <w:tc>
          <w:tcPr>
            <w:tcW w:w="109"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sing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bottom w:val="sing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 weighted-average shares outstanding</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35,583</w:t>
            </w:r>
          </w:p>
        </w:tc>
        <w:tc>
          <w:tcPr>
            <w:tcW w:w="10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34,670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8166" w:type="dxa"/>
        <w:jc w:val="left"/>
        <w:tblInd w:w="0" w:type="dxa"/>
        <w:tblCellMar>
          <w:top w:w="0" w:type="dxa"/>
          <w:left w:w="0" w:type="dxa"/>
          <w:bottom w:w="28" w:type="dxa"/>
          <w:right w:w="0" w:type="dxa"/>
        </w:tblCellMar>
      </w:tblPr>
      <w:tblGrid>
        <w:gridCol w:w="5660"/>
        <w:gridCol w:w="60"/>
        <w:gridCol w:w="191"/>
        <w:gridCol w:w="898"/>
        <w:gridCol w:w="104"/>
        <w:gridCol w:w="104"/>
        <w:gridCol w:w="191"/>
        <w:gridCol w:w="898"/>
        <w:gridCol w:w="60"/>
      </w:tblGrid>
      <w:tr>
        <w:trPr/>
        <w:tc>
          <w:tcPr>
            <w:tcW w:w="566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For the six-month period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 xml:space="preserve">Numerator </w:t>
            </w:r>
            <w:r>
              <w:rPr>
                <w:rFonts w:ascii="Times New Roman" w:hAnsi="Times New Roman"/>
                <w:b w:val="false"/>
                <w:i w:val="false"/>
                <w:caps w:val="false"/>
                <w:smallCaps w:val="false"/>
                <w:color w:val="000000"/>
                <w:sz w:val="17"/>
              </w:rPr>
              <w:t>(for basic and diluted earnings per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income</w:t>
            </w:r>
          </w:p>
        </w:tc>
        <w:tc>
          <w:tcPr>
            <w:tcW w:w="60"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7,379</w:t>
            </w:r>
          </w:p>
        </w:tc>
        <w:tc>
          <w:tcPr>
            <w:tcW w:w="10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doub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1" w:type="dxa"/>
            <w:tcBorders>
              <w:bottom w:val="doub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98" w:type="dxa"/>
            <w:tcBorders>
              <w:bottom w:val="doub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4,862</w:t>
            </w:r>
          </w:p>
        </w:tc>
        <w:tc>
          <w:tcPr>
            <w:tcW w:w="60" w:type="dxa"/>
            <w:tcBorders>
              <w:bottom w:val="doub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CCEC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Denominator</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4"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1"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CCEC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CEC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Basic weighted-average shares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34,880</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34,632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single" w:sz="6" w:space="0" w:color="000000"/>
            </w:tcBorders>
            <w:shd w:fill="CCEC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Common stock equivalents arising from stock options and restricted stock awards</w:t>
            </w:r>
          </w:p>
        </w:tc>
        <w:tc>
          <w:tcPr>
            <w:tcW w:w="6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592</w:t>
            </w:r>
          </w:p>
        </w:tc>
        <w:tc>
          <w:tcPr>
            <w:tcW w:w="104"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CEC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1"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bottom w:val="single" w:sz="6" w:space="0" w:color="000000"/>
            </w:tcBorders>
            <w:shd w:fill="CCEC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83</w:t>
            </w:r>
          </w:p>
        </w:tc>
        <w:tc>
          <w:tcPr>
            <w:tcW w:w="60" w:type="dxa"/>
            <w:tcBorders>
              <w:bottom w:val="single" w:sz="6" w:space="0" w:color="000000"/>
            </w:tcBorders>
            <w:shd w:fill="CCEC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66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Diluted weighted-average shares outstanding</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35,472</w:t>
            </w:r>
          </w:p>
        </w:tc>
        <w:tc>
          <w:tcPr>
            <w:tcW w:w="10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34,715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pacing w:val="-4"/>
          <w:sz w:val="17"/>
        </w:rPr>
      </w:pPr>
      <w:r>
        <w:rPr>
          <w:rFonts w:ascii="Times New Roman" w:hAnsi="Times New Roman"/>
          <w:b w:val="false"/>
          <w:i w:val="false"/>
          <w:caps w:val="false"/>
          <w:smallCaps w:val="false"/>
          <w:color w:val="000000"/>
          <w:spacing w:val="-4"/>
          <w:sz w:val="17"/>
        </w:rPr>
        <w:t>Options and restricted stock units included in the computation of diluted earnings per share are calculated using the treasury stock method. For the three-month periods ended June 30, 2019 and 2018, 0.4 million and 0.6 million, respectively, and during the six-month periods ended June 30, 2019 and 2018, 0.5 million and 0.6 million, respectively, of outstanding options and restricted stock units were excluded from the computation of diluted earnings per share due to their having an anti-dilutive effect.</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11</w:t>
      </w:r>
    </w:p>
    <w:p>
      <w:pPr>
        <w:pStyle w:val="HorizontalLine"/>
        <w:rPr/>
      </w:pPr>
      <w:r>
        <w:rPr/>
      </w:r>
    </w:p>
    <w:p>
      <w:pPr>
        <w:pStyle w:val="TextBody"/>
        <w:spacing w:before="0" w:after="0"/>
        <w:rPr>
          <w:rFonts w:ascii="Times New Roman" w:hAnsi="Times New Roman"/>
          <w:b w:val="false"/>
          <w:i w:val="false"/>
          <w:caps w:val="false"/>
          <w:smallCaps w:val="false"/>
          <w:color w:val="000000"/>
          <w:sz w:val="17"/>
        </w:rPr>
      </w:pPr>
      <w:bookmarkStart w:id="21" w:name="_AEIOULastRenderedPageBreakAEIOU11"/>
      <w:bookmarkEnd w:id="21"/>
      <w:r>
        <w:rPr>
          <w:rFonts w:ascii="Times New Roman" w:hAnsi="Times New Roman"/>
          <w:b w:val="false"/>
          <w:i w:val="false"/>
          <w:caps w:val="false"/>
          <w:smallCaps w:val="false"/>
          <w:color w:val="000000"/>
          <w:sz w:val="17"/>
        </w:rPr>
        <w:t>Once a restricted stock unit vests, it is included in the computation of weighted average shares outstanding for purposes of basic and diluted earnings per share.</w:t>
      </w:r>
    </w:p>
    <w:p>
      <w:pPr>
        <w:pStyle w:val="TextBody"/>
        <w:spacing w:before="0" w:after="0"/>
        <w:rPr/>
      </w:pPr>
      <w:r>
        <w:rPr/>
        <w:t> </w:t>
      </w:r>
    </w:p>
    <w:tbl>
      <w:tblPr>
        <w:tblW w:w="2245" w:type="dxa"/>
        <w:jc w:val="left"/>
        <w:tblInd w:w="0" w:type="dxa"/>
        <w:tblCellMar>
          <w:top w:w="0" w:type="dxa"/>
          <w:left w:w="0" w:type="dxa"/>
          <w:bottom w:w="0" w:type="dxa"/>
          <w:right w:w="0" w:type="dxa"/>
        </w:tblCellMar>
      </w:tblPr>
      <w:tblGrid>
        <w:gridCol w:w="245"/>
        <w:gridCol w:w="2000"/>
      </w:tblGrid>
      <w:tr>
        <w:trPr/>
        <w:tc>
          <w:tcPr>
            <w:tcW w:w="2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10.</w:t>
            </w:r>
          </w:p>
        </w:tc>
        <w:tc>
          <w:tcPr>
            <w:tcW w:w="200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Share-Based Compensation</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$1.0 million and $0.8 million of share compensation related expense during the three-month periods ended June 30, 2019 and 2018, respectively, and $1.8 million and $1.4 million during the six-month periods ended June 30, 2019 and 2018, respectively.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 Company granted zero options during the three-month and six-month periods ended June 30, 2019 and 2018, respectively.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granted approximately 64,000 and 910,000 restricted stock units during the three-month periods ended June 30, 2019 and 2018, respectively and approximately 464,000 and 930,000 restricted stock units during the six-month periods ended June 30, 2019 and 2018.  The weighted-average fair value of restricted stock units was estimated at $7.49 and $5.10 per unit granted during the six-months ended June 30, 2019 and 2018, respectively.  The fair value of the restricted stock units was determined by using the value of stock in the open market on the date of grant.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 fair value of the stock-based awards granted is recorded as compensation expense on a straight-line basis over the vesting periods of the awards.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There were approximately 1,000 and 8,000 options exercised during the six-months ended June 30, 2019 and 2018, respectively.  The Company received $7,000 and $28,000 in cash from employees exercising options during the six-months ended June 30, 2019 and 2018. The intrinsic value of options exercised during the six-months ended June 30, 2019 and 2018 was approximately $1,000 and $20,000, respectively. </w:t>
      </w:r>
    </w:p>
    <w:p>
      <w:pPr>
        <w:pStyle w:val="TextBody"/>
        <w:spacing w:before="0" w:after="0"/>
        <w:rPr/>
      </w:pPr>
      <w:r>
        <w:rPr/>
        <w:t> </w:t>
      </w:r>
    </w:p>
    <w:tbl>
      <w:tblPr>
        <w:tblW w:w="2875" w:type="dxa"/>
        <w:jc w:val="left"/>
        <w:tblInd w:w="0" w:type="dxa"/>
        <w:tblCellMar>
          <w:top w:w="0" w:type="dxa"/>
          <w:left w:w="0" w:type="dxa"/>
          <w:bottom w:w="0" w:type="dxa"/>
          <w:right w:w="0" w:type="dxa"/>
        </w:tblCellMar>
      </w:tblPr>
      <w:tblGrid>
        <w:gridCol w:w="245"/>
        <w:gridCol w:w="2630"/>
      </w:tblGrid>
      <w:tr>
        <w:trPr/>
        <w:tc>
          <w:tcPr>
            <w:tcW w:w="2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11.</w:t>
            </w:r>
          </w:p>
        </w:tc>
        <w:tc>
          <w:tcPr>
            <w:tcW w:w="263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Pension and Employee Benefit Plans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 sponsor a non-contributory defined benefit pension plan for certain union employees. The plan is funded in accordance with the funding requirements of the Employee Retirement Income Security Act of 1974.</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 also sponsor a postretirement health care plan for office employees retired before January 1, 1990. The plan allowed retirees who attained the age of 65 to elect the type of coverage desired.</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We present service cost within cost of sales and selling and administrative expenses depending on where the relevant employees compensation costs are recorded, and we present other components of net periodic benefit cost (gain) within “Other income (expense), net” on the Condensed Consolidated Statements of Operations.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Retirement and health care plan expense is based on valuations performed by plan actuaries as of the beginning of each fiscal year. The components of the expense consisted of the following:</w:t>
      </w:r>
    </w:p>
    <w:p>
      <w:pPr>
        <w:pStyle w:val="TextBody"/>
        <w:spacing w:before="0" w:after="0"/>
        <w:rPr>
          <w:caps w:val="false"/>
          <w:smallCaps w:val="false"/>
          <w:color w:val="000000"/>
        </w:rPr>
      </w:pPr>
      <w:r>
        <w:rPr>
          <w:caps w:val="false"/>
          <w:smallCaps w:val="false"/>
          <w:color w:val="000000"/>
        </w:rPr>
        <w:t> </w:t>
      </w:r>
    </w:p>
    <w:p>
      <w:pPr>
        <w:pStyle w:val="TextBody"/>
        <w:spacing w:before="0" w:after="0"/>
        <w:rPr/>
      </w:pPr>
      <w:r>
        <w:rPr/>
        <w:t> </w:t>
      </w:r>
    </w:p>
    <w:tbl>
      <w:tblPr>
        <w:tblW w:w="5989" w:type="dxa"/>
        <w:jc w:val="center"/>
        <w:tblInd w:w="0" w:type="dxa"/>
        <w:tblCellMar>
          <w:top w:w="0" w:type="dxa"/>
          <w:left w:w="0" w:type="dxa"/>
          <w:bottom w:w="28" w:type="dxa"/>
          <w:right w:w="0" w:type="dxa"/>
        </w:tblCellMar>
      </w:tblPr>
      <w:tblGrid>
        <w:gridCol w:w="2315"/>
        <w:gridCol w:w="60"/>
        <w:gridCol w:w="184"/>
        <w:gridCol w:w="586"/>
        <w:gridCol w:w="133"/>
        <w:gridCol w:w="100"/>
        <w:gridCol w:w="184"/>
        <w:gridCol w:w="586"/>
        <w:gridCol w:w="80"/>
        <w:gridCol w:w="60"/>
        <w:gridCol w:w="168"/>
        <w:gridCol w:w="536"/>
        <w:gridCol w:w="122"/>
        <w:gridCol w:w="91"/>
        <w:gridCol w:w="168"/>
        <w:gridCol w:w="536"/>
        <w:gridCol w:w="80"/>
      </w:tblGrid>
      <w:tr>
        <w:trPr/>
        <w:tc>
          <w:tcPr>
            <w:tcW w:w="23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2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Pension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Service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cost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326</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652</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Expected return on plan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(313</w:t>
            </w:r>
          </w:p>
        </w:tc>
        <w:tc>
          <w:tcPr>
            <w:tcW w:w="13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(627</w:t>
            </w:r>
          </w:p>
        </w:tc>
        <w:tc>
          <w:tcPr>
            <w:tcW w:w="1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31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of net actuarial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132</w:t>
            </w:r>
          </w:p>
        </w:tc>
        <w:tc>
          <w:tcPr>
            <w:tcW w:w="1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periodic benefit cost (gain)</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78</w:t>
            </w:r>
          </w:p>
        </w:tc>
        <w:tc>
          <w:tcPr>
            <w:tcW w:w="13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157</w:t>
            </w:r>
          </w:p>
        </w:tc>
        <w:tc>
          <w:tcPr>
            <w:tcW w:w="12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31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Health care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13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1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of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c>
          <w:tcPr>
            <w:tcW w:w="13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w:t>
            </w:r>
          </w:p>
        </w:tc>
        <w:tc>
          <w:tcPr>
            <w:tcW w:w="1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31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periodic benefit cost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w:t>
            </w:r>
          </w:p>
        </w:tc>
        <w:tc>
          <w:tcPr>
            <w:tcW w:w="13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12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17"/>
        </w:rPr>
      </w:pPr>
      <w:bookmarkStart w:id="22" w:name="_AEIOULastRenderedPageBreakAEIOU12"/>
      <w:bookmarkEnd w:id="22"/>
      <w:r>
        <w:rPr>
          <w:rFonts w:ascii="Times New Roman" w:hAnsi="Times New Roman"/>
          <w:b w:val="false"/>
          <w:i w:val="false"/>
          <w:caps w:val="false"/>
          <w:smallCaps w:val="false"/>
          <w:color w:val="000000"/>
          <w:sz w:val="17"/>
        </w:rPr>
        <w:t xml:space="preserve">We made contributions to our defined benefit plans during the six-months ended June 30, 2019 and 2018 totaling $0.2 million and $0.6 million, respectively. We anticipate $0.3 million and $24,000 of further contributions to fund the pension plan and the retiree health care plan, respectively, during the remainder of 2019. The unfunded liability of the plans of $8.7 million and $8.8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12</w:t>
      </w:r>
    </w:p>
    <w:p>
      <w:pPr>
        <w:pStyle w:val="HorizontalLine"/>
        <w:rPr/>
      </w:pPr>
      <w:r>
        <w:rPr/>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million as of June 30, 2019 and December 31, 2018, respectively, is included in “Other liabilities” on our Condensed Consolidated Balance Sheets.</w:t>
      </w:r>
    </w:p>
    <w:p>
      <w:pPr>
        <w:pStyle w:val="TextBody"/>
        <w:spacing w:before="0" w:after="0"/>
        <w:rPr/>
      </w:pPr>
      <w:r>
        <w:rPr/>
        <w:t> </w:t>
      </w:r>
    </w:p>
    <w:p>
      <w:pPr>
        <w:pStyle w:val="TextBody"/>
        <w:spacing w:before="0" w:after="0"/>
        <w:rPr/>
      </w:pPr>
      <w:r>
        <w:rPr/>
        <w:t> </w:t>
      </w:r>
    </w:p>
    <w:tbl>
      <w:tblPr>
        <w:tblW w:w="655" w:type="dxa"/>
        <w:jc w:val="left"/>
        <w:tblInd w:w="0" w:type="dxa"/>
        <w:tblCellMar>
          <w:top w:w="0" w:type="dxa"/>
          <w:left w:w="0" w:type="dxa"/>
          <w:bottom w:w="0" w:type="dxa"/>
          <w:right w:w="0" w:type="dxa"/>
        </w:tblCellMar>
      </w:tblPr>
      <w:tblGrid>
        <w:gridCol w:w="215"/>
        <w:gridCol w:w="440"/>
      </w:tblGrid>
      <w:tr>
        <w:trPr/>
        <w:tc>
          <w:tcPr>
            <w:tcW w:w="215" w:type="dxa"/>
            <w:tcBorders/>
            <w:shd w:fill="auto" w:val="clear"/>
          </w:tcPr>
          <w:p>
            <w:pPr>
              <w:pStyle w:val="TableContents"/>
              <w:spacing w:before="0" w:after="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12.</w:t>
            </w:r>
          </w:p>
        </w:tc>
        <w:tc>
          <w:tcPr>
            <w:tcW w:w="440" w:type="dxa"/>
            <w:tcBorders/>
            <w:shd w:fill="auto" w:val="clear"/>
          </w:tcPr>
          <w:p>
            <w:pPr>
              <w:pStyle w:val="TableContents"/>
              <w:spacing w:before="0" w:after="0"/>
              <w:rPr>
                <w:rFonts w:ascii="Times New Roman" w:hAnsi="Times New Roman"/>
                <w:b/>
                <w:i w:val="false"/>
                <w:caps w:val="false"/>
                <w:smallCaps w:val="false"/>
                <w:color w:val="000000"/>
                <w:sz w:val="15"/>
              </w:rPr>
            </w:pPr>
            <w:r>
              <w:rPr>
                <w:rFonts w:ascii="Times New Roman" w:hAnsi="Times New Roman"/>
                <w:b/>
                <w:i w:val="false"/>
                <w:caps w:val="false"/>
                <w:smallCaps w:val="false"/>
                <w:color w:val="000000"/>
                <w:sz w:val="15"/>
              </w:rPr>
              <w:t>Leases</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leasing activity is primarily related to buildings used for manufacturing, warehousing, sales, and administrative activities.  We determine if an arrangement is a lease at inception. 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free-rent periods, or other lease concessions. We recognize our minimum rental expense on a straight-line basis based on the fixed components of a lease arrangement. Variable lease costs represent amounts that are not fixed in nature and are not tied to an index or rate, and are recognized as incurred. Our variable lease costs are not material.</w:t>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determining our right-of-use assets and lease liabilities, we apply a discount rate to the minimum lease payments within each lease agreement. ASU 2016-02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we consider, among other factors, interest rates on our existing credit facilities, risk-free rates, the types of assets being leased, and the term of the leases.</w:t>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components of lease expense were as follows: </w:t>
      </w:r>
    </w:p>
    <w:p>
      <w:pPr>
        <w:pStyle w:val="TextBody"/>
        <w:spacing w:before="0" w:after="0"/>
        <w:rPr/>
      </w:pPr>
      <w:r>
        <w:rPr/>
        <w:t> </w:t>
      </w:r>
    </w:p>
    <w:tbl>
      <w:tblPr>
        <w:tblW w:w="8481" w:type="dxa"/>
        <w:jc w:val="left"/>
        <w:tblInd w:w="0" w:type="dxa"/>
        <w:tblCellMar>
          <w:top w:w="0" w:type="dxa"/>
          <w:left w:w="0" w:type="dxa"/>
          <w:bottom w:w="28" w:type="dxa"/>
          <w:right w:w="0" w:type="dxa"/>
        </w:tblCellMar>
      </w:tblPr>
      <w:tblGrid>
        <w:gridCol w:w="3200"/>
        <w:gridCol w:w="60"/>
        <w:gridCol w:w="525"/>
        <w:gridCol w:w="2029"/>
        <w:gridCol w:w="60"/>
        <w:gridCol w:w="60"/>
        <w:gridCol w:w="1985"/>
        <w:gridCol w:w="419"/>
        <w:gridCol w:w="60"/>
        <w:gridCol w:w="23"/>
        <w:gridCol w:w="60"/>
      </w:tblGrid>
      <w:tr>
        <w:trPr/>
        <w:tc>
          <w:tcPr>
            <w:tcW w:w="32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5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For the Three Months Ended 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For the Six Months Ended 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 w:type="dxa"/>
            <w:tcBorders/>
            <w:shd w:fill="auto" w:val="clear"/>
            <w:tcMar>
              <w:bottom w:w="0" w:type="dxa"/>
            </w:tcMar>
            <w:vAlign w:val="center"/>
          </w:tcPr>
          <w:p>
            <w:pPr>
              <w:pStyle w:val="TableContents"/>
              <w:spacing w:before="0" w:after="283"/>
              <w:rPr>
                <w:sz w:val="4"/>
                <w:szCs w:val="4"/>
              </w:rPr>
            </w:pPr>
            <w:r>
              <w:rPr>
                <w:sz w:val="4"/>
                <w:szCs w:val="4"/>
              </w:rPr>
            </w:r>
          </w:p>
        </w:tc>
        <w:tc>
          <w:tcPr>
            <w:tcW w:w="60"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320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 cost (a)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02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02" w:type="dxa"/>
            <w:gridSpan w:val="3"/>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 lease cost: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gridSpan w:val="3"/>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Amortization of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gridSpan w:val="3"/>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Interest on lease liability</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gridSpan w:val="3"/>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finance lease cost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gridSpan w:val="3"/>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lease cost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02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1,094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02" w:type="dxa"/>
            <w:gridSpan w:val="3"/>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2,176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5"/>
              </w:rPr>
            </w:pPr>
            <w:r>
              <w:rPr>
                <w:rFonts w:ascii="Times New Roman" w:hAnsi="Times New Roman"/>
                <w:b w:val="false"/>
                <w:i w:val="false"/>
                <w:caps w:val="false"/>
                <w:smallCaps w:val="false"/>
                <w:color w:val="000000"/>
                <w:sz w:val="15"/>
              </w:rPr>
              <w:t>(a) includes variable lease costs which are immaterial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02" w:type="dxa"/>
            <w:gridSpan w:val="3"/>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Supplemental cash flow information related to leases was as follows:</w:t>
      </w:r>
    </w:p>
    <w:tbl>
      <w:tblPr>
        <w:tblW w:w="7374" w:type="dxa"/>
        <w:jc w:val="left"/>
        <w:tblInd w:w="0" w:type="dxa"/>
        <w:tblCellMar>
          <w:top w:w="0" w:type="dxa"/>
          <w:left w:w="0" w:type="dxa"/>
          <w:bottom w:w="28" w:type="dxa"/>
          <w:right w:w="0" w:type="dxa"/>
        </w:tblCellMar>
      </w:tblPr>
      <w:tblGrid>
        <w:gridCol w:w="4850"/>
        <w:gridCol w:w="60"/>
        <w:gridCol w:w="494"/>
        <w:gridCol w:w="1910"/>
        <w:gridCol w:w="60"/>
      </w:tblGrid>
      <w:tr>
        <w:trPr/>
        <w:tc>
          <w:tcPr>
            <w:tcW w:w="4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For the Six Months Ended 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Cash paid for amounts included in the measurement of lease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Operating cash flows from operating leases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91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Operating cash flows from finance leases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910" w:type="dxa"/>
            <w:tcBorders>
              <w:top w:val="doub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Financing cash flows from finance leases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910"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Right of use assets obtained in exchange for lease obligations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1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5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Operating leases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4"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1910"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1,583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Supplemental balance sheet information related to leases was as follows:</w:t>
      </w:r>
    </w:p>
    <w:p>
      <w:pPr>
        <w:pStyle w:val="TextBody"/>
        <w:spacing w:before="0" w:after="0"/>
        <w:ind w:left="720" w:right="0" w:hanging="0"/>
        <w:rPr>
          <w:caps w:val="false"/>
          <w:smallCaps w:val="false"/>
          <w:color w:val="000000"/>
        </w:rPr>
      </w:pPr>
      <w:r>
        <w:rPr>
          <w:caps w:val="false"/>
          <w:smallCaps w:val="false"/>
          <w:color w:val="000000"/>
        </w:rPr>
        <w:t> </w:t>
      </w:r>
    </w:p>
    <w:p>
      <w:pPr>
        <w:pStyle w:val="TextBody"/>
        <w:spacing w:before="240" w:after="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13</w:t>
      </w:r>
    </w:p>
    <w:p>
      <w:pPr>
        <w:pStyle w:val="HorizontalLine"/>
        <w:rPr/>
      </w:pPr>
      <w:r>
        <w:rPr/>
      </w:r>
    </w:p>
    <w:tbl>
      <w:tblPr>
        <w:tblW w:w="3984" w:type="dxa"/>
        <w:jc w:val="left"/>
        <w:tblInd w:w="0" w:type="dxa"/>
        <w:tblCellMar>
          <w:top w:w="0" w:type="dxa"/>
          <w:left w:w="0" w:type="dxa"/>
          <w:bottom w:w="28" w:type="dxa"/>
          <w:right w:w="0" w:type="dxa"/>
        </w:tblCellMar>
      </w:tblPr>
      <w:tblGrid>
        <w:gridCol w:w="3020"/>
        <w:gridCol w:w="60"/>
        <w:gridCol w:w="148"/>
        <w:gridCol w:w="696"/>
        <w:gridCol w:w="60"/>
      </w:tblGrid>
      <w:tr>
        <w:trPr/>
        <w:tc>
          <w:tcPr>
            <w:tcW w:w="302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bookmarkStart w:id="23" w:name="_AEIOULastRenderedPageBreakAEIOU13"/>
            <w:bookmarkEnd w:id="23"/>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Right-of-use assets from operating leases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13,056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Accounts payable and accrued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Operating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10,700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Total operating lease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13,138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Finance leases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Property, plant and equipment, net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3,384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Accounts payable and accrued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Other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7,605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Total finance lease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3489" w:type="dxa"/>
        <w:jc w:val="center"/>
        <w:tblInd w:w="0" w:type="dxa"/>
        <w:tblCellMar>
          <w:top w:w="0" w:type="dxa"/>
          <w:left w:w="0" w:type="dxa"/>
          <w:bottom w:w="0" w:type="dxa"/>
          <w:right w:w="0" w:type="dxa"/>
        </w:tblCellMar>
      </w:tblPr>
      <w:tblGrid>
        <w:gridCol w:w="2765"/>
        <w:gridCol w:w="60"/>
        <w:gridCol w:w="302"/>
        <w:gridCol w:w="302"/>
        <w:gridCol w:w="60"/>
      </w:tblGrid>
      <w:tr>
        <w:trPr/>
        <w:tc>
          <w:tcPr>
            <w:tcW w:w="276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Weighted-average remaining lease term</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Operating leases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gridSpan w:val="2"/>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 years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Finance leases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gridSpan w:val="2"/>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 years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Weighted-average discount rate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0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02"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Operating leases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gridSpan w:val="2"/>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17"/>
              </w:rPr>
              <w:t>Finance leases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4" w:type="dxa"/>
            <w:gridSpan w:val="2"/>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of June 30, 2019, maturities of lease liabilities were as follows:</w:t>
      </w:r>
    </w:p>
    <w:p>
      <w:pPr>
        <w:pStyle w:val="TextBody"/>
        <w:spacing w:before="0" w:after="0"/>
        <w:rPr/>
      </w:pPr>
      <w:r>
        <w:rPr/>
        <w:t> </w:t>
      </w:r>
    </w:p>
    <w:tbl>
      <w:tblPr>
        <w:tblW w:w="4448" w:type="dxa"/>
        <w:jc w:val="center"/>
        <w:tblInd w:w="0" w:type="dxa"/>
        <w:tblCellMar>
          <w:top w:w="0" w:type="dxa"/>
          <w:left w:w="0" w:type="dxa"/>
          <w:bottom w:w="28" w:type="dxa"/>
          <w:right w:w="0" w:type="dxa"/>
        </w:tblCellMar>
      </w:tblPr>
      <w:tblGrid>
        <w:gridCol w:w="2180"/>
        <w:gridCol w:w="60"/>
        <w:gridCol w:w="187"/>
        <w:gridCol w:w="882"/>
        <w:gridCol w:w="80"/>
        <w:gridCol w:w="60"/>
        <w:gridCol w:w="161"/>
        <w:gridCol w:w="758"/>
        <w:gridCol w:w="80"/>
      </w:tblGrid>
      <w:tr>
        <w:trPr/>
        <w:tc>
          <w:tcPr>
            <w:tcW w:w="21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Operating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1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Finance Leases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1,502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855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2,371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872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1,719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889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Thereafter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6,052</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6,409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minimum lease payments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8"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10,212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1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imputed interest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(2,883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(2,110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1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Lease liability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13,138</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8,102</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previously disclosed in our 2018 Annual Report on Form 10-K and under previous lease accounting standards, future minimum lease payments for operating leases having initial or remaining noncancellable lease terms in excess of one year would have been as follows:</w:t>
      </w:r>
    </w:p>
    <w:p>
      <w:pPr>
        <w:pStyle w:val="TextBody"/>
        <w:spacing w:before="0" w:after="0"/>
        <w:rPr/>
      </w:pPr>
      <w:r>
        <w:rPr/>
        <w:t> </w:t>
      </w:r>
    </w:p>
    <w:tbl>
      <w:tblPr>
        <w:tblW w:w="2754" w:type="dxa"/>
        <w:jc w:val="center"/>
        <w:tblInd w:w="0" w:type="dxa"/>
        <w:tblCellMar>
          <w:top w:w="0" w:type="dxa"/>
          <w:left w:w="0" w:type="dxa"/>
          <w:bottom w:w="28" w:type="dxa"/>
          <w:right w:w="0" w:type="dxa"/>
        </w:tblCellMar>
      </w:tblPr>
      <w:tblGrid>
        <w:gridCol w:w="1505"/>
        <w:gridCol w:w="60"/>
        <w:gridCol w:w="198"/>
        <w:gridCol w:w="931"/>
        <w:gridCol w:w="60"/>
      </w:tblGrid>
      <w:tr>
        <w:trPr/>
        <w:tc>
          <w:tcPr>
            <w:tcW w:w="15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2,745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1,880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1,454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Thereafter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2,278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5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10,139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tbl>
      <w:tblPr>
        <w:tblW w:w="1255" w:type="dxa"/>
        <w:jc w:val="left"/>
        <w:tblInd w:w="0" w:type="dxa"/>
        <w:tblCellMar>
          <w:top w:w="0" w:type="dxa"/>
          <w:left w:w="0" w:type="dxa"/>
          <w:bottom w:w="0" w:type="dxa"/>
          <w:right w:w="0" w:type="dxa"/>
        </w:tblCellMar>
      </w:tblPr>
      <w:tblGrid>
        <w:gridCol w:w="245"/>
        <w:gridCol w:w="1010"/>
      </w:tblGrid>
      <w:tr>
        <w:trPr/>
        <w:tc>
          <w:tcPr>
            <w:tcW w:w="2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13.</w:t>
            </w:r>
          </w:p>
        </w:tc>
        <w:tc>
          <w:tcPr>
            <w:tcW w:w="101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Income Taxes</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 file income tax returns in various federal, state and local jurisdictions. Tax years from 2014 forward remain open for examination by Federal authorities. Tax years from 2014 forward remain open for all significant state and foreign authorities.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14</w:t>
      </w:r>
    </w:p>
    <w:p>
      <w:pPr>
        <w:pStyle w:val="HorizontalLine"/>
        <w:rPr/>
      </w:pPr>
      <w:r>
        <w:rPr/>
      </w:r>
    </w:p>
    <w:p>
      <w:pPr>
        <w:pStyle w:val="TextBody"/>
        <w:spacing w:before="0" w:after="0"/>
        <w:rPr>
          <w:caps w:val="false"/>
          <w:smallCaps w:val="false"/>
          <w:color w:val="000000"/>
        </w:rPr>
      </w:pPr>
      <w:bookmarkStart w:id="24" w:name="_AEIOULastRenderedPageBreakAEIOU14"/>
      <w:bookmarkEnd w:id="24"/>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 account for uncertain tax positions pursuant to ASC Topic 740, “Income Taxes.” As of June 30, 2019 and December 31, 2018, the liability for uncertain tax positions totaled approximately $1.0 million, which is included in “Other liabilities” on our Condensed Consolidated Balance Sheets. We recognize accrued interest related to uncertain tax positions and penalties, if any, in income tax expense within the Condensed Consolidated Statements of Operations.</w:t>
      </w:r>
    </w:p>
    <w:p>
      <w:pPr>
        <w:pStyle w:val="TextBody"/>
        <w:spacing w:before="0" w:after="0"/>
        <w:rPr>
          <w:caps w:val="false"/>
          <w:smallCaps w:val="false"/>
          <w:color w:val="000000"/>
        </w:rPr>
      </w:pPr>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Certain of the Company’s undistributed earnings of our foreign subsidiaries are not permanently reinvested. Since foreign earnings have already been subject to U.S. income tax in 2017 as a result of the 2017 Tax Cuts and Jobs Act (the “Tax Act”), we intend to repatriate foreign-held cash as needed.  As of June 30, 2019 and December 31, 2018, we have recorded deferred income taxes of approximately $0.4 and $0.6 million, respectively, on the undistributed earnings of our foreign subsidiaries. This amount is attributable primarily to the foreign withholding taxes that would become payable should we decide to repatriate cash held in our foreign operations.</w:t>
      </w:r>
    </w:p>
    <w:p>
      <w:pPr>
        <w:pStyle w:val="TextBody"/>
        <w:spacing w:before="26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tax benefit was $4.2 million for the second quarter of 2019 and $3.3 million for the first six months of 2019, compared with income tax expense of $1.3 million for the second quarter of 2018 and $5.4 million for the first six months of 2018. The effective income tax rate for the second quarter of 2019 was (303.7%) compared with 317.1% for second quarter of 2018.  The effective income tax rate was (81.3%) for the first six months of 2019, compared with 52.7% for the first six months of 2018. The effective income tax rates for the three and six months ended June 30, 2019 were negative (i.e. income tax benefits), despite pre-tax income, due primarily to a tax benefit of $4.4 million upon finalization of a tax position related to the 2018 divestiture of Zhongli. Our effective tax rate is affected by certain other permanent differences, including state income taxes, non-deductible incentive stock-based compensation, the Global Intangible Low-Taxed Income inclusion and Foreign-Derived Intangible Income deduction, tax credits, return-to-provision adjustments, and differences in tax rates among the jurisdictions in which we operate.</w:t>
      </w:r>
    </w:p>
    <w:p>
      <w:pPr>
        <w:pStyle w:val="TextBody"/>
        <w:spacing w:before="0" w:after="0"/>
        <w:rPr/>
      </w:pPr>
      <w:r>
        <w:rPr/>
        <w:t> </w:t>
      </w:r>
    </w:p>
    <w:p>
      <w:pPr>
        <w:pStyle w:val="TextBody"/>
        <w:spacing w:before="0" w:after="0"/>
        <w:rPr/>
      </w:pPr>
      <w:r>
        <w:rPr/>
        <w:t> </w:t>
      </w:r>
    </w:p>
    <w:tbl>
      <w:tblPr>
        <w:tblW w:w="1840" w:type="dxa"/>
        <w:jc w:val="left"/>
        <w:tblInd w:w="0" w:type="dxa"/>
        <w:tblCellMar>
          <w:top w:w="0" w:type="dxa"/>
          <w:left w:w="0" w:type="dxa"/>
          <w:bottom w:w="0" w:type="dxa"/>
          <w:right w:w="0" w:type="dxa"/>
        </w:tblCellMar>
      </w:tblPr>
      <w:tblGrid>
        <w:gridCol w:w="245"/>
        <w:gridCol w:w="1595"/>
      </w:tblGrid>
      <w:tr>
        <w:trPr/>
        <w:tc>
          <w:tcPr>
            <w:tcW w:w="2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14.</w:t>
            </w:r>
          </w:p>
        </w:tc>
        <w:tc>
          <w:tcPr>
            <w:tcW w:w="159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Financial Instruments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financial instruments consist primarily of investments in cash and cash equivalents, receivables and certain other assets, foreign debt and accounts payable, which approximate fair value at June 30, 2019 and December 31, 2018, due to their short-term nature or variable, market-driven interest rates.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fair value of the debt issued under the Credit Facility was $77.0 million and $76.1 million at June 30, 2019 and December 31, 2018, respectively.  The fair value of the note payable was $1.7 million at December 31, 2018.</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At June 30, 2019 and December 31, 2018, the Company had cash and cash equivalents of $28.8 million and $43.7 million, respectively, of which $21.7 million and $23.3 million, respectively, was held outside of the United States, principally in the Netherlands, United Kingdom, China, and Canada. </w:t>
      </w:r>
    </w:p>
    <w:p>
      <w:pPr>
        <w:pStyle w:val="TextBody"/>
        <w:spacing w:before="0" w:after="0"/>
        <w:rPr/>
      </w:pPr>
      <w:r>
        <w:rPr/>
        <w:t> </w:t>
      </w:r>
    </w:p>
    <w:tbl>
      <w:tblPr>
        <w:tblW w:w="3835" w:type="dxa"/>
        <w:jc w:val="left"/>
        <w:tblInd w:w="0" w:type="dxa"/>
        <w:tblCellMar>
          <w:top w:w="0" w:type="dxa"/>
          <w:left w:w="0" w:type="dxa"/>
          <w:bottom w:w="0" w:type="dxa"/>
          <w:right w:w="0" w:type="dxa"/>
        </w:tblCellMar>
      </w:tblPr>
      <w:tblGrid>
        <w:gridCol w:w="245"/>
        <w:gridCol w:w="3590"/>
      </w:tblGrid>
      <w:tr>
        <w:trPr/>
        <w:tc>
          <w:tcPr>
            <w:tcW w:w="2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15.</w:t>
            </w:r>
          </w:p>
        </w:tc>
        <w:tc>
          <w:tcPr>
            <w:tcW w:w="359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Commitments and Contingencies – Legal Matters</w:t>
            </w:r>
          </w:p>
        </w:tc>
      </w:tr>
    </w:tbl>
    <w:p>
      <w:pPr>
        <w:pStyle w:val="TextBody"/>
        <w:spacing w:before="120" w:after="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Asbestos cases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June 30, 2019 for cases involving asbestos-related claims were $2.9 million, of which, together with all legal fees other than corporate counsel expenses, $2.8 million has been paid by the Company’s insurers. The average cost per settled claim, excluding legal fees, was approximately $35,000.</w:t>
      </w:r>
    </w:p>
    <w:p>
      <w:pPr>
        <w:pStyle w:val="TextBody"/>
        <w:spacing w:before="240" w:after="0"/>
        <w:rPr>
          <w:rFonts w:ascii="Times New Roman" w:hAnsi="Times New Roman"/>
          <w:b w:val="false"/>
          <w:i w:val="false"/>
          <w:caps w:val="false"/>
          <w:smallCaps w:val="false"/>
          <w:color w:val="000000"/>
          <w:sz w:val="17"/>
        </w:rPr>
      </w:pPr>
      <w:bookmarkStart w:id="25" w:name="_AEIOULastRenderedPageBreakAEIOU15"/>
      <w:bookmarkEnd w:id="25"/>
      <w:r>
        <w:rPr>
          <w:rFonts w:ascii="Times New Roman" w:hAnsi="Times New Roman"/>
          <w:b w:val="false"/>
          <w:i w:val="false"/>
          <w:caps w:val="false"/>
          <w:smallCaps w:val="false"/>
          <w:color w:val="000000"/>
          <w:sz w:val="17"/>
        </w:rPr>
        <w:t xml:space="preserve">Based upon the most recent information available to the Company regarding such claims, there were a total of 198 cases pending against the Company as of June 30, 2019 (with Illinois, New York, Pennsylvania and West Virginia having the largest number of cases), as compared with 208 cases that were pending as of December 31, 2018. During the six-months ended June 30, 2019, 24 new cases were filed against the Company, and the Company was dismissed from 28 cases and settled six cases. Most of the pending cases have not advanced beyond the early stages of discovery, although a number of cases are on schedules leading to or scheduled for trial. The Company believes that its insurance coverage is adequate for the cases currently pending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15</w:t>
      </w:r>
    </w:p>
    <w:p>
      <w:pPr>
        <w:pStyle w:val="HorizontalLine"/>
        <w:rPr/>
      </w:pPr>
      <w:r>
        <w:rPr/>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pStyle w:val="TextBody"/>
        <w:spacing w:before="360" w:after="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Summary</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is also a party to routine contract and employment-related litigation matters, warranty claims and routine audits of state and local tax returns arising in the ordinary course of its business.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We are not aware of any pending claims or assessments, other than as described above, which may have a material adverse impact on our liquidity, financial position, results of operations, or cash flows.</w:t>
      </w:r>
    </w:p>
    <w:p>
      <w:pPr>
        <w:pStyle w:val="TextBody"/>
        <w:spacing w:before="0" w:after="0"/>
        <w:rPr/>
      </w:pPr>
      <w:r>
        <w:rPr/>
        <w:t> </w:t>
      </w:r>
    </w:p>
    <w:p>
      <w:pPr>
        <w:pStyle w:val="TextBody"/>
        <w:spacing w:before="0" w:after="0"/>
        <w:rPr/>
      </w:pPr>
      <w:r>
        <w:rPr/>
        <w:t> </w:t>
      </w:r>
    </w:p>
    <w:tbl>
      <w:tblPr>
        <w:tblW w:w="2440" w:type="dxa"/>
        <w:jc w:val="left"/>
        <w:tblInd w:w="0" w:type="dxa"/>
        <w:tblCellMar>
          <w:top w:w="0" w:type="dxa"/>
          <w:left w:w="0" w:type="dxa"/>
          <w:bottom w:w="0" w:type="dxa"/>
          <w:right w:w="0" w:type="dxa"/>
        </w:tblCellMar>
      </w:tblPr>
      <w:tblGrid>
        <w:gridCol w:w="245"/>
        <w:gridCol w:w="2195"/>
      </w:tblGrid>
      <w:tr>
        <w:trPr/>
        <w:tc>
          <w:tcPr>
            <w:tcW w:w="24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16.</w:t>
            </w:r>
          </w:p>
        </w:tc>
        <w:tc>
          <w:tcPr>
            <w:tcW w:w="219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Business Segment Information</w:t>
            </w:r>
          </w:p>
        </w:tc>
      </w:tr>
    </w:tbl>
    <w:p>
      <w:pPr>
        <w:pStyle w:val="TextBody"/>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The Company’s operations are organized and reviewed by management along its product lines or end market that the segment serves and are presented in three reportable segments. The results of the segments are reviewed through the “Income from operations” line on the Consolidated Statements of Operations. </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During the first quarter of 2019, as a result of further evaluating the Company’s operating structure, management determined that a minor realignment of the Company’s segments with current customer solutions we provide and end markets we serve would help maximize growth and improve customer experience. As a result of this minor realignment, the operating results of the reportable segments Fluid Handling Solutions and Industrial Solutions have been reclassified to have their results align for the three-month and six-month periods ended June 30, 2019 and 2018.</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reportable segments are organized as groups of similar products and services, as described as follows:</w:t>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Energy Solutions segment:  </w:t>
      </w:r>
      <w:r>
        <w:rPr>
          <w:rFonts w:ascii="Times New Roman" w:hAnsi="Times New Roman"/>
          <w:b w:val="false"/>
          <w:i w:val="false"/>
          <w:caps w:val="false"/>
          <w:smallCaps w:val="false"/>
          <w:sz w:val="17"/>
        </w:rPr>
        <w:t xml:space="preserve">Our Energy Solutions segment serves the Energy market, where we are a key part of helping meet the global demand for Clean Energy with products and services that support our customers with efficient solutions and technologies to keep the world clean and safe. Our offerings </w:t>
      </w:r>
      <w:r>
        <w:rPr>
          <w:rFonts w:ascii="Times New Roman" w:hAnsi="Times New Roman"/>
          <w:b w:val="false"/>
          <w:i w:val="false"/>
          <w:caps w:val="false"/>
          <w:smallCaps w:val="false"/>
          <w:color w:val="000000"/>
          <w:sz w:val="17"/>
        </w:rPr>
        <w:t xml:space="preserve">improve air quality and solves fluid handling needs with market leading, </w:t>
      </w:r>
      <w:r>
        <w:rPr>
          <w:rFonts w:ascii="Times New Roman" w:hAnsi="Times New Roman"/>
          <w:b w:val="false"/>
          <w:i w:val="false"/>
          <w:caps w:val="false"/>
          <w:smallCaps w:val="false"/>
          <w:sz w:val="17"/>
        </w:rPr>
        <w:t xml:space="preserve">highly engineered, and customized solutions for the power generation, oil &amp; gas, and petrochemical industries. </w:t>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Industrial Solutions segment:  </w:t>
      </w:r>
      <w:r>
        <w:rPr>
          <w:rFonts w:ascii="Times New Roman" w:hAnsi="Times New Roman"/>
          <w:b w:val="false"/>
          <w:i w:val="false"/>
          <w:caps w:val="false"/>
          <w:smallCaps w:val="false"/>
          <w:color w:val="000000"/>
          <w:sz w:val="17"/>
        </w:rPr>
        <w:t xml:space="preserve">Our Industrial Solutions segment serves the Industrial Pollution Control market where our aim is to address the growing need to protect the air we breathe and help our customers’ desires for sustainability upgrades beyond carbon footprint issues.  Our offerings improve air quality with a compelling solution set of air pollution control technologies that enable our customers to reduce their carbon footprint, lower energy consumption, minimize waste and meet compliance targets for toxic emissions, fumes, volatile organic compounds, and industrial odors. </w:t>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Fluid Handling Solutions segment:  </w:t>
      </w:r>
      <w:r>
        <w:rPr>
          <w:rFonts w:ascii="Times New Roman" w:hAnsi="Times New Roman"/>
          <w:b w:val="false"/>
          <w:i w:val="false"/>
          <w:caps w:val="false"/>
          <w:smallCaps w:val="false"/>
          <w:sz w:val="17"/>
        </w:rPr>
        <w:t xml:space="preserve">Our Fluid Handling Solutions segment offers unique pump and filtration solutions that maintain safe and clean 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 </w:t>
      </w:r>
    </w:p>
    <w:p>
      <w:pPr>
        <w:pStyle w:val="TextBody"/>
        <w:spacing w:before="8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16</w:t>
      </w:r>
    </w:p>
    <w:p>
      <w:pPr>
        <w:pStyle w:val="HorizontalLine"/>
        <w:rPr/>
      </w:pPr>
      <w:r>
        <w:rPr/>
      </w:r>
    </w:p>
    <w:p>
      <w:pPr>
        <w:pStyle w:val="TextBody"/>
        <w:spacing w:before="240" w:after="0"/>
        <w:rPr>
          <w:rFonts w:ascii="Times New Roman" w:hAnsi="Times New Roman"/>
          <w:b w:val="false"/>
          <w:i w:val="false"/>
          <w:caps w:val="false"/>
          <w:smallCaps w:val="false"/>
          <w:color w:val="000000"/>
          <w:sz w:val="17"/>
        </w:rPr>
      </w:pPr>
      <w:bookmarkStart w:id="26" w:name="_AEIOULastRenderedPageBreakAEIOU16"/>
      <w:bookmarkEnd w:id="26"/>
      <w:r>
        <w:rPr>
          <w:rFonts w:ascii="Times New Roman" w:hAnsi="Times New Roman"/>
          <w:b w:val="false"/>
          <w:i w:val="false"/>
          <w:caps w:val="false"/>
          <w:smallCaps w:val="false"/>
          <w:color w:val="000000"/>
          <w:sz w:val="17"/>
        </w:rPr>
        <w:t>The financial segment information is presented in the following tables:</w:t>
      </w:r>
    </w:p>
    <w:p>
      <w:pPr>
        <w:pStyle w:val="TextBody"/>
        <w:spacing w:before="0" w:after="0"/>
        <w:rPr>
          <w:caps w:val="false"/>
          <w:smallCaps w:val="false"/>
          <w:color w:val="000000"/>
        </w:rPr>
      </w:pPr>
      <w:r>
        <w:rPr>
          <w:caps w:val="false"/>
          <w:smallCaps w:val="false"/>
          <w:color w:val="000000"/>
        </w:rPr>
        <w:t> </w:t>
      </w:r>
    </w:p>
    <w:tbl>
      <w:tblPr>
        <w:tblW w:w="6659" w:type="dxa"/>
        <w:jc w:val="center"/>
        <w:tblInd w:w="0" w:type="dxa"/>
        <w:tblCellMar>
          <w:top w:w="0" w:type="dxa"/>
          <w:left w:w="0" w:type="dxa"/>
          <w:bottom w:w="28" w:type="dxa"/>
          <w:right w:w="0" w:type="dxa"/>
        </w:tblCellMar>
      </w:tblPr>
      <w:tblGrid>
        <w:gridCol w:w="3005"/>
        <w:gridCol w:w="60"/>
        <w:gridCol w:w="142"/>
        <w:gridCol w:w="667"/>
        <w:gridCol w:w="77"/>
        <w:gridCol w:w="77"/>
        <w:gridCol w:w="142"/>
        <w:gridCol w:w="667"/>
        <w:gridCol w:w="80"/>
        <w:gridCol w:w="60"/>
        <w:gridCol w:w="115"/>
        <w:gridCol w:w="634"/>
        <w:gridCol w:w="62"/>
        <w:gridCol w:w="62"/>
        <w:gridCol w:w="115"/>
        <w:gridCol w:w="634"/>
        <w:gridCol w:w="60"/>
      </w:tblGrid>
      <w:tr>
        <w:trPr/>
        <w:tc>
          <w:tcPr>
            <w:tcW w:w="30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 (less intra-, inter-segment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50,572</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51,136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105,760</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20,083</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38,936</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37,965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10,524</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22,494</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26,155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81,179</w:t>
            </w:r>
          </w:p>
        </w:tc>
        <w:tc>
          <w:tcPr>
            <w:tcW w:w="7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81,089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167,190</w:t>
            </w:r>
          </w:p>
        </w:tc>
        <w:tc>
          <w:tcPr>
            <w:tcW w:w="6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155,229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4090" w:type="dxa"/>
        <w:jc w:val="left"/>
        <w:tblInd w:w="0" w:type="dxa"/>
        <w:tblCellMar>
          <w:top w:w="0" w:type="dxa"/>
          <w:left w:w="0" w:type="dxa"/>
          <w:bottom w:w="0" w:type="dxa"/>
          <w:right w:w="0" w:type="dxa"/>
        </w:tblCellMar>
      </w:tblPr>
      <w:tblGrid>
        <w:gridCol w:w="230"/>
        <w:gridCol w:w="3860"/>
      </w:tblGrid>
      <w:tr>
        <w:trPr/>
        <w:tc>
          <w:tcPr>
            <w:tcW w:w="230"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w:t>
            </w:r>
          </w:p>
        </w:tc>
        <w:tc>
          <w:tcPr>
            <w:tcW w:w="3860"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Includes adjustment for revenue on intercompany jobs.</w:t>
            </w:r>
          </w:p>
        </w:tc>
      </w:tr>
    </w:tbl>
    <w:p>
      <w:pPr>
        <w:pStyle w:val="TextBody"/>
        <w:spacing w:before="0" w:after="0"/>
        <w:rPr>
          <w:caps w:val="false"/>
          <w:smallCaps w:val="false"/>
          <w:color w:val="000000"/>
        </w:rPr>
      </w:pPr>
      <w:r>
        <w:rPr>
          <w:caps w:val="false"/>
          <w:smallCaps w:val="false"/>
          <w:color w:val="000000"/>
        </w:rPr>
        <w:t> </w:t>
      </w:r>
    </w:p>
    <w:tbl>
      <w:tblPr>
        <w:tblW w:w="6080" w:type="dxa"/>
        <w:jc w:val="center"/>
        <w:tblInd w:w="0" w:type="dxa"/>
        <w:tblCellMar>
          <w:top w:w="0" w:type="dxa"/>
          <w:left w:w="0" w:type="dxa"/>
          <w:bottom w:w="28" w:type="dxa"/>
          <w:right w:w="0" w:type="dxa"/>
        </w:tblCellMar>
      </w:tblPr>
      <w:tblGrid>
        <w:gridCol w:w="2405"/>
        <w:gridCol w:w="60"/>
        <w:gridCol w:w="146"/>
        <w:gridCol w:w="647"/>
        <w:gridCol w:w="106"/>
        <w:gridCol w:w="80"/>
        <w:gridCol w:w="146"/>
        <w:gridCol w:w="647"/>
        <w:gridCol w:w="80"/>
        <w:gridCol w:w="60"/>
        <w:gridCol w:w="123"/>
        <w:gridCol w:w="644"/>
        <w:gridCol w:w="89"/>
        <w:gridCol w:w="67"/>
        <w:gridCol w:w="123"/>
        <w:gridCol w:w="577"/>
        <w:gridCol w:w="8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Income from Operations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6,351</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5,901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15,642</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515</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1,117</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1,481</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3,839</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(6,329</w:t>
            </w:r>
          </w:p>
        </w:tc>
        <w:tc>
          <w:tcPr>
            <w:tcW w:w="10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(6,539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(13,691</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Eliminations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(822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0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from operations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2,018</w:t>
            </w:r>
          </w:p>
        </w:tc>
        <w:tc>
          <w:tcPr>
            <w:tcW w:w="10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6,907</w:t>
            </w:r>
          </w:p>
        </w:tc>
        <w:tc>
          <w:tcPr>
            <w:tcW w:w="8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14,712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color w:val="000000"/>
        </w:rPr>
      </w:pPr>
      <w:r>
        <w:rPr>
          <w:caps w:val="false"/>
          <w:smallCaps w:val="false"/>
          <w:color w:val="000000"/>
        </w:rPr>
        <w:t> </w:t>
      </w:r>
    </w:p>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w:t>
            </w:r>
          </w:p>
        </w:tc>
        <w:tc>
          <w:tcPr>
            <w:tcW w:w="10010"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Includes gain (loss) on divestitures, net of selling costs (see Note 17 – Divestitures), corporate compensation, professional services, information technology, and other general and administrative corporate expenses.  This figure excludes earnout expenses, which are recorded in the segment in which the expense occurs.  </w:t>
            </w:r>
          </w:p>
        </w:tc>
      </w:tr>
    </w:tbl>
    <w:p>
      <w:pPr>
        <w:pStyle w:val="TextBody"/>
        <w:spacing w:before="0" w:after="0"/>
        <w:rPr/>
      </w:pPr>
      <w:r>
        <w:rPr/>
        <w:t> </w:t>
      </w:r>
    </w:p>
    <w:tbl>
      <w:tblPr>
        <w:tblW w:w="6189" w:type="dxa"/>
        <w:jc w:val="center"/>
        <w:tblInd w:w="0" w:type="dxa"/>
        <w:tblCellMar>
          <w:top w:w="0" w:type="dxa"/>
          <w:left w:w="0" w:type="dxa"/>
          <w:bottom w:w="28" w:type="dxa"/>
          <w:right w:w="0" w:type="dxa"/>
        </w:tblCellMar>
      </w:tblPr>
      <w:tblGrid>
        <w:gridCol w:w="2555"/>
        <w:gridCol w:w="60"/>
        <w:gridCol w:w="212"/>
        <w:gridCol w:w="559"/>
        <w:gridCol w:w="115"/>
        <w:gridCol w:w="115"/>
        <w:gridCol w:w="212"/>
        <w:gridCol w:w="559"/>
        <w:gridCol w:w="60"/>
        <w:gridCol w:w="60"/>
        <w:gridCol w:w="169"/>
        <w:gridCol w:w="654"/>
        <w:gridCol w:w="92"/>
        <w:gridCol w:w="92"/>
        <w:gridCol w:w="169"/>
        <w:gridCol w:w="446"/>
        <w:gridCol w:w="60"/>
      </w:tblGrid>
      <w:tr>
        <w:trPr/>
        <w:tc>
          <w:tcPr>
            <w:tcW w:w="255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3"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9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Property and Equipment Additions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161</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163</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337</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489</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284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229</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388</w:t>
            </w:r>
          </w:p>
        </w:tc>
        <w:tc>
          <w:tcPr>
            <w:tcW w:w="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4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Property and equipment additions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779</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5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126</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1,201</w:t>
            </w:r>
          </w:p>
        </w:tc>
        <w:tc>
          <w:tcPr>
            <w:tcW w:w="9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4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6039" w:type="dxa"/>
        <w:jc w:val="center"/>
        <w:tblInd w:w="0" w:type="dxa"/>
        <w:tblCellMar>
          <w:top w:w="0" w:type="dxa"/>
          <w:left w:w="0" w:type="dxa"/>
          <w:bottom w:w="28" w:type="dxa"/>
          <w:right w:w="0" w:type="dxa"/>
        </w:tblCellMar>
      </w:tblPr>
      <w:tblGrid>
        <w:gridCol w:w="2405"/>
        <w:gridCol w:w="60"/>
        <w:gridCol w:w="164"/>
        <w:gridCol w:w="633"/>
        <w:gridCol w:w="89"/>
        <w:gridCol w:w="89"/>
        <w:gridCol w:w="164"/>
        <w:gridCol w:w="633"/>
        <w:gridCol w:w="60"/>
        <w:gridCol w:w="60"/>
        <w:gridCol w:w="150"/>
        <w:gridCol w:w="580"/>
        <w:gridCol w:w="81"/>
        <w:gridCol w:w="81"/>
        <w:gridCol w:w="150"/>
        <w:gridCol w:w="580"/>
        <w:gridCol w:w="60"/>
      </w:tblGrid>
      <w:tr>
        <w:trPr/>
        <w:tc>
          <w:tcPr>
            <w:tcW w:w="24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Depreciation and Amortization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1,561</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3,141</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4,348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337</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671</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734</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999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1,472</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1,989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117</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236</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Depreciation and amortization</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2,749</w:t>
            </w:r>
          </w:p>
        </w:tc>
        <w:tc>
          <w:tcPr>
            <w:tcW w:w="8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3,459</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5,520</w:t>
            </w:r>
          </w:p>
        </w:tc>
        <w:tc>
          <w:tcPr>
            <w:tcW w:w="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6,956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4619" w:type="dxa"/>
        <w:jc w:val="center"/>
        <w:tblInd w:w="0" w:type="dxa"/>
        <w:tblCellMar>
          <w:top w:w="0" w:type="dxa"/>
          <w:left w:w="0" w:type="dxa"/>
          <w:bottom w:w="28" w:type="dxa"/>
          <w:right w:w="0" w:type="dxa"/>
        </w:tblCellMar>
      </w:tblPr>
      <w:tblGrid>
        <w:gridCol w:w="2405"/>
        <w:gridCol w:w="60"/>
        <w:gridCol w:w="130"/>
        <w:gridCol w:w="715"/>
        <w:gridCol w:w="60"/>
        <w:gridCol w:w="60"/>
        <w:gridCol w:w="173"/>
        <w:gridCol w:w="956"/>
        <w:gridCol w:w="60"/>
      </w:tblGrid>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Identifiable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252,051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245,842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57,839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55,582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71,461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72,507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10,375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18,651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Identifiable assets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391,726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392,582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5920" w:type="dxa"/>
        <w:jc w:val="left"/>
        <w:tblInd w:w="0" w:type="dxa"/>
        <w:tblCellMar>
          <w:top w:w="0" w:type="dxa"/>
          <w:left w:w="0" w:type="dxa"/>
          <w:bottom w:w="0" w:type="dxa"/>
          <w:right w:w="0" w:type="dxa"/>
        </w:tblCellMar>
      </w:tblPr>
      <w:tblGrid>
        <w:gridCol w:w="230"/>
        <w:gridCol w:w="5690"/>
      </w:tblGrid>
      <w:tr>
        <w:trPr/>
        <w:tc>
          <w:tcPr>
            <w:tcW w:w="230"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w:t>
            </w:r>
          </w:p>
        </w:tc>
        <w:tc>
          <w:tcPr>
            <w:tcW w:w="5690"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 assets consist primarily of cash and income tax related assets.</w:t>
            </w:r>
          </w:p>
        </w:tc>
      </w:tr>
    </w:tbl>
    <w:p>
      <w:pPr>
        <w:pStyle w:val="TextBody"/>
        <w:spacing w:before="0" w:after="0"/>
        <w:rPr/>
      </w:pPr>
      <w:r>
        <w:rPr/>
        <w:t> </w:t>
      </w:r>
    </w:p>
    <w:p>
      <w:pPr>
        <w:pStyle w:val="TextBody"/>
        <w:spacing w:before="0" w:after="0"/>
        <w:rPr/>
      </w:pPr>
      <w:r>
        <w:rPr/>
        <w:t> </w:t>
      </w:r>
    </w:p>
    <w:p>
      <w:pPr>
        <w:pStyle w:val="TextBody"/>
        <w:spacing w:before="240" w:after="0"/>
        <w:ind w:left="0" w:right="0" w:hanging="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17</w:t>
      </w:r>
    </w:p>
    <w:p>
      <w:pPr>
        <w:pStyle w:val="HorizontalLine"/>
        <w:rPr/>
      </w:pPr>
      <w:r>
        <w:rPr/>
      </w:r>
    </w:p>
    <w:tbl>
      <w:tblPr>
        <w:tblW w:w="4619" w:type="dxa"/>
        <w:jc w:val="center"/>
        <w:tblInd w:w="0" w:type="dxa"/>
        <w:tblCellMar>
          <w:top w:w="0" w:type="dxa"/>
          <w:left w:w="0" w:type="dxa"/>
          <w:bottom w:w="28" w:type="dxa"/>
          <w:right w:w="0" w:type="dxa"/>
        </w:tblCellMar>
      </w:tblPr>
      <w:tblGrid>
        <w:gridCol w:w="2405"/>
        <w:gridCol w:w="60"/>
        <w:gridCol w:w="130"/>
        <w:gridCol w:w="715"/>
        <w:gridCol w:w="60"/>
        <w:gridCol w:w="60"/>
        <w:gridCol w:w="173"/>
        <w:gridCol w:w="956"/>
        <w:gridCol w:w="60"/>
      </w:tblGrid>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bookmarkStart w:id="27" w:name="_AEIOULastRenderedPageBreakAEIOU17"/>
            <w:bookmarkEnd w:id="27"/>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Goodwill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97,186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97,143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23,436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23,436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31,577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31,577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Goodwill</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152,199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152,156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caps w:val="false"/>
          <w:smallCaps w:val="false"/>
          <w:color w:val="000000"/>
        </w:rPr>
      </w:pPr>
      <w:r>
        <w:rPr>
          <w:caps w:val="false"/>
          <w:smallCaps w:val="false"/>
          <w:color w:val="000000"/>
        </w:rPr>
        <w:t> </w:t>
      </w:r>
    </w:p>
    <w:p>
      <w:pPr>
        <w:pStyle w:val="TextBody"/>
        <w:spacing w:before="1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Intra-segment and Inter-segment Revenues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has multiple divisions that sell to each other within segments (intra-segment sales) and between segments (inter-segment sales) as indicated in the following tables:  </w:t>
      </w:r>
    </w:p>
    <w:tbl>
      <w:tblPr>
        <w:tblW w:w="6600" w:type="dxa"/>
        <w:jc w:val="center"/>
        <w:tblInd w:w="0" w:type="dxa"/>
        <w:tblCellMar>
          <w:top w:w="0" w:type="dxa"/>
          <w:left w:w="0" w:type="dxa"/>
          <w:bottom w:w="28" w:type="dxa"/>
          <w:right w:w="0" w:type="dxa"/>
        </w:tblCellMar>
      </w:tblPr>
      <w:tblGrid>
        <w:gridCol w:w="2405"/>
        <w:gridCol w:w="60"/>
        <w:gridCol w:w="110"/>
        <w:gridCol w:w="515"/>
        <w:gridCol w:w="60"/>
        <w:gridCol w:w="60"/>
        <w:gridCol w:w="110"/>
        <w:gridCol w:w="485"/>
        <w:gridCol w:w="80"/>
        <w:gridCol w:w="60"/>
        <w:gridCol w:w="151"/>
        <w:gridCol w:w="484"/>
        <w:gridCol w:w="80"/>
        <w:gridCol w:w="60"/>
        <w:gridCol w:w="110"/>
        <w:gridCol w:w="350"/>
        <w:gridCol w:w="80"/>
        <w:gridCol w:w="60"/>
        <w:gridCol w:w="110"/>
        <w:gridCol w:w="260"/>
        <w:gridCol w:w="80"/>
        <w:gridCol w:w="60"/>
        <w:gridCol w:w="124"/>
        <w:gridCol w:w="586"/>
        <w:gridCol w:w="6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075"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85" w:type="dxa"/>
            <w:gridSpan w:val="1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Less Inter-Segment Sales</w:t>
            </w:r>
          </w:p>
        </w:tc>
        <w:tc>
          <w:tcPr>
            <w:tcW w:w="12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9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Intra-</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Segment</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Industrial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Energy</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Fluid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Net Sales to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Outside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Customers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51,656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50,572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22,702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(1,800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20,083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10,950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85,308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(3,113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81,179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6710" w:type="dxa"/>
        <w:jc w:val="center"/>
        <w:tblInd w:w="0" w:type="dxa"/>
        <w:tblCellMar>
          <w:top w:w="0" w:type="dxa"/>
          <w:left w:w="0" w:type="dxa"/>
          <w:bottom w:w="28" w:type="dxa"/>
          <w:right w:w="0" w:type="dxa"/>
        </w:tblCellMar>
      </w:tblPr>
      <w:tblGrid>
        <w:gridCol w:w="2405"/>
        <w:gridCol w:w="60"/>
        <w:gridCol w:w="110"/>
        <w:gridCol w:w="515"/>
        <w:gridCol w:w="60"/>
        <w:gridCol w:w="60"/>
        <w:gridCol w:w="110"/>
        <w:gridCol w:w="485"/>
        <w:gridCol w:w="80"/>
        <w:gridCol w:w="60"/>
        <w:gridCol w:w="151"/>
        <w:gridCol w:w="484"/>
        <w:gridCol w:w="80"/>
        <w:gridCol w:w="60"/>
        <w:gridCol w:w="110"/>
        <w:gridCol w:w="350"/>
        <w:gridCol w:w="80"/>
        <w:gridCol w:w="60"/>
        <w:gridCol w:w="110"/>
        <w:gridCol w:w="350"/>
        <w:gridCol w:w="80"/>
        <w:gridCol w:w="60"/>
        <w:gridCol w:w="124"/>
        <w:gridCol w:w="586"/>
        <w:gridCol w:w="8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65"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75" w:type="dxa"/>
            <w:gridSpan w:val="1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Less Inter-Segment Sales</w:t>
            </w:r>
          </w:p>
        </w:tc>
        <w:tc>
          <w:tcPr>
            <w:tcW w:w="12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Intra-</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Segment</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Industrial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Energy</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Fluid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Net Sales to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Outside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Customers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53,322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(1,929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51,136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20,864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8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0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85,401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(3,037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(575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8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81,089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tbl>
      <w:tblPr>
        <w:tblW w:w="6830" w:type="dxa"/>
        <w:jc w:val="left"/>
        <w:tblInd w:w="0" w:type="dxa"/>
        <w:tblCellMar>
          <w:top w:w="0" w:type="dxa"/>
          <w:left w:w="0" w:type="dxa"/>
          <w:bottom w:w="28" w:type="dxa"/>
          <w:right w:w="0" w:type="dxa"/>
        </w:tblCellMar>
      </w:tblPr>
      <w:tblGrid>
        <w:gridCol w:w="2405"/>
        <w:gridCol w:w="60"/>
        <w:gridCol w:w="110"/>
        <w:gridCol w:w="605"/>
        <w:gridCol w:w="60"/>
        <w:gridCol w:w="60"/>
        <w:gridCol w:w="110"/>
        <w:gridCol w:w="485"/>
        <w:gridCol w:w="80"/>
        <w:gridCol w:w="60"/>
        <w:gridCol w:w="151"/>
        <w:gridCol w:w="484"/>
        <w:gridCol w:w="80"/>
        <w:gridCol w:w="60"/>
        <w:gridCol w:w="110"/>
        <w:gridCol w:w="485"/>
        <w:gridCol w:w="80"/>
        <w:gridCol w:w="60"/>
        <w:gridCol w:w="110"/>
        <w:gridCol w:w="260"/>
        <w:gridCol w:w="80"/>
        <w:gridCol w:w="60"/>
        <w:gridCol w:w="110"/>
        <w:gridCol w:w="605"/>
        <w:gridCol w:w="6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305"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20" w:type="dxa"/>
            <w:gridSpan w:val="1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Less Inter-Segment Sales</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Intra-</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Segment</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Industrial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Energy</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Fluid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Net Sales to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Outside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Customers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107,806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(1,864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105,760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44,524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(3,977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38,936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23,366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(734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22,494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175,696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(6,575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(1,558</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167,190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83" w:type="dxa"/>
        <w:jc w:val="left"/>
        <w:tblInd w:w="0" w:type="dxa"/>
        <w:tblCellMar>
          <w:top w:w="0" w:type="dxa"/>
          <w:left w:w="0" w:type="dxa"/>
          <w:bottom w:w="0" w:type="dxa"/>
          <w:right w:w="0" w:type="dxa"/>
        </w:tblCellMar>
      </w:tblPr>
      <w:tblGrid>
        <w:gridCol w:w="23"/>
        <w:gridCol w:w="60"/>
      </w:tblGrid>
      <w:tr>
        <w:trPr/>
        <w:tc>
          <w:tcPr>
            <w:tcW w:w="23"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40" w:after="0"/>
              <w:jc w:val="both"/>
              <w:rPr>
                <w:caps w:val="false"/>
                <w:smallCaps w:val="false"/>
                <w:color w:val="000000"/>
              </w:rPr>
            </w:pPr>
            <w:r>
              <w:rPr>
                <w:caps w:val="false"/>
                <w:smallCaps w:val="false"/>
                <w:color w:val="000000"/>
              </w:rPr>
              <w:t> </w:t>
            </w:r>
          </w:p>
        </w:tc>
      </w:tr>
    </w:tbl>
    <w:tbl>
      <w:tblPr>
        <w:tblW w:w="6695" w:type="dxa"/>
        <w:jc w:val="left"/>
        <w:tblInd w:w="0" w:type="dxa"/>
        <w:tblCellMar>
          <w:top w:w="0" w:type="dxa"/>
          <w:left w:w="0" w:type="dxa"/>
          <w:bottom w:w="28" w:type="dxa"/>
          <w:right w:w="0" w:type="dxa"/>
        </w:tblCellMar>
      </w:tblPr>
      <w:tblGrid>
        <w:gridCol w:w="2405"/>
        <w:gridCol w:w="60"/>
        <w:gridCol w:w="110"/>
        <w:gridCol w:w="605"/>
        <w:gridCol w:w="60"/>
        <w:gridCol w:w="60"/>
        <w:gridCol w:w="110"/>
        <w:gridCol w:w="485"/>
        <w:gridCol w:w="80"/>
        <w:gridCol w:w="60"/>
        <w:gridCol w:w="117"/>
        <w:gridCol w:w="518"/>
        <w:gridCol w:w="80"/>
        <w:gridCol w:w="60"/>
        <w:gridCol w:w="110"/>
        <w:gridCol w:w="350"/>
        <w:gridCol w:w="80"/>
        <w:gridCol w:w="60"/>
        <w:gridCol w:w="110"/>
        <w:gridCol w:w="260"/>
        <w:gridCol w:w="80"/>
        <w:gridCol w:w="60"/>
        <w:gridCol w:w="110"/>
        <w:gridCol w:w="605"/>
        <w:gridCol w:w="6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70"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 2018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85" w:type="dxa"/>
            <w:gridSpan w:val="1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Less Inter-Segment Sales</w:t>
            </w:r>
          </w:p>
        </w:tc>
        <w:tc>
          <w:tcPr>
            <w:tcW w:w="11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Total</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Intra-</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Segment</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Sales</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Industrial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Energy</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Fluid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Net Sales to</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Outside</w:t>
            </w:r>
          </w:p>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Customers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96,450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(4,398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(938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40,243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(1,605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37,965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27,331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(367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26,155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164,024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(6,812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1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(1,305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3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(673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2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155,229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both"/>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18</w:t>
      </w:r>
    </w:p>
    <w:p>
      <w:pPr>
        <w:pStyle w:val="HorizontalLine"/>
        <w:rPr/>
      </w:pPr>
      <w:r>
        <w:rPr/>
      </w:r>
    </w:p>
    <w:tbl>
      <w:tblPr>
        <w:tblW w:w="1165" w:type="dxa"/>
        <w:jc w:val="left"/>
        <w:tblInd w:w="0" w:type="dxa"/>
        <w:tblCellMar>
          <w:top w:w="0" w:type="dxa"/>
          <w:left w:w="0" w:type="dxa"/>
          <w:bottom w:w="0" w:type="dxa"/>
          <w:right w:w="0" w:type="dxa"/>
        </w:tblCellMar>
      </w:tblPr>
      <w:tblGrid>
        <w:gridCol w:w="245"/>
        <w:gridCol w:w="920"/>
      </w:tblGrid>
      <w:tr>
        <w:trPr/>
        <w:tc>
          <w:tcPr>
            <w:tcW w:w="245" w:type="dxa"/>
            <w:tcBorders/>
            <w:shd w:fill="auto" w:val="clear"/>
          </w:tcPr>
          <w:p>
            <w:pPr>
              <w:pStyle w:val="TableContents"/>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17.</w:t>
            </w:r>
          </w:p>
        </w:tc>
        <w:tc>
          <w:tcPr>
            <w:tcW w:w="920" w:type="dxa"/>
            <w:tcBorders/>
            <w:shd w:fill="auto" w:val="clear"/>
          </w:tcPr>
          <w:p>
            <w:pPr>
              <w:pStyle w:val="TableContents"/>
              <w:spacing w:before="360" w:after="0"/>
              <w:rPr>
                <w:rFonts w:ascii="Times New Roman" w:hAnsi="Times New Roman"/>
                <w:b/>
                <w:i w:val="false"/>
                <w:caps w:val="false"/>
                <w:smallCaps w:val="false"/>
                <w:color w:val="000000"/>
                <w:sz w:val="17"/>
              </w:rPr>
            </w:pPr>
            <w:bookmarkStart w:id="28" w:name="_AEIOULastRenderedPageBreakAEIOU18"/>
            <w:bookmarkEnd w:id="28"/>
            <w:r>
              <w:rPr>
                <w:rFonts w:ascii="Times New Roman" w:hAnsi="Times New Roman"/>
                <w:b/>
                <w:i w:val="false"/>
                <w:caps w:val="false"/>
                <w:smallCaps w:val="false"/>
                <w:color w:val="000000"/>
                <w:sz w:val="17"/>
              </w:rPr>
              <w:t xml:space="preserve">Divestitures </w:t>
            </w:r>
          </w:p>
        </w:tc>
      </w:tr>
    </w:tbl>
    <w:p>
      <w:pPr>
        <w:pStyle w:val="TextBody"/>
        <w:spacing w:before="0" w:after="0"/>
        <w:rPr/>
      </w:pPr>
      <w:r>
        <w:rPr/>
        <w:t> </w:t>
      </w:r>
    </w:p>
    <w:p>
      <w:pPr>
        <w:pStyle w:val="TextBody"/>
        <w:spacing w:before="0" w:after="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Strobic Air Corporation</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 gain of $6.9 million recorded in the first quarter of 2018, comprised of $27.9 million of net proceeds received as consideration after estimated post-closing purchase price adjustments less net assets disposed of $18.8 million and transaction costs of $2.2 million.  The net assets disposed were primarily comprised of $13.0 million of goodwill, $2.3 million of definite-lived intangible assets and $1.2 million of indefinite-lived intangible assets allocated to the Strobic business. In the first quarter of 2018, Strobic reported $4.2 million in net sales and $1.1 million in income from operations.  Strobic results through the date of disposition are included within income before income taxes in the Condensed Consolidated Statements of Operations and are reported within the Fluid Handling Solutions segment. The sale of Strobic did not constitute a significant strategic shift that will have a material impact on the Company’s ongoing operations and financial results.</w:t>
      </w:r>
    </w:p>
    <w:p>
      <w:pPr>
        <w:pStyle w:val="TextBody"/>
        <w:spacing w:before="0" w:after="0"/>
        <w:rPr/>
      </w:pPr>
      <w:r>
        <w:rPr/>
        <w:t> </w:t>
      </w:r>
    </w:p>
    <w:p>
      <w:pPr>
        <w:pStyle w:val="TextBody"/>
        <w:spacing w:before="0" w:after="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Keystone Filter</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On February 28, 2018, the Company completed the sale of the Keystone Filter brand (“Keystone”). The sales price was $7.5 million, subject to post-closing purchase price adjustments. The disposition resulted in a gain of $4.3 million recorded in the first quarter of 2018, comprised of $7.2 million of net proceeds received as consideration after estimated post-closing purchase price adjustments less net assets disposed of $2.7 million and transaction costs of $0.2 million.  Keystone results are reported within the Fluid Handling Solutions segment through the date of disposition. </w:t>
      </w:r>
    </w:p>
    <w:p>
      <w:pPr>
        <w:pStyle w:val="TextBody"/>
        <w:spacing w:before="0" w:after="0"/>
        <w:rPr/>
      </w:pPr>
      <w:r>
        <w:rPr/>
        <w:t> </w:t>
      </w:r>
    </w:p>
    <w:p>
      <w:pPr>
        <w:pStyle w:val="TextBody"/>
        <w:spacing w:before="0" w:after="0"/>
        <w:rPr>
          <w:rFonts w:ascii="Times New Roman" w:hAnsi="Times New Roman"/>
          <w:b w:val="false"/>
          <w:i/>
          <w:caps w:val="false"/>
          <w:smallCaps w:val="false"/>
          <w:sz w:val="17"/>
        </w:rPr>
      </w:pPr>
      <w:r>
        <w:rPr>
          <w:rFonts w:ascii="Times New Roman" w:hAnsi="Times New Roman"/>
          <w:b w:val="false"/>
          <w:i/>
          <w:caps w:val="false"/>
          <w:smallCaps w:val="false"/>
          <w:sz w:val="17"/>
        </w:rPr>
        <w:t>Zhongli</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On November 27, 2018, the Company completed the sale of Jiangyin Zhongli Industrial Technology Co. Ltd (“Zhongli”), a business in our Energy Solutions segment operating in China for a price of $3.6 million.  In the third quarter of 2018, we classified the assets and liabilities of Zhongli as held-for-sale.  In connection with classifying this business as held-for-sale, GAAP required us to assess impairment by comparing the estimated selling price, less cost to sell to our carrying value in Zhongli.  Based on this analysis, we recorded a $15.1 million estimated loss. The disposal of this business does not constitute a significant strategic shift that will have a material impact on the Company’s ongoing operations and financial results.  During the three-month and six-month periods ended June 30, 2018, Zhongli reported net sales of $1.2 million and $2.9 million, respectively.  Zhongli results are reported within the Energy Solutions segment through the date of disposition.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19</w:t>
      </w:r>
    </w:p>
    <w:p>
      <w:pPr>
        <w:pStyle w:val="HorizontalLine"/>
        <w:rPr/>
      </w:pPr>
      <w:r>
        <w:rPr/>
      </w:r>
    </w:p>
    <w:p>
      <w:pPr>
        <w:pStyle w:val="TextBody"/>
        <w:spacing w:before="0" w:after="0"/>
        <w:jc w:val="center"/>
        <w:rPr>
          <w:rFonts w:ascii="Times New Roman" w:hAnsi="Times New Roman"/>
          <w:b w:val="false"/>
          <w:i w:val="false"/>
          <w:caps w:val="false"/>
          <w:smallCaps w:val="false"/>
          <w:color w:val="000000"/>
          <w:sz w:val="17"/>
          <w:u w:val="single"/>
        </w:rPr>
      </w:pPr>
      <w:bookmarkStart w:id="29" w:name="_AEIOULastRenderedPageBreakAEIOU19"/>
      <w:bookmarkEnd w:id="29"/>
      <w:r>
        <w:rPr>
          <w:rFonts w:ascii="Times New Roman" w:hAnsi="Times New Roman"/>
          <w:b w:val="false"/>
          <w:i w:val="false"/>
          <w:caps w:val="false"/>
          <w:smallCaps w:val="false"/>
          <w:color w:val="000000"/>
          <w:sz w:val="17"/>
          <w:u w:val="single"/>
        </w:rPr>
        <w:t>CECO ENVIRONMENTAL CORP. AND SUBSIDIARIES</w:t>
      </w:r>
    </w:p>
    <w:p>
      <w:pPr>
        <w:pStyle w:val="TextBody"/>
        <w:spacing w:before="0" w:after="0"/>
        <w:jc w:val="center"/>
        <w:rPr>
          <w:rFonts w:ascii="Times New Roman" w:hAnsi="Times New Roman"/>
          <w:b w:val="false"/>
          <w:i w:val="false"/>
          <w:caps w:val="false"/>
          <w:smallCaps w:val="false"/>
          <w:color w:val="000000"/>
          <w:sz w:val="17"/>
          <w:u w:val="single"/>
        </w:rPr>
      </w:pPr>
      <w:r>
        <w:rPr>
          <w:rFonts w:ascii="Times New Roman" w:hAnsi="Times New Roman"/>
          <w:b w:val="false"/>
          <w:i w:val="false"/>
          <w:caps w:val="false"/>
          <w:smallCaps w:val="false"/>
          <w:color w:val="000000"/>
          <w:sz w:val="17"/>
          <w:u w:val="single"/>
        </w:rPr>
        <w:t>MANAGEMENT’S DISCUSSION AND ANALYSIS OF FINANCIAL CONDITION</w:t>
      </w:r>
    </w:p>
    <w:p>
      <w:pPr>
        <w:pStyle w:val="TextBody"/>
        <w:spacing w:before="0" w:after="0"/>
        <w:jc w:val="center"/>
        <w:rPr>
          <w:rFonts w:ascii="Times New Roman" w:hAnsi="Times New Roman"/>
          <w:b w:val="false"/>
          <w:i w:val="false"/>
          <w:caps w:val="false"/>
          <w:smallCaps w:val="false"/>
          <w:color w:val="000000"/>
          <w:sz w:val="17"/>
          <w:u w:val="single"/>
        </w:rPr>
      </w:pPr>
      <w:r>
        <w:rPr>
          <w:rFonts w:ascii="Times New Roman" w:hAnsi="Times New Roman"/>
          <w:b w:val="false"/>
          <w:i w:val="false"/>
          <w:caps w:val="false"/>
          <w:smallCaps w:val="false"/>
          <w:color w:val="000000"/>
          <w:sz w:val="17"/>
          <w:u w:val="single"/>
        </w:rPr>
        <w:t>AND RESULTS OF OPERATIONS</w:t>
      </w:r>
    </w:p>
    <w:p>
      <w:pPr>
        <w:pStyle w:val="TextBody"/>
        <w:spacing w:before="0" w:after="0"/>
        <w:rPr/>
      </w:pPr>
      <w:r>
        <w:rPr/>
        <w:t> </w:t>
      </w:r>
    </w:p>
    <w:p>
      <w:pPr>
        <w:pStyle w:val="TextBody"/>
        <w:spacing w:before="0" w:after="0"/>
        <w:rPr/>
      </w:pPr>
      <w:r>
        <w:rPr/>
        <w:t> </w:t>
      </w:r>
    </w:p>
    <w:tbl>
      <w:tblPr>
        <w:tblW w:w="7045" w:type="dxa"/>
        <w:jc w:val="left"/>
        <w:tblInd w:w="0" w:type="dxa"/>
        <w:tblCellMar>
          <w:top w:w="0" w:type="dxa"/>
          <w:left w:w="0" w:type="dxa"/>
          <w:bottom w:w="0" w:type="dxa"/>
          <w:right w:w="0" w:type="dxa"/>
        </w:tblCellMar>
      </w:tblPr>
      <w:tblGrid>
        <w:gridCol w:w="620"/>
        <w:gridCol w:w="6425"/>
      </w:tblGrid>
      <w:tr>
        <w:trPr/>
        <w:tc>
          <w:tcPr>
            <w:tcW w:w="62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2.</w:t>
            </w:r>
          </w:p>
        </w:tc>
        <w:tc>
          <w:tcPr>
            <w:tcW w:w="6425" w:type="dxa"/>
            <w:tcBorders/>
            <w:shd w:fill="auto" w:val="clear"/>
          </w:tcPr>
          <w:p>
            <w:pPr>
              <w:pStyle w:val="TableContents"/>
              <w:spacing w:before="0" w:after="0"/>
              <w:rPr>
                <w:rFonts w:ascii="Times New Roman" w:hAnsi="Times New Roman"/>
                <w:b/>
                <w:i w:val="false"/>
                <w:caps w:val="false"/>
                <w:smallCaps w:val="false"/>
                <w:color w:val="000000"/>
                <w:sz w:val="17"/>
              </w:rPr>
            </w:pPr>
            <w:bookmarkStart w:id="30" w:name="ITEM_2_MANAGEMENTS_DISCUSSION_ANALYSIS_F"/>
            <w:bookmarkEnd w:id="30"/>
            <w:r>
              <w:rPr>
                <w:rFonts w:ascii="Times New Roman" w:hAnsi="Times New Roman"/>
                <w:b/>
                <w:i w:val="false"/>
                <w:caps w:val="false"/>
                <w:smallCaps w:val="false"/>
                <w:color w:val="000000"/>
                <w:sz w:val="17"/>
              </w:rPr>
              <w:t>Management’s Discussion and Analysis of Financial Condition and Results of Operations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Condensed Consolidated Statements of Operations for the three-month and six-month periods ended June 30, 2019 and 2018 reflect the consolidated operations of the Company and its subsidiaries.</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CECO serves diverse industries globally by working to improve air quality, optimize the energy value chain, and provide customized engineered solutions in our customer’s mission critical applications. The secular growth industries CECO serves include oil &amp; gas, power generation, water and wastewater, battery production, poly silicon fabrication, chemical and petrochemical processing, along with a wide range of other industries.</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Note Regarding Use of Non-GAAP Financial Measures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 </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Results of Operations</w:t>
      </w:r>
    </w:p>
    <w:p>
      <w:pPr>
        <w:pStyle w:val="TextBody"/>
        <w:spacing w:before="120" w:after="0"/>
        <w:rPr>
          <w:rFonts w:ascii="Times New Roman" w:hAnsi="Times New Roman"/>
          <w:b/>
          <w:i/>
          <w:caps w:val="false"/>
          <w:smallCaps w:val="false"/>
          <w:color w:val="000000"/>
          <w:sz w:val="17"/>
        </w:rPr>
      </w:pPr>
      <w:r>
        <w:rPr>
          <w:rFonts w:ascii="Times New Roman" w:hAnsi="Times New Roman"/>
          <w:b/>
          <w:i/>
          <w:caps w:val="false"/>
          <w:smallCaps w:val="false"/>
          <w:color w:val="000000"/>
          <w:sz w:val="17"/>
        </w:rPr>
        <w:t>Consolidated Results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Condensed Consolidated Statements of Operations for the three-month and six-month periods ended June 30, 2019 and 2018 are as follows:</w:t>
      </w:r>
    </w:p>
    <w:p>
      <w:pPr>
        <w:pStyle w:val="TextBody"/>
        <w:spacing w:before="0" w:after="0"/>
        <w:rPr>
          <w:caps w:val="false"/>
          <w:smallCaps w:val="false"/>
          <w:color w:val="000000"/>
        </w:rPr>
      </w:pPr>
      <w:r>
        <w:rPr>
          <w:caps w:val="false"/>
          <w:smallCaps w:val="false"/>
          <w:color w:val="000000"/>
        </w:rPr>
        <w:t> </w:t>
      </w:r>
    </w:p>
    <w:tbl>
      <w:tblPr>
        <w:tblW w:w="7038" w:type="dxa"/>
        <w:jc w:val="center"/>
        <w:tblInd w:w="0" w:type="dxa"/>
        <w:tblCellMar>
          <w:top w:w="0" w:type="dxa"/>
          <w:left w:w="0" w:type="dxa"/>
          <w:bottom w:w="28" w:type="dxa"/>
          <w:right w:w="0" w:type="dxa"/>
        </w:tblCellMar>
      </w:tblPr>
      <w:tblGrid>
        <w:gridCol w:w="3215"/>
        <w:gridCol w:w="60"/>
        <w:gridCol w:w="175"/>
        <w:gridCol w:w="537"/>
        <w:gridCol w:w="248"/>
        <w:gridCol w:w="95"/>
        <w:gridCol w:w="175"/>
        <w:gridCol w:w="542"/>
        <w:gridCol w:w="155"/>
        <w:gridCol w:w="60"/>
        <w:gridCol w:w="138"/>
        <w:gridCol w:w="536"/>
        <w:gridCol w:w="195"/>
        <w:gridCol w:w="75"/>
        <w:gridCol w:w="138"/>
        <w:gridCol w:w="539"/>
        <w:gridCol w:w="155"/>
      </w:tblGrid>
      <w:tr>
        <w:trPr/>
        <w:tc>
          <w:tcPr>
            <w:tcW w:w="321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2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millions)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7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81.2</w:t>
            </w:r>
          </w:p>
        </w:tc>
        <w:tc>
          <w:tcPr>
            <w:tcW w:w="2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81.1</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167.2</w:t>
            </w:r>
          </w:p>
        </w:tc>
        <w:tc>
          <w:tcPr>
            <w:tcW w:w="1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155.2</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Cost of sales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54.4</w:t>
            </w:r>
          </w:p>
        </w:tc>
        <w:tc>
          <w:tcPr>
            <w:tcW w:w="2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53.9</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111.9</w:t>
            </w:r>
          </w:p>
        </w:tc>
        <w:tc>
          <w:tcPr>
            <w:tcW w:w="1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102.1</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Gross profit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26.8</w:t>
            </w:r>
          </w:p>
        </w:tc>
        <w:tc>
          <w:tcPr>
            <w:tcW w:w="2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27.2</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55.3</w:t>
            </w:r>
          </w:p>
        </w:tc>
        <w:tc>
          <w:tcPr>
            <w:tcW w:w="1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53.1</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Percent of 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33.0</w:t>
            </w:r>
          </w:p>
        </w:tc>
        <w:tc>
          <w:tcPr>
            <w:tcW w:w="248"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33.5</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33.1</w:t>
            </w:r>
          </w:p>
        </w:tc>
        <w:tc>
          <w:tcPr>
            <w:tcW w:w="19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34.2</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Selling and administrative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22.4</w:t>
            </w:r>
          </w:p>
        </w:tc>
        <w:tc>
          <w:tcPr>
            <w:tcW w:w="2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22.0</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43.8</w:t>
            </w:r>
          </w:p>
        </w:tc>
        <w:tc>
          <w:tcPr>
            <w:tcW w:w="1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43.9</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Percent of 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27.6</w:t>
            </w:r>
          </w:p>
        </w:tc>
        <w:tc>
          <w:tcPr>
            <w:tcW w:w="248"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27.1</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26.2</w:t>
            </w:r>
          </w:p>
        </w:tc>
        <w:tc>
          <w:tcPr>
            <w:tcW w:w="19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28.3</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and earnout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w:t>
            </w:r>
          </w:p>
        </w:tc>
        <w:tc>
          <w:tcPr>
            <w:tcW w:w="2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w:t>
            </w:r>
          </w:p>
        </w:tc>
        <w:tc>
          <w:tcPr>
            <w:tcW w:w="1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Loss (gain) on divestitures, net of selling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w:t>
            </w:r>
          </w:p>
        </w:tc>
        <w:tc>
          <w:tcPr>
            <w:tcW w:w="1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21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Restructuring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24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w:t>
            </w:r>
          </w:p>
        </w:tc>
        <w:tc>
          <w:tcPr>
            <w:tcW w:w="24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4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w:t>
            </w:r>
          </w:p>
        </w:tc>
        <w:tc>
          <w:tcPr>
            <w:tcW w:w="1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3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15" w:type="dxa"/>
            <w:tcBorders/>
            <w:shd w:fill="CFF0FC" w:val="clear"/>
            <w:tcMar>
              <w:bottom w:w="0" w:type="dxa"/>
            </w:tcMar>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Operating margin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2.5</w:t>
            </w:r>
          </w:p>
        </w:tc>
        <w:tc>
          <w:tcPr>
            <w:tcW w:w="248"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3.2</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4.1</w:t>
            </w:r>
          </w:p>
        </w:tc>
        <w:tc>
          <w:tcPr>
            <w:tcW w:w="19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9.5</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r>
    </w:tbl>
    <w:p>
      <w:pPr>
        <w:pStyle w:val="TextBody"/>
        <w:spacing w:before="40" w:after="0"/>
        <w:rPr>
          <w:rFonts w:ascii="Times New Roman" w:hAnsi="Times New Roman"/>
          <w:b w:val="false"/>
          <w:i w:val="false"/>
          <w:caps w:val="false"/>
          <w:smallCaps w:val="false"/>
          <w:color w:val="000000"/>
          <w:sz w:val="17"/>
        </w:rPr>
      </w:pPr>
      <w:bookmarkStart w:id="31" w:name="_AEIOULastRenderedPageBreakAEIOU20"/>
      <w:bookmarkEnd w:id="31"/>
      <w:r>
        <w:rPr>
          <w:rFonts w:ascii="Times New Roman" w:hAnsi="Times New Roman"/>
          <w:b w:val="false"/>
          <w:i w:val="false"/>
          <w:caps w:val="false"/>
          <w:smallCaps w:val="false"/>
          <w:color w:val="000000"/>
          <w:sz w:val="17"/>
        </w:rPr>
        <w:t xml:space="preserve">To compare operating performance between the three-month and six-month periods ended June 30, 2019 and 2018, the Company has adjusted GAAP operating income to exclude (1) loss (gain) on divestitures, net of selling costs necessary to complete the divestiture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20</w:t>
      </w:r>
    </w:p>
    <w:p>
      <w:pPr>
        <w:pStyle w:val="HorizontalLine"/>
        <w:rPr/>
      </w:pPr>
      <w:r>
        <w:rPr/>
      </w:r>
    </w:p>
    <w:p>
      <w:pPr>
        <w:pStyle w:val="TextBody"/>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such as legal, accounting and compliance, (2) amortization and contingent acquisition expenses, including amortization of acquisition related intangibles, retention, severance, and earnout expenses, and (3) restructuring expenses.  See “Note Regarding Use of Non-GAAP Financial Measures” above. The following table presents the reconciliation of GAAP operating income and GAAP operating margin to non-GAAP operating income and non-GAAP operating margin:</w:t>
      </w:r>
    </w:p>
    <w:p>
      <w:pPr>
        <w:pStyle w:val="TextBody"/>
        <w:spacing w:before="0" w:after="0"/>
        <w:rPr>
          <w:caps w:val="false"/>
          <w:smallCaps w:val="false"/>
          <w:color w:val="000000"/>
        </w:rPr>
      </w:pPr>
      <w:r>
        <w:rPr>
          <w:caps w:val="false"/>
          <w:smallCaps w:val="false"/>
          <w:color w:val="000000"/>
        </w:rPr>
        <w:t> </w:t>
      </w:r>
    </w:p>
    <w:tbl>
      <w:tblPr>
        <w:tblW w:w="7745" w:type="dxa"/>
        <w:jc w:val="center"/>
        <w:tblInd w:w="0" w:type="dxa"/>
        <w:tblCellMar>
          <w:top w:w="0" w:type="dxa"/>
          <w:left w:w="0" w:type="dxa"/>
          <w:bottom w:w="28" w:type="dxa"/>
          <w:right w:w="0" w:type="dxa"/>
        </w:tblCellMar>
      </w:tblPr>
      <w:tblGrid>
        <w:gridCol w:w="3920"/>
        <w:gridCol w:w="60"/>
        <w:gridCol w:w="204"/>
        <w:gridCol w:w="483"/>
        <w:gridCol w:w="288"/>
        <w:gridCol w:w="111"/>
        <w:gridCol w:w="204"/>
        <w:gridCol w:w="484"/>
        <w:gridCol w:w="155"/>
        <w:gridCol w:w="60"/>
        <w:gridCol w:w="152"/>
        <w:gridCol w:w="466"/>
        <w:gridCol w:w="215"/>
        <w:gridCol w:w="82"/>
        <w:gridCol w:w="152"/>
        <w:gridCol w:w="554"/>
        <w:gridCol w:w="155"/>
      </w:tblGrid>
      <w:tr>
        <w:trPr/>
        <w:tc>
          <w:tcPr>
            <w:tcW w:w="392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2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millions)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2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18"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2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0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15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 as reported in accordance with GAAP</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w:t>
            </w:r>
          </w:p>
        </w:tc>
        <w:tc>
          <w:tcPr>
            <w:tcW w:w="2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Operating margin in accordance with GAAP</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2.5</w:t>
            </w:r>
          </w:p>
        </w:tc>
        <w:tc>
          <w:tcPr>
            <w:tcW w:w="288"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3.2</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4.1</w:t>
            </w:r>
          </w:p>
        </w:tc>
        <w:tc>
          <w:tcPr>
            <w:tcW w:w="21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9.5</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Amortization and earnout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w:t>
            </w:r>
          </w:p>
        </w:tc>
        <w:tc>
          <w:tcPr>
            <w:tcW w:w="28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4.3</w:t>
            </w:r>
          </w:p>
        </w:tc>
        <w:tc>
          <w:tcPr>
            <w:tcW w:w="2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5.4</w:t>
            </w:r>
          </w:p>
        </w:tc>
        <w:tc>
          <w:tcPr>
            <w:tcW w:w="15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Loss (gain) on divestitures, net of selling costs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2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0.1</w:t>
            </w:r>
          </w:p>
        </w:tc>
        <w:tc>
          <w:tcPr>
            <w:tcW w:w="2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w:t>
            </w:r>
          </w:p>
        </w:tc>
        <w:tc>
          <w:tcPr>
            <w:tcW w:w="15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9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Restructuring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28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2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0.2</w:t>
            </w:r>
          </w:p>
        </w:tc>
        <w:tc>
          <w:tcPr>
            <w:tcW w:w="15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Non-GAAP operating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3"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4.4</w:t>
            </w:r>
          </w:p>
        </w:tc>
        <w:tc>
          <w:tcPr>
            <w:tcW w:w="28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8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5.2</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466"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11.5</w:t>
            </w:r>
          </w:p>
        </w:tc>
        <w:tc>
          <w:tcPr>
            <w:tcW w:w="2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top w:val="single" w:sz="6" w:space="0" w:color="000000"/>
            </w:tcBorders>
            <w:shd w:fill="FFFFFF"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5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9.2</w:t>
            </w:r>
          </w:p>
        </w:tc>
        <w:tc>
          <w:tcPr>
            <w:tcW w:w="15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920" w:type="dxa"/>
            <w:tcBorders/>
            <w:shd w:fill="CFF0FC" w:val="clear"/>
            <w:tcMar>
              <w:bottom w:w="0" w:type="dxa"/>
            </w:tcMar>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Non-GAAP operating margin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5.4</w:t>
            </w:r>
          </w:p>
        </w:tc>
        <w:tc>
          <w:tcPr>
            <w:tcW w:w="288"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6.4</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6.9</w:t>
            </w:r>
          </w:p>
        </w:tc>
        <w:tc>
          <w:tcPr>
            <w:tcW w:w="21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5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5.9</w:t>
            </w:r>
          </w:p>
        </w:tc>
        <w:tc>
          <w:tcPr>
            <w:tcW w:w="155" w:type="dxa"/>
            <w:tcBorders/>
            <w:shd w:fill="CFF0FC" w:val="clear"/>
            <w:tcMar>
              <w:bottom w:w="0" w:type="dxa"/>
            </w:tcMar>
            <w:vAlign w:val="bottom"/>
          </w:tcPr>
          <w:p>
            <w:pPr>
              <w:pStyle w:val="TableContents"/>
              <w:spacing w:before="0" w:after="0"/>
              <w:ind w:left="0" w:right="0" w:hanging="0"/>
              <w:rPr>
                <w:rFonts w:ascii="Times New Roman" w:hAnsi="Times New Roman"/>
                <w:b w:val="false"/>
                <w:i/>
                <w:caps w:val="false"/>
                <w:smallCaps w:val="false"/>
                <w:color w:val="000000"/>
                <w:sz w:val="17"/>
              </w:rPr>
            </w:pPr>
            <w:r>
              <w:rPr>
                <w:rFonts w:ascii="Times New Roman" w:hAnsi="Times New Roman"/>
                <w:b w:val="false"/>
                <w:i/>
                <w:caps w:val="false"/>
                <w:smallCaps w:val="false"/>
                <w:color w:val="000000"/>
                <w:sz w:val="17"/>
              </w:rPr>
              <w:t>%</w:t>
            </w:r>
          </w:p>
        </w:tc>
      </w:tr>
    </w:tbl>
    <w:p>
      <w:pPr>
        <w:pStyle w:val="TextBody"/>
        <w:spacing w:before="4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In 2018, we divested three non-core businesses; Keystone filter brand (“Keystone”) and Strobic Air Corporation (“Strobic”) in the first quarter and Jiangyin Zhongli Industrial Technology Co. Ltd. (“Zhongli”) in the fourth quarter (collectively, the “Divestitures”).  The exclusion of the operating results of the Divestitures subsequent to their disposition impacts the comparability of our consolidated and segment operating results. </w:t>
      </w:r>
    </w:p>
    <w:p>
      <w:pPr>
        <w:pStyle w:val="TextBody"/>
        <w:spacing w:before="4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Consolidated sales for the second quarter of 2019 increased $0.1 million, to $81.2 million compared with $81.1 million in the second quarter of 2018. The increase is primarily attributable to increases in the Company’s products serving clean air and midstream oil &amp; gas markets partially offset by the impact of the divested Zhongli business. Excluding the impact of the divested business, sales increased $1.3 million, or 1.6%.</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Consolidated sales for the first six months of 2019 increased $12.0 million, or 7.7%, to $167.2 million compared with $155.2 million in the first six months of 2018. The increase is primarily attributable to volume growth for the Company’s refinery-related products and midstream oil &amp; gas markets, partially offset by the impact of Divestitures. Excluding the impact of Divestitures, sales increased $19.7 million, or 13.4%.</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Gross profit decreased $0.4 million, or 1.5%, to $26.8 million in the second quarter of 2019 compared with $27.2 million in the same period of 2018.  Gross profit as a percentage of sales decreased to 33.0% in the second quarter of 2019 compared with 33.5% in the second quarter of 2018. The decrease is primarily attributable to product mix.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Gross profit increased $2.2 million, or 4.1%, to $55.3 million in the first six months of 2019 compared with $53.1 million in the same period of 2018.  The increase in gross profit is primarily attributable to sales volume increases period over period.  Gross profit as a percentage of sales decreased to 33.1% in the first six months of 2019 compared with 34.2% in the first six months of 2018. The decrease is primarily attributable to product mix.</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Orders booked were $103.0 million during the second quarter of 2019 and $200.3 million during the first six months of 2019 as compared with $100.4 million during the second quarter of 2018 and $195.4 million during the first six months of 2018.  Excluding the impact of the Divestitures, bookings increased $3.9 million and $10.9 million during the second quarter of 2019 and the first six months of 2019, respectively.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Selling and administrative expenses were $22</w:t>
      </w:r>
      <w:r>
        <w:rPr>
          <w:rFonts w:ascii="Times New Roman" w:hAnsi="Times New Roman"/>
          <w:b w:val="false"/>
          <w:i w:val="false"/>
          <w:caps w:val="false"/>
          <w:smallCaps w:val="false"/>
          <w:color w:val="000000"/>
          <w:sz w:val="17"/>
        </w:rPr>
        <w:t xml:space="preserve">.4 million for the second quarter of 2019 compared with $22.0 million for the second quarter of 2018. The increase in administrative expenses is primarily attributable to investment in sales &amp; marketing personnel and customer focused product innovation.   Selling and administrative expenses increased as a percentage of sales to 27.6% in the second quarter of 2019 compared with 27.1% in the second quarter of 2018.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Selling and administrative expenses were $43</w:t>
      </w:r>
      <w:r>
        <w:rPr>
          <w:rFonts w:ascii="Times New Roman" w:hAnsi="Times New Roman"/>
          <w:b w:val="false"/>
          <w:i w:val="false"/>
          <w:caps w:val="false"/>
          <w:smallCaps w:val="false"/>
          <w:color w:val="000000"/>
          <w:sz w:val="17"/>
        </w:rPr>
        <w:t xml:space="preserve">.8 million for the first six months of 2019 compared with $43.9 million for the first six months of 2018. Selling and administrative expenses decreased as a percentage of sales to 26.2% in the first six months of 2019 compared with 28.3% in the first six months of 2018.  The decrease in selling and administrative expenses as a percentage of sales is primarily attributable to the increase in sales.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Amortization and earnout expense was $2.2 million for the second quarter of 2019 compared with $2.5 million for the second quarter of 2018. The decrease in expense is attributable to a $0.3 million decrease in definite-lived asset amortization.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21</w:t>
      </w:r>
    </w:p>
    <w:p>
      <w:pPr>
        <w:pStyle w:val="HorizontalLine"/>
        <w:rPr/>
      </w:pPr>
      <w:r>
        <w:rPr/>
      </w:r>
    </w:p>
    <w:p>
      <w:pPr>
        <w:pStyle w:val="TextBody"/>
        <w:spacing w:before="240" w:after="0"/>
        <w:rPr>
          <w:rFonts w:ascii="Times New Roman" w:hAnsi="Times New Roman"/>
          <w:b w:val="false"/>
          <w:i w:val="false"/>
          <w:caps w:val="false"/>
          <w:smallCaps w:val="false"/>
          <w:color w:val="000000"/>
          <w:sz w:val="17"/>
        </w:rPr>
      </w:pPr>
      <w:bookmarkStart w:id="32" w:name="_AEIOULastRenderedPageBreakAEIOU21"/>
      <w:bookmarkEnd w:id="32"/>
      <w:r>
        <w:rPr>
          <w:rFonts w:ascii="Times New Roman" w:hAnsi="Times New Roman"/>
          <w:b w:val="false"/>
          <w:i w:val="false"/>
          <w:caps w:val="false"/>
          <w:smallCaps w:val="false"/>
          <w:color w:val="000000"/>
          <w:sz w:val="17"/>
        </w:rPr>
        <w:t>Amortization and earnout expense was $4.3 million for the first six months of 2019 compared with $5.4 million for the first six months of 2018. The decrease in expense is attributable to a $0.3 million decrease in earn-out expense and $0.8 million decrease in definite-lived asset amortization.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 xml:space="preserve">Operating income decreased $0.6 million to $2.0 million in the second quarter of 2019 compared with $2.6 million during the second quarter of 2018.  Operating income decreased $7.8 million to $6.9 million in the first six months of 2019 compared with $14.7 million during the first six months of 2018. The decrease is due primarily to the gain on divestures, net of selling costs of $11.1 million in the first six months of 2018, offset by the factors described above.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Non-GAAP operating income was $4.4 million for the second quarter of 2019 compared with $5.2 million for the second quarter of 2018. The decrease in non-GAAP operating income is primarily attributable to the decrease in gross profit. Non-GAAP operating income as a percentage of sales decreased to 5.4% for the second quarter of 2019 from 6.4% for the second quarter of 2018.</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Non-GAAP operating income was $11.5 million for the first six months of 2019 compared with $9.2 million for the first six months of 2018. The increase in non-GAAP operating income is primarily attributable to higher sales, which led to an increase in gross profit. Non-GAAP operating income as a percentage of sales increased to 6.9% for the first six months of 2019 from 5.9% for the first six months of 2018.</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Interest expense decreased to $1.5 million in the second quarter of 2019 and $3.0 million for the first six months of 2019 compared with $1.8 million in the second quarter of 2019 and $3.7 million for the first six months of 2018. The decrease is due to a reduced debt balance in 2019 in comparison to 2018, resulting in lower interest expense incurred.</w:t>
      </w:r>
    </w:p>
    <w:p>
      <w:pPr>
        <w:pStyle w:val="TextBody"/>
        <w:spacing w:before="26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tax benefit was $4.2 million for the second quarter of 2019 and $3.3 million for the first six months of 2019, compared with income tax expense of $1.3 million for the second quarter of 2018 and $5.4 million for the first six months of 2018. The effective income tax rate for the second quarter of 2019 was (303.7%) compared with 317.1% for second quarter of 2018.  The effective income tax rate was (81.3%) for the first six months of 2019, compared with 52.7% for the first six months of 2018. The effective income tax rates for the three and six months ended June 30, 2019 were negative (i.e. income tax benefits), despite pre-tax income, due primarily to a tax benefit of $4.4 million upon finalization of a tax position related to the 2018 divestiture of Zhongli. Our effective tax rate is affected by certain other permanent differences, including state income taxes, non-deductible incentive stock-based compensation, the Global Intangible Low-Taxed Income inclusion and Foreign-Derived Intangible Income deduction, tax credits, return-to-provision adjustments, and differences in tax rates among the jurisdictions in which we operate.</w:t>
      </w:r>
    </w:p>
    <w:p>
      <w:pPr>
        <w:pStyle w:val="TextBody"/>
        <w:spacing w:before="360" w:after="0"/>
        <w:rPr>
          <w:rFonts w:ascii="Times New Roman" w:hAnsi="Times New Roman"/>
          <w:b/>
          <w:i/>
          <w:caps w:val="false"/>
          <w:smallCaps w:val="false"/>
          <w:color w:val="000000"/>
          <w:sz w:val="17"/>
        </w:rPr>
      </w:pPr>
      <w:r>
        <w:rPr>
          <w:rFonts w:ascii="Times New Roman" w:hAnsi="Times New Roman"/>
          <w:b/>
          <w:i/>
          <w:caps w:val="false"/>
          <w:smallCaps w:val="false"/>
          <w:color w:val="000000"/>
          <w:sz w:val="17"/>
        </w:rPr>
        <w:t>Business Segments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Operations. </w:t>
      </w:r>
    </w:p>
    <w:tbl>
      <w:tblPr>
        <w:tblW w:w="6659" w:type="dxa"/>
        <w:jc w:val="left"/>
        <w:tblInd w:w="0" w:type="dxa"/>
        <w:tblCellMar>
          <w:top w:w="0" w:type="dxa"/>
          <w:left w:w="0" w:type="dxa"/>
          <w:bottom w:w="28" w:type="dxa"/>
          <w:right w:w="0" w:type="dxa"/>
        </w:tblCellMar>
      </w:tblPr>
      <w:tblGrid>
        <w:gridCol w:w="3005"/>
        <w:gridCol w:w="60"/>
        <w:gridCol w:w="141"/>
        <w:gridCol w:w="666"/>
        <w:gridCol w:w="77"/>
        <w:gridCol w:w="77"/>
        <w:gridCol w:w="141"/>
        <w:gridCol w:w="670"/>
        <w:gridCol w:w="80"/>
        <w:gridCol w:w="60"/>
        <w:gridCol w:w="115"/>
        <w:gridCol w:w="634"/>
        <w:gridCol w:w="62"/>
        <w:gridCol w:w="62"/>
        <w:gridCol w:w="115"/>
        <w:gridCol w:w="634"/>
        <w:gridCol w:w="60"/>
      </w:tblGrid>
      <w:tr>
        <w:trPr/>
        <w:tc>
          <w:tcPr>
            <w:tcW w:w="30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2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bookmarkStart w:id="33" w:name="_Hlk15394177"/>
            <w:bookmarkEnd w:id="33"/>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6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 (less intra-, inter-segment sales)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50,572</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51,136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105,760</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91,109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20,083</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19,517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38,936</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37,965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10,524</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10,598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22,494</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26,155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6"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3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0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Net sales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6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81,179</w:t>
            </w:r>
          </w:p>
        </w:tc>
        <w:tc>
          <w:tcPr>
            <w:tcW w:w="7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81,089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167,190</w:t>
            </w:r>
          </w:p>
        </w:tc>
        <w:tc>
          <w:tcPr>
            <w:tcW w:w="6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3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155,229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3460" w:type="dxa"/>
        <w:jc w:val="left"/>
        <w:tblInd w:w="0" w:type="dxa"/>
        <w:tblCellMar>
          <w:top w:w="0" w:type="dxa"/>
          <w:left w:w="0" w:type="dxa"/>
          <w:bottom w:w="0" w:type="dxa"/>
          <w:right w:w="0" w:type="dxa"/>
        </w:tblCellMar>
      </w:tblPr>
      <w:tblGrid>
        <w:gridCol w:w="275"/>
        <w:gridCol w:w="3185"/>
      </w:tblGrid>
      <w:tr>
        <w:trPr/>
        <w:tc>
          <w:tcPr>
            <w:tcW w:w="275"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 </w:t>
            </w:r>
          </w:p>
        </w:tc>
        <w:tc>
          <w:tcPr>
            <w:tcW w:w="3185" w:type="dxa"/>
            <w:tcBorders/>
            <w:shd w:fill="auto" w:val="clear"/>
          </w:tcPr>
          <w:p>
            <w:pPr>
              <w:pStyle w:val="TableContents"/>
              <w:spacing w:before="40" w:after="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Includes adjustment for revenue on intercompany jobs.</w:t>
            </w:r>
          </w:p>
        </w:tc>
      </w:tr>
    </w:tbl>
    <w:p>
      <w:pPr>
        <w:pStyle w:val="TextBody"/>
        <w:spacing w:before="0" w:after="0"/>
        <w:rPr/>
      </w:pPr>
      <w:r>
        <w:rPr/>
        <w:t> </w:t>
      </w:r>
    </w:p>
    <w:tbl>
      <w:tblPr>
        <w:tblW w:w="6080" w:type="dxa"/>
        <w:jc w:val="left"/>
        <w:tblInd w:w="0" w:type="dxa"/>
        <w:tblCellMar>
          <w:top w:w="0" w:type="dxa"/>
          <w:left w:w="0" w:type="dxa"/>
          <w:bottom w:w="28" w:type="dxa"/>
          <w:right w:w="0" w:type="dxa"/>
        </w:tblCellMar>
      </w:tblPr>
      <w:tblGrid>
        <w:gridCol w:w="2405"/>
        <w:gridCol w:w="60"/>
        <w:gridCol w:w="146"/>
        <w:gridCol w:w="646"/>
        <w:gridCol w:w="106"/>
        <w:gridCol w:w="79"/>
        <w:gridCol w:w="146"/>
        <w:gridCol w:w="649"/>
        <w:gridCol w:w="80"/>
        <w:gridCol w:w="60"/>
        <w:gridCol w:w="123"/>
        <w:gridCol w:w="644"/>
        <w:gridCol w:w="89"/>
        <w:gridCol w:w="67"/>
        <w:gridCol w:w="123"/>
        <w:gridCol w:w="577"/>
        <w:gridCol w:w="80"/>
      </w:tblGrid>
      <w:tr>
        <w:trPr/>
        <w:tc>
          <w:tcPr>
            <w:tcW w:w="240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7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2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Six Months Ended June 30,</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9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6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Income from Operations</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6"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Energy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6,351</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5,901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15,642</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9,525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Industrial Solutions Segment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515</w:t>
            </w:r>
          </w:p>
        </w:tc>
        <w:tc>
          <w:tcPr>
            <w:tcW w:w="1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1,117</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2,678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Fluid Handling Solutions Segment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1,481</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3,839</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5,356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40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Corporate and Other(2)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(6,329</w:t>
            </w:r>
          </w:p>
        </w:tc>
        <w:tc>
          <w:tcPr>
            <w:tcW w:w="10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(6,539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(13,691</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(2,025</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0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Eliminations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6"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(236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(822</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240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Income from operations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2,018</w:t>
            </w:r>
          </w:p>
        </w:tc>
        <w:tc>
          <w:tcPr>
            <w:tcW w:w="106"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4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6,907</w:t>
            </w:r>
          </w:p>
        </w:tc>
        <w:tc>
          <w:tcPr>
            <w:tcW w:w="8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5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14,712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tbl>
      <w:tblPr>
        <w:tblW w:w="10205" w:type="dxa"/>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 </w:t>
            </w:r>
          </w:p>
        </w:tc>
        <w:tc>
          <w:tcPr>
            <w:tcW w:w="9977" w:type="dxa"/>
            <w:tcBorders/>
            <w:shd w:fill="auto" w:val="clear"/>
          </w:tcPr>
          <w:p>
            <w:pPr>
              <w:pStyle w:val="TableContents"/>
              <w:spacing w:before="40" w:after="0"/>
              <w:rPr>
                <w:rFonts w:ascii="Times New Roman" w:hAnsi="Times New Roman"/>
                <w:b w:val="false"/>
                <w:i w:val="false"/>
                <w:caps w:val="false"/>
                <w:smallCaps w:val="false"/>
                <w:color w:val="000000"/>
                <w:sz w:val="13"/>
              </w:rPr>
            </w:pPr>
            <w:r>
              <w:rPr>
                <w:rFonts w:ascii="Times New Roman" w:hAnsi="Times New Roman"/>
                <w:b w:val="false"/>
                <w:i w:val="false"/>
                <w:caps w:val="false"/>
                <w:smallCaps w:val="false"/>
                <w:color w:val="000000"/>
                <w:sz w:val="13"/>
              </w:rPr>
              <w:t>Includes (loss) gain on divestitures, net of selling costs, corporate compensation, professional services, information technology and other general and administrative corporate expenses.  This amount excludes earnout adjustments, which are recorded in the segment in which the adjustment occurs.  </w:t>
            </w:r>
          </w:p>
        </w:tc>
      </w:tr>
    </w:tbl>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22</w:t>
      </w:r>
    </w:p>
    <w:p>
      <w:pPr>
        <w:pStyle w:val="HorizontalLine"/>
        <w:rPr/>
      </w:pPr>
      <w:r>
        <w:rPr/>
      </w:r>
    </w:p>
    <w:p>
      <w:pPr>
        <w:pStyle w:val="TextBody"/>
        <w:spacing w:before="360" w:after="0"/>
        <w:rPr>
          <w:rFonts w:ascii="Times New Roman" w:hAnsi="Times New Roman"/>
          <w:b w:val="false"/>
          <w:i/>
          <w:caps w:val="false"/>
          <w:smallCaps w:val="false"/>
          <w:color w:val="000000"/>
          <w:sz w:val="17"/>
          <w:u w:val="single"/>
        </w:rPr>
      </w:pPr>
      <w:bookmarkStart w:id="34" w:name="_AEIOULastRenderedPageBreakAEIOU22"/>
      <w:bookmarkEnd w:id="34"/>
      <w:r>
        <w:rPr>
          <w:rFonts w:ascii="Times New Roman" w:hAnsi="Times New Roman"/>
          <w:b w:val="false"/>
          <w:i/>
          <w:caps w:val="false"/>
          <w:smallCaps w:val="false"/>
          <w:color w:val="000000"/>
          <w:sz w:val="17"/>
          <w:u w:val="single"/>
        </w:rPr>
        <w:t>Energy Solutions Segment</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Our Energy Solutions segment net sales decreased $0.5 million to $50.6 million in the second quarter of 2019 compared with $51.1 million in the same period of 2018. Excluding the divested division Zhongli, net sales increased $0.7 million in the second quarter 2019 from $49.9 million in the same period of 2018. The increase is primarily attributable to increases in the Company’s products serving the midstream oil &amp; gas markets.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Our Energy Solutions segment net sales increased $14.7 million to $105.8 million in the first six months of 2019 compared with $91.1 million in the same period of 2018. Excluding the divested division Zhongli, net sales increased $17.6 million in the first six months of 2019 from $88.2 million in the same period of 2018. The increase is due primarily to volume increases for the Company’s refinery related products and separation equipment serving the midstream oil &amp; gas markets. </w:t>
      </w:r>
    </w:p>
    <w:p>
      <w:pPr>
        <w:pStyle w:val="TextBody"/>
        <w:spacing w:before="240" w:after="0"/>
        <w:rPr>
          <w:rFonts w:ascii="Times New Roman" w:hAnsi="Times New Roman"/>
          <w:b w:val="false"/>
          <w:i w:val="false"/>
          <w:caps w:val="false"/>
          <w:smallCaps w:val="false"/>
          <w:color w:val="000000"/>
          <w:sz w:val="17"/>
        </w:rPr>
      </w:pPr>
      <w:bookmarkStart w:id="35" w:name="_Hlk5281590761"/>
      <w:bookmarkEnd w:id="35"/>
      <w:r>
        <w:rPr>
          <w:rFonts w:ascii="Times New Roman" w:hAnsi="Times New Roman"/>
          <w:b w:val="false"/>
          <w:i w:val="false"/>
          <w:caps w:val="false"/>
          <w:smallCaps w:val="false"/>
          <w:color w:val="000000"/>
          <w:sz w:val="17"/>
        </w:rPr>
        <w:t>Operating income for the Energy Solutions segment increased $0.5 million to $6.4 million in the second quarter of 2019 compared with $5.9 million in the same period of 2018</w:t>
      </w:r>
      <w:bookmarkStart w:id="36" w:name="_Hlk528159076"/>
      <w:bookmarkEnd w:id="36"/>
      <w:r>
        <w:rPr>
          <w:rFonts w:ascii="Times New Roman" w:hAnsi="Times New Roman"/>
          <w:b w:val="false"/>
          <w:i w:val="false"/>
          <w:caps w:val="false"/>
          <w:smallCaps w:val="false"/>
          <w:color w:val="000000"/>
          <w:sz w:val="17"/>
        </w:rPr>
        <w:t xml:space="preserve">. The increase is primarily attributable to an increase in gross profit due to product mix.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Operating income for the Energy Solutions segment increased $6.1 million to $15.6 million in the first six months of 2019 compared with $9.5 million in the same period of 2018. The increase is primarily attributable to increased sales in the first six months of 2019 and decrease in amortization expense of $0.5 million. </w:t>
      </w:r>
    </w:p>
    <w:p>
      <w:pPr>
        <w:pStyle w:val="TextBody"/>
        <w:spacing w:before="360" w:after="0"/>
        <w:rPr>
          <w:rFonts w:ascii="Times New Roman" w:hAnsi="Times New Roman"/>
          <w:b w:val="false"/>
          <w:i/>
          <w:caps w:val="false"/>
          <w:smallCaps w:val="false"/>
          <w:color w:val="000000"/>
          <w:sz w:val="17"/>
          <w:u w:val="single"/>
        </w:rPr>
      </w:pPr>
      <w:r>
        <w:rPr>
          <w:rFonts w:ascii="Times New Roman" w:hAnsi="Times New Roman"/>
          <w:b w:val="false"/>
          <w:i/>
          <w:caps w:val="false"/>
          <w:smallCaps w:val="false"/>
          <w:color w:val="000000"/>
          <w:sz w:val="17"/>
          <w:u w:val="single"/>
        </w:rPr>
        <w:t>Industrial Solutions Segment</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Industrial Solutions segment net sales increased $0.6 million to $20.1 million in the second quarter of 2019 compared with $19.5 million in the second quarter of 2018. The increase is primarily attributable to volume increases for the Company’s clean air and fume collection technologies.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Our Industrial Solutions segment net sales increased $0.9 million to $38.9 million in the first six months of 2019 compared with $38.0 million in the same period of 2018. The increase is primarily attributable to volume increases for the Company’s clean air and fume collection technologies.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Operating income for the segment decreased $1.0 million to $0.5 million in the second quarter of 2019 compared with $1.5 million in the second quarter of 2018. The decrease is primarily attributable to a $0.6 million increase in selling expenses related to investment in sales &amp; marketing personnel and customer focused product innovation.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income for the segment decreased $1.6 million to $1.1 million in the first six months of 2019 compared with $2.7 million in the first six months of 2018. The decrease is attributable to $0.8 million increase in selling expenses related to investment in sales &amp; marketing personnel and customer focused product innovation and a $0.6 million decrease in gross profit due to unfavorable product mix.</w:t>
      </w:r>
    </w:p>
    <w:p>
      <w:pPr>
        <w:pStyle w:val="TextBody"/>
        <w:spacing w:before="240" w:after="0"/>
        <w:rPr>
          <w:rFonts w:ascii="Times New Roman" w:hAnsi="Times New Roman"/>
          <w:b w:val="false"/>
          <w:i/>
          <w:caps w:val="false"/>
          <w:smallCaps w:val="false"/>
          <w:color w:val="000000"/>
          <w:sz w:val="17"/>
          <w:u w:val="single"/>
        </w:rPr>
      </w:pPr>
      <w:r>
        <w:rPr>
          <w:rFonts w:ascii="Times New Roman" w:hAnsi="Times New Roman"/>
          <w:b w:val="false"/>
          <w:i/>
          <w:caps w:val="false"/>
          <w:smallCaps w:val="false"/>
          <w:color w:val="000000"/>
          <w:sz w:val="17"/>
          <w:u w:val="single"/>
        </w:rPr>
        <w:t>Fluid Handling Solutions Segment</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Our Fluid Handling Solutions segment net sales decreased $0.1 million to $10.5 million in the second quarter of 2019 compared with $10.6 million in the second quarter of 2018.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Our Fluid Handling Solutions segment net sales decreased $3.7 million to $22.5 million in the first six months of 2019 compared with $26.2 million in the first six months of 2018. The sales decrease was primarily attributable to $4.8 million of revenue in the same period of 2018 from the Keystone and Strobic divested businesses, which did not recur in the first six months of 2019. Excluding the divested Keystone and Strobic businesses, segment sales increased $1.1 million.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Operating income for the segment decreased $0.5 million to $1.5 million in the second quarter of 2019 compared with $2.0 million in the second quarter of 2018. The decrease is primarily attributable to a decrease in gross profit due to product mix.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Operating income for the segment decreased $1.6 million to $3.8 million in the first six months of 2019 compared with $5.4 million in the first six months of 2018. The decrease is attributable to the decrease in sales and operating income of $1.2 million from the divestitures of Keystone and Strobic. Excluding the divested Keystone and Strobic businesses, segment operating income decreased by $0.4 million.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23</w:t>
      </w:r>
    </w:p>
    <w:p>
      <w:pPr>
        <w:pStyle w:val="HorizontalLine"/>
        <w:rPr/>
      </w:pPr>
      <w:r>
        <w:rPr/>
      </w:r>
    </w:p>
    <w:p>
      <w:pPr>
        <w:pStyle w:val="TextBody"/>
        <w:spacing w:before="360" w:after="0"/>
        <w:rPr>
          <w:rFonts w:ascii="Times New Roman" w:hAnsi="Times New Roman"/>
          <w:b w:val="false"/>
          <w:i/>
          <w:caps w:val="false"/>
          <w:smallCaps w:val="false"/>
          <w:color w:val="000000"/>
          <w:sz w:val="17"/>
          <w:u w:val="single"/>
        </w:rPr>
      </w:pPr>
      <w:bookmarkStart w:id="37" w:name="_AEIOULastRenderedPageBreakAEIOU23"/>
      <w:bookmarkEnd w:id="37"/>
      <w:r>
        <w:rPr>
          <w:rFonts w:ascii="Times New Roman" w:hAnsi="Times New Roman"/>
          <w:b w:val="false"/>
          <w:i/>
          <w:caps w:val="false"/>
          <w:smallCaps w:val="false"/>
          <w:color w:val="000000"/>
          <w:sz w:val="17"/>
          <w:u w:val="single"/>
        </w:rPr>
        <w:t>Corporate and Other Segment</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Operating expense for the Corporate and Other segment decreased $0.2 million to $6.3 million in the second quarter of 2019 compared with $6.5 million in the second quarter of 2018. The decrease is primarily attributable to a decrease in professional services expense.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Operating expense for the Corporate and Other segment was $13.7 million in the first six months of 2019 compared with $2.0 million in the first six months of 2018.  The increase in operating expenses is primarily attributable to the recognition of an $11.1 million gain on the divestitures of Keystone and Strobic recorded in the first six-months of 2018, which did not recur in 2019.</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Backlog</w:t>
      </w:r>
    </w:p>
    <w:p>
      <w:pPr>
        <w:pStyle w:val="TextBody"/>
        <w:spacing w:before="120" w:after="0"/>
        <w:rPr>
          <w:rFonts w:ascii="Times New Roman" w:hAnsi="Times New Roman"/>
          <w:b w:val="false"/>
          <w:i w:val="false"/>
          <w:caps w:val="false"/>
          <w:smallCaps w:val="false"/>
          <w:sz w:val="17"/>
        </w:rPr>
      </w:pPr>
      <w:bookmarkStart w:id="38" w:name="_Hlk152982811"/>
      <w:bookmarkEnd w:id="38"/>
      <w:r>
        <w:rPr>
          <w:rFonts w:ascii="Times New Roman" w:hAnsi="Times New Roman"/>
          <w:b w:val="false"/>
          <w:i w:val="false"/>
          <w:caps w:val="false"/>
          <w:smallCaps w:val="false"/>
          <w:sz w:val="17"/>
        </w:rPr>
        <w:t>Backlog (i.e., unfulfilled or remaining performance obligations) represents the sales we expect to recognize for our products and services for which control has not yet transferred to the customer.  Our customers may have the right to cancel a given order. Our backlog as of June 30, 2019, was $208</w:t>
      </w:r>
      <w:bookmarkStart w:id="39" w:name="_Hlk15298281"/>
      <w:bookmarkEnd w:id="39"/>
      <w:r>
        <w:rPr>
          <w:rFonts w:ascii="Times New Roman" w:hAnsi="Times New Roman"/>
          <w:b w:val="false"/>
          <w:i w:val="false"/>
          <w:caps w:val="false"/>
          <w:smallCaps w:val="false"/>
          <w:sz w:val="17"/>
        </w:rPr>
        <w:t>.8 million compared with $182.1 million as of December 31, 2018.  During the second quarter of 2019, the Company removed $6.7 million of orders that were previously disclosed as backlog in prior quarters, due to cancellations by customers.  Backlog is adjusted on a quarterly basis for adjustments in foreign currency exchange rates. Backlog is not defined by GAAP and our methodology for calculating backlog may not be consistent with methodologies used by other companies.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r>
        <w:rPr>
          <w:rFonts w:ascii="Times New Roman" w:hAnsi="Times New Roman"/>
          <w:b w:val="false"/>
          <w:i w:val="false"/>
          <w:caps w:val="false"/>
          <w:smallCaps w:val="false"/>
          <w:color w:val="000000"/>
          <w:sz w:val="17"/>
        </w:rPr>
        <w:t>.</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New Accounting Pronouncements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For information regarding recent accounting pronouncements, see Note 2 to the unaudited condensed consolidated financial statements within Item 1 of this Quarterly Report on Form 10-Q.</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Liquidity and Capital Resources</w:t>
      </w:r>
    </w:p>
    <w:p>
      <w:pPr>
        <w:pStyle w:val="TextBody"/>
        <w:spacing w:before="120" w:after="0"/>
        <w:rPr>
          <w:rFonts w:ascii="Times New Roman" w:hAnsi="Times New Roman"/>
          <w:b w:val="false"/>
          <w:i w:val="false"/>
          <w:caps w:val="false"/>
          <w:smallCaps w:val="false"/>
          <w:color w:val="000000"/>
          <w:sz w:val="17"/>
        </w:rPr>
      </w:pPr>
      <w:bookmarkStart w:id="40" w:name="_Hlk527526438"/>
      <w:bookmarkEnd w:id="40"/>
      <w:r>
        <w:rPr>
          <w:rFonts w:ascii="Times New Roman" w:hAnsi="Times New Roman"/>
          <w:b w:val="false"/>
          <w:i w:val="false"/>
          <w:caps w:val="false"/>
          <w:smallCaps w:val="false"/>
          <w:color w:val="000000"/>
          <w:sz w:val="17"/>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At June 30, 2019, the Company had working capital of $60.9 million, compared with $57.0 million at December 31, 2018.  The ratio of current assets to current liabilities was 1.61 to 1 on June 30, 2019, as compared with a ratio of 1.55 to 1 at December 31, 2018.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At June 30, 2019 and December 31, 2018, cash and cash equivalents totaled $28.8 million and $43.7 million, respectively. As of June 30, 2019 and December 31, 2018, $21.7 million and $23.3 million, respectively, of our cash and cash equivalents were held by certain non-U.S. subsidiaries, as well as being denominated in foreign currencies.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24</w:t>
      </w:r>
    </w:p>
    <w:p>
      <w:pPr>
        <w:pStyle w:val="HorizontalLine"/>
        <w:rPr/>
      </w:pPr>
      <w:r>
        <w:rPr/>
      </w:r>
    </w:p>
    <w:p>
      <w:pPr>
        <w:pStyle w:val="TextBody"/>
        <w:spacing w:before="240" w:after="0"/>
        <w:rPr>
          <w:rFonts w:ascii="Times New Roman" w:hAnsi="Times New Roman"/>
          <w:b w:val="false"/>
          <w:i w:val="false"/>
          <w:caps w:val="false"/>
          <w:smallCaps w:val="false"/>
          <w:color w:val="000000"/>
          <w:sz w:val="17"/>
        </w:rPr>
      </w:pPr>
      <w:bookmarkStart w:id="41" w:name="_AEIOULastRenderedPageBreakAEIOU24"/>
      <w:bookmarkEnd w:id="41"/>
      <w:r>
        <w:rPr>
          <w:rFonts w:ascii="Times New Roman" w:hAnsi="Times New Roman"/>
          <w:b w:val="false"/>
          <w:i w:val="false"/>
          <w:caps w:val="false"/>
          <w:smallCaps w:val="false"/>
          <w:color w:val="000000"/>
          <w:sz w:val="17"/>
        </w:rPr>
        <w:t>Debt consisted of the following at June 30, 2019 and December 31, 2018:</w:t>
      </w:r>
    </w:p>
    <w:p>
      <w:pPr>
        <w:pStyle w:val="TextBody"/>
        <w:spacing w:before="0" w:after="0"/>
        <w:rPr>
          <w:caps w:val="false"/>
          <w:smallCaps w:val="false"/>
          <w:color w:val="000000"/>
        </w:rPr>
      </w:pPr>
      <w:r>
        <w:rPr>
          <w:caps w:val="false"/>
          <w:smallCaps w:val="false"/>
          <w:color w:val="000000"/>
        </w:rPr>
        <w:t> </w:t>
      </w:r>
    </w:p>
    <w:tbl>
      <w:tblPr>
        <w:tblW w:w="7403" w:type="dxa"/>
        <w:jc w:val="center"/>
        <w:tblInd w:w="0" w:type="dxa"/>
        <w:tblCellMar>
          <w:top w:w="0" w:type="dxa"/>
          <w:left w:w="0" w:type="dxa"/>
          <w:bottom w:w="28" w:type="dxa"/>
          <w:right w:w="0" w:type="dxa"/>
        </w:tblCellMar>
      </w:tblPr>
      <w:tblGrid>
        <w:gridCol w:w="5150"/>
        <w:gridCol w:w="60"/>
        <w:gridCol w:w="148"/>
        <w:gridCol w:w="696"/>
        <w:gridCol w:w="80"/>
        <w:gridCol w:w="60"/>
        <w:gridCol w:w="198"/>
        <w:gridCol w:w="931"/>
        <w:gridCol w:w="80"/>
      </w:tblGrid>
      <w:tr>
        <w:trPr/>
        <w:tc>
          <w:tcPr>
            <w:tcW w:w="5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(table only in thousands)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5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Outstanding borrowings under Credit Facility (defined below).</w:t>
            </w:r>
          </w:p>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17"/>
              </w:rPr>
              <w:t>Term loan payable in quarterly principal installments of $0.6 million</w:t>
            </w:r>
          </w:p>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through June 2021, $0.9 million through June 2023, and $1.3 million</w:t>
            </w:r>
          </w:p>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thereafter with balance due upon maturity in June 2024.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5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Term loan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50,000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76,147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Revolving Credit Loan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27,000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Unamortized debt discount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(1,961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(1,691</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51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outstanding borrowings under Credit Facility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75,039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Less: current portion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(2,500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1"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5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debt, less current portion</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72,539</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9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74,456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rPr>
          <w:rFonts w:ascii="Times New Roman" w:hAnsi="Times New Roman"/>
          <w:b w:val="false"/>
          <w:i w:val="false"/>
          <w:caps w:val="false"/>
          <w:smallCaps w:val="false"/>
          <w:color w:val="000000"/>
          <w:sz w:val="17"/>
          <w:u w:val="single"/>
        </w:rPr>
      </w:pPr>
      <w:r>
        <w:rPr>
          <w:rFonts w:ascii="Times New Roman" w:hAnsi="Times New Roman"/>
          <w:b w:val="false"/>
          <w:i w:val="false"/>
          <w:caps w:val="false"/>
          <w:smallCaps w:val="false"/>
          <w:color w:val="000000"/>
          <w:sz w:val="17"/>
          <w:u w:val="single"/>
        </w:rPr>
        <w:t>Credit Facility</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outstanding borrowings in the United States consist of senior secured term loan and a senior secured revolver loan with sub-facilities for letters of credit, swing-line loans and multi-currency loans (collectively, the “Credit Facility”).  As of June 30, 2019 and December 31, 2018, the Company was in compliance with all related financial and other restrictive covenants under the Credit Facility.</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See Note 8 to the condensed consolidated financial statements for further information on the Company’s debt facilities.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unused credit availability under our existing Credit Facility is as follows:</w:t>
      </w:r>
    </w:p>
    <w:p>
      <w:pPr>
        <w:pStyle w:val="TextBody"/>
        <w:spacing w:before="0" w:after="0"/>
        <w:rPr>
          <w:caps w:val="false"/>
          <w:smallCaps w:val="false"/>
          <w:color w:val="000000"/>
        </w:rPr>
      </w:pPr>
      <w:r>
        <w:rPr>
          <w:caps w:val="false"/>
          <w:smallCaps w:val="false"/>
          <w:color w:val="000000"/>
        </w:rPr>
        <w:t> </w:t>
      </w:r>
    </w:p>
    <w:tbl>
      <w:tblPr>
        <w:tblW w:w="5708" w:type="dxa"/>
        <w:jc w:val="center"/>
        <w:tblInd w:w="0" w:type="dxa"/>
        <w:tblCellMar>
          <w:top w:w="0" w:type="dxa"/>
          <w:left w:w="0" w:type="dxa"/>
          <w:bottom w:w="28" w:type="dxa"/>
          <w:right w:w="0" w:type="dxa"/>
        </w:tblCellMar>
      </w:tblPr>
      <w:tblGrid>
        <w:gridCol w:w="3455"/>
        <w:gridCol w:w="60"/>
        <w:gridCol w:w="173"/>
        <w:gridCol w:w="671"/>
        <w:gridCol w:w="80"/>
        <w:gridCol w:w="60"/>
        <w:gridCol w:w="245"/>
        <w:gridCol w:w="884"/>
        <w:gridCol w:w="80"/>
      </w:tblGrid>
      <w:tr>
        <w:trPr/>
        <w:tc>
          <w:tcPr>
            <w:tcW w:w="345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millions)</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4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June 30, 2019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December 31, 2018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Credit Facility, revolving loans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80.0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Draw down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(27.0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Letters of credit open</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(15.7</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(29.3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345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Total unused credit availability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97.3</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5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Amount available based on borrowing limitations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671"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66.6</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884" w:type="dxa"/>
            <w:tcBorders>
              <w:top w:val="doub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50.7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1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Overview of Cash Flows and Liquidity</w:t>
      </w:r>
    </w:p>
    <w:p>
      <w:pPr>
        <w:pStyle w:val="TextBody"/>
        <w:spacing w:before="0" w:after="0"/>
        <w:rPr/>
      </w:pPr>
      <w:r>
        <w:rPr/>
        <w:t> </w:t>
      </w:r>
    </w:p>
    <w:tbl>
      <w:tblPr>
        <w:tblW w:w="6433" w:type="dxa"/>
        <w:jc w:val="center"/>
        <w:tblInd w:w="0" w:type="dxa"/>
        <w:tblCellMar>
          <w:top w:w="0" w:type="dxa"/>
          <w:left w:w="0" w:type="dxa"/>
          <w:bottom w:w="28" w:type="dxa"/>
          <w:right w:w="0" w:type="dxa"/>
        </w:tblCellMar>
      </w:tblPr>
      <w:tblGrid>
        <w:gridCol w:w="4280"/>
        <w:gridCol w:w="60"/>
        <w:gridCol w:w="146"/>
        <w:gridCol w:w="766"/>
        <w:gridCol w:w="106"/>
        <w:gridCol w:w="79"/>
        <w:gridCol w:w="146"/>
        <w:gridCol w:w="770"/>
        <w:gridCol w:w="80"/>
      </w:tblGrid>
      <w:tr>
        <w:trPr/>
        <w:tc>
          <w:tcPr>
            <w:tcW w:w="428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1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For the six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(dollars 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2019</w:t>
            </w:r>
          </w:p>
        </w:tc>
        <w:tc>
          <w:tcPr>
            <w:tcW w:w="1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3"/>
              </w:rPr>
            </w:pPr>
            <w:r>
              <w:rPr>
                <w:rFonts w:ascii="Times New Roman" w:hAnsi="Times New Roman"/>
                <w:b/>
                <w:i w:val="false"/>
                <w:caps w:val="false"/>
                <w:smallCaps w:val="false"/>
                <w:color w:val="000000"/>
                <w:sz w:val="13"/>
              </w:rPr>
              <w:t>2018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provided by operating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(11,297</w:t>
            </w:r>
          </w:p>
        </w:tc>
        <w:tc>
          <w:tcPr>
            <w:tcW w:w="10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7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9,835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provided by investing activities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(1,201</w:t>
            </w:r>
          </w:p>
        </w:tc>
        <w:tc>
          <w:tcPr>
            <w:tcW w:w="10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30,213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cash used in financing activities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(2,121</w:t>
            </w:r>
          </w:p>
        </w:tc>
        <w:tc>
          <w:tcPr>
            <w:tcW w:w="10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(34,074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28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Effect of exchange rate changes on cash and cash equivalents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136</w:t>
            </w:r>
          </w:p>
        </w:tc>
        <w:tc>
          <w:tcPr>
            <w:tcW w:w="1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(793</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r>
      <w:tr>
        <w:trPr/>
        <w:tc>
          <w:tcPr>
            <w:tcW w:w="42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Net increase (decrease) in cash</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6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(14,483</w:t>
            </w:r>
          </w:p>
        </w:tc>
        <w:tc>
          <w:tcPr>
            <w:tcW w:w="10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9"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w:t>
            </w:r>
          </w:p>
        </w:tc>
        <w:tc>
          <w:tcPr>
            <w:tcW w:w="77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5,181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40" w:after="0"/>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Operating Activities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six months ended June 30, 2019, $11.3 million of cash was used in operating activities compared with $9.8 million provided by operating activities in the prior year period, a $21.1 million decrease. Net earnings adjusted for non-cash items decreased $12.1 million primarily due to a gain of $11.1 million on divestitures and the cash associated with which was recorded in investing activities and $2.1 million of earnout payments (both occurred in the first six months of 2018 but did not recur in 2019). Cash flow from operating activities in the first six months of 2019 was negative year-over-year primarily due to the increase in accounts receivable, inventories, and prepaids as reflected in the Condensed Consolidated Statements of Cash Flows.  </w:t>
      </w:r>
    </w:p>
    <w:p>
      <w:pPr>
        <w:pStyle w:val="TextBody"/>
        <w:spacing w:before="240" w:after="0"/>
        <w:rPr>
          <w:rFonts w:ascii="Times New Roman" w:hAnsi="Times New Roman"/>
          <w:b/>
          <w:i w:val="false"/>
          <w:caps w:val="false"/>
          <w:smallCaps w:val="false"/>
          <w:sz w:val="17"/>
        </w:rPr>
      </w:pPr>
      <w:r>
        <w:rPr>
          <w:rFonts w:ascii="Times New Roman" w:hAnsi="Times New Roman"/>
          <w:b/>
          <w:i w:val="false"/>
          <w:caps w:val="false"/>
          <w:smallCaps w:val="false"/>
          <w:sz w:val="17"/>
        </w:rPr>
        <w:t xml:space="preserve">Investing Activities </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six months ended June 30, 2019, net cash used in investing activities was $1.2 million compared with net cash provided by investing activities of $30.2 million in the prior year period.  In the first six months of 2019, cash used in investing activities was primarily the result of cash used for the acquisitions of property and equipment totaling $1.2 million. In the prior year period, cash provided by investing activities was primarily the result of cash proceeds from divestitures totaling $30.7 million and cash used for the acquisitions of property and equipment totaling $0.6 million.</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25</w:t>
      </w:r>
    </w:p>
    <w:p>
      <w:pPr>
        <w:pStyle w:val="HorizontalLine"/>
        <w:rPr/>
      </w:pPr>
      <w:r>
        <w:rPr/>
      </w:r>
    </w:p>
    <w:p>
      <w:pPr>
        <w:pStyle w:val="TextBody"/>
        <w:spacing w:before="0" w:after="0"/>
        <w:rPr/>
      </w:pPr>
      <w:r>
        <w:rPr/>
        <w:t> </w:t>
      </w:r>
    </w:p>
    <w:p>
      <w:pPr>
        <w:pStyle w:val="TextBody"/>
        <w:spacing w:before="0" w:after="0"/>
        <w:rPr>
          <w:rFonts w:ascii="Times New Roman" w:hAnsi="Times New Roman"/>
          <w:b/>
          <w:i w:val="false"/>
          <w:caps w:val="false"/>
          <w:smallCaps w:val="false"/>
          <w:sz w:val="17"/>
        </w:rPr>
      </w:pPr>
      <w:r>
        <w:rPr>
          <w:rFonts w:ascii="Times New Roman" w:hAnsi="Times New Roman"/>
          <w:b/>
          <w:i w:val="false"/>
          <w:caps w:val="false"/>
          <w:smallCaps w:val="false"/>
          <w:sz w:val="17"/>
        </w:rPr>
        <w:t>Financing Activities</w:t>
      </w:r>
    </w:p>
    <w:p>
      <w:pPr>
        <w:pStyle w:val="TextBody"/>
        <w:spacing w:before="0" w:after="0"/>
        <w:rPr/>
      </w:pPr>
      <w:r>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For the six months ended June 30, 2019, net cash used in financing activities was $2.1 million due principally to note payable repayments of $1.7 million, payment of financing fees related to the new Credit Facility of $1.1 million offset by net borrowings on the Credit Facility of $0.8 million. For the six months ended June 30, 2018, net cash used in financing activities was $34.1 million due principally to net term loan repayments of $30.8 million and $3.8 million in net revolving credit line repayments and term loan repayments.</w:t>
      </w:r>
    </w:p>
    <w:p>
      <w:pPr>
        <w:pStyle w:val="TextBody"/>
        <w:spacing w:before="0" w:after="0"/>
        <w:rPr/>
      </w:pPr>
      <w:r>
        <w:rPr/>
        <w:t> </w:t>
      </w:r>
    </w:p>
    <w:p>
      <w:pPr>
        <w:pStyle w:val="TextBody"/>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Critical Accounting Policies and Estimates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earnout liabilities,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Management believes there have been no changes during the six-month period ended June 30, 2019,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2018.</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Forward-Looking Statements</w:t>
      </w:r>
    </w:p>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This Quarterly Report on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Quarterly Report on Form 10-Q are forward-looking.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pStyle w:val="TextBody"/>
        <w:spacing w:before="12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26</w:t>
      </w:r>
    </w:p>
    <w:p>
      <w:pPr>
        <w:pStyle w:val="HorizontalLine"/>
        <w:rPr/>
      </w:pPr>
      <w:r>
        <w:rPr/>
      </w:r>
    </w:p>
    <w:tbl>
      <w:tblPr>
        <w:tblW w:w="6580" w:type="dxa"/>
        <w:jc w:val="left"/>
        <w:tblInd w:w="0" w:type="dxa"/>
        <w:tblCellMar>
          <w:top w:w="0" w:type="dxa"/>
          <w:left w:w="0" w:type="dxa"/>
          <w:bottom w:w="0" w:type="dxa"/>
          <w:right w:w="0" w:type="dxa"/>
        </w:tblCellMar>
      </w:tblPr>
      <w:tblGrid>
        <w:gridCol w:w="620"/>
        <w:gridCol w:w="5960"/>
      </w:tblGrid>
      <w:tr>
        <w:trPr/>
        <w:tc>
          <w:tcPr>
            <w:tcW w:w="62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3.</w:t>
            </w:r>
          </w:p>
        </w:tc>
        <w:tc>
          <w:tcPr>
            <w:tcW w:w="596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42" w:name="ITEM_3_QUANTITATIVE_QUALITATIVE_DISCLOSU"/>
            <w:bookmarkStart w:id="43" w:name="_AEIOULastRenderedPageBreakAEIOU25"/>
            <w:bookmarkEnd w:id="42"/>
            <w:bookmarkEnd w:id="43"/>
            <w:r>
              <w:rPr>
                <w:rFonts w:ascii="Times New Roman" w:hAnsi="Times New Roman"/>
                <w:b/>
                <w:i w:val="false"/>
                <w:caps w:val="false"/>
                <w:smallCaps w:val="false"/>
                <w:color w:val="000000"/>
                <w:sz w:val="17"/>
              </w:rPr>
              <w:t>QUANTITATIVE AND Q</w:t>
            </w:r>
            <w:bookmarkStart w:id="44" w:name="ITEM_3_QUANTITATIVE_QUALITATIVE_DISCLOSU"/>
            <w:bookmarkEnd w:id="44"/>
            <w:r>
              <w:rPr>
                <w:rFonts w:ascii="Times New Roman" w:hAnsi="Times New Roman"/>
                <w:b/>
                <w:i w:val="false"/>
                <w:caps w:val="false"/>
                <w:smallCaps w:val="false"/>
                <w:color w:val="000000"/>
                <w:sz w:val="17"/>
              </w:rPr>
              <w:t>UALITATIVE DISCLOSURES ABOUT MARKET RISK</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 xml:space="preserve">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 </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carrying value of the Company’s long-term debt and current maturities of long-term debt was $77.0 million at June 30, 2019. Market risk was estimated as the potential decrease (increase) in future earnings and cash flows resulting from a hypothetical 10% increase (decrease) in the Company’s estimated weighted average borrowing rate at June 30, 2019. Most of the interest on the Company’s debt is indexed to either the LIBOR or EURIBOR market rates. The estimated impact of a hypothetical 10% change in the estimated weighted average borrowing rate at June 30, 2019 is $0.3 million on an annual basis.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w:t>
      </w:r>
    </w:p>
    <w:p>
      <w:pPr>
        <w:pStyle w:val="TextBody"/>
        <w:spacing w:before="0" w:after="0"/>
        <w:rPr/>
      </w:pPr>
      <w:r>
        <w:rPr/>
        <w:t> </w:t>
      </w:r>
    </w:p>
    <w:tbl>
      <w:tblPr>
        <w:tblW w:w="3205" w:type="dxa"/>
        <w:jc w:val="left"/>
        <w:tblInd w:w="0" w:type="dxa"/>
        <w:tblCellMar>
          <w:top w:w="0" w:type="dxa"/>
          <w:left w:w="0" w:type="dxa"/>
          <w:bottom w:w="0" w:type="dxa"/>
          <w:right w:w="0" w:type="dxa"/>
        </w:tblCellMar>
      </w:tblPr>
      <w:tblGrid>
        <w:gridCol w:w="665"/>
        <w:gridCol w:w="2540"/>
      </w:tblGrid>
      <w:tr>
        <w:trPr/>
        <w:tc>
          <w:tcPr>
            <w:tcW w:w="66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4.</w:t>
            </w:r>
          </w:p>
        </w:tc>
        <w:tc>
          <w:tcPr>
            <w:tcW w:w="254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45" w:name="ITEM_4_CONTROLS_PROCEDURES"/>
            <w:bookmarkEnd w:id="45"/>
            <w:r>
              <w:rPr>
                <w:rFonts w:ascii="Times New Roman" w:hAnsi="Times New Roman"/>
                <w:b/>
                <w:i w:val="false"/>
                <w:caps w:val="false"/>
                <w:smallCaps w:val="false"/>
                <w:color w:val="000000"/>
                <w:sz w:val="17"/>
              </w:rPr>
              <w:t>CONTROLS AND PROCEDURES</w:t>
            </w:r>
          </w:p>
        </w:tc>
      </w:tr>
    </w:tbl>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Evaluation of Disclosure Controls and Procedures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June 30, 2019.  Management believes that the condensed consolidated financial statements included in this report fairly present in all material respects the Company’s financial condition, results of operations and cash flows for each of the periods presented in this report.</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Changes in Internal Control Over Financial Reporting</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 were no changes in the Company’s internal control over financial reporting (as defined in Rule 13a-15(f) of the Exchange Act) during the fiscal quarter ended June 30, 2019, that materially affected, or are reasonably likely to materially affect, the Company’s internal control over financial reporting.</w:t>
      </w:r>
    </w:p>
    <w:p>
      <w:pPr>
        <w:pStyle w:val="TextBody"/>
        <w:spacing w:before="36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Limitations on the Effectiveness of Controls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27</w:t>
      </w:r>
    </w:p>
    <w:p>
      <w:pPr>
        <w:pStyle w:val="HorizontalLine"/>
        <w:rPr/>
      </w:pPr>
      <w:r>
        <w:rPr/>
      </w:r>
    </w:p>
    <w:p>
      <w:pPr>
        <w:pStyle w:val="TextBody"/>
        <w:spacing w:before="0" w:after="0"/>
        <w:rPr>
          <w:rFonts w:ascii="Times New Roman" w:hAnsi="Times New Roman"/>
          <w:b/>
          <w:i w:val="false"/>
          <w:caps w:val="false"/>
          <w:smallCaps w:val="false"/>
          <w:color w:val="000000"/>
          <w:sz w:val="17"/>
        </w:rPr>
      </w:pPr>
      <w:bookmarkStart w:id="46" w:name="PART_II_OR_INFORMATION"/>
      <w:bookmarkStart w:id="47" w:name="_AEIOULastRenderedPageBreakAEIOU26"/>
      <w:bookmarkEnd w:id="46"/>
      <w:bookmarkEnd w:id="47"/>
      <w:r>
        <w:rPr>
          <w:rFonts w:ascii="Times New Roman" w:hAnsi="Times New Roman"/>
          <w:b/>
          <w:i w:val="false"/>
          <w:caps w:val="false"/>
          <w:smallCaps w:val="false"/>
          <w:color w:val="000000"/>
          <w:sz w:val="17"/>
        </w:rPr>
        <w:t>PART II – OTHER INFORMATION</w:t>
      </w:r>
    </w:p>
    <w:p>
      <w:pPr>
        <w:pStyle w:val="TextBody"/>
        <w:spacing w:before="0" w:after="0"/>
        <w:rPr/>
      </w:pPr>
      <w:r>
        <w:rPr/>
        <w:t> </w:t>
      </w:r>
    </w:p>
    <w:p>
      <w:pPr>
        <w:pStyle w:val="TextBody"/>
        <w:spacing w:before="0" w:after="0"/>
        <w:rPr/>
      </w:pPr>
      <w:r>
        <w:rPr/>
        <w:t> </w:t>
      </w:r>
    </w:p>
    <w:tbl>
      <w:tblPr>
        <w:tblW w:w="2470" w:type="dxa"/>
        <w:jc w:val="left"/>
        <w:tblInd w:w="0" w:type="dxa"/>
        <w:tblCellMar>
          <w:top w:w="0" w:type="dxa"/>
          <w:left w:w="0" w:type="dxa"/>
          <w:bottom w:w="0" w:type="dxa"/>
          <w:right w:w="0" w:type="dxa"/>
        </w:tblCellMar>
      </w:tblPr>
      <w:tblGrid>
        <w:gridCol w:w="620"/>
        <w:gridCol w:w="1850"/>
      </w:tblGrid>
      <w:tr>
        <w:trPr/>
        <w:tc>
          <w:tcPr>
            <w:tcW w:w="62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1.</w:t>
            </w:r>
          </w:p>
        </w:tc>
        <w:tc>
          <w:tcPr>
            <w:tcW w:w="185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48" w:name="ITEM_1_LEGAL_PROCEEDINGS"/>
            <w:bookmarkEnd w:id="48"/>
            <w:r>
              <w:rPr>
                <w:rFonts w:ascii="Times New Roman" w:hAnsi="Times New Roman"/>
                <w:b/>
                <w:i w:val="false"/>
                <w:caps w:val="false"/>
                <w:smallCaps w:val="false"/>
                <w:color w:val="000000"/>
                <w:sz w:val="17"/>
              </w:rPr>
              <w:t>LEGAL PROCEEDINGS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Information with respect to legal proceedings can be found in Note 15 “Commitments and Contingencies – Legal Matters” to the Condensed Consolidated Financial Statements contained in Part I, Item 1 of this Quarterly Report on Form 10-Q.</w:t>
      </w:r>
    </w:p>
    <w:p>
      <w:pPr>
        <w:pStyle w:val="TextBody"/>
        <w:spacing w:before="0" w:after="0"/>
        <w:rPr/>
      </w:pPr>
      <w:r>
        <w:rPr/>
        <w:t> </w:t>
      </w:r>
    </w:p>
    <w:p>
      <w:pPr>
        <w:pStyle w:val="TextBody"/>
        <w:spacing w:before="0" w:after="0"/>
        <w:rPr/>
      </w:pPr>
      <w:r>
        <w:rPr/>
        <w:t> </w:t>
      </w:r>
    </w:p>
    <w:tbl>
      <w:tblPr>
        <w:tblW w:w="2050" w:type="dxa"/>
        <w:jc w:val="left"/>
        <w:tblInd w:w="0" w:type="dxa"/>
        <w:tblCellMar>
          <w:top w:w="0" w:type="dxa"/>
          <w:left w:w="0" w:type="dxa"/>
          <w:bottom w:w="0" w:type="dxa"/>
          <w:right w:w="0" w:type="dxa"/>
        </w:tblCellMar>
      </w:tblPr>
      <w:tblGrid>
        <w:gridCol w:w="785"/>
        <w:gridCol w:w="1265"/>
      </w:tblGrid>
      <w:tr>
        <w:trPr/>
        <w:tc>
          <w:tcPr>
            <w:tcW w:w="78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1A.</w:t>
            </w:r>
          </w:p>
        </w:tc>
        <w:tc>
          <w:tcPr>
            <w:tcW w:w="1265" w:type="dxa"/>
            <w:tcBorders/>
            <w:shd w:fill="auto" w:val="clear"/>
          </w:tcPr>
          <w:p>
            <w:pPr>
              <w:pStyle w:val="TableContents"/>
              <w:spacing w:before="0" w:after="0"/>
              <w:rPr>
                <w:rFonts w:ascii="Times New Roman" w:hAnsi="Times New Roman"/>
                <w:b/>
                <w:i w:val="false"/>
                <w:caps w:val="false"/>
                <w:smallCaps w:val="false"/>
                <w:color w:val="000000"/>
                <w:sz w:val="17"/>
              </w:rPr>
            </w:pPr>
            <w:bookmarkStart w:id="49" w:name="ITEM_1A_RISK_FACTORS"/>
            <w:bookmarkEnd w:id="49"/>
            <w:r>
              <w:rPr>
                <w:rFonts w:ascii="Times New Roman" w:hAnsi="Times New Roman"/>
                <w:b/>
                <w:i w:val="false"/>
                <w:caps w:val="false"/>
                <w:smallCaps w:val="false"/>
                <w:color w:val="000000"/>
                <w:sz w:val="17"/>
              </w:rPr>
              <w:t>RISK FACTORS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There have been no material changes in the Company’s risk factors that we disclosed in “Part I – Item 1A. Risk Factors” of our Annual Report on Form 10-K for the year ended December 31, 2018.</w:t>
      </w:r>
    </w:p>
    <w:p>
      <w:pPr>
        <w:pStyle w:val="TextBody"/>
        <w:spacing w:before="0" w:after="0"/>
        <w:rPr/>
      </w:pPr>
      <w:r>
        <w:rPr/>
        <w:t> </w:t>
      </w:r>
    </w:p>
    <w:p>
      <w:pPr>
        <w:pStyle w:val="TextBody"/>
        <w:spacing w:before="0" w:after="0"/>
        <w:rPr/>
      </w:pPr>
      <w:r>
        <w:rPr/>
        <w:t> </w:t>
      </w:r>
    </w:p>
    <w:tbl>
      <w:tblPr>
        <w:tblW w:w="6490" w:type="dxa"/>
        <w:jc w:val="left"/>
        <w:tblInd w:w="0" w:type="dxa"/>
        <w:tblCellMar>
          <w:top w:w="0" w:type="dxa"/>
          <w:left w:w="0" w:type="dxa"/>
          <w:bottom w:w="0" w:type="dxa"/>
          <w:right w:w="0" w:type="dxa"/>
        </w:tblCellMar>
      </w:tblPr>
      <w:tblGrid>
        <w:gridCol w:w="620"/>
        <w:gridCol w:w="5870"/>
      </w:tblGrid>
      <w:tr>
        <w:trPr/>
        <w:tc>
          <w:tcPr>
            <w:tcW w:w="62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2.</w:t>
            </w:r>
          </w:p>
        </w:tc>
        <w:tc>
          <w:tcPr>
            <w:tcW w:w="587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50" w:name="ITEM_2_UNREGISTERED_SALES_EQUITY_SECURIT"/>
            <w:bookmarkEnd w:id="50"/>
            <w:r>
              <w:rPr>
                <w:rFonts w:ascii="Times New Roman" w:hAnsi="Times New Roman"/>
                <w:b/>
                <w:i w:val="false"/>
                <w:caps w:val="false"/>
                <w:smallCaps w:val="false"/>
                <w:color w:val="000000"/>
                <w:sz w:val="17"/>
              </w:rPr>
              <w:t>UNREGISTERED SALES OF EQUITY SECURITIES AND USE OF PROCEEDS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None.</w:t>
      </w:r>
    </w:p>
    <w:p>
      <w:pPr>
        <w:pStyle w:val="TextBody"/>
        <w:spacing w:before="0" w:after="0"/>
        <w:rPr/>
      </w:pPr>
      <w:r>
        <w:rPr/>
        <w:t> </w:t>
      </w:r>
    </w:p>
    <w:p>
      <w:pPr>
        <w:pStyle w:val="TextBody"/>
        <w:spacing w:before="0" w:after="0"/>
        <w:rPr/>
      </w:pPr>
      <w:r>
        <w:rPr/>
        <w:t> </w:t>
      </w:r>
    </w:p>
    <w:tbl>
      <w:tblPr>
        <w:tblW w:w="3775" w:type="dxa"/>
        <w:jc w:val="left"/>
        <w:tblInd w:w="0" w:type="dxa"/>
        <w:tblCellMar>
          <w:top w:w="0" w:type="dxa"/>
          <w:left w:w="0" w:type="dxa"/>
          <w:bottom w:w="0" w:type="dxa"/>
          <w:right w:w="0" w:type="dxa"/>
        </w:tblCellMar>
      </w:tblPr>
      <w:tblGrid>
        <w:gridCol w:w="665"/>
        <w:gridCol w:w="3110"/>
      </w:tblGrid>
      <w:tr>
        <w:trPr/>
        <w:tc>
          <w:tcPr>
            <w:tcW w:w="66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3.</w:t>
            </w:r>
          </w:p>
        </w:tc>
        <w:tc>
          <w:tcPr>
            <w:tcW w:w="311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51" w:name="ITEM_3_DEFAULTS_UPON_SENIOR_SECURITIES"/>
            <w:bookmarkEnd w:id="51"/>
            <w:r>
              <w:rPr>
                <w:rFonts w:ascii="Times New Roman" w:hAnsi="Times New Roman"/>
                <w:b/>
                <w:i w:val="false"/>
                <w:caps w:val="false"/>
                <w:smallCaps w:val="false"/>
                <w:color w:val="000000"/>
                <w:sz w:val="17"/>
              </w:rPr>
              <w:t>DEFAULTS UPON SENIOR SECURITIES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None.</w:t>
      </w:r>
    </w:p>
    <w:p>
      <w:pPr>
        <w:pStyle w:val="TextBody"/>
        <w:spacing w:before="0" w:after="0"/>
        <w:rPr/>
      </w:pPr>
      <w:r>
        <w:rPr/>
        <w:t> </w:t>
      </w:r>
    </w:p>
    <w:p>
      <w:pPr>
        <w:pStyle w:val="TextBody"/>
        <w:spacing w:before="0" w:after="0"/>
        <w:rPr/>
      </w:pPr>
      <w:r>
        <w:rPr/>
        <w:t> </w:t>
      </w:r>
    </w:p>
    <w:tbl>
      <w:tblPr>
        <w:tblW w:w="3010" w:type="dxa"/>
        <w:jc w:val="left"/>
        <w:tblInd w:w="0" w:type="dxa"/>
        <w:tblCellMar>
          <w:top w:w="0" w:type="dxa"/>
          <w:left w:w="0" w:type="dxa"/>
          <w:bottom w:w="0" w:type="dxa"/>
          <w:right w:w="0" w:type="dxa"/>
        </w:tblCellMar>
      </w:tblPr>
      <w:tblGrid>
        <w:gridCol w:w="665"/>
        <w:gridCol w:w="2345"/>
      </w:tblGrid>
      <w:tr>
        <w:trPr/>
        <w:tc>
          <w:tcPr>
            <w:tcW w:w="66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 xml:space="preserve">ITEM 4. </w:t>
            </w:r>
          </w:p>
        </w:tc>
        <w:tc>
          <w:tcPr>
            <w:tcW w:w="2345" w:type="dxa"/>
            <w:tcBorders/>
            <w:shd w:fill="auto" w:val="clear"/>
          </w:tcPr>
          <w:p>
            <w:pPr>
              <w:pStyle w:val="TableContents"/>
              <w:spacing w:before="0" w:after="0"/>
              <w:rPr>
                <w:rFonts w:ascii="Times New Roman" w:hAnsi="Times New Roman"/>
                <w:b/>
                <w:i w:val="false"/>
                <w:caps w:val="false"/>
                <w:smallCaps w:val="false"/>
                <w:color w:val="000000"/>
                <w:sz w:val="17"/>
              </w:rPr>
            </w:pPr>
            <w:bookmarkStart w:id="52" w:name="ITEM_4_MINE_SAFETY_DISCLOSURES"/>
            <w:bookmarkEnd w:id="52"/>
            <w:r>
              <w:rPr>
                <w:rFonts w:ascii="Times New Roman" w:hAnsi="Times New Roman"/>
                <w:b/>
                <w:i w:val="false"/>
                <w:caps w:val="false"/>
                <w:smallCaps w:val="false"/>
                <w:color w:val="000000"/>
                <w:sz w:val="17"/>
              </w:rPr>
              <w:t>MINE SAFETY DISCLOSURES</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Not applicable.</w:t>
      </w:r>
    </w:p>
    <w:p>
      <w:pPr>
        <w:pStyle w:val="TextBody"/>
        <w:spacing w:before="0" w:after="0"/>
        <w:rPr/>
      </w:pPr>
      <w:r>
        <w:rPr/>
        <w:t> </w:t>
      </w:r>
    </w:p>
    <w:p>
      <w:pPr>
        <w:pStyle w:val="TextBody"/>
        <w:spacing w:before="0" w:after="0"/>
        <w:rPr/>
      </w:pPr>
      <w:r>
        <w:rPr/>
        <w:t> </w:t>
      </w:r>
    </w:p>
    <w:tbl>
      <w:tblPr>
        <w:tblW w:w="2560" w:type="dxa"/>
        <w:jc w:val="left"/>
        <w:tblInd w:w="0" w:type="dxa"/>
        <w:tblCellMar>
          <w:top w:w="0" w:type="dxa"/>
          <w:left w:w="0" w:type="dxa"/>
          <w:bottom w:w="0" w:type="dxa"/>
          <w:right w:w="0" w:type="dxa"/>
        </w:tblCellMar>
      </w:tblPr>
      <w:tblGrid>
        <w:gridCol w:w="665"/>
        <w:gridCol w:w="1895"/>
      </w:tblGrid>
      <w:tr>
        <w:trPr/>
        <w:tc>
          <w:tcPr>
            <w:tcW w:w="665"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5.</w:t>
            </w:r>
          </w:p>
        </w:tc>
        <w:tc>
          <w:tcPr>
            <w:tcW w:w="1895" w:type="dxa"/>
            <w:tcBorders/>
            <w:shd w:fill="auto" w:val="clear"/>
          </w:tcPr>
          <w:p>
            <w:pPr>
              <w:pStyle w:val="TableContents"/>
              <w:spacing w:before="0" w:after="0"/>
              <w:rPr>
                <w:rFonts w:ascii="Times New Roman" w:hAnsi="Times New Roman"/>
                <w:b/>
                <w:i w:val="false"/>
                <w:caps w:val="false"/>
                <w:smallCaps w:val="false"/>
                <w:color w:val="000000"/>
                <w:sz w:val="17"/>
              </w:rPr>
            </w:pPr>
            <w:bookmarkStart w:id="53" w:name="ITEM_5_OR_INFORMATION"/>
            <w:bookmarkEnd w:id="53"/>
            <w:r>
              <w:rPr>
                <w:rFonts w:ascii="Times New Roman" w:hAnsi="Times New Roman"/>
                <w:b/>
                <w:i w:val="false"/>
                <w:caps w:val="false"/>
                <w:smallCaps w:val="false"/>
                <w:color w:val="000000"/>
                <w:sz w:val="17"/>
              </w:rPr>
              <w:t>OTHER INFORMATION</w:t>
            </w:r>
          </w:p>
        </w:tc>
      </w:tr>
    </w:tbl>
    <w:p>
      <w:pPr>
        <w:pStyle w:val="TextBody"/>
        <w:spacing w:before="12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On June 5, 2019, the Company held its 2019 Annual Meeting of Stockholders (the “Annual Meeting”). At the Annual Meeting, stockholders of the Company considered an advisory vote to recommend the frequency of future advisory votes to approve named executive compensation.  The stockholders indicated, on an advisory basis, every year as the preferred frequency of the advisory vote to approve named executive compensation.  Based on this recommendation and its consideration of the appropriate voting frequency for the Company at this time, the Company has determined that it will hold an advisory vote on the compensation of the Company’s named executive officers every year.</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28</w:t>
      </w:r>
    </w:p>
    <w:p>
      <w:pPr>
        <w:pStyle w:val="HorizontalLine"/>
        <w:rPr/>
      </w:pPr>
      <w:r>
        <w:rPr/>
      </w:r>
    </w:p>
    <w:tbl>
      <w:tblPr>
        <w:tblW w:w="1420" w:type="dxa"/>
        <w:jc w:val="left"/>
        <w:tblInd w:w="0" w:type="dxa"/>
        <w:tblCellMar>
          <w:top w:w="0" w:type="dxa"/>
          <w:left w:w="0" w:type="dxa"/>
          <w:bottom w:w="0" w:type="dxa"/>
          <w:right w:w="0" w:type="dxa"/>
        </w:tblCellMar>
      </w:tblPr>
      <w:tblGrid>
        <w:gridCol w:w="620"/>
        <w:gridCol w:w="800"/>
      </w:tblGrid>
      <w:tr>
        <w:trPr/>
        <w:tc>
          <w:tcPr>
            <w:tcW w:w="620" w:type="dxa"/>
            <w:tcBorders/>
            <w:shd w:fill="auto" w:val="clear"/>
          </w:tcPr>
          <w:p>
            <w:pPr>
              <w:pStyle w:val="TableContents"/>
              <w:spacing w:before="0" w:after="0"/>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ITEM 6.</w:t>
            </w:r>
          </w:p>
        </w:tc>
        <w:tc>
          <w:tcPr>
            <w:tcW w:w="800" w:type="dxa"/>
            <w:tcBorders/>
            <w:shd w:fill="auto" w:val="clear"/>
          </w:tcPr>
          <w:p>
            <w:pPr>
              <w:pStyle w:val="TableContents"/>
              <w:spacing w:before="0" w:after="0"/>
              <w:rPr>
                <w:rFonts w:ascii="Times New Roman" w:hAnsi="Times New Roman"/>
                <w:b/>
                <w:i w:val="false"/>
                <w:caps w:val="false"/>
                <w:smallCaps w:val="false"/>
                <w:color w:val="000000"/>
                <w:sz w:val="17"/>
              </w:rPr>
            </w:pPr>
            <w:bookmarkStart w:id="54" w:name="ITEM_6_EXHIBITS"/>
            <w:bookmarkStart w:id="55" w:name="_AEIOULastRenderedPageBreakAEIOU27"/>
            <w:bookmarkEnd w:id="54"/>
            <w:bookmarkEnd w:id="55"/>
            <w:r>
              <w:rPr>
                <w:rFonts w:ascii="Times New Roman" w:hAnsi="Times New Roman"/>
                <w:b/>
                <w:i w:val="false"/>
                <w:caps w:val="false"/>
                <w:smallCaps w:val="false"/>
                <w:color w:val="000000"/>
                <w:sz w:val="17"/>
              </w:rPr>
              <w:t>EXHIBITS</w:t>
            </w:r>
          </w:p>
        </w:tc>
      </w:tr>
    </w:tbl>
    <w:p>
      <w:pPr>
        <w:pStyle w:val="TextBody"/>
        <w:spacing w:before="0" w:after="0"/>
        <w:rPr>
          <w:caps w:val="false"/>
          <w:smallCaps w:val="false"/>
          <w:color w:val="000000"/>
        </w:rPr>
      </w:pPr>
      <w:r>
        <w:rPr>
          <w:caps w:val="false"/>
          <w:smallCaps w:val="false"/>
          <w:color w:val="000000"/>
        </w:rPr>
        <w:t> </w:t>
      </w:r>
    </w:p>
    <w:tbl>
      <w:tblPr>
        <w:tblW w:w="10205" w:type="dxa"/>
        <w:jc w:val="center"/>
        <w:tblInd w:w="0" w:type="dxa"/>
        <w:tblCellMar>
          <w:top w:w="0" w:type="dxa"/>
          <w:left w:w="0" w:type="dxa"/>
          <w:bottom w:w="0" w:type="dxa"/>
          <w:right w:w="0" w:type="dxa"/>
        </w:tblCellMar>
      </w:tblPr>
      <w:tblGrid>
        <w:gridCol w:w="335"/>
        <w:gridCol w:w="60"/>
        <w:gridCol w:w="9810"/>
      </w:tblGrid>
      <w:tr>
        <w:trPr/>
        <w:tc>
          <w:tcPr>
            <w:tcW w:w="33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w:t>
            </w:r>
          </w:p>
        </w:tc>
        <w:tc>
          <w:tcPr>
            <w:tcW w:w="60" w:type="dxa"/>
            <w:tcBorders/>
            <w:shd w:fill="auto" w:val="clear"/>
          </w:tcPr>
          <w:p>
            <w:pPr>
              <w:pStyle w:val="TableContents"/>
              <w:spacing w:before="0" w:after="0"/>
              <w:ind w:left="0" w:right="0" w:hanging="0"/>
              <w:rPr/>
            </w:pPr>
            <w:r>
              <w:rPr/>
              <w:t> </w:t>
            </w:r>
          </w:p>
        </w:tc>
        <w:tc>
          <w:tcPr>
            <w:tcW w:w="9810" w:type="dxa"/>
            <w:tcBorders/>
            <w:shd w:fill="auto" w:val="clear"/>
          </w:tcPr>
          <w:p>
            <w:pPr>
              <w:pStyle w:val="TableContents"/>
              <w:spacing w:before="0" w:after="0"/>
              <w:ind w:left="0" w:right="0" w:hanging="0"/>
              <w:rPr/>
            </w:pPr>
            <w:hyperlink r:id="rId3">
              <w:r>
                <w:rPr>
                  <w:rStyle w:val="InternetLink"/>
                  <w:rFonts w:ascii="Times New Roman" w:hAnsi="Times New Roman"/>
                  <w:b w:val="false"/>
                  <w:i w:val="false"/>
                  <w:caps w:val="false"/>
                  <w:smallCaps w:val="false"/>
                  <w:sz w:val="17"/>
                  <w:u w:val="single"/>
                </w:rPr>
                <w:t xml:space="preserve">Second Amended and Restate Credit Agreement, dated as of June 11,2019, among CECO Environmental Corp. and certain of its subsidiaries, the Lenders party thereto, and Bank of America, N.A. (incorporated by reference to Exhibit 10.1 to the Company’s Current Report on Form 8-K filed with the SEC on June 12, 2019. </w:t>
              </w:r>
            </w:hyperlink>
          </w:p>
        </w:tc>
      </w:tr>
    </w:tbl>
    <w:p>
      <w:pPr>
        <w:pStyle w:val="TextBody"/>
        <w:spacing w:before="0" w:after="0"/>
        <w:rPr/>
      </w:pPr>
      <w:r>
        <w:rPr/>
        <w:t> </w:t>
      </w:r>
    </w:p>
    <w:tbl>
      <w:tblPr>
        <w:tblW w:w="5224" w:type="dxa"/>
        <w:jc w:val="center"/>
        <w:tblInd w:w="0" w:type="dxa"/>
        <w:tblCellMar>
          <w:top w:w="0" w:type="dxa"/>
          <w:left w:w="0" w:type="dxa"/>
          <w:bottom w:w="0" w:type="dxa"/>
          <w:right w:w="0" w:type="dxa"/>
        </w:tblCellMar>
      </w:tblPr>
      <w:tblGrid>
        <w:gridCol w:w="665"/>
        <w:gridCol w:w="60"/>
        <w:gridCol w:w="4499"/>
      </w:tblGrid>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31.1</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pPr>
            <w:hyperlink w:anchor="cece-ex311_7.htm">
              <w:r>
                <w:rPr>
                  <w:rStyle w:val="InternetLink"/>
                  <w:rFonts w:ascii="Times New Roman" w:hAnsi="Times New Roman"/>
                  <w:b w:val="false"/>
                  <w:i w:val="false"/>
                  <w:caps w:val="false"/>
                  <w:smallCaps w:val="false"/>
                  <w:sz w:val="17"/>
                  <w:u w:val="single"/>
                </w:rPr>
                <w:t>Rule 13(a)/15d-14(a) Certification by Chief Executive Officer</w:t>
              </w:r>
            </w:hyperlink>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31.2</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pPr>
            <w:hyperlink w:anchor="cece-ex312_9.htm">
              <w:r>
                <w:rPr>
                  <w:rStyle w:val="InternetLink"/>
                  <w:rFonts w:ascii="Times New Roman" w:hAnsi="Times New Roman"/>
                  <w:b w:val="false"/>
                  <w:i w:val="false"/>
                  <w:caps w:val="false"/>
                  <w:smallCaps w:val="false"/>
                  <w:sz w:val="17"/>
                  <w:u w:val="single"/>
                </w:rPr>
                <w:t>Rule 13(a)/15d-14(a) Certification by Chief Financial Officer</w:t>
              </w:r>
            </w:hyperlink>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32.1</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pPr>
            <w:hyperlink w:anchor="cece-ex321_6.htm">
              <w:r>
                <w:rPr>
                  <w:rStyle w:val="InternetLink"/>
                  <w:rFonts w:ascii="Times New Roman" w:hAnsi="Times New Roman"/>
                  <w:b w:val="false"/>
                  <w:i w:val="false"/>
                  <w:caps w:val="false"/>
                  <w:smallCaps w:val="false"/>
                  <w:sz w:val="17"/>
                  <w:u w:val="single"/>
                </w:rPr>
                <w:t>Certification of Chief Executive Officer (18 U.S. Section 1350)</w:t>
              </w:r>
            </w:hyperlink>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32.2</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firstLine="144"/>
              <w:rPr/>
            </w:pPr>
            <w:hyperlink w:anchor="cece-ex322_8.htm">
              <w:r>
                <w:rPr>
                  <w:rStyle w:val="InternetLink"/>
                  <w:rFonts w:ascii="Times New Roman" w:hAnsi="Times New Roman"/>
                  <w:b w:val="false"/>
                  <w:i w:val="false"/>
                  <w:caps w:val="false"/>
                  <w:smallCaps w:val="false"/>
                  <w:sz w:val="17"/>
                  <w:u w:val="single"/>
                </w:rPr>
                <w:t>Certification of Chief Financial Officer (18 U.S. Section 1350)</w:t>
              </w:r>
            </w:hyperlink>
          </w:p>
        </w:tc>
      </w:tr>
      <w:tr>
        <w:trPr/>
        <w:tc>
          <w:tcPr>
            <w:tcW w:w="6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pPr>
            <w:r>
              <w:rPr/>
              <w:t> </w:t>
            </w:r>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101.INS</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XBRL Instance Document</w:t>
            </w:r>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101.SCH</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XBRL Taxonomy Extension Schema Document</w:t>
            </w:r>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101.CAL</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XBRL Taxonomy Extension Calculation Linkbase Document</w:t>
            </w:r>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101.DEF</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XBRL Taxonomy Extension Definition Linkbase Document</w:t>
            </w:r>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101.LAB</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XBRL Taxonomy Extension Label Linkbase Document</w:t>
            </w:r>
          </w:p>
        </w:tc>
      </w:tr>
      <w:tr>
        <w:trPr/>
        <w:tc>
          <w:tcPr>
            <w:tcW w:w="665" w:type="dxa"/>
            <w:tcBorders/>
            <w:shd w:fill="auto" w:val="clear"/>
            <w:vAlign w:val="cente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4499" w:type="dxa"/>
            <w:tcBorders/>
            <w:shd w:fill="auto" w:val="clear"/>
            <w:vAlign w:val="center"/>
          </w:tcPr>
          <w:p>
            <w:pPr>
              <w:pStyle w:val="TableContents"/>
              <w:spacing w:before="0" w:after="0"/>
              <w:ind w:left="0" w:right="0" w:firstLine="144"/>
              <w:rPr/>
            </w:pPr>
            <w:r>
              <w:rPr/>
              <w:t> </w:t>
            </w:r>
          </w:p>
        </w:tc>
      </w:tr>
      <w:tr>
        <w:trPr/>
        <w:tc>
          <w:tcPr>
            <w:tcW w:w="6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101.PRE</w:t>
            </w:r>
          </w:p>
        </w:tc>
        <w:tc>
          <w:tcPr>
            <w:tcW w:w="60" w:type="dxa"/>
            <w:tcBorders/>
            <w:shd w:fill="auto" w:val="clear"/>
          </w:tcPr>
          <w:p>
            <w:pPr>
              <w:pStyle w:val="TableContents"/>
              <w:spacing w:before="0" w:after="0"/>
              <w:ind w:left="0" w:right="0" w:hanging="0"/>
              <w:rPr/>
            </w:pPr>
            <w:r>
              <w:rPr/>
              <w:t> </w:t>
            </w:r>
          </w:p>
        </w:tc>
        <w:tc>
          <w:tcPr>
            <w:tcW w:w="4499"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XBRL Taxonomy Extension Presentation Linkbase Document</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29</w:t>
      </w:r>
    </w:p>
    <w:p>
      <w:pPr>
        <w:pStyle w:val="HorizontalLine"/>
        <w:rPr/>
      </w:pPr>
      <w:r>
        <w:rPr/>
      </w:r>
    </w:p>
    <w:p>
      <w:pPr>
        <w:pStyle w:val="TextBody"/>
        <w:spacing w:before="0" w:after="0"/>
        <w:jc w:val="center"/>
        <w:rPr>
          <w:rFonts w:ascii="Times New Roman" w:hAnsi="Times New Roman"/>
          <w:b/>
          <w:i w:val="false"/>
          <w:caps w:val="false"/>
          <w:smallCaps w:val="false"/>
          <w:color w:val="000000"/>
          <w:sz w:val="17"/>
        </w:rPr>
      </w:pPr>
      <w:bookmarkStart w:id="56" w:name="_AEIOULastRenderedPageBreakAEIOU28"/>
      <w:bookmarkEnd w:id="56"/>
      <w:r>
        <w:rPr>
          <w:rFonts w:ascii="Times New Roman" w:hAnsi="Times New Roman"/>
          <w:b/>
          <w:i w:val="false"/>
          <w:caps w:val="false"/>
          <w:smallCaps w:val="false"/>
          <w:color w:val="000000"/>
          <w:sz w:val="17"/>
        </w:rPr>
        <w:t>SIGNATURES</w:t>
      </w:r>
    </w:p>
    <w:p>
      <w:pPr>
        <w:pStyle w:val="TextBody"/>
        <w:spacing w:before="24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Pursuant to the requirements of the Securities Exchange Act of 1934, the registrant has duly caused this report to be signed on its behalf by the undersigned thereunto duly authorized.</w:t>
      </w:r>
    </w:p>
    <w:p>
      <w:pPr>
        <w:pStyle w:val="TextBody"/>
        <w:spacing w:before="0" w:after="0"/>
        <w:rPr>
          <w:caps w:val="false"/>
          <w:smallCaps w:val="false"/>
          <w:color w:val="000000"/>
        </w:rPr>
      </w:pPr>
      <w:r>
        <w:rPr>
          <w:caps w:val="false"/>
          <w:smallCaps w:val="false"/>
          <w:color w:val="000000"/>
        </w:rPr>
        <w:t> </w:t>
      </w:r>
    </w:p>
    <w:tbl>
      <w:tblPr>
        <w:tblW w:w="1969" w:type="dxa"/>
        <w:jc w:val="right"/>
        <w:tblInd w:w="0" w:type="dxa"/>
        <w:tblCellMar>
          <w:top w:w="0" w:type="dxa"/>
          <w:left w:w="0" w:type="dxa"/>
          <w:bottom w:w="0" w:type="dxa"/>
          <w:right w:w="0" w:type="dxa"/>
        </w:tblCellMar>
      </w:tblPr>
      <w:tblGrid>
        <w:gridCol w:w="261"/>
        <w:gridCol w:w="1708"/>
      </w:tblGrid>
      <w:tr>
        <w:trPr/>
        <w:tc>
          <w:tcPr>
            <w:tcW w:w="1969" w:type="dxa"/>
            <w:gridSpan w:val="2"/>
            <w:tcBorders/>
            <w:shd w:fill="auto" w:val="clear"/>
            <w:vAlign w:val="bottom"/>
          </w:tcPr>
          <w:p>
            <w:pPr>
              <w:pStyle w:val="TableContents"/>
              <w:spacing w:before="0" w:after="0"/>
              <w:ind w:left="0" w:right="0" w:hanging="0"/>
              <w:jc w:val="lef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CECO Environmental Corp.</w:t>
            </w:r>
          </w:p>
        </w:tc>
      </w:tr>
      <w:tr>
        <w:trPr/>
        <w:tc>
          <w:tcPr>
            <w:tcW w:w="261" w:type="dxa"/>
            <w:tcBorders/>
            <w:shd w:fill="auto" w:val="clear"/>
            <w:vAlign w:val="bottom"/>
          </w:tcPr>
          <w:p>
            <w:pPr>
              <w:pStyle w:val="TableContents"/>
              <w:spacing w:before="0" w:after="0"/>
              <w:ind w:left="0" w:right="0" w:hanging="0"/>
              <w:jc w:val="left"/>
              <w:rPr/>
            </w:pPr>
            <w:r>
              <w:rPr/>
              <w:t> </w:t>
            </w:r>
          </w:p>
        </w:tc>
        <w:tc>
          <w:tcPr>
            <w:tcW w:w="1708" w:type="dxa"/>
            <w:tcBorders/>
            <w:shd w:fill="auto" w:val="clear"/>
            <w:vAlign w:val="bottom"/>
          </w:tcPr>
          <w:p>
            <w:pPr>
              <w:pStyle w:val="TableContents"/>
              <w:spacing w:before="0" w:after="0"/>
              <w:ind w:left="0" w:right="0" w:hanging="0"/>
              <w:jc w:val="left"/>
              <w:rPr/>
            </w:pPr>
            <w:r>
              <w:rPr/>
              <w:t> </w:t>
            </w:r>
          </w:p>
        </w:tc>
      </w:tr>
      <w:tr>
        <w:trPr/>
        <w:tc>
          <w:tcPr>
            <w:tcW w:w="261" w:type="dxa"/>
            <w:tcBorders>
              <w:bottom w:val="single" w:sz="6"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By:</w:t>
            </w:r>
          </w:p>
        </w:tc>
        <w:tc>
          <w:tcPr>
            <w:tcW w:w="1708"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/s/    Matthew Eckl</w:t>
            </w:r>
          </w:p>
        </w:tc>
      </w:tr>
      <w:tr>
        <w:trPr/>
        <w:tc>
          <w:tcPr>
            <w:tcW w:w="261" w:type="dxa"/>
            <w:tcBorders/>
            <w:shd w:fill="auto" w:val="clear"/>
          </w:tcPr>
          <w:p>
            <w:pPr>
              <w:pStyle w:val="TableContents"/>
              <w:spacing w:before="0" w:after="0"/>
              <w:ind w:left="0" w:right="0" w:hanging="0"/>
              <w:jc w:val="left"/>
              <w:rPr/>
            </w:pPr>
            <w:r>
              <w:rPr/>
              <w:t> </w:t>
            </w:r>
          </w:p>
        </w:tc>
        <w:tc>
          <w:tcPr>
            <w:tcW w:w="1708" w:type="dxa"/>
            <w:tcBorders>
              <w:top w:val="single" w:sz="6"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Matthew Eckl</w:t>
            </w:r>
          </w:p>
        </w:tc>
      </w:tr>
      <w:tr>
        <w:trPr/>
        <w:tc>
          <w:tcPr>
            <w:tcW w:w="261" w:type="dxa"/>
            <w:tcBorders/>
            <w:shd w:fill="auto" w:val="clear"/>
          </w:tcPr>
          <w:p>
            <w:pPr>
              <w:pStyle w:val="TableContents"/>
              <w:spacing w:before="0" w:after="0"/>
              <w:ind w:left="0" w:right="0" w:hanging="0"/>
              <w:jc w:val="left"/>
              <w:rPr/>
            </w:pPr>
            <w:r>
              <w:rPr/>
              <w:t> </w:t>
            </w:r>
          </w:p>
        </w:tc>
        <w:tc>
          <w:tcPr>
            <w:tcW w:w="1708"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7"/>
              </w:rPr>
            </w:pPr>
            <w:r>
              <w:rPr>
                <w:rFonts w:ascii="Times New Roman" w:hAnsi="Times New Roman"/>
                <w:b/>
                <w:i w:val="false"/>
                <w:caps w:val="false"/>
                <w:smallCaps w:val="false"/>
                <w:color w:val="000000"/>
                <w:sz w:val="17"/>
              </w:rPr>
              <w:t>Chief Financial Officer</w:t>
            </w:r>
          </w:p>
        </w:tc>
      </w:tr>
    </w:tbl>
    <w:p>
      <w:pPr>
        <w:pStyle w:val="TextBody"/>
        <w:spacing w:before="0" w:after="0"/>
        <w:rPr>
          <w:caps w:val="false"/>
          <w:smallCaps w:val="false"/>
          <w:color w:val="000000"/>
        </w:rPr>
      </w:pPr>
      <w:bookmarkStart w:id="57" w:name="SIGNATURES"/>
      <w:bookmarkEnd w:id="57"/>
      <w:r>
        <w:rPr>
          <w:caps w:val="false"/>
          <w:smallCaps w:val="false"/>
          <w:color w:val="000000"/>
        </w:rPr>
        <w:t> </w:t>
      </w:r>
    </w:p>
    <w:p>
      <w:pPr>
        <w:pStyle w:val="TextBody"/>
        <w:spacing w:before="0" w:after="0"/>
        <w:rPr>
          <w:rFonts w:ascii="Times New Roman" w:hAnsi="Times New Roman"/>
          <w:b w:val="false"/>
          <w:i w:val="false"/>
          <w:caps w:val="false"/>
          <w:smallCaps w:val="false"/>
          <w:color w:val="000000"/>
          <w:sz w:val="17"/>
        </w:rPr>
      </w:pPr>
      <w:r>
        <w:rPr>
          <w:rFonts w:ascii="Times New Roman" w:hAnsi="Times New Roman"/>
          <w:b w:val="false"/>
          <w:i w:val="false"/>
          <w:caps w:val="false"/>
          <w:smallCaps w:val="false"/>
          <w:color w:val="000000"/>
          <w:sz w:val="17"/>
        </w:rPr>
        <w:t>Date: August 6, 2019</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30</w:t>
      </w:r>
      <w:r>
        <w:br w:type="page"/>
      </w:r>
    </w:p>
    <w:p>
      <w:pPr>
        <w:pStyle w:val="TextBody"/>
        <w:spacing w:before="0" w:after="0"/>
        <w:jc w:val="right"/>
        <w:rPr>
          <w:rFonts w:ascii="Times New Roman" w:hAnsi="Times New Roman"/>
          <w:b w:val="false"/>
          <w:i w:val="false"/>
          <w:caps w:val="false"/>
          <w:smallCaps w:val="false"/>
          <w:sz w:val="17"/>
        </w:rPr>
      </w:pPr>
      <w:bookmarkStart w:id="58" w:name="cece-ex311_7.htm"/>
      <w:bookmarkStart w:id="59" w:name="ksceceex311_7"/>
      <w:bookmarkEnd w:id="58"/>
      <w:bookmarkEnd w:id="59"/>
      <w:r>
        <w:rPr>
          <w:rFonts w:ascii="Times New Roman" w:hAnsi="Times New Roman"/>
          <w:b w:val="false"/>
          <w:i w:val="false"/>
          <w:caps w:val="false"/>
          <w:smallCaps w:val="false"/>
          <w:sz w:val="17"/>
        </w:rPr>
        <w:t>Exhibit 31.1</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Certification of Chief Executive Officer</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Pursuant to Section 302 of the Sarbanes-Oxley Act of 2002</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Dennis Sadlowski, certify that:</w:t>
      </w:r>
    </w:p>
    <w:tbl>
      <w:tblPr>
        <w:tblW w:w="5995" w:type="dxa"/>
        <w:jc w:val="left"/>
        <w:tblInd w:w="0" w:type="dxa"/>
        <w:tblCellMar>
          <w:top w:w="0" w:type="dxa"/>
          <w:left w:w="0" w:type="dxa"/>
          <w:bottom w:w="0" w:type="dxa"/>
          <w:right w:w="0" w:type="dxa"/>
        </w:tblCellMar>
      </w:tblPr>
      <w:tblGrid>
        <w:gridCol w:w="155"/>
        <w:gridCol w:w="5840"/>
      </w:tblGrid>
      <w:tr>
        <w:trPr/>
        <w:tc>
          <w:tcPr>
            <w:tcW w:w="15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584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have reviewed this quarterly report on Form 10-Q of CECO Environmental Corp.;</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1007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3"/>
        <w:gridCol w:w="10072"/>
      </w:tblGrid>
      <w:tr>
        <w:trPr/>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c>
          <w:tcPr>
            <w:tcW w:w="1007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c>
          <w:tcPr>
            <w:tcW w:w="10076"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17"/>
        <w:gridCol w:w="1002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1002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33"/>
        <w:gridCol w:w="1001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1001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2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1002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33"/>
        <w:gridCol w:w="1001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w:t>
            </w:r>
          </w:p>
        </w:tc>
        <w:tc>
          <w:tcPr>
            <w:tcW w:w="1001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c>
          <w:tcPr>
            <w:tcW w:w="1007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27"/>
        <w:gridCol w:w="100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2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1001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160"/>
        <w:gridCol w:w="99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6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998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spacing w:before="0" w:after="0"/>
        <w:rPr>
          <w:caps w:val="false"/>
          <w:smallCaps w:val="false"/>
        </w:rPr>
      </w:pPr>
      <w:r>
        <w:rPr>
          <w:caps w:val="false"/>
          <w:smallCaps w:val="false"/>
        </w:rPr>
        <w:t> </w:t>
      </w:r>
    </w:p>
    <w:p>
      <w:pPr>
        <w:pStyle w:val="TextBody"/>
        <w:spacing w:before="0" w:after="0"/>
        <w:rPr/>
      </w:pPr>
      <w:r>
        <w:rPr/>
        <w:t> </w:t>
      </w:r>
    </w:p>
    <w:tbl>
      <w:tblPr>
        <w:tblW w:w="1670" w:type="dxa"/>
        <w:jc w:val="left"/>
        <w:tblInd w:w="0" w:type="dxa"/>
        <w:tblCellMar>
          <w:top w:w="0" w:type="dxa"/>
          <w:left w:w="0" w:type="dxa"/>
          <w:bottom w:w="28" w:type="dxa"/>
          <w:right w:w="0" w:type="dxa"/>
        </w:tblCellMar>
      </w:tblPr>
      <w:tblGrid>
        <w:gridCol w:w="1670"/>
      </w:tblGrid>
      <w:tr>
        <w:trPr/>
        <w:tc>
          <w:tcPr>
            <w:tcW w:w="167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Dennis Sadlowski </w:t>
            </w:r>
          </w:p>
        </w:tc>
      </w:tr>
      <w:tr>
        <w:trPr/>
        <w:tc>
          <w:tcPr>
            <w:tcW w:w="167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Dennis Sadlowski</w:t>
            </w:r>
          </w:p>
        </w:tc>
      </w:tr>
      <w:tr>
        <w:trPr/>
        <w:tc>
          <w:tcPr>
            <w:tcW w:w="16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Executive Officer</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6, 2019</w:t>
      </w:r>
      <w:r>
        <w:br w:type="page"/>
      </w:r>
    </w:p>
    <w:p>
      <w:pPr>
        <w:pStyle w:val="TextBody"/>
        <w:spacing w:before="0" w:after="0"/>
        <w:jc w:val="right"/>
        <w:rPr>
          <w:rFonts w:ascii="Times New Roman" w:hAnsi="Times New Roman"/>
          <w:b w:val="false"/>
          <w:i w:val="false"/>
          <w:caps w:val="false"/>
          <w:smallCaps w:val="false"/>
          <w:sz w:val="17"/>
        </w:rPr>
      </w:pPr>
      <w:bookmarkStart w:id="60" w:name="cece-ex312_9.htm"/>
      <w:bookmarkStart w:id="61" w:name="ksceceex312_9"/>
      <w:bookmarkEnd w:id="60"/>
      <w:bookmarkEnd w:id="61"/>
      <w:r>
        <w:rPr>
          <w:rFonts w:ascii="Times New Roman" w:hAnsi="Times New Roman"/>
          <w:b w:val="false"/>
          <w:i w:val="false"/>
          <w:caps w:val="false"/>
          <w:smallCaps w:val="false"/>
          <w:sz w:val="17"/>
        </w:rPr>
        <w:t>Exhibit 31.2</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Certification of Chief Financial Officer</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Pursuant to Section 302 of the Sarbanes-Oxley Act of 2002</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Matthew Eckl, certify that:</w:t>
      </w:r>
    </w:p>
    <w:tbl>
      <w:tblPr>
        <w:tblW w:w="5995" w:type="dxa"/>
        <w:jc w:val="left"/>
        <w:tblInd w:w="0" w:type="dxa"/>
        <w:tblCellMar>
          <w:top w:w="0" w:type="dxa"/>
          <w:left w:w="0" w:type="dxa"/>
          <w:bottom w:w="0" w:type="dxa"/>
          <w:right w:w="0" w:type="dxa"/>
        </w:tblCellMar>
      </w:tblPr>
      <w:tblGrid>
        <w:gridCol w:w="155"/>
        <w:gridCol w:w="5840"/>
      </w:tblGrid>
      <w:tr>
        <w:trPr/>
        <w:tc>
          <w:tcPr>
            <w:tcW w:w="15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584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 have reviewed this quarterly report on Form 10-Q of CECO Environmental Corp.;</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1007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33"/>
        <w:gridCol w:w="10072"/>
      </w:tblGrid>
      <w:tr>
        <w:trPr/>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3.</w:t>
            </w:r>
          </w:p>
        </w:tc>
        <w:tc>
          <w:tcPr>
            <w:tcW w:w="1007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29"/>
        <w:gridCol w:w="10076"/>
      </w:tblGrid>
      <w:tr>
        <w:trPr/>
        <w:tc>
          <w:tcPr>
            <w:tcW w:w="129"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4.</w:t>
            </w:r>
          </w:p>
        </w:tc>
        <w:tc>
          <w:tcPr>
            <w:tcW w:w="10076"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17"/>
        <w:gridCol w:w="1002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1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1002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133"/>
        <w:gridCol w:w="1001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1001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2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w:t>
            </w:r>
          </w:p>
        </w:tc>
        <w:tc>
          <w:tcPr>
            <w:tcW w:w="1002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133"/>
        <w:gridCol w:w="10012"/>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w:t>
            </w:r>
          </w:p>
        </w:tc>
        <w:tc>
          <w:tcPr>
            <w:tcW w:w="1001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5.</w:t>
            </w:r>
          </w:p>
        </w:tc>
        <w:tc>
          <w:tcPr>
            <w:tcW w:w="10073"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27"/>
        <w:gridCol w:w="100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27"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w:t>
            </w:r>
          </w:p>
        </w:tc>
        <w:tc>
          <w:tcPr>
            <w:tcW w:w="10018"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160"/>
        <w:gridCol w:w="9985"/>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6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b)</w:t>
            </w:r>
          </w:p>
        </w:tc>
        <w:tc>
          <w:tcPr>
            <w:tcW w:w="9985"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Any fraud, whether or not material, that involves management or other employees who have a significant role in the registrant’s internal control over financial reporting.</w:t>
            </w:r>
          </w:p>
        </w:tc>
      </w:tr>
    </w:tbl>
    <w:p>
      <w:pPr>
        <w:pStyle w:val="TextBody"/>
        <w:spacing w:before="0" w:after="0"/>
        <w:rPr>
          <w:caps w:val="false"/>
          <w:smallCaps w:val="false"/>
        </w:rPr>
      </w:pPr>
      <w:r>
        <w:rPr>
          <w:caps w:val="false"/>
          <w:smallCaps w:val="false"/>
        </w:rPr>
        <w:t> </w:t>
      </w:r>
    </w:p>
    <w:p>
      <w:pPr>
        <w:pStyle w:val="TextBody"/>
        <w:spacing w:before="0" w:after="0"/>
        <w:rPr/>
      </w:pPr>
      <w:r>
        <w:rPr/>
        <w:t> </w:t>
      </w:r>
    </w:p>
    <w:tbl>
      <w:tblPr>
        <w:tblW w:w="1610" w:type="dxa"/>
        <w:jc w:val="left"/>
        <w:tblInd w:w="0" w:type="dxa"/>
        <w:tblCellMar>
          <w:top w:w="0" w:type="dxa"/>
          <w:left w:w="0" w:type="dxa"/>
          <w:bottom w:w="28" w:type="dxa"/>
          <w:right w:w="0" w:type="dxa"/>
        </w:tblCellMar>
      </w:tblPr>
      <w:tblGrid>
        <w:gridCol w:w="1610"/>
      </w:tblGrid>
      <w:tr>
        <w:trPr/>
        <w:tc>
          <w:tcPr>
            <w:tcW w:w="1610"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Matthew Eckl </w:t>
            </w:r>
          </w:p>
        </w:tc>
      </w:tr>
      <w:tr>
        <w:trPr/>
        <w:tc>
          <w:tcPr>
            <w:tcW w:w="1610" w:type="dxa"/>
            <w:tcBorders>
              <w:top w:val="single" w:sz="6" w:space="0" w:color="000000"/>
            </w:tcBorders>
            <w:shd w:fill="auto"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Matthew Eckl</w:t>
            </w:r>
          </w:p>
        </w:tc>
      </w:tr>
      <w:tr>
        <w:trPr/>
        <w:tc>
          <w:tcPr>
            <w:tcW w:w="1610" w:type="dxa"/>
            <w:tcBorders/>
            <w:shd w:fill="auto"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Financial Officer</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6, 2019</w:t>
      </w:r>
      <w:r>
        <w:br w:type="page"/>
      </w:r>
    </w:p>
    <w:p>
      <w:pPr>
        <w:pStyle w:val="TextBody"/>
        <w:spacing w:before="0" w:after="0"/>
        <w:jc w:val="right"/>
        <w:rPr>
          <w:rFonts w:ascii="Times New Roman" w:hAnsi="Times New Roman"/>
          <w:b w:val="false"/>
          <w:i w:val="false"/>
          <w:caps w:val="false"/>
          <w:smallCaps w:val="false"/>
          <w:sz w:val="17"/>
        </w:rPr>
      </w:pPr>
      <w:bookmarkStart w:id="62" w:name="cece-ex321_6.htm"/>
      <w:bookmarkStart w:id="63" w:name="ksceceex321_6"/>
      <w:bookmarkEnd w:id="62"/>
      <w:bookmarkEnd w:id="63"/>
      <w:r>
        <w:rPr>
          <w:rFonts w:ascii="Times New Roman" w:hAnsi="Times New Roman"/>
          <w:b w:val="false"/>
          <w:i w:val="false"/>
          <w:caps w:val="false"/>
          <w:smallCaps w:val="false"/>
          <w:sz w:val="17"/>
        </w:rPr>
        <w:t>Exhibit 32.1</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CERTIFICATION PURSUANT TO</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18 U.S.C. SECTION 1350,</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ADOPTED PURSUANT TO</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SECTION 906 OF THE SARBANES-OXLEY ACT OF 2002</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connection with the Quarterly Report of CECO Environmental Corp. (the “Company”) on Form 10-Q for the six-month period ended June 30, 2019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tbl>
      <w:tblPr>
        <w:tblW w:w="9490" w:type="dxa"/>
        <w:jc w:val="left"/>
        <w:tblInd w:w="0" w:type="dxa"/>
        <w:tblCellMar>
          <w:top w:w="0" w:type="dxa"/>
          <w:left w:w="0" w:type="dxa"/>
          <w:bottom w:w="0" w:type="dxa"/>
          <w:right w:w="0" w:type="dxa"/>
        </w:tblCellMar>
      </w:tblPr>
      <w:tblGrid>
        <w:gridCol w:w="60"/>
        <w:gridCol w:w="230"/>
        <w:gridCol w:w="92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920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11"/>
        <w:gridCol w:w="993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1"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9934"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information contained in the Report fairly presents, in all material respects, the financial condition and results of operations of the Company as of the dates and for the periods expressed in the Report.</w:t>
            </w:r>
          </w:p>
        </w:tc>
      </w:tr>
    </w:tbl>
    <w:p>
      <w:pPr>
        <w:pStyle w:val="TextBody"/>
        <w:spacing w:before="0" w:after="0"/>
        <w:rPr>
          <w:caps w:val="false"/>
          <w:smallCaps w:val="false"/>
        </w:rPr>
      </w:pPr>
      <w:r>
        <w:rPr>
          <w:caps w:val="false"/>
          <w:smallCaps w:val="false"/>
        </w:rPr>
        <w:t> </w:t>
      </w:r>
    </w:p>
    <w:p>
      <w:pPr>
        <w:pStyle w:val="TextBody"/>
        <w:spacing w:before="0" w:after="0"/>
        <w:rPr/>
      </w:pPr>
      <w:r>
        <w:rPr/>
        <w:t> </w:t>
      </w:r>
    </w:p>
    <w:tbl>
      <w:tblPr>
        <w:tblW w:w="1670" w:type="dxa"/>
        <w:jc w:val="left"/>
        <w:tblInd w:w="0" w:type="dxa"/>
        <w:tblCellMar>
          <w:top w:w="0" w:type="dxa"/>
          <w:left w:w="0" w:type="dxa"/>
          <w:bottom w:w="28" w:type="dxa"/>
          <w:right w:w="0" w:type="dxa"/>
        </w:tblCellMar>
      </w:tblPr>
      <w:tblGrid>
        <w:gridCol w:w="1670"/>
      </w:tblGrid>
      <w:tr>
        <w:trPr/>
        <w:tc>
          <w:tcPr>
            <w:tcW w:w="167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Dennis Sadlowski </w:t>
            </w:r>
          </w:p>
        </w:tc>
      </w:tr>
      <w:tr>
        <w:trPr/>
        <w:tc>
          <w:tcPr>
            <w:tcW w:w="167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Dennis Sadlowski</w:t>
            </w:r>
          </w:p>
        </w:tc>
      </w:tr>
      <w:tr>
        <w:trPr/>
        <w:tc>
          <w:tcPr>
            <w:tcW w:w="167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Executive Officer</w:t>
            </w:r>
          </w:p>
        </w:tc>
      </w:tr>
    </w:tbl>
    <w:p>
      <w:pPr>
        <w:pStyle w:val="TextBody"/>
        <w:spacing w:before="0" w:after="0"/>
        <w:rPr>
          <w:caps w:val="false"/>
          <w:smallCaps w:val="false"/>
          <w:color w:val="FF0000"/>
        </w:rPr>
      </w:pPr>
      <w:r>
        <w:rPr>
          <w:caps w:val="false"/>
          <w:smallCaps w:val="false"/>
          <w:color w:val="FF0000"/>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6, 2019</w:t>
      </w:r>
      <w:r>
        <w:br w:type="page"/>
      </w:r>
    </w:p>
    <w:p>
      <w:pPr>
        <w:pStyle w:val="TextBody"/>
        <w:spacing w:before="0" w:after="0"/>
        <w:jc w:val="right"/>
        <w:rPr>
          <w:rFonts w:ascii="Times New Roman" w:hAnsi="Times New Roman"/>
          <w:b w:val="false"/>
          <w:i w:val="false"/>
          <w:caps w:val="false"/>
          <w:smallCaps w:val="false"/>
          <w:sz w:val="17"/>
        </w:rPr>
      </w:pPr>
      <w:bookmarkStart w:id="64" w:name="cece-ex322_8.htm"/>
      <w:bookmarkStart w:id="65" w:name="ksceceex322_8"/>
      <w:bookmarkEnd w:id="64"/>
      <w:bookmarkEnd w:id="65"/>
      <w:r>
        <w:rPr>
          <w:rFonts w:ascii="Times New Roman" w:hAnsi="Times New Roman"/>
          <w:b w:val="false"/>
          <w:i w:val="false"/>
          <w:caps w:val="false"/>
          <w:smallCaps w:val="false"/>
          <w:sz w:val="17"/>
        </w:rPr>
        <w:t>Exhibit 32.2</w:t>
      </w:r>
    </w:p>
    <w:p>
      <w:pPr>
        <w:pStyle w:val="TextBody"/>
        <w:spacing w:before="24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CERTIFICATION PURSUANT TO</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18 U.S.C. SECTION 1350,</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AS ADOPTED PURSUANT TO</w:t>
      </w:r>
    </w:p>
    <w:p>
      <w:pPr>
        <w:pStyle w:val="TextBody"/>
        <w:spacing w:before="0" w:after="0"/>
        <w:jc w:val="center"/>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SECTION 906 OF THE SARBANES-OXLEY ACT OF 2002</w:t>
      </w:r>
    </w:p>
    <w:p>
      <w:pPr>
        <w:pStyle w:val="TextBody"/>
        <w:spacing w:before="24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In connection with the Quarterly Report of CECO Environmental Corp. (the “Company”) on Form 10-Q for the six-month period ended June 30, 2019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tbl>
      <w:tblPr>
        <w:tblW w:w="9490" w:type="dxa"/>
        <w:jc w:val="left"/>
        <w:tblInd w:w="0" w:type="dxa"/>
        <w:tblCellMar>
          <w:top w:w="0" w:type="dxa"/>
          <w:left w:w="0" w:type="dxa"/>
          <w:bottom w:w="0" w:type="dxa"/>
          <w:right w:w="0" w:type="dxa"/>
        </w:tblCellMar>
      </w:tblPr>
      <w:tblGrid>
        <w:gridCol w:w="60"/>
        <w:gridCol w:w="230"/>
        <w:gridCol w:w="920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3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(1)</w:t>
            </w:r>
          </w:p>
        </w:tc>
        <w:tc>
          <w:tcPr>
            <w:tcW w:w="9200"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Report fully complies with the requirements of Section 13(a) or 15(d) of the Securities Exchange Act of 1934, as amended; and</w:t>
            </w:r>
          </w:p>
        </w:tc>
      </w:tr>
    </w:tbl>
    <w:tbl>
      <w:tblPr>
        <w:tblW w:w="10205" w:type="dxa"/>
        <w:jc w:val="left"/>
        <w:tblInd w:w="0" w:type="dxa"/>
        <w:tblCellMar>
          <w:top w:w="0" w:type="dxa"/>
          <w:left w:w="0" w:type="dxa"/>
          <w:bottom w:w="0" w:type="dxa"/>
          <w:right w:w="0" w:type="dxa"/>
        </w:tblCellMar>
      </w:tblPr>
      <w:tblGrid>
        <w:gridCol w:w="60"/>
        <w:gridCol w:w="211"/>
        <w:gridCol w:w="993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11"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(2)</w:t>
            </w:r>
          </w:p>
        </w:tc>
        <w:tc>
          <w:tcPr>
            <w:tcW w:w="9934" w:type="dxa"/>
            <w:tcBorders/>
            <w:shd w:fill="auto" w:val="clear"/>
          </w:tcPr>
          <w:p>
            <w:pPr>
              <w:pStyle w:val="TableContents"/>
              <w:spacing w:before="12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The information contained in the Report fairly presents, in all material respects, the financial condition and results of operations of the Company as of the dates and for the periods expressed in the Report.</w:t>
            </w:r>
          </w:p>
        </w:tc>
      </w:tr>
    </w:tbl>
    <w:p>
      <w:pPr>
        <w:pStyle w:val="TextBody"/>
        <w:spacing w:before="0" w:after="0"/>
        <w:rPr>
          <w:caps w:val="false"/>
          <w:smallCaps w:val="false"/>
        </w:rPr>
      </w:pPr>
      <w:r>
        <w:rPr>
          <w:caps w:val="false"/>
          <w:smallCaps w:val="false"/>
        </w:rPr>
        <w:t> </w:t>
      </w:r>
    </w:p>
    <w:p>
      <w:pPr>
        <w:pStyle w:val="TextBody"/>
        <w:spacing w:before="0" w:after="0"/>
        <w:rPr/>
      </w:pPr>
      <w:r>
        <w:rPr/>
        <w:t> </w:t>
      </w:r>
    </w:p>
    <w:tbl>
      <w:tblPr>
        <w:tblW w:w="1610" w:type="dxa"/>
        <w:jc w:val="left"/>
        <w:tblInd w:w="0" w:type="dxa"/>
        <w:tblCellMar>
          <w:top w:w="0" w:type="dxa"/>
          <w:left w:w="0" w:type="dxa"/>
          <w:bottom w:w="28" w:type="dxa"/>
          <w:right w:w="0" w:type="dxa"/>
        </w:tblCellMar>
      </w:tblPr>
      <w:tblGrid>
        <w:gridCol w:w="1610"/>
      </w:tblGrid>
      <w:tr>
        <w:trPr/>
        <w:tc>
          <w:tcPr>
            <w:tcW w:w="161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/s/ Matthew Eckl </w:t>
            </w:r>
          </w:p>
        </w:tc>
      </w:tr>
      <w:tr>
        <w:trPr/>
        <w:tc>
          <w:tcPr>
            <w:tcW w:w="161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Matthew Eckl</w:t>
            </w:r>
          </w:p>
        </w:tc>
      </w:tr>
      <w:tr>
        <w:trPr/>
        <w:tc>
          <w:tcPr>
            <w:tcW w:w="161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Chief Financial Officer</w:t>
            </w:r>
          </w:p>
        </w:tc>
      </w:tr>
    </w:tbl>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val="false"/>
          <w:i w:val="false"/>
          <w:caps w:val="false"/>
          <w:smallCaps w:val="false"/>
          <w:sz w:val="17"/>
        </w:rPr>
      </w:pPr>
      <w:r>
        <w:rPr>
          <w:rFonts w:ascii="Times New Roman" w:hAnsi="Times New Roman"/>
          <w:b w:val="false"/>
          <w:i w:val="false"/>
          <w:caps w:val="false"/>
          <w:smallCaps w:val="false"/>
          <w:sz w:val="17"/>
        </w:rPr>
        <w:t>Date: August 6, 2019</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197/000119312519170723/d766052dex1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15778</Words>
  <CharactersWithSpaces>102966</CharactersWithSpaces>
  <Paragraphs>6329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