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015d1_s8.htm"/>
      <w:bookmarkStart w:id="1" w:name="kstm2616015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CECO ENVIRONMENTAL CORP.</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5615"/>
        <w:gridCol w:w="1775"/>
      </w:tblGrid>
      <w:tr>
        <w:trPr/>
        <w:tc>
          <w:tcPr>
            <w:tcW w:w="561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Delaware</w:t>
            </w:r>
          </w:p>
        </w:tc>
        <w:tc>
          <w:tcPr>
            <w:tcW w:w="17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13-2566064</w:t>
            </w:r>
          </w:p>
        </w:tc>
      </w:tr>
      <w:tr>
        <w:trPr/>
        <w:tc>
          <w:tcPr>
            <w:tcW w:w="561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 of incorporation or organization)</w:t>
            </w:r>
          </w:p>
        </w:tc>
        <w:tc>
          <w:tcPr>
            <w:tcW w:w="177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(I.R.S. Employer</w:t>
              <w:br/>
              <w:t>Identification No.)</w:t>
            </w:r>
          </w:p>
        </w:tc>
      </w:tr>
      <w:tr>
        <w:trPr/>
        <w:tc>
          <w:tcPr>
            <w:tcW w:w="5615"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73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5080 Spectrum Drive, Suite 800E, Addison, Texas 75001</w:t>
            </w:r>
          </w:p>
        </w:tc>
      </w:tr>
      <w:tr>
        <w:trPr/>
        <w:tc>
          <w:tcPr>
            <w:tcW w:w="739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(Address of Principal Executive Offices Including 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CECO Environmental Corp. 2026 Equity and Incentive Compensation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 Group Holdings, Inc. 2020 Long-Term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Alyson Gregory</w:t>
        <w:br/>
        <w:t>General Counsel &amp; Corporate Secretary</w:t>
        <w:br/>
        <w:t>CECO Environmental Corp.</w:t>
        <w:br/>
        <w:t>5080 Spectrum Drive, Suite 800E</w:t>
        <w:br/>
        <w:t>Addison, Texas 75001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357-6181</w:t>
        <w:br/>
      </w:r>
      <w:r>
        <w:rPr>
          <w:rFonts w:ascii="Times New Roman;Times;Serif" w:hAnsi="Times New Roman;Times;Serif"/>
          <w:b w:val="false"/>
          <w:i w:val="false"/>
          <w:caps w:val="false"/>
          <w:smallCaps w:val="false"/>
          <w:sz w:val="20"/>
        </w:rPr>
        <w:t>(Name, address and telephone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Gina Hancock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Gibson, Dunn &amp; Crutcher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2001 Ross Avenue, Suite 2100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 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698-3100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2026, CECO Environmental Corp. (“CECO” or the “Registrant”) completed its acquisition of Thermon Group Holdings, Inc., a Delaware corporation (“Thermon”). In accordance with the Agreement and Plan of Merger, dated as of February 23, 2026 (the “Merger Agreement”), by and among CECO, Thermon, Longhorn Merger Sub LLC and Longhorn Merger Sub, Inc., CECO assumed certain Thermon equity awards that were outstanding as of immediately prior to the effective time of the merger under the Thermon Group Holdings, Inc. 2020 Long-Term Incentive Plan (as amended, the “Thermon Equity Plan,” and such awards, the “Assumed Awards”). The Assumed Awards were converted into awards of restricted stock units of CECO that represent a right to receive shares of common stock, par value $0.01 per share, of CECO (the “Common Stock”) but remain subject to the same terms and conditions (including with respect to time-based vesting but excluding performance-based vesting conditions) that were applicable to the corresponding awards under the Thermon Equity Plan, as adjusted to give effect to the exchange ratio under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May 27, 2026, the Registrant’s stockholders approved the CECO Environmental Corp. 2026 Equity and Incentive Compensation Plan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being filed by CECO for the purpose of registering (i) 420,370 shares of Common Stock that may be offered and sold under the Thermon Equity Plan, (ii) 3,549,986 shares of Common Stock that may be offered and sold under the 2026 Plan and (iii) 887,514 shares of Common Stock that may become available for delivery under the 2026 Plan pursuant to the share recycling and share counting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PART I</w:t>
        <w:br/>
        <w:t>INFORMATION REQUIRED IN THE SECTION 10(</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of Form S-8 will be sent or given to participants as specified by Rule 428(b)(1) of the Securities Act of 1933, as amended (the “Securities Act”). In accordance with the instructions to Part I of Form S-8, such documents are not being filed with the Securities and Exchange Commission (the “SEC”) either as part of this Registration Statement or as prospectuses or prospectus supplements pursuant to Rule 424 of the Securities Act. Such documents and the documents incorporated by reference in this Registration Statement pursuant to Item 3 of Part II of Form S-8,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b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the Registrant with the SEC pursuant to the Securities Act and pursuant to the Securities Exchange Act of 1934, as amended (the “Exchange Act”), are incorporated by reference into this Registration Statement and shall be deemed to be a part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2">
              <w:r>
                <w:rPr>
                  <w:rStyle w:val="InternetLink"/>
                  <w:rFonts w:ascii="Times New Roman;Times;Serif" w:hAnsi="Times New Roman;Times;Serif"/>
                </w:rPr>
                <w:t>the Registrant’s Annual Report on Form 10-K for the fiscal year ended December 31, 2025, filed with the SEC on March 2,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3">
              <w:r>
                <w:rPr>
                  <w:rStyle w:val="InternetLink"/>
                  <w:rFonts w:ascii="Times New Roman;Times;Serif" w:hAnsi="Times New Roman;Times;Serif"/>
                </w:rPr>
                <w:t>the Registrant’s Quarterly Report on Form 10-Q for the fiscal quarter ended March 31, 2026, filed with the SEC on April 30,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the Registrant’s Current Reports on Form 8-K filed on </w:t>
            </w:r>
            <w:hyperlink r:id="rId4">
              <w:r>
                <w:rPr>
                  <w:rStyle w:val="InternetLink"/>
                  <w:rFonts w:ascii="Times New Roman;Times;Serif" w:hAnsi="Times New Roman;Times;Serif"/>
                </w:rPr>
                <w:t>February 4, 2026</w:t>
              </w:r>
            </w:hyperlink>
            <w:r>
              <w:rPr>
                <w:rFonts w:ascii="Times New Roman;Times;Serif" w:hAnsi="Times New Roman;Times;Serif"/>
              </w:rPr>
              <w:t xml:space="preserve">, </w:t>
            </w:r>
            <w:hyperlink r:id="rId5">
              <w:r>
                <w:rPr>
                  <w:rStyle w:val="InternetLink"/>
                  <w:rFonts w:ascii="Times New Roman;Times;Serif" w:hAnsi="Times New Roman;Times;Serif"/>
                </w:rPr>
                <w:t>February 24, 2026</w:t>
              </w:r>
            </w:hyperlink>
            <w:r>
              <w:rPr>
                <w:rFonts w:ascii="Times New Roman;Times;Serif" w:hAnsi="Times New Roman;Times;Serif"/>
              </w:rPr>
              <w:t xml:space="preserve">, </w:t>
            </w:r>
            <w:hyperlink r:id="rId6">
              <w:r>
                <w:rPr>
                  <w:rStyle w:val="InternetLink"/>
                  <w:rFonts w:ascii="Times New Roman;Times;Serif" w:hAnsi="Times New Roman;Times;Serif"/>
                </w:rPr>
                <w:t>April 2, 2026</w:t>
              </w:r>
            </w:hyperlink>
            <w:r>
              <w:rPr>
                <w:rFonts w:ascii="Times New Roman;Times;Serif" w:hAnsi="Times New Roman;Times;Serif"/>
              </w:rPr>
              <w:t xml:space="preserve">, </w:t>
            </w:r>
            <w:hyperlink r:id="rId7">
              <w:r>
                <w:rPr>
                  <w:rStyle w:val="InternetLink"/>
                  <w:rFonts w:ascii="Times New Roman;Times;Serif" w:hAnsi="Times New Roman;Times;Serif"/>
                </w:rPr>
                <w:t>May 28, 2026</w:t>
              </w:r>
            </w:hyperlink>
            <w:r>
              <w:rPr>
                <w:rFonts w:ascii="Times New Roman;Times;Serif" w:hAnsi="Times New Roman;Times;Serif"/>
              </w:rPr>
              <w:t xml:space="preserve"> and </w:t>
            </w:r>
            <w:hyperlink r:id="rId8">
              <w:r>
                <w:rPr>
                  <w:rStyle w:val="InternetLink"/>
                  <w:rFonts w:ascii="Times New Roman;Times;Serif" w:hAnsi="Times New Roman;Times;Serif"/>
                </w:rPr>
                <w:t>June 1, 2026</w:t>
              </w:r>
            </w:hyperlink>
            <w:r>
              <w:rPr>
                <w:rFonts w:ascii="Times New Roman;Times;Serif" w:hAnsi="Times New Roman;Times;Serif"/>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9">
              <w:r>
                <w:rPr>
                  <w:rStyle w:val="InternetLink"/>
                  <w:rFonts w:ascii="Times New Roman;Times;Serif" w:hAnsi="Times New Roman;Times;Serif"/>
                </w:rPr>
                <w:t>the description of the Common Stock set forth in Exhibit 4.1 to the Registrant’s Annual Report on Form 10-K for the fiscal year ended December 31, 2025, including any amendment or report filed for the purposes of updating such description</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the Registrant with the SEC pursuant to Sections 13(a), 13(c), 14 and 15(d) of the Exchange Act prior to the filing of a post-effective amendment to this Registration Statement which indicates that all securities offered hereby have been sold or which deregisters all such securities then remaining unsold, shall be deemed to be incorporated by reference in this Registration Statement and to be a part hereof from the date of filing of such documents. Notwithstanding the foregoing, unless specifically stated to the contrary, none of the information that the Registrant discloses under Items 2.02 or 7.01 of any Current Report on Form 8-K that it may from time to time furnish to the SEC will be incorporated by reference into, or otherwise included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the General Corporation Law of the State of Delaware (“DGCL”), CECO has adopted provisions in its certificate of incorporation and bylaws that require CECO to indemnify its officers and directors to the fullest extent permitted by law, and eliminate the personal liability of its directors and officers to CECO or CECO’s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in the case of directors only, for acts relating to unlawful payment of a dividend or an unlawful stock purchase or redemption, (d) for any transaction from which the director or officer derived an improper personal benefit, or (e) in the case of officers only, for any action by or in the right of CECO. These provisions do not eliminate a director’s duty of care. Moreover, the provisions do not apply to claims against a director for violation of certain laws, including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CECO’s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CECO may also, at its discretion, provide the same benefits of indemnification to any employee or agent of the corporation. Also, CECO is authorized to purchase insurance on behalf of an individual for liabilities incurred whether or not CECO would have the power or obligation to indemnify him or her under our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3"/>
        <w:gridCol w:w="108"/>
        <w:gridCol w:w="9474"/>
      </w:tblGrid>
      <w:tr>
        <w:trPr/>
        <w:tc>
          <w:tcPr>
            <w:tcW w:w="623" w:type="dxa"/>
            <w:tcBorders>
              <w:bottom w:val="single" w:sz="8" w:space="0" w:color="000000"/>
            </w:tcBorders>
            <w:vAlign w:val="center"/>
          </w:tcPr>
          <w:p>
            <w:pPr>
              <w:pStyle w:val="TableContents"/>
              <w:bidi w:val="0"/>
              <w:spacing w:before="0" w:after="283"/>
              <w:jc w:val="left"/>
              <w:rPr>
                <w:b/>
              </w:rPr>
            </w:pPr>
            <w:r>
              <w:rPr>
                <w:b/>
              </w:rPr>
              <w:t>No.</w:t>
            </w:r>
          </w:p>
        </w:tc>
        <w:tc>
          <w:tcPr>
            <w:tcW w:w="108" w:type="dxa"/>
            <w:tcBorders/>
            <w:tcMar>
              <w:bottom w:w="0" w:type="dxa"/>
            </w:tcMar>
            <w:vAlign w:val="center"/>
          </w:tcPr>
          <w:p>
            <w:pPr>
              <w:pStyle w:val="TableContents"/>
              <w:bidi w:val="0"/>
              <w:spacing w:before="0" w:after="283"/>
              <w:jc w:val="left"/>
              <w:rPr/>
            </w:pPr>
            <w:r>
              <w:rPr/>
              <w:t> </w:t>
            </w:r>
          </w:p>
        </w:tc>
        <w:tc>
          <w:tcPr>
            <w:tcW w:w="9474"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623"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rPr>
                <w:t>3.1</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rPr>
                <w:t>Certificate of Incorporation (incorporated by reference to Exhibit 3(i) to the Company’s Annual Report on Form 10-K for the fiscal year ended December 31, 2001).</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left"/>
              <w:rPr/>
            </w:pPr>
            <w:r>
              <w:rPr/>
              <w:t> </w:t>
            </w:r>
          </w:p>
        </w:tc>
      </w:tr>
      <w:tr>
        <w:trPr/>
        <w:tc>
          <w:tcPr>
            <w:tcW w:w="623" w:type="dxa"/>
            <w:tcBorders/>
            <w:tcMar>
              <w:bottom w:w="0" w:type="dxa"/>
            </w:tcMar>
            <w:vAlign w:val="center"/>
          </w:tcPr>
          <w:p>
            <w:pPr>
              <w:pStyle w:val="TableContents"/>
              <w:bidi w:val="0"/>
              <w:spacing w:before="0" w:after="283"/>
              <w:jc w:val="left"/>
              <w:rPr/>
            </w:pPr>
            <w:hyperlink r:id="rId12">
              <w:r>
                <w:rPr>
                  <w:rStyle w:val="InternetLink"/>
                </w:rPr>
                <w:t>3.2</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rPr>
                <w:t>Certificate of Amendment to the Certificate of Incorporation of CECO Environmental Corp. (incorporated by reference to Exhibit 3.1 to the Company’s Current Report on Form 8-K filed with the SEC on May 22, 2024).</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left"/>
              <w:rPr/>
            </w:pPr>
            <w:r>
              <w:rPr/>
              <w:t> </w:t>
            </w:r>
          </w:p>
        </w:tc>
      </w:tr>
      <w:tr>
        <w:trPr/>
        <w:tc>
          <w:tcPr>
            <w:tcW w:w="623"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rPr>
                <w:t>3.3</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rPr>
                <w:t>Amended and Restated Bylaws (incorporated by reference to Exhibit 3.1 to the Company’s Current Report on Form 8-K filed with the SEC on June 1, 2026).</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r>
              <w:rPr/>
              <w:t> </w:t>
            </w:r>
          </w:p>
        </w:tc>
      </w:tr>
      <w:tr>
        <w:trPr/>
        <w:tc>
          <w:tcPr>
            <w:tcW w:w="623" w:type="dxa"/>
            <w:tcBorders/>
            <w:tcMar>
              <w:bottom w:w="0" w:type="dxa"/>
            </w:tcMar>
            <w:vAlign w:val="center"/>
          </w:tcPr>
          <w:p>
            <w:pPr>
              <w:pStyle w:val="TableContents"/>
              <w:bidi w:val="0"/>
              <w:spacing w:before="0" w:after="283"/>
              <w:jc w:val="left"/>
              <w:rPr/>
            </w:pPr>
            <w:hyperlink w:anchor="tm2616015d1_ex5-1.htm">
              <w:r>
                <w:rPr>
                  <w:rStyle w:val="InternetLink"/>
                  <w:rFonts w:ascii="Times New Roman;Times;Serif" w:hAnsi="Times New Roman;Times;Serif"/>
                </w:rPr>
                <w:t>5.1*</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w:anchor="tm2616015d1_ex5-1.htm">
              <w:r>
                <w:rPr>
                  <w:rStyle w:val="InternetLink"/>
                  <w:rFonts w:ascii="Times New Roman;Times;Serif" w:hAnsi="Times New Roman;Times;Serif"/>
                </w:rPr>
                <w:t xml:space="preserve">Opinion of Gibson, Dunn &amp; Crutcher LLP. </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left"/>
              <w:rPr/>
            </w:pPr>
            <w:r>
              <w:rPr/>
              <w:t> </w:t>
            </w:r>
          </w:p>
        </w:tc>
      </w:tr>
      <w:tr>
        <w:trPr/>
        <w:tc>
          <w:tcPr>
            <w:tcW w:w="623" w:type="dxa"/>
            <w:tcBorders/>
            <w:tcMar>
              <w:bottom w:w="0" w:type="dxa"/>
            </w:tcMar>
            <w:vAlign w:val="center"/>
          </w:tcPr>
          <w:p>
            <w:pPr>
              <w:pStyle w:val="TableContents"/>
              <w:bidi w:val="0"/>
              <w:spacing w:before="0" w:after="283"/>
              <w:jc w:val="left"/>
              <w:rPr/>
            </w:pPr>
            <w:hyperlink w:anchor="tm2616015d1_ex23-1.htm">
              <w:r>
                <w:rPr>
                  <w:rStyle w:val="InternetLink"/>
                  <w:rFonts w:ascii="Times New Roman;Times;Serif" w:hAnsi="Times New Roman;Times;Serif"/>
                </w:rPr>
                <w:t>23.1*</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w:anchor="tm2616015d1_ex23-1.htm">
              <w:r>
                <w:rPr>
                  <w:rStyle w:val="InternetLink"/>
                  <w:rFonts w:ascii="Times New Roman;Times;Serif" w:hAnsi="Times New Roman;Times;Serif"/>
                </w:rPr>
                <w:t>Consent of BDO USA, P.C., independent registered public accounting firm for CECO.</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r>
              <w:rPr/>
              <w:t> </w:t>
            </w:r>
          </w:p>
        </w:tc>
      </w:tr>
      <w:tr>
        <w:trPr/>
        <w:tc>
          <w:tcPr>
            <w:tcW w:w="623" w:type="dxa"/>
            <w:tcBorders/>
            <w:tcMar>
              <w:bottom w:w="0" w:type="dxa"/>
            </w:tcMar>
            <w:vAlign w:val="center"/>
          </w:tcPr>
          <w:p>
            <w:pPr>
              <w:pStyle w:val="TableContents"/>
              <w:bidi w:val="0"/>
              <w:spacing w:before="0" w:after="283"/>
              <w:jc w:val="left"/>
              <w:rPr/>
            </w:pPr>
            <w:hyperlink w:anchor="tm2616015d1_ex23-2.htm">
              <w:r>
                <w:rPr>
                  <w:rStyle w:val="InternetLink"/>
                  <w:rFonts w:ascii="Times New Roman;Times;Serif" w:hAnsi="Times New Roman;Times;Serif"/>
                </w:rPr>
                <w:t>23.2*</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w:anchor="tm2616015d1_ex23-2.htm">
              <w:r>
                <w:rPr>
                  <w:rStyle w:val="InternetLink"/>
                  <w:rFonts w:ascii="Times New Roman;Times;Serif" w:hAnsi="Times New Roman;Times;Serif"/>
                </w:rPr>
                <w:t>Consent of Deloitte &amp; Touche LLP, independent registered public accounting firm for CECO.</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r>
              <w:rPr/>
              <w:t> </w:t>
            </w:r>
          </w:p>
        </w:tc>
      </w:tr>
      <w:tr>
        <w:trPr/>
        <w:tc>
          <w:tcPr>
            <w:tcW w:w="623" w:type="dxa"/>
            <w:tcBorders/>
            <w:tcMar>
              <w:bottom w:w="0" w:type="dxa"/>
            </w:tcMar>
            <w:vAlign w:val="center"/>
          </w:tcPr>
          <w:p>
            <w:pPr>
              <w:pStyle w:val="TableContents"/>
              <w:bidi w:val="0"/>
              <w:spacing w:before="0" w:after="283"/>
              <w:jc w:val="left"/>
              <w:rPr/>
            </w:pPr>
            <w:hyperlink w:anchor="tm2616015d1_ex23-3.htm">
              <w:r>
                <w:rPr>
                  <w:rStyle w:val="InternetLink"/>
                  <w:rFonts w:ascii="Times New Roman;Times;Serif" w:hAnsi="Times New Roman;Times;Serif"/>
                </w:rPr>
                <w:t>23.3*</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w:anchor="tm2616015d1_ex23-3.htm">
              <w:r>
                <w:rPr>
                  <w:rStyle w:val="InternetLink"/>
                  <w:rFonts w:ascii="Times New Roman;Times;Serif" w:hAnsi="Times New Roman;Times;Serif"/>
                </w:rPr>
                <w:t>Consent of KPMG LLP, independent registered public accounting firm for Thermon.</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r>
              <w:rPr/>
              <w:t> </w:t>
            </w:r>
          </w:p>
        </w:tc>
      </w:tr>
      <w:tr>
        <w:trPr/>
        <w:tc>
          <w:tcPr>
            <w:tcW w:w="623" w:type="dxa"/>
            <w:tcBorders/>
            <w:tcMar>
              <w:bottom w:w="0" w:type="dxa"/>
            </w:tcMar>
            <w:vAlign w:val="center"/>
          </w:tcPr>
          <w:p>
            <w:pPr>
              <w:pStyle w:val="TableContents"/>
              <w:bidi w:val="0"/>
              <w:spacing w:before="0" w:after="283"/>
              <w:jc w:val="left"/>
              <w:rPr/>
            </w:pPr>
            <w:hyperlink w:anchor="tm2616015d1_ex5-1.htm">
              <w:r>
                <w:rPr>
                  <w:rStyle w:val="InternetLink"/>
                  <w:rFonts w:ascii="Times New Roman;Times;Serif" w:hAnsi="Times New Roman;Times;Serif"/>
                </w:rPr>
                <w:t>23.4*</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w:anchor="tm2616015d1_ex5-1.htm">
              <w:r>
                <w:rPr>
                  <w:rStyle w:val="InternetLink"/>
                  <w:rFonts w:ascii="Times New Roman;Times;Serif" w:hAnsi="Times New Roman;Times;Serif"/>
                </w:rPr>
                <w:t xml:space="preserve">Consent of Gibson, Dunn &amp; Crutcher LLP (included in Exhibit 5.1). </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r>
              <w:rPr/>
              <w:t> </w:t>
            </w:r>
          </w:p>
        </w:tc>
      </w:tr>
      <w:tr>
        <w:trPr/>
        <w:tc>
          <w:tcPr>
            <w:tcW w:w="623"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rPr>
                <w:t>24.1*</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w:anchor="a_001">
              <w:r>
                <w:rPr>
                  <w:rStyle w:val="InternetLink"/>
                  <w:rFonts w:ascii="Times New Roman;Times;Serif" w:hAnsi="Times New Roman;Times;Serif"/>
                </w:rPr>
                <w:t>Power of Attorney (included on the signature page of this Registration Statement).</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r>
              <w:rPr/>
              <w:t> </w:t>
            </w:r>
          </w:p>
        </w:tc>
      </w:tr>
      <w:tr>
        <w:trPr/>
        <w:tc>
          <w:tcPr>
            <w:tcW w:w="623"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rPr>
                <w:t>99.1</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r:id="rId17">
              <w:r>
                <w:rPr>
                  <w:rStyle w:val="InternetLink"/>
                </w:rPr>
                <w:t>CECO Environmental Corp. 2026 Equity and Incentive Compensation Plan (incorporated by reference to Exhibit 10.1 to the Company’s Current Report on Form 8-K filed with the SEC on May 28, 2026).</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r>
              <w:rPr/>
              <w:t> </w:t>
            </w:r>
          </w:p>
        </w:tc>
      </w:tr>
      <w:tr>
        <w:trPr/>
        <w:tc>
          <w:tcPr>
            <w:tcW w:w="623" w:type="dxa"/>
            <w:tcBorders/>
            <w:tcMar>
              <w:bottom w:w="0" w:type="dxa"/>
            </w:tcMar>
            <w:vAlign w:val="center"/>
          </w:tcPr>
          <w:p>
            <w:pPr>
              <w:pStyle w:val="TableContents"/>
              <w:bidi w:val="0"/>
              <w:spacing w:before="0" w:after="283"/>
              <w:jc w:val="left"/>
              <w:rPr/>
            </w:pPr>
            <w:hyperlink w:anchor="tm2616015d1_ex99-2.htm">
              <w:r>
                <w:rPr>
                  <w:rStyle w:val="InternetLink"/>
                  <w:rFonts w:ascii="Times New Roman;Times;Serif" w:hAnsi="Times New Roman;Times;Serif"/>
                </w:rPr>
                <w:t xml:space="preserve">99.2* </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w:anchor="tm2616015d1_ex99-2.htm">
              <w:r>
                <w:rPr>
                  <w:rStyle w:val="InternetLink"/>
                  <w:rFonts w:ascii="Times New Roman;Times;Serif" w:hAnsi="Times New Roman;Times;Serif"/>
                </w:rPr>
                <w:t xml:space="preserve">Thermon Group Holdings, Inc. 2020 Long-Term Incentive Plan. </w:t>
              </w:r>
            </w:hyperlink>
          </w:p>
        </w:tc>
      </w:tr>
      <w:tr>
        <w:trPr/>
        <w:tc>
          <w:tcPr>
            <w:tcW w:w="623"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r>
              <w:rPr/>
              <w:t> </w:t>
            </w:r>
          </w:p>
        </w:tc>
      </w:tr>
      <w:tr>
        <w:trPr/>
        <w:tc>
          <w:tcPr>
            <w:tcW w:w="623" w:type="dxa"/>
            <w:tcBorders/>
            <w:tcMar>
              <w:bottom w:w="0" w:type="dxa"/>
            </w:tcMar>
            <w:vAlign w:val="center"/>
          </w:tcPr>
          <w:p>
            <w:pPr>
              <w:pStyle w:val="TableContents"/>
              <w:bidi w:val="0"/>
              <w:spacing w:before="0" w:after="283"/>
              <w:jc w:val="left"/>
              <w:rPr/>
            </w:pPr>
            <w:hyperlink w:anchor="tm2616015d1_ex-filingfees.htm">
              <w:r>
                <w:rPr>
                  <w:rStyle w:val="InternetLink"/>
                  <w:rFonts w:ascii="Times New Roman;Times;Serif" w:hAnsi="Times New Roman;Times;Serif"/>
                </w:rPr>
                <w:t>107.1*</w:t>
              </w:r>
            </w:hyperlink>
          </w:p>
        </w:tc>
        <w:tc>
          <w:tcPr>
            <w:tcW w:w="108" w:type="dxa"/>
            <w:tcBorders/>
            <w:tcMar>
              <w:bottom w:w="0" w:type="dxa"/>
            </w:tcMar>
            <w:vAlign w:val="center"/>
          </w:tcPr>
          <w:p>
            <w:pPr>
              <w:pStyle w:val="TableContents"/>
              <w:bidi w:val="0"/>
              <w:spacing w:before="0" w:after="283"/>
              <w:jc w:val="left"/>
              <w:rPr/>
            </w:pPr>
            <w:r>
              <w:rPr/>
              <w:t> </w:t>
            </w:r>
          </w:p>
        </w:tc>
        <w:tc>
          <w:tcPr>
            <w:tcW w:w="9474" w:type="dxa"/>
            <w:tcBorders/>
            <w:tcMar>
              <w:bottom w:w="0" w:type="dxa"/>
            </w:tcMar>
            <w:vAlign w:val="center"/>
          </w:tcPr>
          <w:p>
            <w:pPr>
              <w:pStyle w:val="TableContents"/>
              <w:bidi w:val="0"/>
              <w:spacing w:before="0" w:after="283"/>
              <w:jc w:val="both"/>
              <w:rPr/>
            </w:pPr>
            <w:hyperlink w:anchor="tm2616015d1_ex-filingfees.htm">
              <w:r>
                <w:rPr>
                  <w:rStyle w:val="InternetLink"/>
                  <w:rFonts w:ascii="Times New Roman;Times;Serif" w:hAnsi="Times New Roman;Times;Serif"/>
                </w:rPr>
                <w:t xml:space="preserve">Filing Fee Table. </w:t>
              </w:r>
            </w:hyperlink>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4"/>
        <w:gridCol w:w="9541"/>
      </w:tblGrid>
      <w:tr>
        <w:trPr/>
        <w:tc>
          <w:tcPr>
            <w:tcW w:w="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41"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both"/>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(1)(i) and (1)(ii)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Addison, State of Texas on June 1, 2026.</w:t>
      </w:r>
    </w:p>
    <w:p>
      <w:pPr>
        <w:pStyle w:val="TextBody"/>
        <w:bidi w:val="0"/>
        <w:spacing w:before="0" w:after="0"/>
        <w:ind w:left="0" w:right="0" w:hanging="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75"/>
        <w:gridCol w:w="325"/>
        <w:gridCol w:w="554"/>
        <w:gridCol w:w="1989"/>
      </w:tblGrid>
      <w:tr>
        <w:trPr/>
        <w:tc>
          <w:tcPr>
            <w:tcW w:w="75"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CECO ENVIRONMENTAL CORP.</w:t>
            </w:r>
          </w:p>
        </w:tc>
      </w:tr>
      <w:tr>
        <w:trPr/>
        <w:tc>
          <w:tcPr>
            <w:tcW w:w="75"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3"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Todd Gleason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caps w:val="false"/>
                <w:smallCaps w:val="false"/>
              </w:rPr>
            </w:pPr>
            <w:r>
              <w:rPr>
                <w:caps w:val="false"/>
                <w:smallCaps w:val="false"/>
              </w:rPr>
              <w:t> </w:t>
            </w:r>
          </w:p>
        </w:tc>
        <w:tc>
          <w:tcPr>
            <w:tcW w:w="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Gleason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caps w:val="false"/>
                <w:smallCaps w:val="false"/>
              </w:rPr>
            </w:pPr>
            <w:r>
              <w:rPr>
                <w:caps w:val="false"/>
                <w:smallCaps w:val="false"/>
              </w:rPr>
              <w:t> </w:t>
            </w:r>
          </w:p>
        </w:tc>
        <w:tc>
          <w:tcPr>
            <w:tcW w:w="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each of Todd Gleason and Alyson Richter and each of them acting individually, as his or her true and lawful attorneys-in-fact and agents, each with full power of substitution and resubstitution in each of them singly, for such person and in such person’s name, place and stead, and in any and all capacities, to sign any and all amendments (including post-effective amendments) to this Registration Statement, and to file the same, with all exhibits thereto, and other documents in connection therewith, with the SEC, granting to the attorneys-in-fact and agents, and each of them, full power and authority to do and perform each and every act and thing requisite or necessary to be done in or about the premises, as fully to all intents and purposes as such person might, or could do in person, hereby ratifying and confirming all that the attorneys-in-fact and agents or any of each of them or their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3035"/>
        <w:gridCol w:w="60"/>
        <w:gridCol w:w="1070"/>
      </w:tblGrid>
      <w:tr>
        <w:trPr/>
        <w:tc>
          <w:tcPr>
            <w:tcW w:w="2210"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3035" w:type="dxa"/>
            <w:tcBorders>
              <w:bottom w:val="single" w:sz="8" w:space="0" w:color="000000"/>
            </w:tcBorders>
            <w:vAlign w:val="center"/>
          </w:tcPr>
          <w:p>
            <w:pPr>
              <w:pStyle w:val="TableContents"/>
              <w:bidi w:val="0"/>
              <w:spacing w:before="0" w:after="283"/>
              <w:jc w:val="left"/>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8" w:space="0" w:color="000000"/>
            </w:tcBorders>
            <w:vAlign w:val="center"/>
          </w:tcPr>
          <w:p>
            <w:pPr>
              <w:pStyle w:val="TableContents"/>
              <w:bidi w:val="0"/>
              <w:spacing w:before="0" w:after="283"/>
              <w:jc w:val="left"/>
              <w:rPr>
                <w:b/>
              </w:rPr>
            </w:pPr>
            <w:r>
              <w:rPr>
                <w:b/>
              </w:rPr>
              <w:t>Date</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Todd Gleason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Director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Todd Gleason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Johansson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Johansson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Kiril Kovachev</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Accounting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Kiril Kovachev</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DeZwirek</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DeZwirek</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Marcus J. George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pPr>
            <w:r>
              <w:rPr/>
              <w:t>Marcus J. George</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Robert E. Knowling, Jr.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E. Knowling, Jr.</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Claudio A. Mannarino</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Claudio A. Mannarino</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Munish Nanda</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Munish Nanda</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Victor Richey</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Richey</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Valerie Gentile Sachs</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Valerie Gentile Sachs</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Laurie A. Siegel</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Laurie A. Siegel</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F. Wallman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F. Wallman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pPr>
      <w:bookmarkStart w:id="3" w:name="tm2616015d1_ex5-1.htm"/>
      <w:bookmarkStart w:id="4" w:name="kstm2616015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72402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724025" cy="3238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106" w:right="610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CECO Environmental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5080 Spectrum Drive, Suite 800E</w:t>
        <w:br/>
        <w:t>Addison, Texas 75001</w:t>
      </w:r>
    </w:p>
    <w:p>
      <w:pPr>
        <w:pStyle w:val="TextBody"/>
        <w:bidi w:val="0"/>
        <w:spacing w:before="0" w:after="0"/>
        <w:ind w:left="6858" w:right="6858" w:hanging="0"/>
        <w:jc w:val="left"/>
        <w:rPr>
          <w:caps w:val="false"/>
          <w:smallCaps w:val="false"/>
        </w:rPr>
      </w:pPr>
      <w:r>
        <w:rPr>
          <w:caps w:val="false"/>
          <w:smallCaps w:val="false"/>
        </w:rPr>
        <w:t> </w:t>
      </w:r>
    </w:p>
    <w:p>
      <w:pPr>
        <w:pStyle w:val="TextBody"/>
        <w:bidi w:val="0"/>
        <w:spacing w:before="0" w:after="0"/>
        <w:ind w:left="3398" w:right="3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CECO Environmental Corp.</w:t>
      </w:r>
    </w:p>
    <w:p>
      <w:pPr>
        <w:pStyle w:val="TextBody"/>
        <w:bidi w:val="0"/>
        <w:spacing w:before="0" w:after="0"/>
        <w:ind w:left="3398" w:right="339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S-8</w:t>
      </w:r>
    </w:p>
    <w:p>
      <w:pPr>
        <w:pStyle w:val="TextBody"/>
        <w:bidi w:val="0"/>
        <w:spacing w:before="0" w:after="0"/>
        <w:ind w:left="4594" w:right="4594" w:hanging="0"/>
        <w:jc w:val="left"/>
        <w:rPr>
          <w:caps w:val="false"/>
          <w:smallCaps w:val="false"/>
        </w:rPr>
      </w:pPr>
      <w:r>
        <w:rPr>
          <w:caps w:val="false"/>
          <w:smallCaps w:val="false"/>
        </w:rPr>
        <w:t> </w:t>
      </w:r>
    </w:p>
    <w:p>
      <w:pPr>
        <w:pStyle w:val="TextBody"/>
        <w:bidi w:val="0"/>
        <w:spacing w:before="0" w:after="0"/>
        <w:ind w:left="4598" w:right="45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4598" w:right="4598" w:hanging="0"/>
        <w:jc w:val="left"/>
        <w:rPr>
          <w:caps w:val="false"/>
          <w:smallCaps w:val="false"/>
        </w:rPr>
      </w:pPr>
      <w:r>
        <w:rPr>
          <w:caps w:val="false"/>
          <w:smallCaps w:val="false"/>
        </w:rPr>
        <w:t> </w:t>
      </w:r>
    </w:p>
    <w:p>
      <w:pPr>
        <w:pStyle w:val="TextBody"/>
        <w:bidi w:val="0"/>
        <w:spacing w:before="0" w:after="0"/>
        <w:ind w:left="101" w:right="10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Registration Statement on Form S-8 (the “Registration Statement”) of CECO Environmental Corp., a Delaware corporation (the “Company”), to be filed with the Securities and Exchange Commission (the “Commission”) pursuant to the Securities Act of 1933, as amended (the “Securities Act”), in connection with the offering by the Company of (i) up to 3,549,986 shares of the Company’s common stock, par value $0.01 per share (the “Common Stock”), issuable to eligible individuals under the CECO Environmental Corp. 2026 Equity and Incentive Compensation Plan (the “2026 Plan”), (ii) up to 420,370 shares of Common Stock issuable pursuant to outstanding restricted stock units granted under the Thermon Group Holdings, Inc. 2020 Long Term Incentive Plan (together with the 2026 Plan, the "Plans") and (iii) 887,514 shares of Common Stock that may become available for delivery under the 2026 Plan pursuant to the share recycling and share counting provisions thereof assumed by the Company in connection with the merger of Thermon Group Holdings, Inc. with and into a subsidiary of the Company and converted into restricted stock units of the Company.</w:t>
      </w:r>
    </w:p>
    <w:p>
      <w:pPr>
        <w:pStyle w:val="TextBody"/>
        <w:bidi w:val="0"/>
        <w:spacing w:before="0" w:after="0"/>
        <w:ind w:left="101" w:right="101" w:hanging="0"/>
        <w:jc w:val="both"/>
        <w:rPr>
          <w:caps w:val="false"/>
          <w:smallCaps w:val="false"/>
        </w:rPr>
      </w:pPr>
      <w:r>
        <w:rPr>
          <w:caps w:val="false"/>
          <w:smallCaps w:val="false"/>
        </w:rPr>
        <w:t> </w:t>
      </w:r>
    </w:p>
    <w:p>
      <w:pPr>
        <w:pStyle w:val="TextBody"/>
        <w:bidi w:val="0"/>
        <w:spacing w:before="0" w:after="0"/>
        <w:ind w:left="100" w:right="1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originals, or photostatic or certified copies, of such records of the Company and certificates of officers of the Company and of public officials and such other documents as we have deemed relevant and necessary as the basis for the opinions set forth below. In our examination, we have assumed the genuineness of all signatures, the legal capacity and competency of all natural persons, the authenticity of all documents submitted to us as originals and the conformity to original documents of all documents submitted to us as copies. We have also assumed that there are no agreements or understandings between or among the Company and any participants in the Plans that would expand, modify or otherwise affect the terms of the Plans or the respective rights or obligations of the participants thereunder. Finally, we have assumed the accuracy of all other information provided to us by the Company during the course of our investigations, on which we have relied in issuing the opinion expressed below.</w:t>
      </w:r>
    </w:p>
    <w:p>
      <w:pPr>
        <w:pStyle w:val="TextBody"/>
        <w:bidi w:val="0"/>
        <w:spacing w:before="0" w:after="0"/>
        <w:ind w:left="100" w:right="100" w:hanging="0"/>
        <w:jc w:val="both"/>
        <w:rPr>
          <w:caps w:val="false"/>
          <w:smallCaps w:val="false"/>
        </w:rPr>
      </w:pPr>
      <w:r>
        <w:rPr>
          <w:caps w:val="false"/>
          <w:smallCaps w:val="false"/>
        </w:rPr>
        <w:t> </w:t>
      </w:r>
    </w:p>
    <w:p>
      <w:pPr>
        <w:pStyle w:val="TextBody"/>
        <w:bidi w:val="0"/>
        <w:spacing w:before="0" w:after="0"/>
        <w:ind w:left="101" w:right="10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examination and in reliance thereon, and subject to the qualifications, assumptions and limitations stated herein and in reliance on the statements of fact contained in the documents that we have examined, we are of the opinion that the Common Stock, when issued and sold in accordance with the terms set forth in the Plans, as applicable, and against payment therefor in accordance with the terms of the form of agreement documenting the awards under which the Common Stock may be issued, and when the Registration Statement has become effective under the Securities Act,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Gibson, Dunn &amp; Crutcher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Ross Avenue Suite 2100 | Dallas, TX 75201-2923 | T: 214.698.3100 | F: 214.571.2900 | gibsondunn.com</w:t>
      </w:r>
    </w:p>
    <w:p>
      <w:pPr>
        <w:pStyle w:val="TextBody"/>
        <w:bidi w:val="0"/>
        <w:spacing w:before="0" w:after="0"/>
        <w:ind w:left="101" w:right="101"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1724025"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724025" cy="3238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render no opinion herein as to matters involving the laws of any jurisdiction other than the Delaware General Corporation Law (the “DGCL”). This opinion is limited to the effect of the current state of the DGCL and the facts as they currently exist. We assume no obligation to revise or supplement this opinion in the event of future changes in such laws or the interpretations thereof or such facts. We express no opinion regarding any state securities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we further consent to the use of our name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Gibson, Dunn &amp; Crutcher LLP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extBody"/>
        <w:bidi w:val="0"/>
        <w:spacing w:before="0" w:after="0"/>
        <w:ind w:left="41"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1"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bookmarkStart w:id="5" w:name="tm2616015d1_ex23-1.htm"/>
      <w:bookmarkStart w:id="6" w:name="kstm2616015d1_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our report dated February 25, 2025, except for the effects of the change in segment profit measure described in Note 16, as to which the date is March 2, 2026, relating to the consolidated financial statements of CECO Environmental Corp. (the Company) appearing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Cincinnati, Ohio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 w:name="tm2616015d1_ex23-2.htm"/>
      <w:bookmarkStart w:id="8" w:name="kstm2616015d1_ex232"/>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br/>
        <w:t xml:space="preserve">We consent to the incorporation by reference in this Registration Statement on Form S-8 of our reports dated March 2, 2026 relating to the financial statements of CECO Environmental Corp. and subsidiaries (“CECO”) and the effectiveness of CECO's internal control over financial reporting, appearing in the Annual Report on Form 10-K of CECO for the year ended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9" w:name="tm2616015d1_ex23-3.htm"/>
      <w:bookmarkStart w:id="10" w:name="kstm2616015d1_ex233"/>
      <w:bookmarkEnd w:id="9"/>
      <w:bookmarkEnd w:id="10"/>
      <w:r>
        <w:rPr/>
        <w:t> </w:t>
      </w:r>
      <w:r>
        <w:br w:type="page"/>
      </w:r>
    </w:p>
    <w:p>
      <w:pPr>
        <w:pStyle w:val="TextBody"/>
        <w:bidi w:val="0"/>
        <w:jc w:val="right"/>
        <w:rPr>
          <w:b/>
        </w:rPr>
      </w:pPr>
      <w:r>
        <w:rPr>
          <w:b/>
        </w:rPr>
        <w:t>Exhibit 23.3</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5730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1257300" cy="542925"/>
                    </a:xfrm>
                    <a:prstGeom prst="rect">
                      <a:avLst/>
                    </a:prstGeom>
                  </pic:spPr>
                </pic:pic>
              </a:graphicData>
            </a:graphic>
          </wp:inline>
        </w:drawing>
      </w:r>
      <w:r>
        <w:rPr/>
        <w:t> </w:t>
      </w:r>
    </w:p>
    <w:p>
      <w:pPr>
        <w:pStyle w:val="TextBody"/>
        <w:bidi w:val="0"/>
        <w:spacing w:before="0" w:after="283"/>
        <w:jc w:val="left"/>
        <w:rPr/>
      </w:pPr>
      <w:r>
        <w:rPr/>
        <w:t> </w:t>
      </w:r>
    </w:p>
    <w:tbl>
      <w:tblPr>
        <w:tblW w:w="2465" w:type="dxa"/>
        <w:jc w:val="left"/>
        <w:tblInd w:w="0" w:type="dxa"/>
        <w:tblLayout w:type="fixed"/>
        <w:tblCellMar>
          <w:top w:w="0" w:type="dxa"/>
          <w:left w:w="0" w:type="dxa"/>
          <w:bottom w:w="0" w:type="dxa"/>
          <w:right w:w="0" w:type="dxa"/>
        </w:tblCellMar>
      </w:tblPr>
      <w:tblGrid>
        <w:gridCol w:w="75"/>
        <w:gridCol w:w="2315"/>
        <w:gridCol w:w="75"/>
      </w:tblGrid>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jc w:val="left"/>
              <w:rPr/>
            </w:pPr>
            <w:r>
              <w:rPr/>
              <w:t>KPMG LLP</w:t>
            </w:r>
          </w:p>
          <w:p>
            <w:pPr>
              <w:pStyle w:val="TableContents"/>
              <w:bidi w:val="0"/>
              <w:jc w:val="left"/>
              <w:rPr/>
            </w:pPr>
            <w:r>
              <w:rPr/>
              <w:t>Suite 1900</w:t>
            </w:r>
          </w:p>
          <w:p>
            <w:pPr>
              <w:pStyle w:val="TableContents"/>
              <w:bidi w:val="0"/>
              <w:jc w:val="left"/>
              <w:rPr/>
            </w:pPr>
            <w:r>
              <w:rPr/>
              <w:t>111 Congress Avenue</w:t>
            </w:r>
          </w:p>
          <w:p>
            <w:pPr>
              <w:pStyle w:val="TableContents"/>
              <w:bidi w:val="0"/>
              <w:spacing w:before="0" w:after="283"/>
              <w:jc w:val="left"/>
              <w:rPr/>
            </w:pPr>
            <w:r>
              <w:rPr/>
              <w:t>Austin, TX 78701-4091</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jc w:val="center"/>
        <w:rPr>
          <w:b/>
        </w:rPr>
      </w:pPr>
      <w:r>
        <w:rPr>
          <w:b/>
        </w:rPr>
        <w:t>Consent of Independent Registered Public Accounting Firm</w:t>
      </w:r>
    </w:p>
    <w:p>
      <w:pPr>
        <w:pStyle w:val="TextBody"/>
        <w:bidi w:val="0"/>
        <w:spacing w:before="0" w:after="283"/>
        <w:jc w:val="left"/>
        <w:rPr/>
      </w:pPr>
      <w:r>
        <w:rPr/>
        <w:t> </w:t>
      </w:r>
    </w:p>
    <w:p>
      <w:pPr>
        <w:pStyle w:val="TextBody"/>
        <w:bidi w:val="0"/>
        <w:spacing w:before="0" w:after="283"/>
        <w:jc w:val="left"/>
        <w:rPr/>
      </w:pPr>
      <w:r>
        <w:rPr/>
        <w:t>We consent to the use of our reports dated May 21, 2026, with respect to the consolidated financial statements of Thermon Group Holdings, Inc. and subsidiaries, and the effectiveness of internal control over financial reporting, incorporated herein by reference.</w:t>
      </w:r>
    </w:p>
    <w:p>
      <w:pPr>
        <w:pStyle w:val="TextBody"/>
        <w:bidi w:val="0"/>
        <w:spacing w:before="0" w:after="283"/>
        <w:jc w:val="left"/>
        <w:rPr/>
      </w:pPr>
      <w:r>
        <w:rPr/>
        <w:t> </w:t>
      </w:r>
    </w:p>
    <w:p>
      <w:pPr>
        <w:pStyle w:val="TextBody"/>
        <w:bidi w:val="0"/>
        <w:jc w:val="center"/>
        <w:rPr/>
      </w:pPr>
      <w:r>
        <w:rPr/>
        <w:t>/s/ KPMG LLP</w:t>
      </w:r>
    </w:p>
    <w:p>
      <w:pPr>
        <w:pStyle w:val="TextBody"/>
        <w:bidi w:val="0"/>
        <w:spacing w:before="0" w:after="283"/>
        <w:jc w:val="left"/>
        <w:rPr/>
      </w:pPr>
      <w:r>
        <w:rPr/>
        <w:t> </w:t>
      </w:r>
    </w:p>
    <w:p>
      <w:pPr>
        <w:pStyle w:val="TextBody"/>
        <w:bidi w:val="0"/>
        <w:spacing w:before="0" w:after="283"/>
        <w:jc w:val="left"/>
        <w:rPr/>
      </w:pPr>
      <w:r>
        <w:rPr/>
        <w:t>Austin, Texas</w:t>
      </w:r>
    </w:p>
    <w:p>
      <w:pPr>
        <w:pStyle w:val="TextBody"/>
        <w:bidi w:val="0"/>
        <w:spacing w:before="0" w:after="283"/>
        <w:jc w:val="left"/>
        <w:rPr/>
      </w:pPr>
      <w:r>
        <w:rPr/>
        <w:t>May 29, 2026</w:t>
      </w:r>
    </w:p>
    <w:p>
      <w:pPr>
        <w:pStyle w:val="TextBody"/>
        <w:bidi w:val="0"/>
        <w:spacing w:before="0" w:after="283"/>
        <w:jc w:val="left"/>
        <w:rPr/>
      </w:pPr>
      <w:r>
        <w:rPr/>
        <w:t> </w:t>
      </w:r>
    </w:p>
    <w:tbl>
      <w:tblPr>
        <w:tblW w:w="8060" w:type="dxa"/>
        <w:jc w:val="left"/>
        <w:tblInd w:w="0" w:type="dxa"/>
        <w:tblLayout w:type="fixed"/>
        <w:tblCellMar>
          <w:top w:w="0" w:type="dxa"/>
          <w:left w:w="0" w:type="dxa"/>
          <w:bottom w:w="0" w:type="dxa"/>
          <w:right w:w="0" w:type="dxa"/>
        </w:tblCellMar>
      </w:tblPr>
      <w:tblGrid>
        <w:gridCol w:w="75"/>
        <w:gridCol w:w="7910"/>
        <w:gridCol w:w="75"/>
      </w:tblGrid>
      <w:tr>
        <w:trPr/>
        <w:tc>
          <w:tcPr>
            <w:tcW w:w="75"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283"/>
              <w:jc w:val="left"/>
              <w:rPr/>
            </w:pPr>
            <w:r>
              <w:rPr/>
              <w:t>KPMG LLP, a Delaware limited liability partnership, and its subsidiaries are part of</w:t>
              <w:br/>
              <w:t>the KPMG global organization of independent member firms affiliated with KPMG</w:t>
              <w:br/>
              <w:t>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center"/>
        <w:rPr/>
      </w:pPr>
      <w:r>
        <w:rPr/>
        <w:t> </w:t>
      </w:r>
    </w:p>
    <w:p>
      <w:pPr>
        <w:pStyle w:val="TextBody"/>
        <w:bidi w:val="0"/>
        <w:spacing w:before="0" w:after="0"/>
        <w:ind w:left="0" w:right="0" w:hanging="0"/>
        <w:jc w:val="center"/>
        <w:rPr>
          <w:caps w:val="false"/>
          <w:smallCaps w:val="false"/>
        </w:rPr>
      </w:pPr>
      <w:bookmarkStart w:id="11" w:name="tm2616015d1_ex99-2.htm"/>
      <w:bookmarkStart w:id="12" w:name="kstm2616015d1_ex992"/>
      <w:bookmarkEnd w:id="11"/>
      <w:bookmarkEnd w:id="1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THERMON GROUP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 LONG-TERM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Purposes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purposes of the Thermon Group Holdings, Inc. 2020 Long-Term Incentive Plan (this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are (i) to align the interests of the Company's stockholders and the recipients of awards under this Plan by increasing the proprietary interest of such recipients in the Company's growth and success, (ii) to advance the interests of the Company by attracting and retaining Non-Employee Directors, officers, other employees and independent contractors and (iii) to motivate such persons to act in the long-term best interests of the Company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Certain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written or electronic agreement evidencing an award hereunder between the Company and the recipient of such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Board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Change in Control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have the meaning set forth in Section 5.8(b).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Code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Compensation Committee of the Board (or a subcommittee thereof), or such other committee designated by the Board, consisting of two or more members of the Board, each of whom is intended to be (i) a “Non-Employee Director” within the meaning of Rule 16b-3 under the Exchange Act and (ii) “independent” within the meaning of the rules of The New York Stock Exchange or, if the Common Stock is not listed on The New York Stock Exchange, within the meaning of the rules of the principal national stock exchange on which the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common stock, par value $.001 per share, of the Company, and all rights appurtenant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Thermon Group Holdings, Inc., a Delaware corporation,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Effective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have the meaning set forth in Section 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Fair Market Value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closing transaction price of a share of Common Stock as reported on The New York Stock Exchange on the date as of which such value is being determined or, if the Common Stock is not listed on The New York Stock Exchange,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Common Stock is not listed on a national stock exchange or if Fair Market Value for any date cannot be so determined, Fair Market Value shall be determined by the Committee in good faith and in accordance with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Free-Standing SAR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SAR which is not granted in tandem with, or by reference to, an option, which entitles the holder thereof to receive, upon exercise,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such SARs which are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Incentive Stock Option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option to purchase shares of Common Stock that meets the requirements of Section 422 of the Code, or any successor provision, which is intended by the Committee to constitute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Incumbent Director</w:t>
      </w:r>
      <w:r>
        <w:rPr>
          <w:rFonts w:ascii="Times New Roman;Times;Serif" w:hAnsi="Times New Roman;Times;Serif"/>
          <w:b w:val="false"/>
          <w:i w:val="false"/>
          <w:caps w:val="false"/>
          <w:smallCaps w:val="false"/>
          <w:sz w:val="20"/>
        </w:rPr>
        <w:t>” shall have the meaning set forth in Section 5.8(b)(iii).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Non-Employee Director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any director of the Company who is not an officer or employee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Nonqualified Stock Option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option to purchase shares of Common Stock which is not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Performance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 right to receive an amount of cash, Common Stock, or a combination of both, contingent upon the attainment of specified Performance Measures within a specified Performance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Performance Measures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or Performance Award, to the holder's receipt of the shares of Common Stock subject to such award or of payment with respect to such award. Such criteria and objectives may consist of one or more of the following corporate-wide or subsidiary, division, operating unit or individual measures: the attainment by a share of Common Stock of a specified fair market value for a specified period of time; earnings per share; return to stockholders (including dividends); return on assets; return on equity; earnings before or after taxes and/or interest; revenues; expenses; market share; cash flow or cost reduction goals; interest expense after taxes; return on investment; return on investment capital; return on operating costs; economic value created; operating margin; gross margin; achievement of annual operating profit plans; net income before or after taxes; pretax earnings before interest, depreciation and/or amortization; pretax operating earnings after interest expense and before incentives, and/or extraordinary or special items; operating earnings; net cash provided by operations; and strategic business criteria, consisting of one or more objectives based on meeting specified goals relating to market penetration, geographic business expansion, cost targets, days sales outstanding, customer satisfaction, specified safety metrics, reductions in errors and omissions, reductions in lost business, management of employment practices and employee benefits, supervision of litigation and information technology, quality and quality audit scores, productivity, efficiency, acquisitions or divestitures, and environmental, social, or governance-related priorities, or such other goals as the Committee may determine whether or not listed herein. Each such goal may be determined on a pre-tax or post-tax basis or on an absolute or relative basis, and may include comparisons based on current internal targets, the past performance of the Company (including the performance of one or more subsidiaries, divisions, or operating units) or the past or current performance of other companies or market indices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In establishing a Performance Measure or determining the achievement of a Performance Measure, the Committee may provide that achievement of the applicable Performance Measures may be amended or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Measures shall be subject to such other special rules and conditions as the Committee may establish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Performance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any period designated by the Committee during which (i) the Performance Measures applicable to an award shall be measured and (ii) the conditions to vesting applicable to an award shall remain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Prior Plan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Thermon Group Holdings, Inc. 2011 Long-Term Incentive Plan and each other equity plan maintained by the Company under which awards are outstanding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Restricted Stock</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shares of Common Stock which are subject to a Restriction Period and which may, in addition thereto, be subject to the attainment of specified Performance Measures within a specified Performance Period.</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Restricted Stock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award of Restricted Stock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Restricted Stock Unit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 right to receive one share of Common Stock or, in lieu thereof and to the extent set forth in the applicable Agreement, the Fair Market Value of such share of Common Stock in cash, which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upon the expiration of a specified Restriction Period and which may, in addition thereto, be contingent upon the attainment of specified Performance Measures within a specified Performance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Restricted Stock Unit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award of Restricted Stock Units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Restriction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any period designated by the Committee during which (i) the Common Stock subject to a Restricted Stock Award may not be sold, transferred, assigned, pledged, hypothecated or otherwise encumbered or disposed of, except as provided in this Plan or the Agreement relating to such award, or (ii) the conditions to vesting applicable to a Restricted Stock Unit Award shall remain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SAR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 stock appreciation right which may be a Free-Standing SAR or a Tandem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Stock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Unrestricted Stock Award, a Restricted Stock Award or a Restricted Stock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Subsidiary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any corporation, limited liability company, partnership, joint venture or similar entity in which the Company owns, directly or indirectly, an equity interest possessing more than 50% of the combined voting power of the total outstanding equity interests of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Substitute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term “Substitute Award” be construed to refer to an award made in connection with the cancellation and repricing of an option or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Tandem SAR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SAR which is granted in tandem with, or by reference to, an option (including a Nonqualified Stock Option 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have the meaning set forth in Section 5.5.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Ten Percent Holder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have the meaning set forth in Section 2.1(a).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Unrestricted Stock</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shares of Common Stock which are not subject to a Restriction Period or Performance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Unrestricted Stock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an award of Unrestricted Stock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Administration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Plan shall be administered by the Committee. Any one or a combination of the following awards may be made under this Plan to eligible persons: (i) options to purchase shares of Common Stock in the form of Incentive Stock Options or Nonqualified Stock Options, (ii) SARs in the form of Tandem SARs or Free-Standing SARs, (iii) Stock Awards in the form of Unrestricted Stock, Restricted Stock or Restricted Stock Units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 shall lapse, (iii) all or a portion of the Performance Period applicable to any outstanding award shall lapse and (iv) the Performance Measures (if any) applicable to any outstanding award shall be deemed to be satisfied at the target, maximum or any other interim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delegate some or all of its power and authority hereunder to the Board (or any members thereof) or, subject to applicable law, to a subcommittee of the Board, the President and Chief Executive Officer or such other executive officer of the Company as the Committee deems appropriate;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Committee may not delegate its power and authority to a member of the Board or the President and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Board or Committee, and neither the President and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President and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Committee shall constitute a quorum. The acts of the Committee shall be either (i) acts of a majority of the members of the Committee present at any meeting at which a quorum is present or (ii) acts approved in writing by all of the members of the Committee without a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Eligibility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Participants in this Plan shall consist of such officers, other employees, independent contractors and Non-Employee Directors, and persons expected to become officers, other employees, independent contractors and Non-Employee Directors, of the Company and its Subsidiaries as the Committee in its sole discretion may select from time to time. The Committee's selection of a person to participate in this Plan at any time shall not require the Committee to select such person to participate in this Plan at any other time. For purposes of this Plan and except as otherwise provided for in an Agreement, references to employment by the Company shall also mean employment by a Subsidiary, and references to employment shall include service as a Non-Employee Director or independent contractor. The Committee shall determine, in its sole discretion, the extent to which a participant shall be considered employed during any periods during which such participant is on an approved leave of absence. The aggregate value of cash compensation and the grant date fair value of shares of Common Stock that may be awarded or granted during any fiscal year of the Company to any Non-Employee Director shall not exceed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Shares Available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Subject to adjustment as provided in Section 5.7 and to all other limits set forth in this Plan, the number of shares of Common Stock authorized for issuance under the Plan shall be 3,250,000 shares of Common Stock, other than Substitute Awards. Subject to adjustment as provided in Section 5.7, no more than 1,400,000 shares of Common Stock in the aggregate may be issued under the Plan in connection with Incentive Stock Options. The number of shares of Common Stock that remain available for future grants under the Plan shall be reduced by the sum of the aggregate number of shares of Common Stock which become subject to outstanding options, outstanding Free-Standing SARs and outstanding Stock Awards and delivered upon the settlement of Performance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shares of Common Stock subject to an outstanding option, SAR, Stock Award or Performance Award granted under the Plan or a Prior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provided, however, that shares of Common Stock subject to an award under this Plan or a Prior Plan shall not again be available for issuance under this Plan if such shares are (x) shares that were subject to an option or stock-settled SAR and were not issued or delivered upon the net settlement or net exercise of such option or SAR, (y) shares delivered to or withheld by the Company to pay the purchase price or the withholding taxes related to an outstanding award or (z) shares repurchased by the Company on the open market with the proceeds of an option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STOCK OPTIONS AND 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Stock Options</w:t>
      </w:r>
      <w:r>
        <w:rPr>
          <w:rFonts w:ascii="Times New Roman;Times;Serif" w:hAnsi="Times New Roman;Times;Serif"/>
          <w:b w:val="false"/>
          <w:i w:val="false"/>
          <w:caps w:val="false"/>
          <w:smallCaps w:val="false"/>
          <w:sz w:val="20"/>
        </w:rPr>
        <w:t>. The Committee may, in its discretion, grant options to purchase shares of Common Stock to such eligible persons as may be selected by the Committee. Each option, or portion thereof, that is not an Incentive Stock Option, shall be a Nonqualified Stock Option. To the extent that the aggregate Fair Market Value (determined as of the date of grant) of shares of Common Stock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to qualify as Incentive Stock Options, such options shall constitute Nonqualified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may be granted in addition to, or in lieu of, any other compensation payable to officers, other employees, directors, and independent contractors, and in all cases shall be subject to the following terms and conditions and shall contain such additional terms and conditions, not inconsistent with the terms of this Plan, as the Committee shall deem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Number of Shares and Purchase Price</w:t>
      </w:r>
      <w:r>
        <w:rPr>
          <w:rFonts w:ascii="Times New Roman;Times;Serif" w:hAnsi="Times New Roman;Times;Serif"/>
          <w:b w:val="false"/>
          <w:i w:val="false"/>
          <w:caps w:val="false"/>
          <w:smallCaps w:val="false"/>
          <w:sz w:val="20"/>
        </w:rPr>
        <w:t xml:space="preserve">. The number of shares of Common Stock subject to an option and the purchase price per share of Common Stock purchasable upon exercise of the option shall be determined by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purchase price per share of Common Stock purchasable upon exercise of an option shall not be less than 100% of the Fair Market Value of a share of Common Stock on the date of grant of such option;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Times New Roman;Times;Serif" w:hAnsi="Times New Roman;Times;Serif"/>
          <w:b w:val="false"/>
          <w:i w:val="false"/>
          <w:caps w:val="false"/>
          <w:smallCaps w:val="false"/>
          <w:sz w:val="20"/>
          <w:u w:val="single"/>
        </w:rPr>
        <w:t>Ten Percent Holder</w:t>
      </w:r>
      <w:r>
        <w:rPr>
          <w:rFonts w:ascii="Times New Roman;Times;Serif" w:hAnsi="Times New Roman;Times;Serif"/>
          <w:b w:val="false"/>
          <w:i w:val="false"/>
          <w:caps w:val="false"/>
          <w:smallCaps w:val="false"/>
          <w:sz w:val="20"/>
        </w:rPr>
        <w:t>”), the purchase price per share of Common Stock shall not be less than the price (currently 110% of Fair Market Value) required by the Code in order to constitute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Option Period and Exercisability</w:t>
      </w:r>
      <w:r>
        <w:rPr>
          <w:rFonts w:ascii="Times New Roman;Times;Serif" w:hAnsi="Times New Roman;Times;Serif"/>
          <w:b w:val="false"/>
          <w:i w:val="false"/>
          <w:caps w:val="false"/>
          <w:smallCaps w:val="false"/>
          <w:sz w:val="20"/>
        </w:rPr>
        <w:t xml:space="preserve">. The period during which an option may be exercised shall be determined by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option shall be exercised later than ten years after its date of grant;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 Incentive Stock Option shall be granted to a Ten Percent Holder, such option shall not be exercised later than five years after its date of grant. The Committee may, in its discretion, establish an applicable Performance Period and Performance Measures which shall be satisfied or met as a condition to the grant of such option or to the exercisability of all or a portion of such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Method of Exercise</w:t>
      </w:r>
      <w:r>
        <w:rPr>
          <w:rFonts w:ascii="Times New Roman;Times;Serif" w:hAnsi="Times New Roman;Times;Serif"/>
          <w:b w:val="false"/>
          <w:i w:val="false"/>
          <w:caps w:val="false"/>
          <w:smallCaps w:val="false"/>
          <w:sz w:val="20"/>
        </w:rPr>
        <w:t>. An option may be exercised (i) by giving written notice to the Company specifying the number of whole shares of 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by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optionee. No shares of Common Stock shall be issued and no certificate representing Common Stock shall be delivered until the full purchase price therefor and any withholding taxes thereon, as described in Section 5.5, have been paid (or arrangement made for such payment to the Company's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Stock Appreciation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Committee may, in its discretion, grant SARs to such eligible persons as may be selected by the Committee. The Agreement relating to an SAR shall specify whether the SAR is a Tandem SAR or a Free-Standing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SARs shall be subject to the following terms and conditions and shall contain such additional terms and conditions, not inconsistent with the terms of this Plan, as the Committee shall deem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Number of SARs and Base Price</w:t>
      </w:r>
      <w:r>
        <w:rPr>
          <w:rFonts w:ascii="Times New Roman;Times;Serif" w:hAnsi="Times New Roman;Times;Serif"/>
          <w:b w:val="false"/>
          <w:i w:val="false"/>
          <w:caps w:val="false"/>
          <w:smallCaps w:val="false"/>
          <w:sz w:val="20"/>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base price shall not be less than 100% of the Fair Market Value of a share of Common Stock on the date of grant of such SAR (or, if earlier, the date of grant of the option for which the SAR is exchanged or substituted).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Period and Exercisability</w:t>
      </w:r>
      <w:r>
        <w:rPr>
          <w:rFonts w:ascii="Times New Roman;Times;Serif" w:hAnsi="Times New Roman;Times;Serif"/>
          <w:b w:val="false"/>
          <w:i w:val="false"/>
          <w:caps w:val="false"/>
          <w:smallCaps w:val="false"/>
          <w:sz w:val="20"/>
        </w:rPr>
        <w:t xml:space="preserve">. The period for the exercise of an SAR shall be determined by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Tandem SAR shall be exercised later than the expiration, cancellation, forfeiture or other termination of the related option and no Free-Standing SAR shall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Free-Standing SAR, only with respect to a whole number of SARs. If an SAR is exercised for shares of Restricted Stock, a certificate or certificates representing such Restricted Stock shall be issued in accordance with Section 3.3(c), or such shares shall be transferred to the holder in book entry form with restrictions on the Shares duly noted, and the holder of such Restricted Stock shall have such rights of a stockholder of the Company as determined pursuant to Section 3.3(d). Prior to the exercise of a stock-settled SAR, the holder of such SAR shall have no rights as a stockholder of the Company with respect to the shares of Common Stock subject to such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Method of Exercise</w:t>
      </w:r>
      <w:r>
        <w:rPr>
          <w:rFonts w:ascii="Times New Roman;Times;Serif" w:hAnsi="Times New Roman;Times;Serif"/>
          <w:b w:val="false"/>
          <w:i w:val="false"/>
          <w:caps w:val="false"/>
          <w:smallCaps w:val="false"/>
          <w:sz w:val="20"/>
        </w:rPr>
        <w:t>.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of Common Stock shall be issued and no certificate representing Common Stock shall be delivered until any withholding taxes thereon, as described in Section 5.5, have been paid (or arrangement made for such payment to the Company’s satisfaction).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Termination of Employment or Service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of the terms relating to the exercise, cancellation or other disposition of an option or SAR (i) upon a termination of employment or service with the Company of the holder of such option or SAR, as the case may be, whether by reason of disability, retirement, death or any other reason, or (ii) during a paid or unpaid leave of absence, shall be determined by the Committee and set forth in the applicable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No Repricing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Committee shall not, without the approval of the stockholders of the Company, (i) reduce the purchase price or base price of any previously granted option or SAR, (ii) cancel any previously granted option or SAR in exchange for another such option or SAR with a lower purchase price or base price or (iii) cancel any previously granted option or SAR in exchange for cash or another award if the purchase price of such option or base price of such SAR exceeds the Fair Market Value of a share of Common Stock on the date of such cancellation, in each case, other than in connection with a Change in Control or the adjustment provisions set forth in Section 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No Dividend Equivalents</w:t>
      </w:r>
      <w:r>
        <w:rPr>
          <w:rFonts w:ascii="Times New Roman;Times;Serif" w:hAnsi="Times New Roman;Times;Serif"/>
          <w:b w:val="false"/>
          <w:i w:val="false"/>
          <w:caps w:val="false"/>
          <w:smallCaps w:val="false"/>
          <w:sz w:val="20"/>
        </w:rPr>
        <w:t>. Notwithstanding anything in an Agreement to the contrary, the holder of an option or SAR shall not be entitled to receive dividend equivalents with respect to the number of shares of Common Stock subject to such option or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Stock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Committee may, in its discretion, grant Stock Awards to such eligible persons as may be selected by the Committee. The Agreement relating to a Stock Award shall specify whether the Stock Award is an Unrestricted Stock Award, a Restricted Stock Award or a Restricted Stock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Terms of Unrestricted Stock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number of shares of Common Stock subject to an Unrestricted Stock Award shall be determined by the Committee. Unrestricted Stock Awards shall not be subject to any Restriction Periods or Performance Measures;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Unrestricted Stock Awards shall be limited to (i) awards to Non-Employee Directors, (ii) awards to newly hired employees, (iii) awards made in lieu of a cash bonus or (iv) awards granted under this Plan with respect to the number of shares Common Stock which, in the aggregate, does not exceed five percent (5%) of the total number of shares available for awards under this Plan. Upon the grant of an Unrestricted Stock Award, subject to the Company’s right to require payment of any taxes in accordance with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a certificate or certificates evidencing ownership of the requisite number of shares of Common Stock shall be delivered to the holder of such award or such shares shall be transferred to the holder in book entry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Terms of Restricted Stock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Restricted Stock Awards shall be subject to the following terms and conditions and shall contain such additional terms and conditions, not inconsistent with the terms of this Plan, as the Committee shall deem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Number of Shares and Other Terms</w:t>
      </w:r>
      <w:r>
        <w:rPr>
          <w:rFonts w:ascii="Times New Roman;Times;Serif" w:hAnsi="Times New Roman;Times;Serif"/>
          <w:b w:val="false"/>
          <w:i w:val="false"/>
          <w:caps w:val="false"/>
          <w:smallCaps w:val="false"/>
          <w:sz w:val="20"/>
        </w:rPr>
        <w:t>. The number of shares of Common Stock subject to a Restricted Stock Award and the Restriction Period, Performance Period (if any) and Performance Measures (if any) applicable to a Restricted Stock Award shall be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and Forfeiture</w:t>
      </w:r>
      <w:r>
        <w:rPr>
          <w:rFonts w:ascii="Times New Roman;Times;Serif" w:hAnsi="Times New Roman;Times;Serif"/>
          <w:b w:val="false"/>
          <w:i w:val="false"/>
          <w:caps w:val="false"/>
          <w:smallCaps w:val="false"/>
          <w:sz w:val="20"/>
        </w:rPr>
        <w:t>. 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Stock Issuance</w:t>
      </w:r>
      <w:r>
        <w:rPr>
          <w:rFonts w:ascii="Times New Roman;Times;Serif" w:hAnsi="Times New Roman;Times;Serif"/>
          <w:b w:val="false"/>
          <w:i w:val="false"/>
          <w:caps w:val="false"/>
          <w:smallCaps w:val="false"/>
          <w:sz w:val="20"/>
        </w:rPr>
        <w:t>. 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Section 5.6,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Section 5.5,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Rights with Respect to Restricted Stock Awards</w:t>
      </w:r>
      <w:r>
        <w:rPr>
          <w:rFonts w:ascii="Times New Roman;Times;Serif" w:hAnsi="Times New Roman;Times;Serif"/>
          <w:b w:val="false"/>
          <w:i w:val="false"/>
          <w:caps w:val="false"/>
          <w:smallCaps w:val="false"/>
          <w:sz w:val="20"/>
        </w:rPr>
        <w:t>. Unless otherwise set forth in the Agreement relating to a 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Notwithstanding the foregoing, a distribution or dividend with respect to shares of Common Stock, including a regular cash dividend, shall not be paid on a current basis but instead shall be deposited with the Company and shall be subject to the same restrictions as the shares of Restricted Stock with respect to which such distribution was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u w:val="single"/>
        </w:rPr>
        <w:t>Terms of Restricted Stock Unit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Restricted Stock Unit Awards shall be subject to the following terms and conditions and shall contain such additional terms and conditions, not inconsistent with the terms of this Plan, as the Committee shall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Number of Shares and Other Terms</w:t>
      </w:r>
      <w:r>
        <w:rPr>
          <w:rFonts w:ascii="Times New Roman;Times;Serif" w:hAnsi="Times New Roman;Times;Serif"/>
          <w:b w:val="false"/>
          <w:i w:val="false"/>
          <w:caps w:val="false"/>
          <w:smallCaps w:val="false"/>
          <w:sz w:val="20"/>
        </w:rPr>
        <w:t>. The number of shares of Common Stock subject to a Restricted Stock Unit Award and the Restriction Period, Performance Period (if any) and Performance Measures (if any) applicable to a Restricted Stock Unit Award shall be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and Forfeiture</w:t>
      </w:r>
      <w:r>
        <w:rPr>
          <w:rFonts w:ascii="Times New Roman;Times;Serif" w:hAnsi="Times New Roman;Times;Serif"/>
          <w:b w:val="false"/>
          <w:i w:val="false"/>
          <w:caps w:val="false"/>
          <w:smallCaps w:val="false"/>
          <w:sz w:val="20"/>
        </w:rPr>
        <w:t>. 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Settlement of Vested Restricted Stock Unit Awards</w:t>
      </w:r>
      <w:r>
        <w:rPr>
          <w:rFonts w:ascii="Times New Roman;Times;Serif" w:hAnsi="Times New Roman;Times;Serif"/>
          <w:b w:val="false"/>
          <w:i w:val="false"/>
          <w:caps w:val="false"/>
          <w:smallCaps w:val="false"/>
          <w:sz w:val="20"/>
        </w:rPr>
        <w:t>. The Agreement relating to a Restricted Stock Unit Award shall specify (i) whether such award may be settled in shares of Common Stock or cash or a combination thereof and (ii) whether the holder thereof shall be entitled to receive dividend equivalents, and, if determined by the Committee, interest on, or the deemed reinvestment of, any deferred dividend equivalents, with respect to the number of shares of Common Stock subject to such award. For the avoidance of doubt, any dividend equivalents with respect to Restricted Stock Units that are subject to vesting conditions shall not be paid on a current basis but instead shall be subject to the same vesting conditions as the underlying awards. Prior to the settlement of a Restricted Stock Unit Award, the holder of such award shall have no rights as a stockholder of the Company with respect to the shares of Common Stock subject to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u w:val="single"/>
        </w:rPr>
        <w:t>Termination of Employment or Service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of the terms relating to the satisfaction of Performance Measures and the termination of the Restriction Period or Performance Period relating to a Stock Award, or any forfeiture and cancellation of such award (i) upon a termination of employment or service with the Company of the holder of such award, whether by reason of disability, retirement, death or any other reason, or (ii) during a paid or unpaid leave of absence, shall be determined by the Committee and set forth in the applicable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PERFORMANCE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Performance Awards</w:t>
      </w:r>
      <w:r>
        <w:rPr>
          <w:rFonts w:ascii="Times New Roman;Times;Serif" w:hAnsi="Times New Roman;Times;Serif"/>
          <w:b w:val="false"/>
          <w:i w:val="false"/>
          <w:caps w:val="false"/>
          <w:smallCaps w:val="false"/>
          <w:sz w:val="20"/>
        </w:rPr>
        <w:t>. The Committee may, in its discretion, grant Performance Awards to such eligible persons as may be selected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Terms of Performance Awards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Performance Awards shall be subject to the following terms and conditions and shall contain such additional terms and conditions, not inconsistent with the terms of this Plan, as the Committee shall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Value of Performance Awards and Performance Measures</w:t>
      </w:r>
      <w:r>
        <w:rPr>
          <w:rFonts w:ascii="Times New Roman;Times;Serif" w:hAnsi="Times New Roman;Times;Serif"/>
          <w:b w:val="false"/>
          <w:i w:val="false"/>
          <w:caps w:val="false"/>
          <w:smallCaps w:val="false"/>
          <w:sz w:val="20"/>
        </w:rPr>
        <w:t>. The method of determining the value of the Performance Award and the Performance Measures and Performance Period applicable to a Performance Award shall be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and Forfeiture</w:t>
      </w:r>
      <w:r>
        <w:rPr>
          <w:rFonts w:ascii="Times New Roman;Times;Serif" w:hAnsi="Times New Roman;Times;Serif"/>
          <w:b w:val="false"/>
          <w:i w:val="false"/>
          <w:caps w:val="false"/>
          <w:smallCaps w:val="false"/>
          <w:sz w:val="20"/>
        </w:rPr>
        <w:t>. 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Settlement of Vested Performance Awards</w:t>
      </w:r>
      <w:r>
        <w:rPr>
          <w:rFonts w:ascii="Times New Roman;Times;Serif" w:hAnsi="Times New Roman;Times;Serif"/>
          <w:b w:val="false"/>
          <w:i w:val="false"/>
          <w:caps w:val="false"/>
          <w:smallCaps w:val="false"/>
          <w:sz w:val="20"/>
        </w:rPr>
        <w:t xml:space="preserve">. The Agreement relating to a Performance Award shall specify whether 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and the holder of such Restricted Stock shall have such rights as a stockholder of the Company as determined pursuant to </w:t>
      </w:r>
      <w:r>
        <w:rPr>
          <w:rFonts w:ascii="Times New Roman;Times;Serif" w:hAnsi="Times New Roman;Times;Serif"/>
          <w:b w:val="false"/>
          <w:i w:val="false"/>
          <w:caps w:val="false"/>
          <w:smallCaps w:val="false"/>
          <w:sz w:val="20"/>
          <w:u w:val="single"/>
        </w:rPr>
        <w:t>Section 3.3(d)</w:t>
      </w:r>
      <w:r>
        <w:rPr>
          <w:rFonts w:ascii="Times New Roman;Times;Serif" w:hAnsi="Times New Roman;Times;Serif"/>
          <w:b w:val="false"/>
          <w:i w:val="false"/>
          <w:caps w:val="false"/>
          <w:smallCaps w:val="false"/>
          <w:sz w:val="20"/>
        </w:rPr>
        <w:t>. Any dividends or dividend equivalents with respect to a Performance Award shall be subject to the same restrictions as such Performance Award. Prior to the settlement of a Performance Award in shares of Common Stock, including Restricted Stock, the holder of such award shall have no rights as a stockholder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Termination of Employment or Service</w:t>
      </w:r>
      <w:r>
        <w:rPr>
          <w:rFonts w:ascii="Times New Roman;Times;Serif" w:hAnsi="Times New Roman;Times;Serif"/>
          <w:b w:val="false"/>
          <w:i w:val="false"/>
          <w:caps w:val="false"/>
          <w:smallCaps w:val="false"/>
          <w:sz w:val="20"/>
        </w:rPr>
        <w:t>. All of the terms relating to the satisfaction of Performance Measures and the termination of the Performance 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Effective Date and Term of Plan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Plan shall be submitted to the stockholders of the Company for approval at the Company’s 2020 annual meeting of stockholders and shall become effective as of the date on which the Plan was approved by stockholders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This Plan shall terminate as of the first annual meeting of the Company’s stockholders to occur on or after the tenth anniversary of the Effective Date, unless terminated earlier by the Board. Termination of this Plan shall not affect the terms or conditions of any award granted prior to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hereunder may be made at any time prior to the termination of this Plan, provided that no Incentive Stock Option may be granted later than ten years after the date on which the Plan was approved by the Board. In the event that this Plan is not approved by the stockholders of the Company, this Plan and any awards hereunder shall be void and of no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Amendments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Board may amend this Plan as it shall deem advisable; provided, however, that no amendment to the Plan shall be effective without the approval of the Company’s stockholders if (i) stockholder approval is required by applicable law, rule or regulation, including any rule of The New York Stock Exchange, or, if the Common Stock is not listed on The New York Stock Exchange, any rule of the principal national stock exchange on which the Common Stock is then traded, or (ii) such amendment seeks to modify the Non-Employee Director compensation limit set forth in Section 1.4 or the prohibition on repricing set forth in Section 2.4;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amendment may materially impair the rights of a holder of an outstanding award without the consent of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award under this Plan shall be evidenced by an Agreement setting forth the terms and conditions applicable to such award. To the extent required by the Company, no award shall be valid until an Agreement is executed by the Company and executed or electronically accepted by the recipient of such award. Upon such execution or acceptance and delivery of the Agreement to the Company within the time period specified by the Company, such award shall be effective as of the effective date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Non-Transferability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award shall be transferable other than by will, the laws of descent and distribution or pursuant to beneficiary designation procedures approved by the Company or, to the extent expressly permitted in the Agreement relating to such award, to the holder's family members, a trust or entity established by the holder for estate planning purposes or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Tax Withholding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have the right to require, prior to the issuance or delivery of any shares of Common Stock or the payment of any 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Times;Serif" w:hAnsi="Times New Roman;Times;Serif"/>
          <w:b w:val="false"/>
          <w:i w:val="false"/>
          <w:caps w:val="false"/>
          <w:smallCaps w:val="false"/>
          <w:sz w:val="20"/>
          <w:u w:val="single"/>
        </w:rPr>
        <w:t>Tax Date</w:t>
      </w:r>
      <w:r>
        <w:rPr>
          <w:rFonts w:ascii="Times New Roman;Times;Serif" w:hAnsi="Times New Roman;Times;Serif"/>
          <w:b w:val="false"/>
          <w:i w:val="false"/>
          <w:caps w:val="false"/>
          <w:smallCaps w:val="false"/>
          <w:sz w:val="20"/>
        </w:rPr>
        <w:t>”),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in the case of the exercise of an option and except as may be prohibited by applicable law, a cash payment by a broker-dealer acceptable to the Company to whom the optionee has submitted an irrevocable notice of exercise, or (E) any combination of (A), (B) and (C), in each case to the extent set forth in the Agreement relating to the award. Shares of Common Stock to be delivered or withheld may not have 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IRS withholding rules). Any fraction of a share of Common Stock which would be required to satisfy such an obligation shall be disregarded and the remaining amount due shall be paid in cash by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Restrictions on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award made hereunder shall be subject to the requirement that if at any time the Company determines that the listing, 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Adjustment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of any equity restructuring (within the meaning of Financial Accounting Standards Board Accounting Standards Codification 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security), the terms of each outstanding Stock Award (including the number and class of securities subject thereto), and the terms of each outstanding Performance Award (including the number and class of securities subject thereto),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in this Plan or any Agreement, in the event of a Change in Control, the Board (as constituted prior to such Change in Control) may, in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require that (A) some or all outstanding options and SARs shall become exercisable in full or in part, either immediately or upon a subsequent termination of employment, (B) the Restriction Period applicable to some or all outstanding awards shall lapse in full or in part, either immediately or upon a subsequent termination of employment, (C) the Performance Period applicable to some or all outstanding awards shall lapse in full or in part, and (D) the Performance Measures applicable to some or all outstanding awards shall be deemed to be satisfied at the target, maximum or any other interim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require that shares of capital stock of the corporation resulting from or succeeding to the business of the Company pursuant to such Change in Control, or a parent corporation thereof, be substituted for some or all of the shares of Common Stock subject to an outstanding award, with an appropriate and equitable adjustment to such award as determined by the Board in accordance with Section 5.7; and/or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require outstanding awards, in whole or in part, to be surrendered to the Company by the holder, and to be immediately cancelled by the Company, and to provide for the holder to receive (A) a cash payment or other property in an amount equal to (x) in the case of an option or an SAR, the aggregate number of shares of Common Stock then subject to the portion of such option or SAR surrendered, to the extent such option or SAR is then exercisable or becomes exercisable pursuant to Section 5.8(a)(i), multiplied by the excess, if any, of the Fair Market Value of a share of Common Stock as of the date of the Change in Control, over the purchase price or base price per share of Common Stock subject to such option or SAR, (y) in the case of a Stock Award or Performance Award denominated in shares of Common Stock, the number of shares of Common Stock then subject to the portion of such award surrendered, to the extent the Restriction Period and Performance Period, if any, on such award have lapsed or will lapse pursuant to Section 5.8(a)(i) and to the extent that the Performance Measures, if any, have been satisfied or are deemed satisfied pursuant to Section 5.8(a)(i), multiplied by the Fair Market Value of a share of Common Stock as of the date of the Change in Control, and (z) in the case of a Performance Award denominated in cash,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of the Performance Award then subject to the portion of such award surrendered, to the extent the Performance Period applicable so such award has lapsed or will lapse pursuant to Section 5.8(a)(i) and to the extent the Performance Measures applicable to such award have been satisfied or are deemed satisfied pursuant to Section 5.8(a)(i); (B) shares of capital stock of the corporation resulting from or succeeding to the business of the Company pursuant to such Change in Control, or a parent corporation thereof, having a fair market value not less than the amount determined under clause (A) above; or (C) a combination of the payment of cash or other property pursuant to clause (A) above and the issuance of shares pursuant to clause (B)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Plan,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acquisition, other than from the Company, by any individual, entity or group (within the meaning of Section 13(d)(3) or 14(d)(2) of the Exchange Act) of beneficial ownership (within the meaning of Rule 13d-3 promulgated under the Exchange Act) of 50% or more of either the then outstanding shares of Common Stock of the Company or the combined voting power of the then outstanding voting securities of the Company entitled to vote generally in the election of directors, but excluding, for this purpose, any such acquisition by the Company or any of its Subsidiaries or any employee benefit plan (or related trust) of the Company or its Subsidiaries, or any entity with respect to which, following such acquisition, more than 50% of, respectively, the then outstanding equity of such entity and the combined voting power of the then outstanding voting equity of such entity entitled to vote generally in the election of all or substantially all of the members of such entity's governing body is then beneficially owned, directly or indirectly, by the individuals and entities who were the beneficial owners, respectively, of the Common Stock and voting securities of the Company immediately prior to such acquisition in substantially the same proportion as their ownership, immediately prior to such acquisition, of the then outstanding shares of Common Stock of the Company or the combined voting power of the then outstanding voting securities of the Company entitled to vote generally in the election of directors, as the case may be;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consummation of a reorganization, merger or consolidation of the Company, in each case, with respect to which all or substantially all of the individuals and entities who were the respective beneficial owners of the Common Stock and voting securities of the Company immediately prior to such reorganization, merger or consolidation do not, following such reorganization, merger or consolidation,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merger or consolidation;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any twelve (12) month period, individuals who, as of the beginning of such period, constitute the Board (the “</w:t>
      </w:r>
      <w:r>
        <w:rPr>
          <w:rFonts w:ascii="Times New Roman;Times;Serif" w:hAnsi="Times New Roman;Times;Serif"/>
          <w:b w:val="false"/>
          <w:i w:val="false"/>
          <w:caps w:val="false"/>
          <w:smallCaps w:val="false"/>
          <w:sz w:val="20"/>
          <w:u w:val="single"/>
        </w:rPr>
        <w:t>Incumbent Directors</w:t>
      </w:r>
      <w:r>
        <w:rPr>
          <w:rFonts w:ascii="Times New Roman;Times;Serif" w:hAnsi="Times New Roman;Times;Serif"/>
          <w:b w:val="false"/>
          <w:i w:val="false"/>
          <w:caps w:val="false"/>
          <w:smallCaps w:val="false"/>
          <w:sz w:val="20"/>
        </w:rPr>
        <w:t xml:space="preserve">”)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complete liquidation or dissolution of the Company or the sale or other disposition of all or substantially all of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i w:val="false"/>
          <w:caps w:val="false"/>
          <w:smallCaps w:val="false"/>
          <w:sz w:val="20"/>
          <w:u w:val="single"/>
        </w:rPr>
        <w:t>Deferrals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Committee may determine that the delivery of shares of Common Stock or the payment of cash, or a combination thereof, upon the 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i w:val="false"/>
          <w:caps w:val="false"/>
          <w:smallCaps w:val="false"/>
          <w:sz w:val="20"/>
          <w:u w:val="single"/>
        </w:rPr>
        <w:t>No Right of Participation, Employment or Service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Unless otherwise set forth in an employment agreement, no person shall have any right to participate in this Plan. Neither this Plan nor any award made hereunder shall confer upon any person any right to continued employment by or service with the Company, any Subsidiary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Company or affect in any manner the right of the Company, any Subsidiary or any affiliate of the Company to terminate the employment or service of any person at any time without liability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i w:val="false"/>
          <w:caps w:val="false"/>
          <w:smallCaps w:val="false"/>
          <w:sz w:val="20"/>
          <w:u w:val="single"/>
        </w:rPr>
        <w:t>Rights as Stockholder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person shall have any right as a stockholder of the Company with respect to any shares of Common Stock or other equity security of the Company which is subject to an award hereunder unless and until such person becomes a stockholder of record with respect to such shares of Common Stock or equity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i w:val="false"/>
          <w:caps w:val="false"/>
          <w:smallCaps w:val="false"/>
          <w:sz w:val="20"/>
          <w:u w:val="single"/>
        </w:rPr>
        <w:t>Designation of Beneficiary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the extent permitted by the Company, a holder of an award may file with the Company a written designation of one 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holder fails to designate a beneficiary, or if all designated beneficiaries of a holder predecease the holder, then each outstanding award hereunder held by such holder, to the extent vested or exercisable, shall be payable to or may be exercised by such holder's executor, administrator, legal representative or similar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i w:val="false"/>
          <w:caps w:val="false"/>
          <w:smallCaps w:val="false"/>
          <w:sz w:val="20"/>
          <w:u w:val="single"/>
        </w:rPr>
        <w:t>Awards Subject to Clawback</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awards granted under this Plan and any cash payment or shares of Common Stock delivered pursuant to such an award are subject to forfeiture, recovery by the Company or other action pursuant to the applicable award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Plan, each award hereunder and the related Agreement, and all determinations made and actions taken pursuant thereto, to the extent not otherwise governed by the Code or the laws of the United States, shall be governed by the laws of the State of Delaware and construed in accordance therewith without giving effect to principles of conflicts of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i w:val="false"/>
          <w:caps w:val="false"/>
          <w:smallCaps w:val="false"/>
          <w:sz w:val="20"/>
          <w:u w:val="single"/>
        </w:rPr>
        <w:t>Foreign Employees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Without amending this Plan, the Committee may grant awards to eligible persons who are foreign nationals and/or reside 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 w:name="tm2616015d1_ex-filingfees.htm"/>
      <w:bookmarkStart w:id="14" w:name="kstm2616015d1_exfilingfees"/>
      <w:bookmarkStart w:id="15" w:name="tm2616015d1_ex-filingfees.htm"/>
      <w:bookmarkStart w:id="16" w:name="kstm2616015d1_exfilingfees"/>
      <w:bookmarkEnd w:id="15"/>
      <w:bookmarkEnd w:id="16"/>
      <w:r>
        <w:br w:type="page"/>
      </w:r>
    </w:p>
    <w:tbl>
      <w:tblPr>
        <w:tblW w:w="4085" w:type="dxa"/>
        <w:jc w:val="left"/>
        <w:tblInd w:w="0" w:type="dxa"/>
        <w:tblLayout w:type="fixed"/>
        <w:tblCellMar>
          <w:top w:w="28" w:type="dxa"/>
          <w:left w:w="28" w:type="dxa"/>
          <w:bottom w:w="28" w:type="dxa"/>
          <w:right w:w="28" w:type="dxa"/>
        </w:tblCellMar>
      </w:tblPr>
      <w:tblGrid>
        <w:gridCol w:w="3931"/>
        <w:gridCol w:w="154"/>
      </w:tblGrid>
      <w:tr>
        <w:trPr/>
        <w:tc>
          <w:tcPr>
            <w:tcW w:w="408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93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b/>
              </w:rPr>
            </w:pPr>
            <w:r>
              <w:rPr>
                <w:b/>
              </w:rPr>
              <w:t xml:space="preserve">CECO ENVIRONMENTAL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5"/>
        <w:gridCol w:w="1283"/>
        <w:gridCol w:w="1193"/>
        <w:gridCol w:w="1183"/>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par value $0.01 per share </w:t>
            </w:r>
          </w:p>
        </w:tc>
        <w:tc>
          <w:tcPr>
            <w:tcW w:w="1283" w:type="dxa"/>
            <w:tcBorders/>
            <w:shd w:fill="E7E7E2" w:val="clear"/>
            <w:vAlign w:val="center"/>
          </w:tcPr>
          <w:p>
            <w:pPr>
              <w:pStyle w:val="TableContents"/>
              <w:bidi w:val="0"/>
              <w:spacing w:before="0" w:after="283"/>
              <w:jc w:val="center"/>
              <w:rPr/>
            </w:pPr>
            <w:r>
              <w:rPr/>
              <w:t xml:space="preserve">457(a) </w:t>
            </w:r>
          </w:p>
        </w:tc>
        <w:tc>
          <w:tcPr>
            <w:tcW w:w="1193" w:type="dxa"/>
            <w:tcBorders/>
            <w:shd w:fill="E7E7E2" w:val="clear"/>
            <w:vAlign w:val="center"/>
          </w:tcPr>
          <w:p>
            <w:pPr>
              <w:pStyle w:val="TableContents"/>
              <w:bidi w:val="0"/>
              <w:spacing w:before="0" w:after="283"/>
              <w:jc w:val="right"/>
              <w:rPr/>
            </w:pPr>
            <w:r>
              <w:rPr/>
              <w:t xml:space="preserve">4,437,500 </w:t>
            </w:r>
          </w:p>
        </w:tc>
        <w:tc>
          <w:tcPr>
            <w:tcW w:w="1183" w:type="dxa"/>
            <w:tcBorders/>
            <w:shd w:fill="E7E7E2" w:val="clear"/>
            <w:vAlign w:val="center"/>
          </w:tcPr>
          <w:p>
            <w:pPr>
              <w:pStyle w:val="TableContents"/>
              <w:bidi w:val="0"/>
              <w:spacing w:before="0" w:after="283"/>
              <w:jc w:val="right"/>
              <w:rPr/>
            </w:pPr>
            <w:r>
              <w:rPr/>
              <w:t xml:space="preserve">$ 81.25 </w:t>
            </w:r>
          </w:p>
        </w:tc>
        <w:tc>
          <w:tcPr>
            <w:tcW w:w="1801" w:type="dxa"/>
            <w:tcBorders/>
            <w:shd w:fill="E7E7E2" w:val="clear"/>
            <w:vAlign w:val="center"/>
          </w:tcPr>
          <w:p>
            <w:pPr>
              <w:pStyle w:val="TableContents"/>
              <w:bidi w:val="0"/>
              <w:spacing w:before="0" w:after="283"/>
              <w:jc w:val="right"/>
              <w:rPr/>
            </w:pPr>
            <w:r>
              <w:rPr/>
              <w:t xml:space="preserve">$ 360,546,875.00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$ 49,791.52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par value $0.01 per share </w:t>
            </w:r>
          </w:p>
        </w:tc>
        <w:tc>
          <w:tcPr>
            <w:tcW w:w="1283" w:type="dxa"/>
            <w:tcBorders/>
            <w:shd w:fill="E7E7E2" w:val="clear"/>
            <w:vAlign w:val="center"/>
          </w:tcPr>
          <w:p>
            <w:pPr>
              <w:pStyle w:val="TableContents"/>
              <w:bidi w:val="0"/>
              <w:spacing w:before="0" w:after="283"/>
              <w:jc w:val="center"/>
              <w:rPr/>
            </w:pPr>
            <w:r>
              <w:rPr/>
              <w:t xml:space="preserve">457(a) </w:t>
            </w:r>
          </w:p>
        </w:tc>
        <w:tc>
          <w:tcPr>
            <w:tcW w:w="1193" w:type="dxa"/>
            <w:tcBorders/>
            <w:shd w:fill="E7E7E2" w:val="clear"/>
            <w:vAlign w:val="center"/>
          </w:tcPr>
          <w:p>
            <w:pPr>
              <w:pStyle w:val="TableContents"/>
              <w:bidi w:val="0"/>
              <w:spacing w:before="0" w:after="283"/>
              <w:jc w:val="right"/>
              <w:rPr/>
            </w:pPr>
            <w:r>
              <w:rPr/>
              <w:t xml:space="preserve">420,370 </w:t>
            </w:r>
          </w:p>
        </w:tc>
        <w:tc>
          <w:tcPr>
            <w:tcW w:w="1183" w:type="dxa"/>
            <w:tcBorders/>
            <w:shd w:fill="E7E7E2" w:val="clear"/>
            <w:vAlign w:val="center"/>
          </w:tcPr>
          <w:p>
            <w:pPr>
              <w:pStyle w:val="TableContents"/>
              <w:bidi w:val="0"/>
              <w:spacing w:before="0" w:after="283"/>
              <w:jc w:val="right"/>
              <w:rPr/>
            </w:pPr>
            <w:r>
              <w:rPr/>
              <w:t xml:space="preserve">$ 81.25 </w:t>
            </w:r>
          </w:p>
        </w:tc>
        <w:tc>
          <w:tcPr>
            <w:tcW w:w="1801" w:type="dxa"/>
            <w:tcBorders/>
            <w:shd w:fill="E7E7E2" w:val="clear"/>
            <w:vAlign w:val="center"/>
          </w:tcPr>
          <w:p>
            <w:pPr>
              <w:pStyle w:val="TableContents"/>
              <w:bidi w:val="0"/>
              <w:spacing w:before="0" w:after="283"/>
              <w:jc w:val="right"/>
              <w:rPr/>
            </w:pPr>
            <w:r>
              <w:rPr/>
              <w:t xml:space="preserve">$ 34,155,062.50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$ 4,716.81 </w:t>
            </w:r>
          </w:p>
        </w:tc>
      </w:tr>
      <w:tr>
        <w:trPr/>
        <w:tc>
          <w:tcPr>
            <w:tcW w:w="4682"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7" w:name="MaxAggtOfferingPrice"/>
            <w:bookmarkEnd w:id="17"/>
            <w:r>
              <w:rPr/>
              <w:t xml:space="preserve">$ 394,701,937.50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 w:name="TotalFeeAmt"/>
            <w:bookmarkEnd w:id="18"/>
            <w:r>
              <w:rPr/>
              <w:t xml:space="preserve">$ 54,508.33 </w:t>
            </w:r>
          </w:p>
        </w:tc>
      </w:tr>
      <w:tr>
        <w:trPr/>
        <w:tc>
          <w:tcPr>
            <w:tcW w:w="4682"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9" w:name="TotalOffsetAmt"/>
            <w:bookmarkEnd w:id="19"/>
            <w:r>
              <w:rPr/>
              <w:t xml:space="preserve">$ 0.00 </w:t>
            </w:r>
          </w:p>
        </w:tc>
      </w:tr>
      <w:tr>
        <w:trPr/>
        <w:tc>
          <w:tcPr>
            <w:tcW w:w="4682"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20" w:name="NetFeeAmt"/>
            <w:bookmarkEnd w:id="20"/>
            <w:r>
              <w:rPr/>
              <w:t xml:space="preserve">$ 54,508.33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on Form S-8 (this "Registration Statement") shall also cover any additional shares of Common Stock, par value $0.01 per share (the "Common Stock"), of CECO Environmental Corp. (the "Registrant") as may become issuable under the CECO Environmental Corp. 2026 Equity and Incentive Compensation Plan (the "2026 Plan") to prevent dilution in the event of stock splits, stock dividends or similar transactions pursuant to the terms of the 2026 Plan. The proposed maximum offering prices per unit have been estimated solely for the purpose of calculating the registration fee pursuant to Rules 457(c) and (h) of the Securities Act based on the average of the high and low sale prices of the Common Stock, as quoted on the Nasdaq Stock Market, on May 22,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also cover any additional shares of Common Stock as may become issuable under the outstanding restricted stock units under the Thermon Group Holdings, Inc. 2020 Long-Term Incentive Plan (the "Thermon Equity Plan"), which were assumed by the Registrant and converted into restricted stock units that represent a right to receive shares of Common Stock, to prevent dilution in the event of stock splits, stock dividends or similar transactions pursuant to the terms of the Thermon Equity Plan. The proposed maximum offering prices per unit have been estimated solely for the purpose of calculating the registration fee pursuant to Rules 457(c) and (h) of the Securities Act based on the average of the high and low sale prices of the Common Stock, as quoted on the Nasdaq Stock Market, on May 22,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03197/000119312526085815/ceco-20251231.htm" TargetMode="External"/><Relationship Id="rId3" Type="http://schemas.openxmlformats.org/officeDocument/2006/relationships/hyperlink" Target="https://www.sec.gov/ix?doc=/Archives/edgar/data/0000003197/000119312526197428/ceco-20260331.htm" TargetMode="External"/><Relationship Id="rId4" Type="http://schemas.openxmlformats.org/officeDocument/2006/relationships/hyperlink" Target="https://www.sec.gov/ix?doc=/Archives/edgar/data/0000003197/000119312526036815/ceco-20260130.htm" TargetMode="External"/><Relationship Id="rId5" Type="http://schemas.openxmlformats.org/officeDocument/2006/relationships/hyperlink" Target="https://www.sec.gov/ix?doc=/Archives/edgar/data/0000003197/000110465926018825/tm267105d1_8k.htm" TargetMode="External"/><Relationship Id="rId6" Type="http://schemas.openxmlformats.org/officeDocument/2006/relationships/hyperlink" Target="https://www.sec.gov/ix?doc=/Archives/edgar/data/0000003197/000119312526139875/ceco-20260330.htm" TargetMode="External"/><Relationship Id="rId7" Type="http://schemas.openxmlformats.org/officeDocument/2006/relationships/hyperlink" Target="https://www.sec.gov/ix?doc=/Archives/edgar/data/3197/000110465926067250/tm2615816d1_8k.htm" TargetMode="External"/><Relationship Id="rId8" Type="http://schemas.openxmlformats.org/officeDocument/2006/relationships/hyperlink" Target="https://www.sec.gov/ix?doc=/Archives/edgar/data/3197/000110465926068661/tm2616015d2_8k.htm" TargetMode="External"/><Relationship Id="rId9" Type="http://schemas.openxmlformats.org/officeDocument/2006/relationships/hyperlink" Target="https://www.sec.gov/Archives/edgar/data/3197/000156459020008551/cece-ex41_99.htm" TargetMode="External"/><Relationship Id="rId10" Type="http://schemas.openxmlformats.org/officeDocument/2006/relationships/hyperlink" Target="https://www.sec.gov/Archives/edgar/data/3197/000095013102001241/dex3i.txt" TargetMode="External"/><Relationship Id="rId11" Type="http://schemas.openxmlformats.org/officeDocument/2006/relationships/hyperlink" Target="https://www.sec.gov/Archives/edgar/data/3197/000095013102001241/dex3i.txt" TargetMode="External"/><Relationship Id="rId12" Type="http://schemas.openxmlformats.org/officeDocument/2006/relationships/hyperlink" Target="https://www.sec.gov/Archives/edgar/data/3197/000095017024063379/ceco-ex3_1.htm" TargetMode="External"/><Relationship Id="rId13" Type="http://schemas.openxmlformats.org/officeDocument/2006/relationships/hyperlink" Target="https://www.sec.gov/Archives/edgar/data/3197/000095017024063379/ceco-ex3_1.htm" TargetMode="External"/><Relationship Id="rId14" Type="http://schemas.openxmlformats.org/officeDocument/2006/relationships/hyperlink" Target="https://www.sec.gov/Archives/edgar/data/3197/000110465926068661/tm2616015d2_ex3-1.htm" TargetMode="External"/><Relationship Id="rId15" Type="http://schemas.openxmlformats.org/officeDocument/2006/relationships/hyperlink" Target="https://www.sec.gov/Archives/edgar/data/3197/000110465926068661/tm2616015d2_ex3-1.htm" TargetMode="External"/><Relationship Id="rId16" Type="http://schemas.openxmlformats.org/officeDocument/2006/relationships/hyperlink" Target="https://www.sec.gov/Archives/edgar/data/3197/000110465926067250/tm2615816d1_ex10-1.htm" TargetMode="External"/><Relationship Id="rId17" Type="http://schemas.openxmlformats.org/officeDocument/2006/relationships/hyperlink" Target="https://www.sec.gov/Archives/edgar/data/3197/000110465926067250/tm2615816d1_ex10-1.htm" TargetMode="External"/><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14123</Words>
  <Characters>72672</Characters>
  <CharactersWithSpaces>86961</CharactersWithSpaces>
  <Paragraphs>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