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CECO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6"/>
                <w:vertAlign w:val="subscript"/>
              </w:rPr>
              <w:t>9,466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201,319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205,319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will vest one year from the date of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grant of 3,754 shares of common stock in lieu of annual cash fees paid to the director.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Amendment to fix incorrect placement of footnote.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Joycelynn Watkins-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9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Asiyanbi as Attorney-in-Fact</w:t>
        <w:tab/>
        <w:t>05/22/2024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Richard Wallman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258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809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2024-05-22T15:58:03Z</dcterms:created>
  <dcterms:modified xsi:type="dcterms:W3CDTF">2024-05-22T15:58:03Z</dcterms:modified>
</cp:coreProperties>
</file>