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May 14, 2007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dated April 30, 2007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333-142052</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3,348,166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118110</wp:posOffset>
            </wp:positionV>
            <wp:extent cx="113220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220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560" w:type="dxa"/>
            <w:vAlign w:val="bottom"/>
          </w:tcPr>
          <w:p>
            <w:pPr>
              <w:jc w:val="center"/>
              <w:ind w:right="1292"/>
              <w:spacing w:after="0"/>
              <w:rPr>
                <w:sz w:val="20"/>
                <w:szCs w:val="20"/>
                <w:color w:val="auto"/>
              </w:rPr>
            </w:pPr>
            <w:r>
              <w:rPr>
                <w:rFonts w:ascii="Arial" w:cs="Arial" w:eastAsia="Arial" w:hAnsi="Arial"/>
                <w:sz w:val="18"/>
                <w:szCs w:val="18"/>
                <w:b w:val="1"/>
                <w:bCs w:val="1"/>
                <w:color w:val="auto"/>
                <w:w w:val="97"/>
              </w:rPr>
              <w:t>CECO ENVIRONMENTAL CORP.</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3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60" w:type="dxa"/>
            <w:vAlign w:val="bottom"/>
          </w:tcPr>
          <w:p>
            <w:pPr>
              <w:jc w:val="center"/>
              <w:ind w:right="1272"/>
              <w:spacing w:after="0"/>
              <w:rPr>
                <w:sz w:val="20"/>
                <w:szCs w:val="20"/>
                <w:color w:val="auto"/>
              </w:rPr>
            </w:pPr>
            <w:r>
              <w:rPr>
                <w:rFonts w:ascii="Arial" w:cs="Arial" w:eastAsia="Arial" w:hAnsi="Arial"/>
                <w:sz w:val="18"/>
                <w:szCs w:val="18"/>
                <w:b w:val="1"/>
                <w:bCs w:val="1"/>
                <w:color w:val="auto"/>
                <w:w w:val="87"/>
              </w:rPr>
              <w:t>Common Stock</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3400" w:type="dxa"/>
            <w:vAlign w:val="bottom"/>
          </w:tcPr>
          <w:p>
            <w:pPr>
              <w:spacing w:after="0"/>
              <w:rPr>
                <w:sz w:val="24"/>
                <w:szCs w:val="24"/>
                <w:color w:val="auto"/>
              </w:rPr>
            </w:pPr>
          </w:p>
        </w:tc>
        <w:tc>
          <w:tcPr>
            <w:tcW w:w="5280" w:type="dxa"/>
            <w:vAlign w:val="bottom"/>
            <w:gridSpan w:val="2"/>
          </w:tcPr>
          <w:p>
            <w:pPr>
              <w:ind w:left="700"/>
              <w:spacing w:after="0"/>
              <w:rPr>
                <w:sz w:val="20"/>
                <w:szCs w:val="20"/>
                <w:color w:val="auto"/>
              </w:rPr>
            </w:pPr>
            <w:r>
              <w:rPr>
                <w:rFonts w:ascii="Arial" w:cs="Arial" w:eastAsia="Arial" w:hAnsi="Arial"/>
                <w:sz w:val="18"/>
                <w:szCs w:val="18"/>
                <w:b w:val="1"/>
                <w:bCs w:val="1"/>
                <w:color w:val="auto"/>
              </w:rPr>
              <w:t>ISSUER FREE WRITING PROSPECTUS</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CECO Environmental Corp.</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3400" w:type="dxa"/>
            <w:vAlign w:val="bottom"/>
          </w:tcPr>
          <w:p>
            <w:pPr>
              <w:spacing w:after="0"/>
              <w:rPr>
                <w:sz w:val="20"/>
                <w:szCs w:val="20"/>
                <w:color w:val="auto"/>
              </w:rPr>
            </w:pPr>
            <w:r>
              <w:rPr>
                <w:rFonts w:ascii="Arial" w:cs="Arial" w:eastAsia="Arial" w:hAnsi="Arial"/>
                <w:sz w:val="18"/>
                <w:szCs w:val="18"/>
                <w:b w:val="1"/>
                <w:bCs w:val="1"/>
                <w:color w:val="auto"/>
              </w:rPr>
              <w:t>Ticker / Exchange:</w:t>
            </w: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CECE / The Nasdaq Global Market</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3400" w:type="dxa"/>
            <w:vAlign w:val="bottom"/>
          </w:tcPr>
          <w:p>
            <w:pPr>
              <w:spacing w:after="0"/>
              <w:rPr>
                <w:sz w:val="20"/>
                <w:szCs w:val="20"/>
                <w:color w:val="auto"/>
              </w:rPr>
            </w:pPr>
            <w:r>
              <w:rPr>
                <w:rFonts w:ascii="Arial" w:cs="Arial" w:eastAsia="Arial" w:hAnsi="Arial"/>
                <w:sz w:val="18"/>
                <w:szCs w:val="18"/>
                <w:b w:val="1"/>
                <w:bCs w:val="1"/>
                <w:color w:val="auto"/>
              </w:rPr>
              <w:t>Offering size:</w:t>
            </w:r>
          </w:p>
        </w:tc>
        <w:tc>
          <w:tcPr>
            <w:tcW w:w="8040" w:type="dxa"/>
            <w:vAlign w:val="bottom"/>
            <w:gridSpan w:val="10"/>
          </w:tcPr>
          <w:p>
            <w:pPr>
              <w:ind w:left="720"/>
              <w:spacing w:after="0"/>
              <w:rPr>
                <w:sz w:val="20"/>
                <w:szCs w:val="20"/>
                <w:color w:val="auto"/>
              </w:rPr>
            </w:pPr>
            <w:r>
              <w:rPr>
                <w:rFonts w:ascii="Arial" w:cs="Arial" w:eastAsia="Arial" w:hAnsi="Arial"/>
                <w:sz w:val="18"/>
                <w:szCs w:val="18"/>
                <w:color w:val="auto"/>
                <w:w w:val="88"/>
              </w:rPr>
              <w:t>3,348,166 shares (1,000,000 shares to be sold by CECE, and 2,348,166 shares to be sold by the selling</w:t>
            </w:r>
          </w:p>
        </w:tc>
      </w:tr>
      <w:tr>
        <w:trPr>
          <w:trHeight w:val="222"/>
        </w:trPr>
        <w:tc>
          <w:tcPr>
            <w:tcW w:w="3400" w:type="dxa"/>
            <w:vAlign w:val="bottom"/>
          </w:tcPr>
          <w:p>
            <w:pPr>
              <w:spacing w:after="0"/>
              <w:rPr>
                <w:sz w:val="19"/>
                <w:szCs w:val="19"/>
                <w:color w:val="auto"/>
              </w:rPr>
            </w:pP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stockholders)</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1"/>
        </w:trPr>
        <w:tc>
          <w:tcPr>
            <w:tcW w:w="340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15%, or 502,225 shares, to be sold by CECE only</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3400" w:type="dxa"/>
            <w:vAlign w:val="bottom"/>
          </w:tcPr>
          <w:p>
            <w:pPr>
              <w:spacing w:after="0"/>
              <w:rPr>
                <w:sz w:val="20"/>
                <w:szCs w:val="20"/>
                <w:color w:val="auto"/>
              </w:rPr>
            </w:pPr>
            <w:r>
              <w:rPr>
                <w:rFonts w:ascii="Arial" w:cs="Arial" w:eastAsia="Arial" w:hAnsi="Arial"/>
                <w:sz w:val="18"/>
                <w:szCs w:val="18"/>
                <w:b w:val="1"/>
                <w:bCs w:val="1"/>
                <w:color w:val="auto"/>
              </w:rPr>
              <w:t>Public offering price:</w:t>
            </w: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$11.25 per share</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3400" w:type="dxa"/>
            <w:vAlign w:val="bottom"/>
          </w:tcPr>
          <w:p>
            <w:pPr>
              <w:spacing w:after="0"/>
              <w:rPr>
                <w:sz w:val="20"/>
                <w:szCs w:val="20"/>
                <w:color w:val="auto"/>
              </w:rPr>
            </w:pPr>
            <w:r>
              <w:rPr>
                <w:rFonts w:ascii="Arial" w:cs="Arial" w:eastAsia="Arial" w:hAnsi="Arial"/>
                <w:sz w:val="18"/>
                <w:szCs w:val="18"/>
                <w:b w:val="1"/>
                <w:bCs w:val="1"/>
                <w:color w:val="auto"/>
              </w:rPr>
              <w:t>Price to CECE/selling stockholders:</w:t>
            </w: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$10.631 per share</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3400" w:type="dxa"/>
            <w:vAlign w:val="bottom"/>
          </w:tcPr>
          <w:p>
            <w:pPr>
              <w:spacing w:after="0"/>
              <w:rPr>
                <w:sz w:val="20"/>
                <w:szCs w:val="20"/>
                <w:color w:val="auto"/>
              </w:rPr>
            </w:pPr>
            <w:r>
              <w:rPr>
                <w:rFonts w:ascii="Arial" w:cs="Arial" w:eastAsia="Arial" w:hAnsi="Arial"/>
                <w:sz w:val="18"/>
                <w:szCs w:val="18"/>
                <w:b w:val="1"/>
                <w:bCs w:val="1"/>
                <w:color w:val="auto"/>
              </w:rPr>
              <w:t>Net proceeds to CECE:</w:t>
            </w:r>
          </w:p>
        </w:tc>
        <w:tc>
          <w:tcPr>
            <w:tcW w:w="8040" w:type="dxa"/>
            <w:vAlign w:val="bottom"/>
            <w:gridSpan w:val="10"/>
          </w:tcPr>
          <w:p>
            <w:pPr>
              <w:ind w:left="720"/>
              <w:spacing w:after="0"/>
              <w:rPr>
                <w:sz w:val="20"/>
                <w:szCs w:val="20"/>
                <w:color w:val="auto"/>
              </w:rPr>
            </w:pPr>
            <w:r>
              <w:rPr>
                <w:rFonts w:ascii="Arial" w:cs="Arial" w:eastAsia="Arial" w:hAnsi="Arial"/>
                <w:sz w:val="18"/>
                <w:szCs w:val="18"/>
                <w:color w:val="auto"/>
                <w:w w:val="91"/>
              </w:rPr>
              <w:t>We will receive net proceeds of approximately $10.2 million after deducting the underwriting discount</w:t>
            </w:r>
          </w:p>
        </w:tc>
      </w:tr>
      <w:tr>
        <w:trPr>
          <w:trHeight w:val="216"/>
        </w:trPr>
        <w:tc>
          <w:tcPr>
            <w:tcW w:w="3400" w:type="dxa"/>
            <w:vAlign w:val="bottom"/>
          </w:tcPr>
          <w:p>
            <w:pPr>
              <w:spacing w:after="0"/>
              <w:rPr>
                <w:sz w:val="18"/>
                <w:szCs w:val="18"/>
                <w:color w:val="auto"/>
              </w:rPr>
            </w:pPr>
          </w:p>
        </w:tc>
        <w:tc>
          <w:tcPr>
            <w:tcW w:w="8040" w:type="dxa"/>
            <w:vAlign w:val="bottom"/>
            <w:gridSpan w:val="10"/>
          </w:tcPr>
          <w:p>
            <w:pPr>
              <w:ind w:left="720"/>
              <w:spacing w:after="0"/>
              <w:rPr>
                <w:sz w:val="20"/>
                <w:szCs w:val="20"/>
                <w:color w:val="auto"/>
              </w:rPr>
            </w:pPr>
            <w:r>
              <w:rPr>
                <w:rFonts w:ascii="Arial" w:cs="Arial" w:eastAsia="Arial" w:hAnsi="Arial"/>
                <w:sz w:val="18"/>
                <w:szCs w:val="18"/>
                <w:color w:val="auto"/>
                <w:w w:val="95"/>
              </w:rPr>
              <w:t>and estimated offering expenses payable by us. We will use the net proceeds to repay all of our</w:t>
            </w:r>
          </w:p>
        </w:tc>
      </w:tr>
      <w:tr>
        <w:trPr>
          <w:trHeight w:val="216"/>
        </w:trPr>
        <w:tc>
          <w:tcPr>
            <w:tcW w:w="3400" w:type="dxa"/>
            <w:vAlign w:val="bottom"/>
          </w:tcPr>
          <w:p>
            <w:pPr>
              <w:spacing w:after="0"/>
              <w:rPr>
                <w:sz w:val="18"/>
                <w:szCs w:val="18"/>
                <w:color w:val="auto"/>
              </w:rPr>
            </w:pPr>
          </w:p>
        </w:tc>
        <w:tc>
          <w:tcPr>
            <w:tcW w:w="8040" w:type="dxa"/>
            <w:vAlign w:val="bottom"/>
            <w:gridSpan w:val="10"/>
          </w:tcPr>
          <w:p>
            <w:pPr>
              <w:ind w:left="720"/>
              <w:spacing w:after="0"/>
              <w:rPr>
                <w:sz w:val="20"/>
                <w:szCs w:val="20"/>
                <w:color w:val="auto"/>
              </w:rPr>
            </w:pPr>
            <w:r>
              <w:rPr>
                <w:rFonts w:ascii="Arial" w:cs="Arial" w:eastAsia="Arial" w:hAnsi="Arial"/>
                <w:sz w:val="18"/>
                <w:szCs w:val="18"/>
                <w:color w:val="auto"/>
                <w:w w:val="91"/>
              </w:rPr>
              <w:t>subordinated debt payable to our affiliate and to repay a portion of our outstanding borrowings under</w:t>
            </w:r>
          </w:p>
        </w:tc>
      </w:tr>
      <w:tr>
        <w:trPr>
          <w:trHeight w:val="216"/>
        </w:trPr>
        <w:tc>
          <w:tcPr>
            <w:tcW w:w="3400" w:type="dxa"/>
            <w:vAlign w:val="bottom"/>
          </w:tcPr>
          <w:p>
            <w:pPr>
              <w:spacing w:after="0"/>
              <w:rPr>
                <w:sz w:val="18"/>
                <w:szCs w:val="18"/>
                <w:color w:val="auto"/>
              </w:rPr>
            </w:pPr>
          </w:p>
        </w:tc>
        <w:tc>
          <w:tcPr>
            <w:tcW w:w="8040" w:type="dxa"/>
            <w:vAlign w:val="bottom"/>
            <w:gridSpan w:val="10"/>
          </w:tcPr>
          <w:p>
            <w:pPr>
              <w:ind w:left="720"/>
              <w:spacing w:after="0"/>
              <w:rPr>
                <w:sz w:val="20"/>
                <w:szCs w:val="20"/>
                <w:color w:val="auto"/>
              </w:rPr>
            </w:pPr>
            <w:r>
              <w:rPr>
                <w:rFonts w:ascii="Arial" w:cs="Arial" w:eastAsia="Arial" w:hAnsi="Arial"/>
                <w:sz w:val="18"/>
                <w:szCs w:val="18"/>
                <w:color w:val="auto"/>
                <w:w w:val="95"/>
              </w:rPr>
              <w:t>our credit facility with Fifth Third Bank. Although we will not receive any of the proceeds from the</w:t>
            </w:r>
          </w:p>
        </w:tc>
      </w:tr>
      <w:tr>
        <w:trPr>
          <w:trHeight w:val="216"/>
        </w:trPr>
        <w:tc>
          <w:tcPr>
            <w:tcW w:w="3400" w:type="dxa"/>
            <w:vAlign w:val="bottom"/>
          </w:tcPr>
          <w:p>
            <w:pPr>
              <w:spacing w:after="0"/>
              <w:rPr>
                <w:sz w:val="18"/>
                <w:szCs w:val="18"/>
                <w:color w:val="auto"/>
              </w:rPr>
            </w:pPr>
          </w:p>
        </w:tc>
        <w:tc>
          <w:tcPr>
            <w:tcW w:w="8040" w:type="dxa"/>
            <w:vAlign w:val="bottom"/>
            <w:gridSpan w:val="10"/>
          </w:tcPr>
          <w:p>
            <w:pPr>
              <w:ind w:left="720"/>
              <w:spacing w:after="0"/>
              <w:rPr>
                <w:sz w:val="20"/>
                <w:szCs w:val="20"/>
                <w:color w:val="auto"/>
              </w:rPr>
            </w:pPr>
            <w:r>
              <w:rPr>
                <w:rFonts w:ascii="Arial" w:cs="Arial" w:eastAsia="Arial" w:hAnsi="Arial"/>
                <w:sz w:val="18"/>
                <w:szCs w:val="18"/>
                <w:color w:val="auto"/>
                <w:w w:val="89"/>
              </w:rPr>
              <w:t>sale of the shares of common stock by the selling stockholders, we will receive $4,687,281 in proceeds</w:t>
            </w:r>
          </w:p>
        </w:tc>
      </w:tr>
      <w:tr>
        <w:trPr>
          <w:trHeight w:val="216"/>
        </w:trPr>
        <w:tc>
          <w:tcPr>
            <w:tcW w:w="3400" w:type="dxa"/>
            <w:vAlign w:val="bottom"/>
          </w:tcPr>
          <w:p>
            <w:pPr>
              <w:spacing w:after="0"/>
              <w:rPr>
                <w:sz w:val="18"/>
                <w:szCs w:val="18"/>
                <w:color w:val="auto"/>
              </w:rPr>
            </w:pPr>
          </w:p>
        </w:tc>
        <w:tc>
          <w:tcPr>
            <w:tcW w:w="8040" w:type="dxa"/>
            <w:vAlign w:val="bottom"/>
            <w:gridSpan w:val="10"/>
          </w:tcPr>
          <w:p>
            <w:pPr>
              <w:ind w:left="720"/>
              <w:spacing w:after="0"/>
              <w:rPr>
                <w:sz w:val="20"/>
                <w:szCs w:val="20"/>
                <w:color w:val="auto"/>
              </w:rPr>
            </w:pPr>
            <w:r>
              <w:rPr>
                <w:rFonts w:ascii="Arial" w:cs="Arial" w:eastAsia="Arial" w:hAnsi="Arial"/>
                <w:sz w:val="18"/>
                <w:szCs w:val="18"/>
                <w:color w:val="auto"/>
                <w:w w:val="96"/>
              </w:rPr>
              <w:t>from the exercise of the warrants for 1,749,500 shares of our common stock held by the selling</w:t>
            </w:r>
          </w:p>
        </w:tc>
      </w:tr>
      <w:tr>
        <w:trPr>
          <w:trHeight w:val="222"/>
        </w:trPr>
        <w:tc>
          <w:tcPr>
            <w:tcW w:w="3400" w:type="dxa"/>
            <w:vAlign w:val="bottom"/>
          </w:tcPr>
          <w:p>
            <w:pPr>
              <w:spacing w:after="0"/>
              <w:rPr>
                <w:sz w:val="19"/>
                <w:szCs w:val="19"/>
                <w:color w:val="auto"/>
              </w:rPr>
            </w:pP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stockholders and included in this offering.</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4"/>
        </w:trPr>
        <w:tc>
          <w:tcPr>
            <w:tcW w:w="340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7280" w:type="dxa"/>
            <w:vAlign w:val="bottom"/>
            <w:gridSpan w:val="7"/>
          </w:tcPr>
          <w:p>
            <w:pPr>
              <w:ind w:left="720"/>
              <w:spacing w:after="0"/>
              <w:rPr>
                <w:sz w:val="20"/>
                <w:szCs w:val="20"/>
                <w:color w:val="auto"/>
              </w:rPr>
            </w:pPr>
            <w:r>
              <w:rPr>
                <w:rFonts w:ascii="Arial" w:cs="Arial" w:eastAsia="Arial" w:hAnsi="Arial"/>
                <w:sz w:val="18"/>
                <w:szCs w:val="18"/>
                <w:color w:val="auto"/>
                <w:w w:val="90"/>
              </w:rPr>
              <w:t>The information disclosed in the following line items of the table included under the caption</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400" w:type="dxa"/>
            <w:vAlign w:val="bottom"/>
          </w:tcPr>
          <w:p>
            <w:pPr>
              <w:spacing w:after="0"/>
              <w:rPr>
                <w:sz w:val="19"/>
                <w:szCs w:val="19"/>
                <w:color w:val="auto"/>
              </w:rPr>
            </w:pPr>
          </w:p>
        </w:tc>
        <w:tc>
          <w:tcPr>
            <w:tcW w:w="8040" w:type="dxa"/>
            <w:vAlign w:val="bottom"/>
            <w:gridSpan w:val="10"/>
          </w:tcPr>
          <w:p>
            <w:pPr>
              <w:ind w:left="720"/>
              <w:spacing w:after="0"/>
              <w:rPr>
                <w:sz w:val="20"/>
                <w:szCs w:val="20"/>
                <w:color w:val="auto"/>
              </w:rPr>
            </w:pPr>
            <w:r>
              <w:rPr>
                <w:rFonts w:ascii="Arial" w:cs="Arial" w:eastAsia="Arial" w:hAnsi="Arial"/>
                <w:sz w:val="18"/>
                <w:szCs w:val="18"/>
                <w:color w:val="auto"/>
                <w:w w:val="92"/>
              </w:rPr>
              <w:t>“Capitalization” in the Preliminary Prospectus is updated as disclosed below to reflect pricing terms.</w:t>
            </w:r>
          </w:p>
        </w:tc>
      </w:tr>
      <w:tr>
        <w:trPr>
          <w:trHeight w:val="367"/>
        </w:trPr>
        <w:tc>
          <w:tcPr>
            <w:tcW w:w="3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6"/>
              </w:rPr>
              <w:t>As of December 31, 2006</w:t>
            </w:r>
          </w:p>
        </w:tc>
      </w:tr>
      <w:tr>
        <w:trPr>
          <w:trHeight w:val="129"/>
        </w:trPr>
        <w:tc>
          <w:tcPr>
            <w:tcW w:w="3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Pro forma</w:t>
            </w:r>
          </w:p>
        </w:tc>
        <w:tc>
          <w:tcPr>
            <w:tcW w:w="20" w:type="dxa"/>
            <w:vAlign w:val="bottom"/>
          </w:tcPr>
          <w:p>
            <w:pPr>
              <w:spacing w:after="0"/>
              <w:rPr>
                <w:sz w:val="11"/>
                <w:szCs w:val="11"/>
                <w:color w:val="auto"/>
              </w:rPr>
            </w:pPr>
          </w:p>
        </w:tc>
      </w:tr>
      <w:tr>
        <w:trPr>
          <w:trHeight w:val="161"/>
        </w:trPr>
        <w:tc>
          <w:tcPr>
            <w:tcW w:w="3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Pro forma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as adjusted</w:t>
            </w:r>
          </w:p>
        </w:tc>
        <w:tc>
          <w:tcPr>
            <w:tcW w:w="20" w:type="dxa"/>
            <w:vAlign w:val="bottom"/>
          </w:tcPr>
          <w:p>
            <w:pPr>
              <w:spacing w:after="0"/>
              <w:rPr>
                <w:sz w:val="14"/>
                <w:szCs w:val="14"/>
                <w:color w:val="auto"/>
              </w:rPr>
            </w:pPr>
          </w:p>
        </w:tc>
      </w:tr>
      <w:tr>
        <w:trPr>
          <w:trHeight w:val="129"/>
        </w:trPr>
        <w:tc>
          <w:tcPr>
            <w:tcW w:w="3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5"/>
          </w:tcPr>
          <w:p>
            <w:pPr>
              <w:ind w:left="400"/>
              <w:spacing w:after="0" w:line="129" w:lineRule="exact"/>
              <w:rPr>
                <w:sz w:val="20"/>
                <w:szCs w:val="20"/>
                <w:color w:val="auto"/>
              </w:rPr>
            </w:pPr>
            <w:r>
              <w:rPr>
                <w:rFonts w:ascii="Arial" w:cs="Arial" w:eastAsia="Arial" w:hAnsi="Arial"/>
                <w:sz w:val="14"/>
                <w:szCs w:val="14"/>
                <w:b w:val="1"/>
                <w:bCs w:val="1"/>
                <w:color w:val="auto"/>
              </w:rPr>
              <w:t>(unaudited)</w:t>
            </w:r>
          </w:p>
        </w:tc>
      </w:tr>
      <w:tr>
        <w:trPr>
          <w:trHeight w:val="161"/>
        </w:trPr>
        <w:tc>
          <w:tcPr>
            <w:tcW w:w="3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4"/>
              </w:rPr>
              <w:t>(dollars in thousands)</w:t>
            </w:r>
          </w:p>
        </w:tc>
      </w:tr>
      <w:tr>
        <w:trPr>
          <w:trHeight w:val="216"/>
        </w:trPr>
        <w:tc>
          <w:tcPr>
            <w:tcW w:w="3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debt</w:t>
            </w:r>
            <w:r>
              <w:rPr>
                <w:rFonts w:ascii="Arial" w:cs="Arial" w:eastAsia="Arial" w:hAnsi="Arial"/>
                <w:sz w:val="22"/>
                <w:szCs w:val="22"/>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$ 22,246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7,327</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20,421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20,421</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35,312</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29,842</w:t>
            </w:r>
          </w:p>
        </w:tc>
        <w:tc>
          <w:tcPr>
            <w:tcW w:w="20" w:type="dxa"/>
            <w:vAlign w:val="bottom"/>
          </w:tcPr>
          <w:p>
            <w:pPr>
              <w:spacing w:after="0"/>
              <w:rPr>
                <w:sz w:val="18"/>
                <w:szCs w:val="18"/>
                <w:color w:val="auto"/>
              </w:rPr>
            </w:pPr>
          </w:p>
        </w:tc>
      </w:tr>
      <w:tr>
        <w:trPr>
          <w:trHeight w:val="410"/>
        </w:trPr>
        <w:tc>
          <w:tcPr>
            <w:tcW w:w="3400" w:type="dxa"/>
            <w:vAlign w:val="bottom"/>
          </w:tcPr>
          <w:p>
            <w:pPr>
              <w:spacing w:after="0"/>
              <w:rPr>
                <w:sz w:val="24"/>
                <w:szCs w:val="24"/>
                <w:color w:val="auto"/>
              </w:rPr>
            </w:pPr>
          </w:p>
        </w:tc>
        <w:tc>
          <w:tcPr>
            <w:tcW w:w="8040" w:type="dxa"/>
            <w:vAlign w:val="bottom"/>
            <w:gridSpan w:val="10"/>
          </w:tcPr>
          <w:p>
            <w:pPr>
              <w:ind w:left="720"/>
              <w:spacing w:after="0"/>
              <w:rPr>
                <w:sz w:val="20"/>
                <w:szCs w:val="20"/>
                <w:color w:val="auto"/>
              </w:rPr>
            </w:pPr>
            <w:r>
              <w:rPr>
                <w:rFonts w:ascii="Arial" w:cs="Arial" w:eastAsia="Arial" w:hAnsi="Arial"/>
                <w:sz w:val="18"/>
                <w:szCs w:val="18"/>
                <w:color w:val="auto"/>
                <w:w w:val="91"/>
              </w:rPr>
              <w:t>The footnote reference in the above table corresponds to the footnote on page 26 of the Preliminary</w:t>
            </w:r>
          </w:p>
        </w:tc>
      </w:tr>
      <w:tr>
        <w:trPr>
          <w:trHeight w:val="222"/>
        </w:trPr>
        <w:tc>
          <w:tcPr>
            <w:tcW w:w="3400" w:type="dxa"/>
            <w:vAlign w:val="bottom"/>
          </w:tcPr>
          <w:p>
            <w:pPr>
              <w:spacing w:after="0"/>
              <w:rPr>
                <w:sz w:val="19"/>
                <w:szCs w:val="19"/>
                <w:color w:val="auto"/>
              </w:rPr>
            </w:pP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Prospectus.</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1"/>
        </w:trPr>
        <w:tc>
          <w:tcPr>
            <w:tcW w:w="340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May 14, 2007</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340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May 17, 2007</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340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5280" w:type="dxa"/>
            <w:vAlign w:val="bottom"/>
            <w:gridSpan w:val="2"/>
          </w:tcPr>
          <w:p>
            <w:pPr>
              <w:ind w:left="720"/>
              <w:spacing w:after="0"/>
              <w:rPr>
                <w:sz w:val="20"/>
                <w:szCs w:val="20"/>
                <w:color w:val="auto"/>
              </w:rPr>
            </w:pPr>
            <w:r>
              <w:rPr>
                <w:rFonts w:ascii="Arial" w:cs="Arial" w:eastAsia="Arial" w:hAnsi="Arial"/>
                <w:sz w:val="18"/>
                <w:szCs w:val="18"/>
                <w:color w:val="auto"/>
              </w:rPr>
              <w:t>Oppenheimer &amp; Co. Inc. and Needham &amp; Company, LLC</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63" w:lineRule="exact"/>
        <w:rPr>
          <w:sz w:val="24"/>
          <w:szCs w:val="24"/>
          <w:color w:val="auto"/>
        </w:rPr>
      </w:pPr>
    </w:p>
    <w:p>
      <w:pPr>
        <w:ind w:right="420"/>
        <w:spacing w:after="0" w:line="296"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Oppenheimer &amp; Co. toll-free at 1-800-221-5588 or Needham &amp; Company, LLC toll-free at 1-800-903-3268.</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2020-02-08T08:27:57Z</dcterms:created>
  <dcterms:modified xsi:type="dcterms:W3CDTF">2020-02-08T08:27:57Z</dcterms:modified>
</cp:coreProperties>
</file>