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600" w:space="720"/>
            <w:col w:w="3020" w:space="720"/>
            <w:col w:w="2140"/>
          </w:cols>
          <w:pgMar w:left="320" w:top="1019" w:right="3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019" w:right="37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Suite 800E</w:t>
      </w:r>
    </w:p>
    <w:p>
      <w:pPr>
        <w:spacing w:after="0" w:line="1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Addison, TX</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28" w:lineRule="exact"/>
        <w:rPr>
          <w:sz w:val="24"/>
          <w:szCs w:val="24"/>
          <w:color w:val="auto"/>
        </w:rPr>
      </w:pPr>
    </w:p>
    <w:p>
      <w:pPr>
        <w:sectPr>
          <w:pgSz w:w="11900" w:h="16838" w:orient="portrait"/>
          <w:cols w:equalWidth="0" w:num="2">
            <w:col w:w="7580" w:space="720"/>
            <w:col w:w="2900"/>
          </w:cols>
          <w:pgMar w:left="320" w:top="1019"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3" w:lineRule="exact"/>
        <w:rPr>
          <w:sz w:val="24"/>
          <w:szCs w:val="24"/>
          <w:color w:val="auto"/>
        </w:rPr>
      </w:pPr>
    </w:p>
    <w:p>
      <w:pPr>
        <w:sectPr>
          <w:pgSz w:w="11900" w:h="16838" w:orient="portrait"/>
          <w:cols w:equalWidth="0" w:num="2">
            <w:col w:w="7440" w:space="720"/>
            <w:col w:w="304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July 29, 2025, CECO Environmental Corp. issued a press release announcing its financial results for the second quarter ended June 30, 2025.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5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CECO Environmental Reports Second Quarter 2025 Results</w:t>
            </w:r>
          </w:p>
        </w:tc>
        <w:tc>
          <w:tcPr>
            <w:tcW w:w="20" w:type="dxa"/>
            <w:vAlign w:val="bottom"/>
            <w:tcBorders>
              <w:bottom w:val="single" w:sz="8" w:color="0000EE"/>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4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Date: July 29,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0553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6"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SECOND QUARTER 2025 RESULTS </w:t>
      </w:r>
      <w:r>
        <w:rPr>
          <w:rFonts w:ascii="Times New Roman" w:cs="Times New Roman" w:eastAsia="Times New Roman" w:hAnsi="Times New Roman"/>
          <w:sz w:val="18"/>
          <w:szCs w:val="18"/>
          <w:i w:val="1"/>
          <w:iCs w:val="1"/>
          <w:color w:val="auto"/>
        </w:rPr>
        <w:t>Continued Strong Orders Growth Headlines Multiple Financial Records Raises Full Year Revenue Outlook</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ADDISON, TEXAS (July 29, 2025) -- CECO Environmental Corp. (Nasdaq: CECO) ("CECO" or the "Company")</w:t>
      </w:r>
      <w:r>
        <w:rPr>
          <w:rFonts w:ascii="Times New Roman" w:cs="Times New Roman" w:eastAsia="Times New Roman" w:hAnsi="Times New Roman"/>
          <w:sz w:val="18"/>
          <w:szCs w:val="18"/>
          <w:color w:val="auto"/>
        </w:rPr>
        <w:t>, a leading environmentally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diversified industrial company whose solutions protect people, the environment, and industrial equipment, today reported its financial results for the second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Summary</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$274.1 million, up 95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$688.1 million, up 76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$185.4 million, up 35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36.2 percent; Gross margin of $67.1 million, up 37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$9.5 million; non-GAAP net income of $8.7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$0.26; non-GAAP EPS (diluted) of $0.24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$23.3 million, up 45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$(3.0) million, down $5.6 million</w:t>
      </w:r>
    </w:p>
    <w:p>
      <w:pPr>
        <w:spacing w:after="0" w:line="30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Todd Gleason, CECO's Chief Executive Officer commented, “We delivered another record quarter, led by tremendous orders, which were up 95 percent year-over-year. Our multi-quarter string of record bookings enabled our highest ever quarterly revenue and increased our backlog to an all-time high of $688 million, which is up 76 percent versus last year. Our diverse and well-positioned portfolio of leading environmental solutions for industrial air, industrial water and energy transition markets continue to gain traction in key markets and new geographies. In the quarter, we booked CECO's largest-ever order which will provide emissions management solutions for a large power generation project. That order, combined with continued strong natural gas and water infrastructure and other energy transition projects, helped push second quarter orders to the all-time record. We are excited about our ability to capitalize on these mega-theme opportunities as well as our steady return on investment associated with our ongoing portfolio transformation.”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Second quarter operating income was $18.1 million, up $8.8 million when compared to $9.3 million in the second quarter of 2024. On an adjusted basis, non-GAAP operating income was $18.3 million, up $5.7 million or 45 percent when compared to $12.6 million in the second quarter of 2024. Net income was $9.5 million in the quarter, up $5.0 million compared to $4.5 million in the second quarter of 2024. Non-GAAP net income was $8.7 million, up $1.3 million when compared to $7.4 million in the second quarter of 2024. Adjusted EBITDA of $23.3 million, reflecting an adjusted EBITDA margin of 12.6 percent, was up 45 percent compared to $16.1 million in the second quarter of 2024. Free cash flow in the quarter was $(3.0) million, down $5.6 million compared to $2.6 million in the second quarter of 2024.</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pleased, and not at all surprised, that our teams of dedicated employees continue to execute at high levels while overcoming macro uncertainties and market challenges. While certain headlines could distract, our teams remain laser focused on delivering for our customers while navigating supply chain disruptions and evolving trade policies. This is strongly reflected with our highest-ever gross margins and expanded income margins, all while maintaining investments in commercial growth, new geographies, operating resources to drive efficiencies, as well as new market leading solutions,” Gleason added.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Full Year Guidance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full year 2025 outlook, the Company has raised its revenue outlook to $725 to $775 million, up approximately 35 percent at the midpoint. The previous outlook for full year revenue was $700 to $750 million. The Company maintains its expected range for adjusted EBITDA of between $90 to $100 million and a free cash flow outlook of greater than 60 percent conversion of adjusted EBITDA.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enter the second half of 2025, we are energized to maintain our top-quartile growth and operating performance. Our confidence is bolstered by our record backlog and our robust, $5.5 billion sales pipeline which continues to grow in support of strong demand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power generation, natural gas and water infrastructure, semiconductor expansion and general industrial markets. This backlog and pipeline visibility allows us to increase our full-year revenue outlook to between $725 and $775 million, which represents a growth rate of approximately 35 percent compared to last year. We remain very bullish on our full year adjusted EBITDA outlook – which reflects a roughly 50 percent growth rate – despite some anticipated inflationary pressure in the second half of the year. Overall, we are very pleased with how our year is shaping up and look forward to maintaining our investments to support sustainable growth,”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second quarter 2025 financial results. Please visit the Investor Relations portion of the website (https://investors.cecoenviro.com) to listen to the call via webcast. The conference call may also be accessed by visiting https://edge.media-server.com/mmc/p/ox29vy4b.</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https://edge.media-server.com/mmc/p/ox29vy4b.</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Addison,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Marcio Pinto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Financial Planning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5"/>
                <w:szCs w:val="15"/>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36,823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37,832</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allowances of $8,993 and $8,863</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161,498</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159,572</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91,262</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69,889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59,792</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42,624</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29,682</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3,856</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3,826</w:t>
            </w:r>
          </w:p>
        </w:tc>
      </w:tr>
      <w:tr>
        <w:trPr>
          <w:trHeight w:val="20"/>
        </w:trPr>
        <w:tc>
          <w:tcPr>
            <w:tcW w:w="7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382,999</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330,971</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46,618</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33,810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24,903</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25,102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288,043</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269,747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106,871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74,050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9,666</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9,466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17,189</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15,587</w:t>
            </w:r>
          </w:p>
        </w:tc>
      </w:tr>
      <w:tr>
        <w:trPr>
          <w:trHeight w:val="20"/>
        </w:trPr>
        <w:tc>
          <w:tcPr>
            <w:tcW w:w="7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876,582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759,699</w:t>
            </w:r>
          </w:p>
        </w:tc>
      </w:tr>
      <w:tr>
        <w:trPr>
          <w:trHeight w:val="20"/>
        </w:trPr>
        <w:tc>
          <w:tcPr>
            <w:tcW w:w="7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1,857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125,971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109,671</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53,950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47,528</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93,045</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81,501</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8,512</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r>
      <w:tr>
        <w:trPr>
          <w:trHeight w:val="20"/>
        </w:trPr>
        <w:tc>
          <w:tcPr>
            <w:tcW w:w="7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285,035</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244,662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3,137</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236,877</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217,230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28,567</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19,747</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20,230</w:t>
            </w:r>
          </w:p>
        </w:tc>
      </w:tr>
      <w:tr>
        <w:trPr>
          <w:trHeight w:val="20"/>
        </w:trPr>
        <w:tc>
          <w:tcPr>
            <w:tcW w:w="7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573,363</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507,806</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2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100,000,000 shares authorized, 35,307,944 and</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34,978,009 shares issued and outstanding at June 30, 2025 and December 31, 2024, respectively</w:t>
            </w:r>
          </w:p>
        </w:tc>
        <w:tc>
          <w:tcPr>
            <w:tcW w:w="26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258,466</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255,211</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52,064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6,570</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(12,518)</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w:t>
            </w:r>
          </w:p>
        </w:tc>
      </w:tr>
      <w:tr>
        <w:trPr>
          <w:trHeight w:val="20"/>
        </w:trPr>
        <w:tc>
          <w:tcPr>
            <w:tcW w:w="7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298,364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247,689</w:t>
            </w:r>
          </w:p>
        </w:tc>
      </w:tr>
      <w:tr>
        <w:trPr>
          <w:trHeight w:val="216"/>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4,855</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4,204</w:t>
            </w:r>
          </w:p>
        </w:tc>
      </w:tr>
      <w:tr>
        <w:trPr>
          <w:trHeight w:val="20"/>
        </w:trPr>
        <w:tc>
          <w:tcPr>
            <w:tcW w:w="7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303,219</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251,893</w:t>
            </w:r>
          </w:p>
        </w:tc>
      </w:tr>
      <w:tr>
        <w:trPr>
          <w:trHeight w:val="20"/>
        </w:trPr>
        <w:tc>
          <w:tcPr>
            <w:tcW w:w="7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876,582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759,699</w:t>
            </w:r>
          </w:p>
        </w:tc>
      </w:tr>
      <w:tr>
        <w:trPr>
          <w:trHeight w:val="1203"/>
        </w:trPr>
        <w:tc>
          <w:tcPr>
            <w:tcW w:w="744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5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-5708650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-4602480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-2639695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-1388110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-1104900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-814070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-796925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185,391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118,283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232,818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(64,502)</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6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79,930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6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4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6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35,286,065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34,918,412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35,157,514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34,881,625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36,558,493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36,302,664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36,624,237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36,239,331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1"/>
        </w:trPr>
        <w:tc>
          <w:tcPr>
            <w:tcW w:w="4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-2228215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-2228215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-2228215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-1945640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-1945640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-1945640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-1662430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-1662430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-1662430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-1070610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-1053465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-1070610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-1053465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-1070610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-1053465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46,549</w:t>
            </w:r>
          </w:p>
        </w:tc>
        <w:tc>
          <w:tcPr>
            <w:tcW w:w="160" w:type="dxa"/>
            <w:vAlign w:val="bottom"/>
          </w:tcPr>
          <w:p>
            <w:pPr>
              <w:spacing w:after="0"/>
              <w:rPr>
                <w:sz w:val="17"/>
                <w:szCs w:val="17"/>
                <w:color w:val="auto"/>
              </w:rPr>
            </w:pPr>
          </w:p>
        </w:tc>
        <w:tc>
          <w:tcPr>
            <w:tcW w:w="8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(64,502)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(7,403)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loss on sale of property and equipment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Provision for credit loss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(17,295)</w:t>
            </w: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(19,635)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(8,853)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(5,151)</w:t>
            </w: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(13,865)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(11,164)</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(6,884)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(6,967)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(19,363)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(4,432)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(7,233)</w:t>
            </w: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proceeds for sale of Global Pump Solutions business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(paid) received for acquisitions, net of cash acquired</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(97,615)</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(6,811)</w:t>
            </w:r>
          </w:p>
        </w:tc>
        <w:tc>
          <w:tcPr>
            <w:tcW w:w="0" w:type="dxa"/>
            <w:vAlign w:val="bottom"/>
          </w:tcPr>
          <w:p>
            <w:pPr>
              <w:spacing w:after="0"/>
              <w:rPr>
                <w:sz w:val="1"/>
                <w:szCs w:val="1"/>
                <w:color w:val="auto"/>
              </w:rPr>
            </w:pPr>
          </w:p>
        </w:tc>
      </w:tr>
      <w:tr>
        <w:trPr>
          <w:trHeight w:val="19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(142,300)</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(23,200)</w:t>
            </w: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(5,198)</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(2,050)</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Earnout payments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(1,672)</w:t>
            </w:r>
          </w:p>
        </w:tc>
        <w:tc>
          <w:tcPr>
            <w:tcW w:w="0" w:type="dxa"/>
            <w:vAlign w:val="bottom"/>
          </w:tcPr>
          <w:p>
            <w:pPr>
              <w:spacing w:after="0"/>
              <w:rPr>
                <w:sz w:val="1"/>
                <w:szCs w:val="1"/>
                <w:color w:val="auto"/>
              </w:rPr>
            </w:pPr>
          </w:p>
        </w:tc>
      </w:tr>
      <w:tr>
        <w:trPr>
          <w:trHeight w:val="18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 purchase</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 and exercise of stock options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0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(16,565)</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(18,534)</w:t>
            </w:r>
          </w:p>
        </w:tc>
        <w:tc>
          <w:tcPr>
            <w:tcW w:w="0" w:type="dxa"/>
            <w:vAlign w:val="bottom"/>
          </w:tcPr>
          <w:p>
            <w:pPr>
              <w:spacing w:after="0"/>
              <w:rPr>
                <w:sz w:val="1"/>
                <w:szCs w:val="1"/>
                <w:color w:val="auto"/>
              </w:rPr>
            </w:pPr>
          </w:p>
        </w:tc>
      </w:tr>
      <w:tr>
        <w:trPr>
          <w:trHeight w:val="20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36,909</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0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10,940</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18,642</w:t>
            </w:r>
          </w:p>
        </w:tc>
        <w:tc>
          <w:tcPr>
            <w:tcW w:w="160" w:type="dxa"/>
            <w:vAlign w:val="bottom"/>
          </w:tcPr>
          <w:p>
            <w:pPr>
              <w:spacing w:after="0"/>
              <w:rPr>
                <w:sz w:val="15"/>
                <w:szCs w:val="15"/>
                <w:color w:val="auto"/>
              </w:rPr>
            </w:pPr>
          </w:p>
        </w:tc>
        <w:tc>
          <w:tcPr>
            <w:tcW w:w="8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7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-3856990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-3333750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-1636395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-1096645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-1079500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-814070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-796290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560" w:type="dxa"/>
            <w:vAlign w:val="bottom"/>
          </w:tcPr>
          <w:p>
            <w:pPr>
              <w:spacing w:after="0"/>
              <w:rPr>
                <w:sz w:val="15"/>
                <w:szCs w:val="15"/>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40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9.8%</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6.4%</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expenses</w:t>
            </w: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operating (income) expense, net</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5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9.9%</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9.2%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8.6%</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760" w:right="260" w:hanging="3"/>
        <w:spacing w:after="0" w:line="266" w:lineRule="auto"/>
        <w:tabs>
          <w:tab w:leader="none" w:pos="10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non-recurring expenses, including fair value adjustment of earn-out liabilities from the acquisitions of WK Group, restructuring expenses primarily relating to severance, facility exits, and associated legal expenses, asbestos litigation expenses relating to future settlement payments, and third party professional consulting fees associated with Enterprise Resource Planning system implementations.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0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5"/>
                <w:szCs w:val="15"/>
                <w:color w:val="auto"/>
              </w:rPr>
            </w:pPr>
          </w:p>
        </w:tc>
        <w:tc>
          <w:tcPr>
            <w:tcW w:w="322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3"/>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34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9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as reported in accordance with GAAP</w:t>
            </w:r>
          </w:p>
        </w:tc>
        <w:tc>
          <w:tcPr>
            <w:tcW w:w="7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expenses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r>
      <w:tr>
        <w:trPr>
          <w:trHeight w:val="21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FF0FC"/>
          </w:tcPr>
          <w:p>
            <w:pPr>
              <w:spacing w:after="0"/>
              <w:rPr>
                <w:sz w:val="18"/>
                <w:szCs w:val="18"/>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r>
      <w:tr>
        <w:trPr>
          <w:trHeight w:val="21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FF0FC"/>
          </w:tcPr>
          <w:p>
            <w:pPr>
              <w:spacing w:after="0"/>
              <w:rPr>
                <w:sz w:val="18"/>
                <w:szCs w:val="18"/>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36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Non-GAAP net income</w:t>
            </w:r>
          </w:p>
        </w:tc>
        <w:tc>
          <w:tcPr>
            <w:tcW w:w="340" w:type="dxa"/>
            <w:vAlign w:val="bottom"/>
          </w:tcPr>
          <w:p>
            <w:pPr>
              <w:spacing w:after="0"/>
              <w:rPr>
                <w:sz w:val="17"/>
                <w:szCs w:val="17"/>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7"/>
                <w:szCs w:val="17"/>
                <w:color w:val="auto"/>
              </w:rPr>
            </w:pPr>
          </w:p>
        </w:tc>
      </w:tr>
      <w:tr>
        <w:trPr>
          <w:trHeight w:val="21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r>
      <w:tr>
        <w:trPr>
          <w:trHeight w:val="203"/>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7"/>
                <w:szCs w:val="17"/>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r>
      <w:tr>
        <w:trPr>
          <w:trHeight w:val="19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7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FF0FC"/>
          </w:tcPr>
          <w:p>
            <w:pPr>
              <w:spacing w:after="0"/>
              <w:rPr>
                <w:sz w:val="17"/>
                <w:szCs w:val="17"/>
                <w:color w:val="auto"/>
              </w:rPr>
            </w:pPr>
          </w:p>
        </w:tc>
      </w:tr>
      <w:tr>
        <w:trPr>
          <w:trHeight w:val="202"/>
        </w:trPr>
        <w:tc>
          <w:tcPr>
            <w:tcW w:w="3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7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7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Non-GAAP net income per share:</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7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6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7"/>
                <w:szCs w:val="17"/>
                <w:color w:val="auto"/>
              </w:rPr>
            </w:pPr>
          </w:p>
        </w:tc>
      </w:tr>
      <w:tr>
        <w:trPr>
          <w:trHeight w:val="203"/>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7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-2099945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-2099945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-2099945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-2099945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5"/>
                <w:szCs w:val="15"/>
                <w:color w:val="auto"/>
              </w:rPr>
            </w:pPr>
          </w:p>
        </w:tc>
        <w:tc>
          <w:tcPr>
            <w:tcW w:w="326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(7.7)</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Tax payments for the sale of the Global Pump Solutions</w:t>
            </w:r>
          </w:p>
        </w:tc>
        <w:tc>
          <w:tcPr>
            <w:tcW w:w="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business</w:t>
            </w: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420" w:type="dxa"/>
            <w:vAlign w:val="bottom"/>
            <w:tcBorders>
              <w:bottom w:val="single" w:sz="8" w:color="CFF0FC"/>
            </w:tcBorders>
            <w:vMerge w:val="continue"/>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Free cash flow</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2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1"/>
        </w:trPr>
        <w:tc>
          <w:tcPr>
            <w:tcW w:w="3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-770890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-770890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-770890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-770890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2024 and may be included in subsequently filed Quarterly Reports on Form 10-Q, and include, but are not limited to: the effect of the divestiture of our Fluid Handling business on business relationships, operating results, and business generally, disruption of current plans and operations and potential difficulties in employee retention as a result of the transaction, diversion of management’s attention from ongoing business operations in connection with the integration of recent acquisitions, the amount of the costs, fees, expenses and other charges related to the transaction,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 the potential for fluctuations in prices for manufactured components and raw materials, including as a result of tariffs and surcharges, and rising energy costs; inflationary pressures relating to rising raw material costs and the cost of labor;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 considerations;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our ability to successfully realize the expected benefits of our restructuring program; economic and political conditions generally; our ability to optimize our business portfolio by identifying acquisition targets, executing upon any strategic acquisitions or divestitures, integrating acquired businesses and realizing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2025-07-29T06:10:27Z</dcterms:created>
  <dcterms:modified xsi:type="dcterms:W3CDTF">2025-07-29T06:10:27Z</dcterms:modified>
</cp:coreProperties>
</file>