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SCHEDULE 13D</w:t>
      </w:r>
    </w:p>
    <w:p>
      <w:pPr>
        <w:spacing w:after="0" w:line="24"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43"/>
        <w:spacing w:after="0"/>
        <w:rPr>
          <w:sz w:val="20"/>
          <w:szCs w:val="20"/>
          <w:color w:val="auto"/>
        </w:rPr>
      </w:pPr>
      <w:r>
        <w:rPr>
          <w:rFonts w:ascii="Arial" w:cs="Arial" w:eastAsia="Arial" w:hAnsi="Arial"/>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43"/>
        <w:spacing w:after="0"/>
        <w:rPr>
          <w:sz w:val="20"/>
          <w:szCs w:val="20"/>
          <w:color w:val="auto"/>
        </w:rPr>
      </w:pPr>
      <w:r>
        <w:rPr>
          <w:rFonts w:ascii="Arial" w:cs="Arial" w:eastAsia="Arial" w:hAnsi="Arial"/>
          <w:sz w:val="40"/>
          <w:szCs w:val="40"/>
          <w:b w:val="1"/>
          <w:bCs w:val="1"/>
          <w:color w:val="auto"/>
        </w:rPr>
        <w:t>CECO Environmental Corp.</w:t>
      </w:r>
    </w:p>
    <w:p>
      <w:pPr>
        <w:spacing w:after="0" w:line="3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125141101</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Jacob D. Smith</w:t>
      </w:r>
    </w:p>
    <w:p>
      <w:pPr>
        <w:spacing w:after="0" w:line="27"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Principal and General Counsel</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Luther King Capital Management Corporation</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301 Commerce Street, Suite 1600</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Fort Worth, Texas 76102</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(817) 332-3235</w:t>
      </w:r>
    </w:p>
    <w:p>
      <w:pPr>
        <w:spacing w:after="0" w:line="2"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(Name, Address and Telephone Number of Persons Authorized to Receive Notices and Communications)</w:t>
      </w:r>
    </w:p>
    <w:p>
      <w:pPr>
        <w:spacing w:after="0" w:line="192"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January 5, 2023</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Sections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4" w:lineRule="exact"/>
        <w:rPr>
          <w:sz w:val="24"/>
          <w:szCs w:val="24"/>
          <w:color w:val="auto"/>
        </w:rPr>
      </w:pPr>
    </w:p>
    <w:p>
      <w:pPr>
        <w:ind w:left="4" w:right="1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Section 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6"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Persons who response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82" w:right="499" w:bottom="1440" w:gutter="0" w:footer="0" w:header="0"/>
        </w:sectPr>
      </w:pPr>
    </w:p>
    <w:bookmarkStart w:id="1" w:name="page2"/>
    <w:bookmarkEnd w:id="1"/>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125141101</w:t>
      </w:r>
      <w:r>
        <w:rPr>
          <w:sz w:val="20"/>
          <w:szCs w:val="20"/>
          <w:color w:val="auto"/>
        </w:rPr>
        <w:tab/>
      </w:r>
      <w:r>
        <w:rPr>
          <w:rFonts w:ascii="Arial" w:cs="Arial" w:eastAsia="Arial" w:hAnsi="Arial"/>
          <w:sz w:val="16"/>
          <w:szCs w:val="16"/>
          <w:color w:val="auto"/>
        </w:rPr>
        <w:t>Page 2 of 9</w:t>
      </w:r>
    </w:p>
    <w:p>
      <w:pPr>
        <w:spacing w:after="0" w:line="171" w:lineRule="exact"/>
        <w:rPr>
          <w:sz w:val="20"/>
          <w:szCs w:val="20"/>
          <w:color w:val="auto"/>
        </w:rPr>
      </w:pPr>
    </w:p>
    <w:p>
      <w:pPr>
        <w:ind w:left="660" w:hanging="41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LKCM Private Discipline Master Fund, SPC</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Cayman Islands</w:t>
      </w:r>
    </w:p>
    <w:p>
      <w:pPr>
        <w:spacing w:after="0" w:line="36" w:lineRule="exact"/>
        <w:rPr>
          <w:sz w:val="20"/>
          <w:szCs w:val="20"/>
          <w:color w:val="auto"/>
        </w:rPr>
      </w:pPr>
    </w:p>
    <w:p>
      <w:pPr>
        <w:ind w:left="1740" w:hanging="426"/>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1,620,925</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1,620,925</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7" w:lineRule="auto"/>
        <w:tabs>
          <w:tab w:leader="none" w:pos="1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5580" w:hanging="507"/>
        <w:spacing w:after="0" w:line="406"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1,620,925</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500" w:hanging="507"/>
        <w:spacing w:after="0" w:line="40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4.7%</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125141101</w:t>
      </w:r>
      <w:r>
        <w:rPr>
          <w:sz w:val="20"/>
          <w:szCs w:val="20"/>
          <w:color w:val="auto"/>
        </w:rPr>
        <w:tab/>
      </w:r>
      <w:r>
        <w:rPr>
          <w:rFonts w:ascii="Arial" w:cs="Arial" w:eastAsia="Arial" w:hAnsi="Arial"/>
          <w:sz w:val="16"/>
          <w:szCs w:val="16"/>
          <w:color w:val="auto"/>
        </w:rPr>
        <w:t>Page 3 of 9</w:t>
      </w:r>
    </w:p>
    <w:p>
      <w:pPr>
        <w:spacing w:after="0" w:line="171" w:lineRule="exact"/>
        <w:rPr>
          <w:sz w:val="20"/>
          <w:szCs w:val="20"/>
          <w:color w:val="auto"/>
        </w:rPr>
      </w:pPr>
    </w:p>
    <w:p>
      <w:pPr>
        <w:ind w:left="660" w:right="7780" w:hanging="417"/>
        <w:spacing w:after="0" w:line="45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Reporting Persons. LKCM Micro-Cap Partnership, L.P.</w:t>
      </w:r>
    </w:p>
    <w:p>
      <w:pPr>
        <w:spacing w:after="0" w:line="1" w:lineRule="exact"/>
        <w:rPr>
          <w:rFonts w:ascii="Arial" w:cs="Arial" w:eastAsia="Arial" w:hAnsi="Arial"/>
          <w:sz w:val="16"/>
          <w:szCs w:val="16"/>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hanging="4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49,889</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49,889</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7" w:lineRule="auto"/>
        <w:tabs>
          <w:tab w:leader="none" w:pos="1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5580" w:hanging="507"/>
        <w:spacing w:after="0" w:line="406"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49,889</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500" w:hanging="507"/>
        <w:spacing w:after="0" w:line="40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125141101</w:t>
      </w:r>
      <w:r>
        <w:rPr>
          <w:sz w:val="20"/>
          <w:szCs w:val="20"/>
          <w:color w:val="auto"/>
        </w:rPr>
        <w:tab/>
      </w:r>
      <w:r>
        <w:rPr>
          <w:rFonts w:ascii="Arial" w:cs="Arial" w:eastAsia="Arial" w:hAnsi="Arial"/>
          <w:sz w:val="16"/>
          <w:szCs w:val="16"/>
          <w:color w:val="auto"/>
        </w:rPr>
        <w:t>Page 4 of 9</w:t>
      </w:r>
    </w:p>
    <w:p>
      <w:pPr>
        <w:spacing w:after="0" w:line="171" w:lineRule="exact"/>
        <w:rPr>
          <w:sz w:val="20"/>
          <w:szCs w:val="20"/>
          <w:color w:val="auto"/>
        </w:rPr>
      </w:pPr>
    </w:p>
    <w:p>
      <w:pPr>
        <w:jc w:val="both"/>
        <w:ind w:left="660" w:right="8300" w:hanging="417"/>
        <w:spacing w:after="0" w:line="45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Reporting Persons. LKCM Core Discipline, L.P.</w:t>
      </w:r>
    </w:p>
    <w:p>
      <w:pPr>
        <w:spacing w:after="0" w:line="1" w:lineRule="exact"/>
        <w:rPr>
          <w:rFonts w:ascii="Arial" w:cs="Arial" w:eastAsia="Arial" w:hAnsi="Arial"/>
          <w:sz w:val="16"/>
          <w:szCs w:val="16"/>
          <w:color w:val="auto"/>
        </w:rPr>
      </w:pPr>
    </w:p>
    <w:p>
      <w:pPr>
        <w:ind w:left="660" w:hanging="41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hanging="4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19,105</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19,105</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7" w:lineRule="auto"/>
        <w:tabs>
          <w:tab w:leader="none" w:pos="1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5580" w:hanging="507"/>
        <w:spacing w:after="0" w:line="406"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19,105</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500" w:hanging="507"/>
        <w:spacing w:after="0" w:line="40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125141101</w:t>
      </w:r>
      <w:r>
        <w:rPr>
          <w:sz w:val="20"/>
          <w:szCs w:val="20"/>
          <w:color w:val="auto"/>
        </w:rPr>
        <w:tab/>
      </w:r>
      <w:r>
        <w:rPr>
          <w:rFonts w:ascii="Arial" w:cs="Arial" w:eastAsia="Arial" w:hAnsi="Arial"/>
          <w:sz w:val="16"/>
          <w:szCs w:val="16"/>
          <w:color w:val="auto"/>
        </w:rPr>
        <w:t>Page 5 of 9</w:t>
      </w:r>
    </w:p>
    <w:p>
      <w:pPr>
        <w:spacing w:after="0" w:line="200" w:lineRule="exact"/>
        <w:rPr>
          <w:sz w:val="20"/>
          <w:szCs w:val="20"/>
          <w:color w:val="auto"/>
        </w:rPr>
      </w:pPr>
    </w:p>
    <w:p>
      <w:pPr>
        <w:spacing w:after="0" w:line="214" w:lineRule="exact"/>
        <w:rPr>
          <w:sz w:val="20"/>
          <w:szCs w:val="20"/>
          <w:color w:val="auto"/>
        </w:rPr>
      </w:pPr>
    </w:p>
    <w:p>
      <w:pPr>
        <w:ind w:left="660" w:hanging="4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Luther King Capital Management Corporation</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7860" w:hanging="417"/>
        <w:spacing w:after="0" w:line="40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1" w:lineRule="exact"/>
        <w:rPr>
          <w:rFonts w:ascii="Arial" w:cs="Arial" w:eastAsia="Arial" w:hAnsi="Arial"/>
          <w:sz w:val="18"/>
          <w:szCs w:val="18"/>
          <w:color w:val="auto"/>
        </w:rPr>
      </w:pPr>
    </w:p>
    <w:p>
      <w:pPr>
        <w:ind w:left="660" w:hanging="41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7740" w:hanging="417"/>
        <w:spacing w:after="0" w:line="40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740" w:hanging="426"/>
        <w:spacing w:after="0"/>
        <w:tabs>
          <w:tab w:leader="none" w:pos="1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1,689,919</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1,689,919</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7" w:lineRule="auto"/>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5580" w:hanging="507"/>
        <w:spacing w:after="0" w:line="406" w:lineRule="auto"/>
        <w:tabs>
          <w:tab w:leader="none" w:pos="6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1,689,919</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500" w:hanging="507"/>
        <w:spacing w:after="0" w:line="40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4.9%</w:t>
      </w:r>
    </w:p>
    <w:p>
      <w:pPr>
        <w:spacing w:after="0" w:line="1" w:lineRule="exact"/>
        <w:rPr>
          <w:rFonts w:ascii="Arial" w:cs="Arial" w:eastAsia="Arial" w:hAnsi="Arial"/>
          <w:sz w:val="18"/>
          <w:szCs w:val="18"/>
          <w:color w:val="auto"/>
        </w:rPr>
      </w:pPr>
    </w:p>
    <w:p>
      <w:pPr>
        <w:ind w:left="660" w:right="7200" w:hanging="507"/>
        <w:spacing w:after="0" w:line="559" w:lineRule="auto"/>
        <w:tabs>
          <w:tab w:leader="none" w:pos="6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 IA, CO</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125141101</w:t>
      </w:r>
      <w:r>
        <w:rPr>
          <w:sz w:val="20"/>
          <w:szCs w:val="20"/>
          <w:color w:val="auto"/>
        </w:rPr>
        <w:tab/>
      </w:r>
      <w:r>
        <w:rPr>
          <w:rFonts w:ascii="Arial" w:cs="Arial" w:eastAsia="Arial" w:hAnsi="Arial"/>
          <w:sz w:val="16"/>
          <w:szCs w:val="16"/>
          <w:color w:val="auto"/>
        </w:rPr>
        <w:t>Page 6 of 9</w:t>
      </w:r>
    </w:p>
    <w:p>
      <w:pPr>
        <w:spacing w:after="0" w:line="200" w:lineRule="exact"/>
        <w:rPr>
          <w:sz w:val="20"/>
          <w:szCs w:val="20"/>
          <w:color w:val="auto"/>
        </w:rPr>
      </w:pPr>
    </w:p>
    <w:p>
      <w:pPr>
        <w:spacing w:after="0" w:line="214" w:lineRule="exact"/>
        <w:rPr>
          <w:sz w:val="20"/>
          <w:szCs w:val="20"/>
          <w:color w:val="auto"/>
        </w:rPr>
      </w:pPr>
    </w:p>
    <w:p>
      <w:pPr>
        <w:ind w:left="660" w:right="8320" w:hanging="417"/>
        <w:spacing w:after="0" w:line="457"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Name of Reporting Persons. J. Luther King, Jr.</w:t>
      </w:r>
    </w:p>
    <w:p>
      <w:pPr>
        <w:spacing w:after="0" w:line="1" w:lineRule="exact"/>
        <w:rPr>
          <w:rFonts w:ascii="Arial" w:cs="Arial" w:eastAsia="Arial" w:hAnsi="Arial"/>
          <w:sz w:val="16"/>
          <w:szCs w:val="16"/>
          <w:color w:val="auto"/>
        </w:rPr>
      </w:pPr>
    </w:p>
    <w:p>
      <w:pPr>
        <w:ind w:left="660" w:hanging="41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hanging="41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36" w:lineRule="exact"/>
        <w:rPr>
          <w:rFonts w:ascii="Arial" w:cs="Arial" w:eastAsia="Arial" w:hAnsi="Arial"/>
          <w:sz w:val="18"/>
          <w:szCs w:val="18"/>
          <w:color w:val="auto"/>
        </w:rPr>
      </w:pPr>
    </w:p>
    <w:p>
      <w:pPr>
        <w:ind w:left="660" w:hanging="41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7740" w:hanging="417"/>
        <w:spacing w:after="0" w:line="40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1" w:lineRule="exact"/>
        <w:rPr>
          <w:rFonts w:ascii="Arial" w:cs="Arial" w:eastAsia="Arial" w:hAnsi="Arial"/>
          <w:sz w:val="18"/>
          <w:szCs w:val="18"/>
          <w:color w:val="auto"/>
        </w:rPr>
      </w:pPr>
    </w:p>
    <w:p>
      <w:pPr>
        <w:ind w:left="1740" w:hanging="426"/>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1,689,919</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1,689,919</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7" w:lineRule="auto"/>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5580" w:hanging="507"/>
        <w:spacing w:after="0" w:line="406"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1,689,919</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500" w:hanging="507"/>
        <w:spacing w:after="0" w:line="40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4.9%</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1020"/>
          </w:cols>
          <w:pgMar w:left="440" w:top="274" w:right="439" w:bottom="1440" w:gutter="0" w:footer="0" w:header="0"/>
        </w:sectPr>
      </w:pPr>
    </w:p>
    <w:bookmarkStart w:id="6" w:name="page7"/>
    <w:bookmarkEnd w:id="6"/>
    <w:p>
      <w:pPr>
        <w:spacing w:after="0"/>
        <w:tabs>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125141101</w:t>
      </w:r>
      <w:r>
        <w:rPr>
          <w:sz w:val="20"/>
          <w:szCs w:val="20"/>
          <w:color w:val="auto"/>
        </w:rPr>
        <w:tab/>
      </w:r>
      <w:r>
        <w:rPr>
          <w:rFonts w:ascii="Arial" w:cs="Arial" w:eastAsia="Arial" w:hAnsi="Arial"/>
          <w:sz w:val="16"/>
          <w:szCs w:val="16"/>
          <w:color w:val="auto"/>
        </w:rPr>
        <w:t>Page 7 of 9</w:t>
      </w:r>
    </w:p>
    <w:p>
      <w:pPr>
        <w:spacing w:after="0" w:line="200" w:lineRule="exact"/>
        <w:rPr>
          <w:sz w:val="20"/>
          <w:szCs w:val="20"/>
          <w:color w:val="auto"/>
        </w:rPr>
      </w:pPr>
    </w:p>
    <w:p>
      <w:pPr>
        <w:spacing w:after="0" w:line="214" w:lineRule="exact"/>
        <w:rPr>
          <w:sz w:val="20"/>
          <w:szCs w:val="20"/>
          <w:color w:val="auto"/>
        </w:rPr>
      </w:pPr>
    </w:p>
    <w:p>
      <w:pPr>
        <w:ind w:left="660" w:right="8320" w:hanging="417"/>
        <w:spacing w:after="0" w:line="40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 J. Bryan King</w:t>
      </w:r>
    </w:p>
    <w:p>
      <w:pPr>
        <w:spacing w:after="0" w:line="1" w:lineRule="exact"/>
        <w:rPr>
          <w:rFonts w:ascii="Arial" w:cs="Arial" w:eastAsia="Arial" w:hAnsi="Arial"/>
          <w:sz w:val="18"/>
          <w:szCs w:val="18"/>
          <w:color w:val="auto"/>
        </w:rPr>
      </w:pPr>
    </w:p>
    <w:p>
      <w:pPr>
        <w:ind w:left="660" w:hanging="4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7860" w:hanging="417"/>
        <w:spacing w:after="0" w:line="40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1" w:lineRule="exact"/>
        <w:rPr>
          <w:rFonts w:ascii="Arial" w:cs="Arial" w:eastAsia="Arial" w:hAnsi="Arial"/>
          <w:sz w:val="18"/>
          <w:szCs w:val="18"/>
          <w:color w:val="auto"/>
        </w:rPr>
      </w:pPr>
    </w:p>
    <w:p>
      <w:pPr>
        <w:ind w:left="660" w:hanging="41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7740" w:hanging="417"/>
        <w:spacing w:after="0" w:line="40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1" w:lineRule="exact"/>
        <w:rPr>
          <w:rFonts w:ascii="Arial" w:cs="Arial" w:eastAsia="Arial" w:hAnsi="Arial"/>
          <w:sz w:val="18"/>
          <w:szCs w:val="18"/>
          <w:color w:val="auto"/>
        </w:rPr>
      </w:pPr>
    </w:p>
    <w:p>
      <w:pPr>
        <w:ind w:left="1740" w:hanging="426"/>
        <w:spacing w:after="0"/>
        <w:tabs>
          <w:tab w:leader="none" w:pos="1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1,689,919</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1,689,919</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7"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0" w:right="5580" w:hanging="507"/>
        <w:spacing w:after="0" w:line="406" w:lineRule="auto"/>
        <w:tabs>
          <w:tab w:leader="none" w:pos="6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1,689,919</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500" w:hanging="507"/>
        <w:spacing w:after="0" w:line="40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4.9%</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1020"/>
          </w:cols>
          <w:pgMar w:left="440" w:top="274" w:right="439" w:bottom="1440" w:gutter="0" w:footer="0" w:header="0"/>
        </w:sectPr>
      </w:pPr>
    </w:p>
    <w:bookmarkStart w:id="7" w:name="page8"/>
    <w:bookmarkEnd w:id="7"/>
    <w:p>
      <w:pPr>
        <w:ind w:left="4"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No. 6 to Schedule 13D amends and supplements the Schedule 13D filed by the Reporting Persons with respect to the Common Stock, par value $0.01 per share (“Common Stock”), of CECO Environmental Corp., a Delaware corporation (the “Issuer”). Except as set forth below, all previous Items remain unchanged. Capitalized terms used herein but not defined herein shall have the meanings given to them in the Schedule 13D, as amended, filed with the Securities and Exchange Commission. Each of the Reporting Persons hereby expressly disclaims membership in a “group” under the Securities Exchange Act of 1934 with respect to the securities reported herein, and this Schedule 13D shall not be deemed to be an admission that any such Reporting Person is a member of such a group. Each of the Reporting Persons hereby expressly disclaims beneficial ownership of the securities reported herein, other than to the extent of its pecuniary interest therein, and this Schedule 13D shall not be deemed to be an admission that any such Reporting Person is the beneficial owner of the securities reported herein for purposes of the Securities Exchange Act of 1934 or for any other purpose.</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 is hereby amended and restated as follows:</w:t>
      </w:r>
    </w:p>
    <w:p>
      <w:pPr>
        <w:spacing w:after="0" w:line="117" w:lineRule="exact"/>
        <w:rPr>
          <w:sz w:val="20"/>
          <w:szCs w:val="20"/>
          <w:color w:val="auto"/>
        </w:rPr>
      </w:pPr>
    </w:p>
    <w:p>
      <w:pPr>
        <w:ind w:left="4" w:hanging="4"/>
        <w:spacing w:after="0" w:line="263"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January 5, 2023, the Reporting Persons may be deemed to beneficially own 1,689,919 shares of Common Stock (which represents approximately 4.9% of the outstanding Common Stock based upon information contained in the Issuer’s Form 10-Q for the period ended September 30, 2022).</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(b)</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Sole</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Shared</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Sole</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Shared</w:t>
            </w:r>
          </w:p>
        </w:tc>
      </w:tr>
      <w:tr>
        <w:trPr>
          <w:trHeight w:val="148"/>
        </w:trPr>
        <w:tc>
          <w:tcPr>
            <w:tcW w:w="61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Voting</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Voting</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8"/>
              </w:rPr>
              <w:t>Dispositive</w:t>
            </w:r>
          </w:p>
        </w:tc>
      </w:tr>
      <w:tr>
        <w:trPr>
          <w:trHeight w:val="171"/>
        </w:trPr>
        <w:tc>
          <w:tcPr>
            <w:tcW w:w="61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Power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Power</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Power</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Power</w:t>
            </w: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PDP</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1,620,925</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1,620,925</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Micro</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49,889</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49,889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Core</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19,105</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19,105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LKCM</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1,689,919</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1,689,919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 Luther King, Jr.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1,689,919</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1,689,919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J. Bryan King</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1,689,919</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1,689,919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(c) During the past sixty days, the Reporting Persons sold the following shares of Common Stock in open market transactions.</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Date</w:t>
            </w:r>
          </w:p>
        </w:tc>
        <w:tc>
          <w:tcPr>
            <w:tcW w:w="3120" w:type="dxa"/>
            <w:vAlign w:val="bottom"/>
          </w:tcPr>
          <w:p>
            <w:pPr>
              <w:spacing w:after="0"/>
              <w:rPr>
                <w:sz w:val="16"/>
                <w:szCs w:val="16"/>
                <w:color w:val="auto"/>
              </w:rPr>
            </w:pPr>
          </w:p>
        </w:tc>
        <w:tc>
          <w:tcPr>
            <w:tcW w:w="4060" w:type="dxa"/>
            <w:vAlign w:val="bottom"/>
            <w:gridSpan w:val="3"/>
          </w:tcPr>
          <w:p>
            <w:pPr>
              <w:ind w:left="2600"/>
              <w:spacing w:after="0"/>
              <w:rPr>
                <w:sz w:val="20"/>
                <w:szCs w:val="20"/>
                <w:color w:val="auto"/>
              </w:rPr>
            </w:pPr>
            <w:r>
              <w:rPr>
                <w:rFonts w:ascii="Arial" w:cs="Arial" w:eastAsia="Arial" w:hAnsi="Arial"/>
                <w:sz w:val="14"/>
                <w:szCs w:val="14"/>
                <w:color w:val="auto"/>
              </w:rPr>
              <w:t>Reporting Person</w:t>
            </w:r>
          </w:p>
        </w:tc>
        <w:tc>
          <w:tcPr>
            <w:tcW w:w="540" w:type="dxa"/>
            <w:vAlign w:val="bottom"/>
          </w:tcPr>
          <w:p>
            <w:pPr>
              <w:jc w:val="right"/>
              <w:spacing w:after="0"/>
              <w:rPr>
                <w:sz w:val="20"/>
                <w:szCs w:val="20"/>
                <w:color w:val="auto"/>
              </w:rPr>
            </w:pPr>
            <w:r>
              <w:rPr>
                <w:rFonts w:ascii="Arial" w:cs="Arial" w:eastAsia="Arial" w:hAnsi="Arial"/>
                <w:sz w:val="14"/>
                <w:szCs w:val="14"/>
                <w:color w:val="auto"/>
                <w:w w:val="99"/>
              </w:rPr>
              <w:t>Shares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Price</w:t>
            </w:r>
          </w:p>
        </w:tc>
      </w:tr>
      <w:tr>
        <w:trPr>
          <w:trHeight w:val="203"/>
        </w:trPr>
        <w:tc>
          <w:tcPr>
            <w:tcW w:w="3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11/10/2022</w:t>
            </w:r>
          </w:p>
        </w:tc>
        <w:tc>
          <w:tcPr>
            <w:tcW w:w="26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PDP</w:t>
            </w: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2,723</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12.1053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11/11/2022</w:t>
            </w:r>
          </w:p>
        </w:tc>
        <w:tc>
          <w:tcPr>
            <w:tcW w:w="4060" w:type="dxa"/>
            <w:vAlign w:val="bottom"/>
            <w:gridSpan w:val="3"/>
          </w:tcPr>
          <w:p>
            <w:pPr>
              <w:ind w:left="2600"/>
              <w:spacing w:after="0"/>
              <w:rPr>
                <w:sz w:val="20"/>
                <w:szCs w:val="20"/>
                <w:color w:val="auto"/>
              </w:rPr>
            </w:pPr>
            <w:r>
              <w:rPr>
                <w:rFonts w:ascii="Arial" w:cs="Arial" w:eastAsia="Arial" w:hAnsi="Arial"/>
                <w:sz w:val="18"/>
                <w:szCs w:val="18"/>
                <w:color w:val="auto"/>
              </w:rPr>
              <w:t>PDP</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14,277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12.0278</w:t>
            </w:r>
          </w:p>
        </w:tc>
        <w:tc>
          <w:tcPr>
            <w:tcW w:w="60" w:type="dxa"/>
            <w:vAlign w:val="bottom"/>
          </w:tcPr>
          <w:p>
            <w:pPr>
              <w:spacing w:after="0"/>
              <w:rPr>
                <w:sz w:val="18"/>
                <w:szCs w:val="18"/>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12/12/2022</w:t>
            </w:r>
          </w:p>
        </w:tc>
        <w:tc>
          <w:tcPr>
            <w:tcW w:w="406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Micro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12/12/2022</w:t>
            </w:r>
          </w:p>
        </w:tc>
        <w:tc>
          <w:tcPr>
            <w:tcW w:w="4060" w:type="dxa"/>
            <w:vAlign w:val="bottom"/>
            <w:gridSpan w:val="3"/>
          </w:tcPr>
          <w:p>
            <w:pPr>
              <w:ind w:left="2600"/>
              <w:spacing w:after="0"/>
              <w:rPr>
                <w:sz w:val="20"/>
                <w:szCs w:val="20"/>
                <w:color w:val="auto"/>
              </w:rPr>
            </w:pPr>
            <w:r>
              <w:rPr>
                <w:rFonts w:ascii="Arial" w:cs="Arial" w:eastAsia="Arial" w:hAnsi="Arial"/>
                <w:sz w:val="18"/>
                <w:szCs w:val="18"/>
                <w:color w:val="auto"/>
              </w:rPr>
              <w:t>Core</w:t>
            </w:r>
          </w:p>
        </w:tc>
        <w:tc>
          <w:tcPr>
            <w:tcW w:w="540" w:type="dxa"/>
            <w:vAlign w:val="bottom"/>
          </w:tcPr>
          <w:p>
            <w:pPr>
              <w:jc w:val="right"/>
              <w:spacing w:after="0"/>
              <w:rPr>
                <w:sz w:val="20"/>
                <w:szCs w:val="20"/>
                <w:color w:val="auto"/>
              </w:rPr>
            </w:pPr>
            <w:r>
              <w:rPr>
                <w:rFonts w:ascii="Arial" w:cs="Arial" w:eastAsia="Arial" w:hAnsi="Arial"/>
                <w:sz w:val="18"/>
                <w:szCs w:val="18"/>
                <w:color w:val="auto"/>
              </w:rPr>
              <w:t>260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12.50</w:t>
            </w:r>
          </w:p>
        </w:tc>
        <w:tc>
          <w:tcPr>
            <w:tcW w:w="60" w:type="dxa"/>
            <w:vAlign w:val="bottom"/>
          </w:tcPr>
          <w:p>
            <w:pPr>
              <w:spacing w:after="0"/>
              <w:rPr>
                <w:sz w:val="18"/>
                <w:szCs w:val="18"/>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12/12/2022</w:t>
            </w:r>
          </w:p>
        </w:tc>
        <w:tc>
          <w:tcPr>
            <w:tcW w:w="406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PDP</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12/14/2022</w:t>
            </w:r>
          </w:p>
        </w:tc>
        <w:tc>
          <w:tcPr>
            <w:tcW w:w="4060" w:type="dxa"/>
            <w:vAlign w:val="bottom"/>
            <w:gridSpan w:val="3"/>
          </w:tcPr>
          <w:p>
            <w:pPr>
              <w:ind w:left="2600"/>
              <w:spacing w:after="0"/>
              <w:rPr>
                <w:sz w:val="20"/>
                <w:szCs w:val="20"/>
                <w:color w:val="auto"/>
              </w:rPr>
            </w:pPr>
            <w:r>
              <w:rPr>
                <w:rFonts w:ascii="Arial" w:cs="Arial" w:eastAsia="Arial" w:hAnsi="Arial"/>
                <w:sz w:val="18"/>
                <w:szCs w:val="18"/>
                <w:color w:val="auto"/>
              </w:rPr>
              <w:t>Micro</w:t>
            </w:r>
          </w:p>
        </w:tc>
        <w:tc>
          <w:tcPr>
            <w:tcW w:w="540" w:type="dxa"/>
            <w:vAlign w:val="bottom"/>
          </w:tcPr>
          <w:p>
            <w:pPr>
              <w:jc w:val="right"/>
              <w:spacing w:after="0"/>
              <w:rPr>
                <w:sz w:val="20"/>
                <w:szCs w:val="20"/>
                <w:color w:val="auto"/>
              </w:rPr>
            </w:pPr>
            <w:r>
              <w:rPr>
                <w:rFonts w:ascii="Arial" w:cs="Arial" w:eastAsia="Arial" w:hAnsi="Arial"/>
                <w:sz w:val="18"/>
                <w:szCs w:val="18"/>
                <w:color w:val="auto"/>
              </w:rPr>
              <w:t>6,875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12.5515</w:t>
            </w:r>
          </w:p>
        </w:tc>
        <w:tc>
          <w:tcPr>
            <w:tcW w:w="60" w:type="dxa"/>
            <w:vAlign w:val="bottom"/>
          </w:tcPr>
          <w:p>
            <w:pPr>
              <w:spacing w:after="0"/>
              <w:rPr>
                <w:sz w:val="18"/>
                <w:szCs w:val="18"/>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12/14/2022</w:t>
            </w:r>
          </w:p>
        </w:tc>
        <w:tc>
          <w:tcPr>
            <w:tcW w:w="406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PDP</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31,347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12.5515</w:t>
            </w:r>
          </w:p>
        </w:tc>
        <w:tc>
          <w:tcPr>
            <w:tcW w:w="60" w:type="dxa"/>
            <w:vAlign w:val="bottom"/>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12/14/2022</w:t>
            </w:r>
          </w:p>
        </w:tc>
        <w:tc>
          <w:tcPr>
            <w:tcW w:w="4060" w:type="dxa"/>
            <w:vAlign w:val="bottom"/>
            <w:gridSpan w:val="3"/>
          </w:tcPr>
          <w:p>
            <w:pPr>
              <w:ind w:left="2600"/>
              <w:spacing w:after="0"/>
              <w:rPr>
                <w:sz w:val="20"/>
                <w:szCs w:val="20"/>
                <w:color w:val="auto"/>
              </w:rPr>
            </w:pPr>
            <w:r>
              <w:rPr>
                <w:rFonts w:ascii="Arial" w:cs="Arial" w:eastAsia="Arial" w:hAnsi="Arial"/>
                <w:sz w:val="18"/>
                <w:szCs w:val="18"/>
                <w:color w:val="auto"/>
              </w:rPr>
              <w:t>Core</w:t>
            </w:r>
          </w:p>
        </w:tc>
        <w:tc>
          <w:tcPr>
            <w:tcW w:w="540" w:type="dxa"/>
            <w:vAlign w:val="bottom"/>
          </w:tcPr>
          <w:p>
            <w:pPr>
              <w:jc w:val="right"/>
              <w:spacing w:after="0"/>
              <w:rPr>
                <w:sz w:val="20"/>
                <w:szCs w:val="20"/>
                <w:color w:val="auto"/>
              </w:rPr>
            </w:pPr>
            <w:r>
              <w:rPr>
                <w:rFonts w:ascii="Arial" w:cs="Arial" w:eastAsia="Arial" w:hAnsi="Arial"/>
                <w:sz w:val="18"/>
                <w:szCs w:val="18"/>
                <w:color w:val="auto"/>
              </w:rPr>
              <w:t>1,540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12.5515</w:t>
            </w:r>
          </w:p>
        </w:tc>
        <w:tc>
          <w:tcPr>
            <w:tcW w:w="60" w:type="dxa"/>
            <w:vAlign w:val="bottom"/>
          </w:tcPr>
          <w:p>
            <w:pPr>
              <w:spacing w:after="0"/>
              <w:rPr>
                <w:sz w:val="18"/>
                <w:szCs w:val="18"/>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1/5/2023</w:t>
            </w:r>
          </w:p>
        </w:tc>
        <w:tc>
          <w:tcPr>
            <w:tcW w:w="406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Micro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60" w:type="dxa"/>
            <w:vAlign w:val="bottom"/>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1/5/2023</w:t>
            </w:r>
          </w:p>
        </w:tc>
        <w:tc>
          <w:tcPr>
            <w:tcW w:w="4060" w:type="dxa"/>
            <w:vAlign w:val="bottom"/>
            <w:gridSpan w:val="3"/>
          </w:tcPr>
          <w:p>
            <w:pPr>
              <w:ind w:left="2600"/>
              <w:spacing w:after="0"/>
              <w:rPr>
                <w:sz w:val="20"/>
                <w:szCs w:val="20"/>
                <w:color w:val="auto"/>
              </w:rPr>
            </w:pPr>
            <w:r>
              <w:rPr>
                <w:rFonts w:ascii="Arial" w:cs="Arial" w:eastAsia="Arial" w:hAnsi="Arial"/>
                <w:sz w:val="18"/>
                <w:szCs w:val="18"/>
                <w:color w:val="auto"/>
              </w:rPr>
              <w:t>PDP</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24,142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12.024</w:t>
            </w:r>
          </w:p>
        </w:tc>
        <w:tc>
          <w:tcPr>
            <w:tcW w:w="60" w:type="dxa"/>
            <w:vAlign w:val="bottom"/>
          </w:tcPr>
          <w:p>
            <w:pPr>
              <w:spacing w:after="0"/>
              <w:rPr>
                <w:sz w:val="18"/>
                <w:szCs w:val="18"/>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1/5/2023</w:t>
            </w:r>
          </w:p>
        </w:tc>
        <w:tc>
          <w:tcPr>
            <w:tcW w:w="406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Core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64" w:hanging="264"/>
        <w:spacing w:after="0"/>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4" w:right="160" w:hanging="4"/>
        <w:spacing w:after="0" w:line="277"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January 5, 2023, the Reporting Persons are no longer the beneficial owners of more than five percent of the issued and outstanding Common Stock.</w:t>
      </w:r>
    </w:p>
    <w:p>
      <w:pPr>
        <w:sectPr>
          <w:pgSz w:w="11900" w:h="16838" w:orient="portrait"/>
          <w:cols w:equalWidth="0" w:num="1">
            <w:col w:w="10964"/>
          </w:cols>
          <w:pgMar w:left="436" w:top="274" w:right="49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6,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LKCM Private Discipline Master Fund, SPC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LKCM Private Discipline Management, L.P., sole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holder of its management shares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LKCM Alternative Management, LLC, its general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 Bryan King, President</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LKCM Micro-Cap Partnership,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LKCM Micro-Cap Management, L.P., its general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LKCM Alternative Management, LLC, its general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 Bryan King, President</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LKCM Core Discipline,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LKCM Core Discipline Management, L.P., its general</w:t>
      </w:r>
    </w:p>
    <w:p>
      <w:pPr>
        <w:spacing w:after="0" w:line="4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LKCM Alternative Management, LLC, its general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 Bryan King, President</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Luther King Capital Management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 Bryan King, Principal and Vice President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 Bryan King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 Luther King,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 Luther King, Jr.</w:t>
      </w:r>
    </w:p>
    <w:sectPr>
      <w:pgSz w:w="11900" w:h="16838" w:orient="portrait"/>
      <w:cols w:equalWidth="0" w:num="1">
        <w:col w:w="10860"/>
      </w:cols>
      <w:pgMar w:left="440" w:top="27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7"/>
    </w:lvl>
  </w:abstractNum>
  <w:abstractNum w:abstractNumId="4">
    <w:nsid w:val="4E6AFB66"/>
    <w:multiLevelType w:val="hybridMultilevel"/>
    <w:lvl w:ilvl="0">
      <w:lvlJc w:val="left"/>
      <w:lvlText w:val="%1"/>
      <w:numFmt w:val="decimal"/>
      <w:start w:val="1"/>
    </w:lvl>
    <w:lvl w:ilvl="1">
      <w:lvlJc w:val="left"/>
      <w:lvlText w:val="%2."/>
      <w:numFmt w:val="decimal"/>
      <w:start w:val="10"/>
    </w:lvl>
  </w:abstractNum>
  <w:abstractNum w:abstractNumId="5">
    <w:nsid w:val="25E45D32"/>
    <w:multiLevelType w:val="hybridMultilevel"/>
    <w:lvl w:ilvl="0">
      <w:lvlJc w:val="left"/>
      <w:lvlText w:val="%1."/>
      <w:numFmt w:val="decimal"/>
      <w:start w:val="11"/>
    </w:lvl>
    <w:lvl w:ilvl="1">
      <w:lvlJc w:val="left"/>
      <w:lvlText w:val="%2"/>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1"/>
    </w:lvl>
    <w:lvl w:ilvl="1">
      <w:lvlJc w:val="left"/>
      <w:lvlText w:val="%2."/>
      <w:numFmt w:val="decimal"/>
      <w:start w:val="10"/>
    </w:lvl>
  </w:abstractNum>
  <w:abstractNum w:abstractNumId="9">
    <w:nsid w:val="7C83E458"/>
    <w:multiLevelType w:val="hybridMultilevel"/>
    <w:lvl w:ilvl="0">
      <w:lvlJc w:val="left"/>
      <w:lvlText w:val="%1."/>
      <w:numFmt w:val="decimal"/>
      <w:start w:val="11"/>
    </w:lvl>
    <w:lvl w:ilvl="1">
      <w:lvlJc w:val="left"/>
      <w:lvlText w:val="%2"/>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3"/>
    </w:lvl>
  </w:abstractNum>
  <w:abstractNum w:abstractNumId="12">
    <w:nsid w:val="436C6125"/>
    <w:multiLevelType w:val="hybridMultilevel"/>
    <w:lvl w:ilvl="0">
      <w:lvlJc w:val="left"/>
      <w:lvlText w:val="%1"/>
      <w:numFmt w:val="decimal"/>
      <w:start w:val="1"/>
    </w:lvl>
    <w:lvl w:ilvl="1">
      <w:lvlJc w:val="left"/>
      <w:lvlText w:val="%2."/>
      <w:numFmt w:val="decimal"/>
      <w:start w:val="10"/>
    </w:lvl>
  </w:abstractNum>
  <w:abstractNum w:abstractNumId="13">
    <w:nsid w:val="628C895D"/>
    <w:multiLevelType w:val="hybridMultilevel"/>
    <w:lvl w:ilvl="0">
      <w:lvlJc w:val="left"/>
      <w:lvlText w:val="%1."/>
      <w:numFmt w:val="decimal"/>
      <w:start w:val="11"/>
    </w:lvl>
    <w:lvl w:ilvl="1">
      <w:lvlJc w:val="left"/>
      <w:lvlText w:val="%2"/>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3"/>
    </w:lvl>
    <w:lvl w:ilvl="1">
      <w:lvlJc w:val="left"/>
      <w:lvlText w:val="%2."/>
      <w:numFmt w:val="decimal"/>
      <w:start w:val="7"/>
    </w:lvl>
  </w:abstractNum>
  <w:abstractNum w:abstractNumId="16">
    <w:nsid w:val="2443A858"/>
    <w:multiLevelType w:val="hybridMultilevel"/>
    <w:lvl w:ilvl="0">
      <w:lvlJc w:val="left"/>
      <w:lvlText w:val="%1"/>
      <w:numFmt w:val="decimal"/>
      <w:start w:val="1"/>
    </w:lvl>
    <w:lvl w:ilvl="1">
      <w:lvlJc w:val="left"/>
      <w:lvlText w:val="%2."/>
      <w:numFmt w:val="decimal"/>
      <w:start w:val="10"/>
    </w:lvl>
  </w:abstractNum>
  <w:abstractNum w:abstractNumId="17">
    <w:nsid w:val="2D1D5AE9"/>
    <w:multiLevelType w:val="hybridMultilevel"/>
    <w:lvl w:ilvl="0">
      <w:lvlJc w:val="left"/>
      <w:lvlText w:val="%1."/>
      <w:numFmt w:val="decimal"/>
      <w:start w:val="11"/>
    </w:lvl>
    <w:lvl w:ilvl="1">
      <w:lvlJc w:val="left"/>
      <w:lvlText w:val="%2"/>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3"/>
    </w:lvl>
    <w:lvl w:ilvl="1">
      <w:lvlJc w:val="left"/>
      <w:lvlText w:val="%2."/>
      <w:numFmt w:val="decimal"/>
      <w:start w:val="7"/>
    </w:lvl>
  </w:abstractNum>
  <w:abstractNum w:abstractNumId="20">
    <w:nsid w:val="8EDBDAB"/>
    <w:multiLevelType w:val="hybridMultilevel"/>
    <w:lvl w:ilvl="0">
      <w:lvlJc w:val="left"/>
      <w:lvlText w:val="%1"/>
      <w:numFmt w:val="decimal"/>
      <w:start w:val="1"/>
    </w:lvl>
    <w:lvl w:ilvl="1">
      <w:lvlJc w:val="left"/>
      <w:lvlText w:val="%2."/>
      <w:numFmt w:val="decimal"/>
      <w:start w:val="10"/>
    </w:lvl>
  </w:abstractNum>
  <w:abstractNum w:abstractNumId="21">
    <w:nsid w:val="79838CB2"/>
    <w:multiLevelType w:val="hybridMultilevel"/>
    <w:lvl w:ilvl="0">
      <w:lvlJc w:val="left"/>
      <w:lvlText w:val="%1."/>
      <w:numFmt w:val="decimal"/>
      <w:start w:val="11"/>
    </w:lvl>
    <w:lvl w:ilvl="1">
      <w:lvlJc w:val="left"/>
      <w:lvlText w:val="%2"/>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3"/>
    </w:lvl>
    <w:lvl w:ilvl="1">
      <w:lvlJc w:val="left"/>
      <w:lvlText w:val="%2."/>
      <w:numFmt w:val="decimal"/>
      <w:start w:val="7"/>
    </w:lvl>
  </w:abstractNum>
  <w:abstractNum w:abstractNumId="24">
    <w:nsid w:val="189A769B"/>
    <w:multiLevelType w:val="hybridMultilevel"/>
    <w:lvl w:ilvl="0">
      <w:lvlJc w:val="left"/>
      <w:lvlText w:val="%1"/>
      <w:numFmt w:val="decimal"/>
      <w:start w:val="1"/>
    </w:lvl>
    <w:lvl w:ilvl="1">
      <w:lvlJc w:val="left"/>
      <w:lvlText w:val="%2."/>
      <w:numFmt w:val="decimal"/>
      <w:start w:val="10"/>
    </w:lvl>
  </w:abstractNum>
  <w:abstractNum w:abstractNumId="25">
    <w:nsid w:val="54E49EB4"/>
    <w:multiLevelType w:val="hybridMultilevel"/>
    <w:lvl w:ilvl="0">
      <w:lvlJc w:val="left"/>
      <w:lvlText w:val="%1."/>
      <w:numFmt w:val="decimal"/>
      <w:start w:val="11"/>
    </w:lvl>
    <w:lvl w:ilvl="1">
      <w:lvlJc w:val="left"/>
      <w:lvlText w:val="%2"/>
      <w:numFmt w:val="decimal"/>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2023-01-06T15:14:11Z</dcterms:created>
  <dcterms:modified xsi:type="dcterms:W3CDTF">2023-01-06T15:14:11Z</dcterms:modified>
</cp:coreProperties>
</file>