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136525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CECO ENVIRONMENTAL CORP.</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137160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p>
      <w:pPr>
        <w:spacing w:after="0" w:line="200" w:lineRule="exact"/>
        <w:rPr>
          <w:sz w:val="24"/>
          <w:szCs w:val="24"/>
          <w:color w:val="auto"/>
        </w:rPr>
      </w:pPr>
    </w:p>
    <w:p>
      <w:pPr>
        <w:spacing w:after="0" w:line="259"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jc w:val="center"/>
        <w:ind w:right="2400"/>
        <w:spacing w:after="0"/>
        <w:rPr>
          <w:sz w:val="20"/>
          <w:szCs w:val="20"/>
          <w:color w:val="auto"/>
        </w:rPr>
      </w:pPr>
      <w:r>
        <w:rPr>
          <w:rFonts w:ascii="Arial" w:cs="Arial" w:eastAsia="Arial" w:hAnsi="Arial"/>
          <w:sz w:val="14"/>
          <w:szCs w:val="14"/>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13-2566064</w:t>
      </w:r>
    </w:p>
    <w:p>
      <w:pPr>
        <w:spacing w:after="0" w:line="73" w:lineRule="exact"/>
        <w:rPr>
          <w:sz w:val="24"/>
          <w:szCs w:val="24"/>
          <w:color w:val="auto"/>
        </w:rPr>
      </w:pPr>
    </w:p>
    <w:p>
      <w:pPr>
        <w:sectPr>
          <w:pgSz w:w="11900" w:h="16838" w:orient="portrait"/>
          <w:cols w:equalWidth="0" w:num="3">
            <w:col w:w="4600" w:space="720"/>
            <w:col w:w="3020" w:space="720"/>
            <w:col w:w="2140"/>
          </w:cols>
          <w:pgMar w:left="320" w:top="404" w:right="379" w:bottom="1440" w:gutter="0" w:footer="0" w:header="0"/>
          <w:type w:val="continuous"/>
        </w:sect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320"/>
          </w:cols>
          <w:pgMar w:left="320" w:top="404" w:right="379" w:bottom="1440" w:gutter="0" w:footer="0" w:header="0"/>
          <w:type w:val="continuous"/>
        </w:sectPr>
      </w:pPr>
    </w:p>
    <w:p>
      <w:pPr>
        <w:spacing w:after="0" w:line="69" w:lineRule="exact"/>
        <w:rPr>
          <w:sz w:val="24"/>
          <w:szCs w:val="24"/>
          <w:color w:val="auto"/>
        </w:rPr>
      </w:pPr>
    </w:p>
    <w:p>
      <w:pPr>
        <w:ind w:left="1760"/>
        <w:spacing w:after="0"/>
        <w:rPr>
          <w:sz w:val="20"/>
          <w:szCs w:val="20"/>
          <w:color w:val="auto"/>
        </w:rPr>
      </w:pPr>
      <w:r>
        <w:rPr>
          <w:rFonts w:ascii="Arial" w:cs="Arial" w:eastAsia="Arial" w:hAnsi="Arial"/>
          <w:sz w:val="15"/>
          <w:szCs w:val="15"/>
          <w:b w:val="1"/>
          <w:bCs w:val="1"/>
          <w:color w:val="auto"/>
        </w:rPr>
        <w:t>14651 North Dallas Parkway</w:t>
      </w:r>
    </w:p>
    <w:p>
      <w:pPr>
        <w:spacing w:after="0" w:line="3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Suite 500</w:t>
      </w:r>
    </w:p>
    <w:p>
      <w:pPr>
        <w:spacing w:after="0" w:line="19"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75254</w:t>
      </w:r>
    </w:p>
    <w:p>
      <w:pPr>
        <w:spacing w:after="0" w:line="72" w:lineRule="exact"/>
        <w:rPr>
          <w:sz w:val="24"/>
          <w:szCs w:val="24"/>
          <w:color w:val="auto"/>
        </w:rPr>
      </w:pPr>
    </w:p>
    <w:p>
      <w:pPr>
        <w:sectPr>
          <w:pgSz w:w="11900" w:h="16838" w:orient="portrait"/>
          <w:cols w:equalWidth="0" w:num="2">
            <w:col w:w="7580" w:space="720"/>
            <w:col w:w="2900"/>
          </w:cols>
          <w:pgMar w:left="320" w:top="404" w:right="37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40" w:space="720"/>
            <w:col w:w="3040"/>
          </w:cols>
          <w:pgMar w:left="320" w:top="404" w:right="379" w:bottom="1440" w:gutter="0" w:footer="0" w:header="0"/>
          <w:type w:val="continuous"/>
        </w:sectPr>
      </w:pP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8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83"/>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4500" w:type="dxa"/>
            <w:vAlign w:val="bottom"/>
            <w:tcBorders>
              <w:bottom w:val="single" w:sz="8" w:color="auto"/>
              <w:right w:val="single" w:sz="8" w:color="auto"/>
            </w:tcBorders>
          </w:tcPr>
          <w:p>
            <w:pPr>
              <w:spacing w:after="0"/>
              <w:rPr>
                <w:sz w:val="7"/>
                <w:szCs w:val="7"/>
                <w:color w:val="auto"/>
              </w:rPr>
            </w:pPr>
          </w:p>
        </w:tc>
      </w:tr>
      <w:tr>
        <w:trPr>
          <w:trHeight w:val="167"/>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CECE</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The NASDAQ Stock Market LLC</w:t>
            </w:r>
          </w:p>
        </w:tc>
      </w:tr>
      <w:tr>
        <w:trPr>
          <w:trHeight w:val="53"/>
        </w:trPr>
        <w:tc>
          <w:tcPr>
            <w:tcW w:w="398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r>
    </w:tbl>
    <w:p>
      <w:pPr>
        <w:spacing w:after="0" w:line="15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7" w:lineRule="exact"/>
        <w:rPr>
          <w:sz w:val="24"/>
          <w:szCs w:val="24"/>
          <w:color w:val="auto"/>
        </w:rPr>
      </w:pPr>
    </w:p>
    <w:p>
      <w:pPr>
        <w:ind w:right="5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35"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On November 8, 2021, CECO Environmental Corp., a Delaware corporation (the “Company”), issued a press release announcing its financial results for the three and nine months ended September 30, 2021. A copy of the press release is furnished as Exhibit 99.1 to this report and is incorporated herein by reference.</w:t>
      </w:r>
    </w:p>
    <w:p>
      <w:pPr>
        <w:spacing w:after="0" w:line="18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310"/>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6580" w:type="dxa"/>
            <w:vAlign w:val="bottom"/>
            <w:tcBorders>
              <w:bottom w:val="single" w:sz="8" w:color="0000EE"/>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CECO Environmental Reports Third Quarter and Year-to-date 2021 Results</w:t>
              </w:r>
            </w:hyperlink>
          </w:p>
        </w:tc>
        <w:tc>
          <w:tcPr>
            <w:tcW w:w="3620" w:type="dxa"/>
            <w:vAlign w:val="bottom"/>
          </w:tcPr>
          <w:p>
            <w:pPr>
              <w:spacing w:after="0"/>
              <w:rPr>
                <w:sz w:val="24"/>
                <w:szCs w:val="24"/>
                <w:color w:val="auto"/>
              </w:rPr>
            </w:pPr>
          </w:p>
        </w:tc>
      </w:tr>
      <w:tr>
        <w:trPr>
          <w:trHeight w:val="479"/>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0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CECO Environmental Corp.</w:t>
      </w:r>
    </w:p>
    <w:p>
      <w:pPr>
        <w:spacing w:after="0" w:line="200" w:lineRule="exact"/>
        <w:rPr>
          <w:sz w:val="20"/>
          <w:szCs w:val="20"/>
          <w:color w:val="auto"/>
        </w:rPr>
      </w:pPr>
    </w:p>
    <w:p>
      <w:pPr>
        <w:spacing w:after="0" w:line="336"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160655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Matthew Eckl</w:t>
      </w:r>
    </w:p>
    <w:p>
      <w:pPr>
        <w:spacing w:after="0" w:line="27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1055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CECO Environmental Reports Third Quarter and Year-to-Date 2021 Results;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Bookings Up 39 Percent, but Q3 Results Impacted by Challenging Operating Environment</w:t>
      </w:r>
    </w:p>
    <w:p>
      <w:pPr>
        <w:spacing w:after="0" w:line="283" w:lineRule="exact"/>
        <w:rPr>
          <w:sz w:val="20"/>
          <w:szCs w:val="20"/>
          <w:color w:val="auto"/>
        </w:rPr>
      </w:pPr>
    </w:p>
    <w:p>
      <w:pPr>
        <w:spacing w:after="0" w:line="328" w:lineRule="auto"/>
        <w:rPr>
          <w:sz w:val="20"/>
          <w:szCs w:val="20"/>
          <w:color w:val="auto"/>
        </w:rPr>
      </w:pPr>
      <w:r>
        <w:rPr>
          <w:rFonts w:ascii="Arial" w:cs="Arial" w:eastAsia="Arial" w:hAnsi="Arial"/>
          <w:sz w:val="19"/>
          <w:szCs w:val="19"/>
          <w:b w:val="1"/>
          <w:bCs w:val="1"/>
          <w:color w:val="auto"/>
        </w:rPr>
        <w:t xml:space="preserve">DALLAS (Nov. 8, 2021) -- CECO Environmental Corp. (Nasdaq: CECE), </w:t>
      </w:r>
      <w:r>
        <w:rPr>
          <w:rFonts w:ascii="Arial" w:cs="Arial" w:eastAsia="Arial" w:hAnsi="Arial"/>
          <w:sz w:val="19"/>
          <w:szCs w:val="19"/>
          <w:color w:val="auto"/>
        </w:rPr>
        <w:t>a leading global air quality and fluid handling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serving the energy, industrial and other niche markets, today reported its financial results for the third quarter of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Third Quarter 2021*</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Revenue of $80.0 million, compared with $77.4 million</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Gross profit of $22.7 million (28.4% margin), compared with $24.8 million (32.0% margin)</w:t>
      </w:r>
    </w:p>
    <w:p>
      <w:pPr>
        <w:ind w:left="700"/>
        <w:spacing w:after="0"/>
        <w:rPr>
          <w:sz w:val="20"/>
          <w:szCs w:val="20"/>
          <w:color w:val="auto"/>
        </w:rPr>
      </w:pPr>
      <w:r>
        <w:rPr>
          <w:rFonts w:ascii="Arial" w:cs="Arial" w:eastAsia="Arial" w:hAnsi="Arial"/>
          <w:sz w:val="20"/>
          <w:szCs w:val="20"/>
          <w:color w:val="auto"/>
        </w:rPr>
        <w:t>Operating loss of $(0.6) million, compared with operating income of $1.0 million</w:t>
      </w:r>
    </w:p>
    <w:p>
      <w:pPr>
        <w:ind w:left="700"/>
        <w:spacing w:after="0"/>
        <w:rPr>
          <w:sz w:val="20"/>
          <w:szCs w:val="20"/>
          <w:color w:val="auto"/>
        </w:rPr>
      </w:pPr>
      <w:r>
        <w:rPr>
          <w:rFonts w:ascii="Arial" w:cs="Arial" w:eastAsia="Arial" w:hAnsi="Arial"/>
          <w:sz w:val="20"/>
          <w:szCs w:val="20"/>
          <w:color w:val="auto"/>
        </w:rPr>
        <w:t>Non-GAAP operating income of $1.8 million, compared with $5.9 million</w:t>
      </w:r>
    </w:p>
    <w:p>
      <w:pPr>
        <w:ind w:left="700"/>
        <w:spacing w:after="0"/>
        <w:rPr>
          <w:sz w:val="20"/>
          <w:szCs w:val="20"/>
          <w:color w:val="auto"/>
        </w:rPr>
      </w:pPr>
      <w:r>
        <w:rPr>
          <w:rFonts w:ascii="Arial" w:cs="Arial" w:eastAsia="Arial" w:hAnsi="Arial"/>
          <w:sz w:val="20"/>
          <w:szCs w:val="20"/>
          <w:color w:val="auto"/>
        </w:rPr>
        <w:t>Net loss of $(1.2) million, compared with $(0.2) million</w:t>
      </w:r>
    </w:p>
    <w:p>
      <w:pPr>
        <w:ind w:left="700"/>
        <w:spacing w:after="0"/>
        <w:rPr>
          <w:sz w:val="20"/>
          <w:szCs w:val="20"/>
          <w:color w:val="auto"/>
        </w:rPr>
      </w:pPr>
      <w:r>
        <w:rPr>
          <w:rFonts w:ascii="Arial" w:cs="Arial" w:eastAsia="Arial" w:hAnsi="Arial"/>
          <w:sz w:val="20"/>
          <w:szCs w:val="20"/>
          <w:color w:val="auto"/>
        </w:rPr>
        <w:t>Non-GAAP net income of $0.5 million, compared with $3.8 million</w:t>
      </w:r>
    </w:p>
    <w:p>
      <w:pPr>
        <w:ind w:left="700"/>
        <w:spacing w:after="0" w:line="225" w:lineRule="auto"/>
        <w:rPr>
          <w:sz w:val="20"/>
          <w:szCs w:val="20"/>
          <w:color w:val="auto"/>
        </w:rPr>
      </w:pPr>
      <w:r>
        <w:rPr>
          <w:rFonts w:ascii="Arial" w:cs="Arial" w:eastAsia="Arial" w:hAnsi="Arial"/>
          <w:sz w:val="20"/>
          <w:szCs w:val="20"/>
          <w:color w:val="auto"/>
        </w:rPr>
        <w:t>Adjusted EBITDA of $3.5 million, compared with $7.3 million</w:t>
      </w:r>
    </w:p>
    <w:p>
      <w:pPr>
        <w:ind w:left="700"/>
        <w:spacing w:after="0"/>
        <w:rPr>
          <w:sz w:val="20"/>
          <w:szCs w:val="20"/>
          <w:color w:val="auto"/>
        </w:rPr>
      </w:pPr>
      <w:r>
        <w:rPr>
          <w:rFonts w:ascii="Arial" w:cs="Arial" w:eastAsia="Arial" w:hAnsi="Arial"/>
          <w:sz w:val="20"/>
          <w:szCs w:val="20"/>
          <w:color w:val="auto"/>
        </w:rPr>
        <w:t>Bookings of $92.6 million, compared with $66.8 million</w:t>
      </w:r>
    </w:p>
    <w:p>
      <w:pPr>
        <w:ind w:left="700"/>
        <w:spacing w:after="0"/>
        <w:rPr>
          <w:sz w:val="20"/>
          <w:szCs w:val="20"/>
          <w:color w:val="auto"/>
        </w:rPr>
      </w:pPr>
      <w:r>
        <w:rPr>
          <w:rFonts w:ascii="Arial" w:cs="Arial" w:eastAsia="Arial" w:hAnsi="Arial"/>
          <w:sz w:val="20"/>
          <w:szCs w:val="20"/>
          <w:color w:val="auto"/>
        </w:rPr>
        <w:t>Backlog of $219.1 million, compared with $183.1 million as of December 31, 2020</w:t>
      </w:r>
    </w:p>
    <w:p>
      <w:pPr>
        <w:ind w:left="700"/>
        <w:spacing w:after="0"/>
        <w:rPr>
          <w:sz w:val="20"/>
          <w:szCs w:val="20"/>
          <w:color w:val="auto"/>
        </w:rPr>
      </w:pPr>
      <w:r>
        <w:rPr>
          <w:rFonts w:ascii="Arial" w:cs="Arial" w:eastAsia="Arial" w:hAnsi="Arial"/>
          <w:sz w:val="20"/>
          <w:szCs w:val="20"/>
          <w:color w:val="auto"/>
        </w:rPr>
        <w:t>Net loss per diluted share of $(0.04), compared with $(0.01)</w:t>
      </w:r>
    </w:p>
    <w:p>
      <w:pPr>
        <w:ind w:left="700"/>
        <w:spacing w:after="0"/>
        <w:rPr>
          <w:sz w:val="20"/>
          <w:szCs w:val="20"/>
          <w:color w:val="auto"/>
        </w:rPr>
      </w:pPr>
      <w:r>
        <w:rPr>
          <w:rFonts w:ascii="Arial" w:cs="Arial" w:eastAsia="Arial" w:hAnsi="Arial"/>
          <w:sz w:val="20"/>
          <w:szCs w:val="20"/>
          <w:color w:val="auto"/>
        </w:rPr>
        <w:t>Non-GAAP earnings per diluted share of $0.01, compared with $0.11</w:t>
      </w:r>
    </w:p>
    <w:p>
      <w:pPr>
        <w:ind w:left="700"/>
        <w:spacing w:after="0" w:line="225" w:lineRule="auto"/>
        <w:rPr>
          <w:sz w:val="20"/>
          <w:szCs w:val="20"/>
          <w:color w:val="auto"/>
        </w:rPr>
      </w:pPr>
      <w:r>
        <w:rPr>
          <w:rFonts w:ascii="Arial" w:cs="Arial" w:eastAsia="Arial" w:hAnsi="Arial"/>
          <w:sz w:val="20"/>
          <w:szCs w:val="20"/>
          <w:color w:val="auto"/>
        </w:rPr>
        <w:t>Bank Debt of $67.0 million, compared with $74.0 million as of December 31, 2020</w:t>
      </w:r>
    </w:p>
    <w:p>
      <w:pPr>
        <w:ind w:left="700"/>
        <w:spacing w:after="0"/>
        <w:rPr>
          <w:sz w:val="20"/>
          <w:szCs w:val="20"/>
          <w:color w:val="auto"/>
        </w:rPr>
      </w:pPr>
      <w:r>
        <w:rPr>
          <w:rFonts w:ascii="Arial" w:cs="Arial" w:eastAsia="Arial" w:hAnsi="Arial"/>
          <w:sz w:val="20"/>
          <w:szCs w:val="20"/>
          <w:color w:val="auto"/>
        </w:rPr>
        <w:t>Repurchased approximately 521,000 shares of common stock at cost of $3.7 million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*All comparisons are versus the comparable prior year period, unless otherwise stated</w:t>
      </w:r>
    </w:p>
    <w:p>
      <w:pPr>
        <w:spacing w:after="0" w:line="256"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color w:val="auto"/>
        </w:rPr>
        <w:t>“Third quarter and year-to-date results reflect the ‘tale of two CECOs’, so to speak,” said Todd Gleason, Chief Executive Officer. “On the one hand, our orders were up 39 percent in the third quarter and up 33 percent year-to-date. This represents strong bookings’ growth and positions CECO for corresponding revenue growth in the coming quarters. Unfortunately, in the third quarter, we could not overcome challenges associated with lower-margin projects booked in late 2020, various short-term execution issues associated with supply chain and logistics costs, customer delays, and labor shortages. As the fourth quarter continues to progress, we are confident we will achieve improved volumes and margins, which we expect to result in revenues up double-digits and adjusted EBITDA to more than double sequentially from the third quarter.”</w:t>
      </w:r>
    </w:p>
    <w:p>
      <w:pPr>
        <w:spacing w:after="0" w:line="254"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auto"/>
        </w:rPr>
        <w:t>Gleason concluded, “As we announced today, we are pleased to welcome Richard Wallman, the former CFO of Honeywell, to CECO’s Board of Directors to assist me, the leadership team and the board in executing our longer-term strategy. We look forward to delivering stronger financial results in the fourth quarter and throughout 2022, as well as starting to utilize our healthy balance sheet to transform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80" w:lineRule="exact"/>
        <w:rPr>
          <w:sz w:val="20"/>
          <w:szCs w:val="20"/>
          <w:color w:val="auto"/>
        </w:rPr>
      </w:pPr>
    </w:p>
    <w:p>
      <w:pPr>
        <w:jc w:val="both"/>
        <w:ind w:left="120"/>
        <w:spacing w:after="0" w:line="271" w:lineRule="auto"/>
        <w:rPr>
          <w:sz w:val="20"/>
          <w:szCs w:val="20"/>
          <w:color w:val="auto"/>
        </w:rPr>
      </w:pPr>
      <w:r>
        <w:rPr>
          <w:rFonts w:ascii="Arial" w:cs="Arial" w:eastAsia="Arial" w:hAnsi="Arial"/>
          <w:sz w:val="20"/>
          <w:szCs w:val="20"/>
          <w:color w:val="auto"/>
        </w:rPr>
        <w:t>A conference call is scheduled for today at 8:30 a.m. ET to discuss the third quarter 2021 financial results. The conference call may also be accessed by dialing (888) 346-4547 (Toll-Free) within the U.S., (855) 669-9657 (Toll-Free) within Canada or Toll/International (412) 317-5251.</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live webcast and slides can also be accessed at https://investors.cecoenviro.com/events-webcasts-and-presentations</w:t>
      </w:r>
      <w:r>
        <w:rPr>
          <w:rFonts w:ascii="Arial" w:cs="Arial" w:eastAsia="Arial" w:hAnsi="Arial"/>
          <w:sz w:val="17"/>
          <w:szCs w:val="17"/>
          <w:color w:val="auto"/>
        </w:rPr>
        <w:t>.</w:t>
      </w:r>
    </w:p>
    <w:p>
      <w:pPr>
        <w:spacing w:after="0" w:line="283" w:lineRule="exact"/>
        <w:rPr>
          <w:sz w:val="20"/>
          <w:szCs w:val="20"/>
          <w:color w:val="auto"/>
        </w:rPr>
      </w:pPr>
    </w:p>
    <w:p>
      <w:pPr>
        <w:ind w:left="120" w:right="60"/>
        <w:spacing w:after="0" w:line="270" w:lineRule="auto"/>
        <w:rPr>
          <w:sz w:val="20"/>
          <w:szCs w:val="20"/>
          <w:color w:val="auto"/>
        </w:rPr>
      </w:pPr>
      <w:r>
        <w:rPr>
          <w:rFonts w:ascii="Arial" w:cs="Arial" w:eastAsia="Arial" w:hAnsi="Arial"/>
          <w:sz w:val="20"/>
          <w:szCs w:val="20"/>
          <w:color w:val="auto"/>
        </w:rPr>
        <w:t>A live and archived replay of the conference call will be available on the Company's website for 90 days. The telephone replay will be available one hour after the call ends through November 15, 2021. To access the replay, please dial (877) 344-7529 (Toll-Free) within the U.S., (855) 669-9658 (Toll-Free) within Canada, or Toll/International (412) 317-0088 and entering access code 10160914.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ABOUT CECO ENVIRONMENTAL</w:t>
      </w:r>
    </w:p>
    <w:p>
      <w:pPr>
        <w:spacing w:after="0" w:line="307" w:lineRule="exact"/>
        <w:rPr>
          <w:sz w:val="20"/>
          <w:szCs w:val="20"/>
          <w:color w:val="auto"/>
        </w:rPr>
      </w:pPr>
    </w:p>
    <w:p>
      <w:pPr>
        <w:jc w:val="both"/>
        <w:ind w:left="120" w:right="100"/>
        <w:spacing w:after="0" w:line="268" w:lineRule="auto"/>
        <w:rPr>
          <w:sz w:val="20"/>
          <w:szCs w:val="20"/>
          <w:color w:val="auto"/>
        </w:rPr>
      </w:pPr>
      <w:r>
        <w:rPr>
          <w:rFonts w:ascii="Arial" w:cs="Arial" w:eastAsia="Arial" w:hAnsi="Arial"/>
          <w:sz w:val="20"/>
          <w:szCs w:val="20"/>
          <w:color w:val="auto"/>
        </w:rPr>
        <w:t>CECO Environmental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line="27" w:lineRule="exact"/>
        <w:rPr>
          <w:sz w:val="20"/>
          <w:szCs w:val="20"/>
          <w:color w:val="auto"/>
        </w:rPr>
      </w:pPr>
    </w:p>
    <w:p>
      <w:pPr>
        <w:ind w:right="8360" w:firstLine="8"/>
        <w:spacing w:after="0" w:line="302"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5654040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Pr>
          <w:p>
            <w:pPr>
              <w:spacing w:after="0"/>
              <w:rPr>
                <w:sz w:val="17"/>
                <w:szCs w:val="17"/>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Pr>
          <w:p>
            <w:pPr>
              <w:spacing w:after="0"/>
              <w:rPr>
                <w:sz w:val="17"/>
                <w:szCs w:val="17"/>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50"/>
        </w:trPr>
        <w:tc>
          <w:tcPr>
            <w:tcW w:w="7340" w:type="dxa"/>
            <w:vAlign w:val="bottom"/>
            <w:shd w:val="clear" w:color="auto" w:fill="CFF0FC"/>
          </w:tcPr>
          <w:p>
            <w:pPr>
              <w:ind w:left="32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50,536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45,498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12,229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FF0FC"/>
          </w:tcPr>
          <w:p>
            <w:pPr>
              <w:spacing w:after="0"/>
              <w:rPr>
                <w:sz w:val="22"/>
                <w:szCs w:val="22"/>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189,708</w:t>
            </w: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161,593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finite life, net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Intangible assets – indefinite life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20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418,676</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shd w:val="clear" w:color="auto" w:fill="CFF0FC"/>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89,633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84,997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19,486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less current portion</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7,188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0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340" w:type="dxa"/>
            <w:vAlign w:val="bottom"/>
          </w:tcPr>
          <w:p>
            <w:pPr>
              <w:ind w:left="200"/>
              <w:spacing w:after="0"/>
              <w:rPr>
                <w:sz w:val="20"/>
                <w:szCs w:val="20"/>
                <w:color w:val="auto"/>
              </w:rPr>
            </w:pPr>
            <w:r>
              <w:rPr>
                <w:rFonts w:ascii="Arial" w:cs="Arial" w:eastAsia="Arial" w:hAnsi="Arial"/>
                <w:sz w:val="18"/>
                <w:szCs w:val="18"/>
                <w:color w:val="auto"/>
              </w:rPr>
              <w:t>Common stock, $.01 par value; 100,000,000 shares authorized, 35,809,061 and</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35,504,757 shares issued and outstanding at September 30, 2021 and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257,482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rPr>
                <w:sz w:val="20"/>
                <w:szCs w:val="20"/>
                <w:color w:val="auto"/>
              </w:rPr>
            </w:pPr>
            <w:r>
              <w:rPr>
                <w:rFonts w:ascii="Arial" w:cs="Arial" w:eastAsia="Arial" w:hAnsi="Arial"/>
                <w:sz w:val="18"/>
                <w:szCs w:val="18"/>
                <w:color w:val="auto"/>
              </w:rPr>
              <w:t>Accumulated loss</w:t>
            </w:r>
          </w:p>
        </w:tc>
        <w:tc>
          <w:tcPr>
            <w:tcW w:w="200" w:type="dxa"/>
            <w:vAlign w:val="bottom"/>
          </w:tcPr>
          <w:p>
            <w:pPr>
              <w:spacing w:after="0"/>
              <w:rPr>
                <w:sz w:val="21"/>
                <w:szCs w:val="21"/>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(37,916 )</w:t>
            </w:r>
          </w:p>
        </w:tc>
        <w:tc>
          <w:tcPr>
            <w:tcW w:w="20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(38,141 )</w:t>
            </w:r>
          </w:p>
        </w:tc>
        <w:tc>
          <w:tcPr>
            <w:tcW w:w="0" w:type="dxa"/>
            <w:vAlign w:val="bottom"/>
          </w:tcPr>
          <w:p>
            <w:pPr>
              <w:spacing w:after="0"/>
              <w:rPr>
                <w:sz w:val="1"/>
                <w:szCs w:val="1"/>
                <w:color w:val="auto"/>
              </w:rPr>
            </w:pPr>
          </w:p>
        </w:tc>
      </w:tr>
      <w:tr>
        <w:trPr>
          <w:trHeight w:val="257"/>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(14,401 )</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(14,496 )</w:t>
            </w:r>
          </w:p>
        </w:tc>
        <w:tc>
          <w:tcPr>
            <w:tcW w:w="0" w:type="dxa"/>
            <w:vAlign w:val="bottom"/>
          </w:tcPr>
          <w:p>
            <w:pPr>
              <w:spacing w:after="0"/>
              <w:rPr>
                <w:sz w:val="1"/>
                <w:szCs w:val="1"/>
                <w:color w:val="auto"/>
              </w:rPr>
            </w:pPr>
          </w:p>
        </w:tc>
      </w:tr>
      <w:tr>
        <w:trPr>
          <w:trHeight w:val="250"/>
        </w:trPr>
        <w:tc>
          <w:tcPr>
            <w:tcW w:w="73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205,523</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treasury stock, at cost, 659,417 and 137,920 shares at September 30, 2021</w:t>
            </w:r>
          </w:p>
        </w:tc>
        <w:tc>
          <w:tcPr>
            <w:tcW w:w="200" w:type="dxa"/>
            <w:vAlign w:val="bottom"/>
            <w:shd w:val="clear" w:color="auto" w:fill="CFF0FC"/>
          </w:tcPr>
          <w:p>
            <w:pPr>
              <w:spacing w:after="0"/>
              <w:rPr>
                <w:sz w:val="21"/>
                <w:szCs w:val="21"/>
                <w:color w:val="auto"/>
              </w:rPr>
            </w:pPr>
          </w:p>
        </w:tc>
        <w:tc>
          <w:tcPr>
            <w:tcW w:w="1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(4,101 )</w:t>
            </w:r>
          </w:p>
        </w:tc>
        <w:tc>
          <w:tcPr>
            <w:tcW w:w="200" w:type="dxa"/>
            <w:vAlign w:val="bottom"/>
            <w:shd w:val="clear" w:color="auto" w:fill="CFF0FC"/>
          </w:tcPr>
          <w:p>
            <w:pPr>
              <w:spacing w:after="0"/>
              <w:rPr>
                <w:sz w:val="21"/>
                <w:szCs w:val="21"/>
                <w:color w:val="auto"/>
              </w:rPr>
            </w:pPr>
          </w:p>
        </w:tc>
        <w:tc>
          <w:tcPr>
            <w:tcW w:w="16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December 31, 2020, respectively</w:t>
            </w:r>
          </w:p>
        </w:tc>
        <w:tc>
          <w:tcPr>
            <w:tcW w:w="200" w:type="dxa"/>
            <w:vAlign w:val="bottom"/>
            <w:shd w:val="clear" w:color="auto" w:fill="CFF0FC"/>
          </w:tcPr>
          <w:p>
            <w:pPr>
              <w:spacing w:after="0"/>
              <w:rPr>
                <w:sz w:val="20"/>
                <w:szCs w:val="20"/>
                <w:color w:val="auto"/>
              </w:rPr>
            </w:pPr>
          </w:p>
        </w:tc>
        <w:tc>
          <w:tcPr>
            <w:tcW w:w="18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CECO shareholders' equity</w:t>
            </w:r>
          </w:p>
        </w:tc>
        <w:tc>
          <w:tcPr>
            <w:tcW w:w="2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201,422</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202,527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3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418,676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1580" w:type="dxa"/>
            <w:vAlign w:val="bottom"/>
            <w:tcBorders>
              <w:bottom w:val="single" w:sz="8" w:color="D9D9D9"/>
            </w:tcBorders>
          </w:tcPr>
          <w:p>
            <w:pPr>
              <w:spacing w:after="0"/>
              <w:rPr>
                <w:sz w:val="18"/>
                <w:szCs w:val="18"/>
                <w:color w:val="auto"/>
              </w:rPr>
            </w:pPr>
          </w:p>
        </w:tc>
        <w:tc>
          <w:tcPr>
            <w:tcW w:w="26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156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-4933950</wp:posOffset>
            </wp:positionV>
            <wp:extent cx="1631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-4933950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-2936875</wp:posOffset>
            </wp:positionV>
            <wp:extent cx="1631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-2936875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-1325245</wp:posOffset>
            </wp:positionV>
            <wp:extent cx="1631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-853440</wp:posOffset>
            </wp:positionV>
            <wp:extent cx="1631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163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-161925</wp:posOffset>
            </wp:positionV>
            <wp:extent cx="163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974"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6"/>
                <w:szCs w:val="16"/>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2"/>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79,979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233,081</w:t>
            </w:r>
          </w:p>
        </w:tc>
        <w:tc>
          <w:tcPr>
            <w:tcW w:w="100" w:type="dxa"/>
            <w:vAlign w:val="bottom"/>
            <w:shd w:val="clear" w:color="auto" w:fill="CFF0FC"/>
          </w:tcPr>
          <w:p>
            <w:pPr>
              <w:spacing w:after="0"/>
              <w:rPr>
                <w:sz w:val="21"/>
                <w:szCs w:val="21"/>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57,254</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52,615</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158,164</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154,176</w:t>
            </w:r>
          </w:p>
        </w:tc>
        <w:tc>
          <w:tcPr>
            <w:tcW w:w="100" w:type="dxa"/>
            <w:vAlign w:val="bottom"/>
          </w:tcPr>
          <w:p>
            <w:pPr>
              <w:spacing w:after="0"/>
              <w:rPr>
                <w:sz w:val="22"/>
                <w:szCs w:val="22"/>
                <w:color w:val="auto"/>
              </w:rPr>
            </w:pPr>
          </w:p>
        </w:tc>
      </w:tr>
      <w:tr>
        <w:trPr>
          <w:trHeight w:val="250"/>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78,905</w:t>
            </w:r>
          </w:p>
        </w:tc>
        <w:tc>
          <w:tcPr>
            <w:tcW w:w="100" w:type="dxa"/>
            <w:vAlign w:val="bottom"/>
            <w:shd w:val="clear" w:color="auto" w:fill="CFF0FC"/>
          </w:tcPr>
          <w:p>
            <w:pPr>
              <w:spacing w:after="0"/>
              <w:rPr>
                <w:sz w:val="21"/>
                <w:szCs w:val="2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60,894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59,374</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FF0FC"/>
          </w:tcPr>
          <w:p>
            <w:pPr>
              <w:spacing w:after="0"/>
              <w:rPr>
                <w:sz w:val="22"/>
                <w:szCs w:val="22"/>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22"/>
                <w:szCs w:val="22"/>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Executive transition expenses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2"/>
                <w:szCs w:val="22"/>
                <w:color w:val="auto"/>
              </w:rPr>
            </w:pPr>
          </w:p>
        </w:tc>
      </w:tr>
      <w:tr>
        <w:trPr>
          <w:trHeight w:val="250"/>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(596 )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FF0FC"/>
          </w:tcPr>
          <w:p>
            <w:pPr>
              <w:spacing w:after="0"/>
              <w:rPr>
                <w:sz w:val="21"/>
                <w:szCs w:val="2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(290 )</w:t>
            </w:r>
          </w:p>
        </w:tc>
        <w:tc>
          <w:tcPr>
            <w:tcW w:w="2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(1,155 )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(722 )</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(772 )</w:t>
            </w:r>
          </w:p>
        </w:tc>
        <w:tc>
          <w:tcPr>
            <w:tcW w:w="2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(2,152 )</w:t>
            </w: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(2,739 )</w:t>
            </w:r>
          </w:p>
        </w:tc>
      </w:tr>
      <w:tr>
        <w:trPr>
          <w:trHeight w:val="20"/>
        </w:trPr>
        <w:tc>
          <w:tcPr>
            <w:tcW w:w="5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(1,133 )</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21"/>
                <w:szCs w:val="21"/>
                <w:color w:val="auto"/>
              </w:rPr>
            </w:pPr>
          </w:p>
        </w:tc>
      </w:tr>
      <w:tr>
        <w:trPr>
          <w:trHeight w:val="263"/>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(1,196 )</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(11 )</w:t>
            </w:r>
          </w:p>
        </w:tc>
      </w:tr>
      <w:tr>
        <w:trPr>
          <w:trHeight w:val="20"/>
        </w:trPr>
        <w:tc>
          <w:tcPr>
            <w:tcW w:w="5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260" w:type="dxa"/>
            <w:vAlign w:val="bottom"/>
          </w:tcPr>
          <w:p>
            <w:pPr>
              <w:ind w:left="200"/>
              <w:spacing w:after="0"/>
              <w:rPr>
                <w:sz w:val="20"/>
                <w:szCs w:val="20"/>
                <w:color w:val="auto"/>
              </w:rPr>
            </w:pPr>
            <w:r>
              <w:rPr>
                <w:rFonts w:ascii="Arial" w:cs="Arial" w:eastAsia="Arial" w:hAnsi="Arial"/>
                <w:sz w:val="18"/>
                <w:szCs w:val="18"/>
                <w:color w:val="auto"/>
              </w:rPr>
              <w:t>Net (loss) income attributable to CECO Environmental Corp.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(1,249 )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(239 )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21"/>
                <w:szCs w:val="21"/>
                <w:color w:val="auto"/>
              </w:rPr>
            </w:pPr>
          </w:p>
        </w:tc>
      </w:tr>
      <w:tr>
        <w:trPr>
          <w:trHeight w:val="25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earnings per share:</w:t>
            </w:r>
          </w:p>
        </w:tc>
        <w:tc>
          <w:tcPr>
            <w:tcW w:w="2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7"/>
        </w:trPr>
        <w:tc>
          <w:tcPr>
            <w:tcW w:w="52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4"/>
                <w:szCs w:val="24"/>
                <w:color w:val="auto"/>
              </w:rPr>
            </w:pPr>
          </w:p>
        </w:tc>
      </w:tr>
      <w:tr>
        <w:trPr>
          <w:trHeight w:val="230"/>
        </w:trPr>
        <w:tc>
          <w:tcPr>
            <w:tcW w:w="5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35,472,298</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35,358,913</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35,463,279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35,263,688</w:t>
            </w:r>
          </w:p>
        </w:tc>
        <w:tc>
          <w:tcPr>
            <w:tcW w:w="100" w:type="dxa"/>
            <w:vAlign w:val="bottom"/>
            <w:shd w:val="clear" w:color="auto" w:fill="CFF0FC"/>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35,472,298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35,358,913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35,729,887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35,471,551</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-1864995</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-1864995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-1864995</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-1864995</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-1530985</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-1530985</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-1530985</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-1530985</wp:posOffset>
            </wp:positionV>
            <wp:extent cx="596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-1196340</wp:posOffset>
            </wp:positionV>
            <wp:extent cx="15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-1196340</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-1196340</wp:posOffset>
            </wp:positionV>
            <wp:extent cx="13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-1196340</wp:posOffset>
            </wp:positionV>
            <wp:extent cx="596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-505460</wp:posOffset>
            </wp:positionV>
            <wp:extent cx="154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154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-505460</wp:posOffset>
            </wp:positionV>
            <wp:extent cx="154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-488315</wp:posOffset>
            </wp:positionV>
            <wp:extent cx="1543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-505460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-488315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-505460</wp:posOffset>
            </wp:positionV>
            <wp:extent cx="59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0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284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w:t>
            </w:r>
          </w:p>
        </w:tc>
      </w:tr>
      <w:tr>
        <w:trPr>
          <w:trHeight w:val="192"/>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2"/>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0"/>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 as reported in accordance with GAAP</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(0.6 )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7"/>
              </w:rPr>
              <w:t>1.0</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1"/>
                <w:szCs w:val="21"/>
                <w:color w:val="auto"/>
              </w:rPr>
            </w:pPr>
          </w:p>
        </w:tc>
      </w:tr>
      <w:tr>
        <w:trPr>
          <w:trHeight w:val="250"/>
        </w:trPr>
        <w:tc>
          <w:tcPr>
            <w:tcW w:w="534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(0.8 )%</w:t>
            </w:r>
          </w:p>
        </w:tc>
        <w:tc>
          <w:tcPr>
            <w:tcW w:w="26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i w:val="1"/>
                <w:iCs w:val="1"/>
                <w:color w:val="auto"/>
              </w:rPr>
              <w:t>1.3 %</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2.0 %</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4.2 %</w:t>
            </w:r>
          </w:p>
        </w:tc>
      </w:tr>
      <w:tr>
        <w:trPr>
          <w:trHeight w:val="26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7"/>
              </w:rPr>
              <w:t>2.1</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22"/>
                <w:szCs w:val="22"/>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w w:val="87"/>
              </w:rPr>
              <w:t>0.9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r>
      <w:tr>
        <w:trPr>
          <w:trHeight w:val="26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integration expenses</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7"/>
              </w:rPr>
              <w:t>0.4</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2"/>
                <w:szCs w:val="22"/>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Executive transition expenses</w:t>
            </w:r>
          </w:p>
        </w:tc>
        <w:tc>
          <w:tcPr>
            <w:tcW w:w="240" w:type="dxa"/>
            <w:vAlign w:val="bottom"/>
          </w:tcPr>
          <w:p>
            <w:pPr>
              <w:spacing w:after="0"/>
              <w:rPr>
                <w:sz w:val="22"/>
                <w:szCs w:val="22"/>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w w:val="87"/>
              </w:rPr>
              <w:t>1.5</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r>
      <w:tr>
        <w:trPr>
          <w:trHeight w:val="250"/>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Non-GAAP operating income</w:t>
            </w: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7"/>
              </w:rPr>
              <w:t>5.9</w:t>
            </w:r>
          </w:p>
        </w:tc>
        <w:tc>
          <w:tcPr>
            <w:tcW w:w="3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21"/>
                <w:szCs w:val="21"/>
                <w:color w:val="auto"/>
              </w:rPr>
            </w:pPr>
          </w:p>
        </w:tc>
      </w:tr>
      <w:tr>
        <w:trPr>
          <w:trHeight w:val="243"/>
        </w:trPr>
        <w:tc>
          <w:tcPr>
            <w:tcW w:w="534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2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2.3 %</w:t>
            </w:r>
          </w:p>
        </w:tc>
        <w:tc>
          <w:tcPr>
            <w:tcW w:w="26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i w:val="1"/>
                <w:iCs w:val="1"/>
                <w:color w:val="auto"/>
              </w:rPr>
              <w:t>7.6 %</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5.0 %</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8.4 %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30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THREE MONTHS ENDED SEPTEMBER</w:t>
            </w:r>
          </w:p>
        </w:tc>
        <w:tc>
          <w:tcPr>
            <w:tcW w:w="28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NINE MONTHS ENDED SEPTEMBER</w:t>
            </w:r>
          </w:p>
        </w:tc>
      </w:tr>
      <w:tr>
        <w:trPr>
          <w:trHeight w:val="192"/>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as reported in accordance with GAAP</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(0.2 )</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1"/>
                <w:szCs w:val="21"/>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Amortization and earnout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Restructuring expenses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Acquisition and integration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Executive transition expenses</w:t>
            </w:r>
          </w:p>
        </w:tc>
        <w:tc>
          <w:tcPr>
            <w:tcW w:w="30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Foreign currency remeasurement</w:t>
            </w: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r>
      <w:tr>
        <w:trPr>
          <w:trHeight w:val="257"/>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benefit expense of adjustments</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(1.3 )</w:t>
            </w:r>
          </w:p>
        </w:tc>
        <w:tc>
          <w:tcPr>
            <w:tcW w:w="3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(2.6 )</w:t>
            </w:r>
          </w:p>
        </w:tc>
      </w:tr>
      <w:tr>
        <w:trPr>
          <w:trHeight w:val="250"/>
        </w:trPr>
        <w:tc>
          <w:tcPr>
            <w:tcW w:w="5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FF0FC"/>
            </w:tcBorders>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Non-cash stock compensation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(0.1 )</w:t>
            </w:r>
          </w:p>
        </w:tc>
        <w:tc>
          <w:tcPr>
            <w:tcW w:w="3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(1.4 )</w:t>
            </w: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r>
      <w:tr>
        <w:trPr>
          <w:trHeight w:val="257"/>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(0.04 )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(0.01 )</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(0.04 )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(0.01 )</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Non-GAAP net income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FF0FC"/>
          </w:tcPr>
          <w:p>
            <w:pPr>
              <w:spacing w:after="0"/>
              <w:rPr>
                <w:sz w:val="22"/>
                <w:szCs w:val="22"/>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-2447925</wp:posOffset>
            </wp:positionV>
            <wp:extent cx="1454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-2447925</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-2447925</wp:posOffset>
            </wp:positionV>
            <wp:extent cx="1289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-2447925</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-1462405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-1462405</wp:posOffset>
            </wp:positionV>
            <wp:extent cx="1371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-1462405</wp:posOffset>
            </wp:positionV>
            <wp:extent cx="60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80" w:lineRule="exact"/>
        <w:rPr>
          <w:sz w:val="20"/>
          <w:szCs w:val="20"/>
          <w:color w:val="auto"/>
        </w:rPr>
      </w:pPr>
    </w:p>
    <w:p>
      <w:pPr>
        <w:ind w:right="420"/>
        <w:spacing w:after="0" w:line="27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executive transition expenses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53"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54"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6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economic and political conditions generally; our ability to successfully realize the expected benefits of our restructuring program; our ability to successfully integrate acquired businesses and realize the synergies from strategic transactions; and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8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2021-11-08T06:07:28Z</dcterms:created>
  <dcterms:modified xsi:type="dcterms:W3CDTF">2021-11-08T06:07:28Z</dcterms:modified>
</cp:coreProperties>
</file>