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SCHEDULE 14A</w:t>
      </w:r>
    </w:p>
    <w:p>
      <w:pPr>
        <w:spacing w:after="0" w:line="34" w:lineRule="exact"/>
        <w:rPr>
          <w:sz w:val="24"/>
          <w:szCs w:val="24"/>
          <w:color w:val="auto"/>
        </w:rPr>
      </w:pPr>
    </w:p>
    <w:p>
      <w:pPr>
        <w:ind w:left="4960"/>
        <w:spacing w:after="0"/>
        <w:rPr>
          <w:sz w:val="20"/>
          <w:szCs w:val="20"/>
          <w:color w:val="auto"/>
        </w:rPr>
      </w:pPr>
      <w:r>
        <w:rPr>
          <w:rFonts w:ascii="Arial" w:cs="Arial" w:eastAsia="Arial" w:hAnsi="Arial"/>
          <w:sz w:val="22"/>
          <w:szCs w:val="22"/>
          <w:b w:val="1"/>
          <w:bCs w:val="1"/>
          <w:color w:val="auto"/>
        </w:rPr>
        <w:t>(RULE 14a-101)</w:t>
      </w:r>
    </w:p>
    <w:p>
      <w:pPr>
        <w:spacing w:after="0" w:line="182" w:lineRule="exact"/>
        <w:rPr>
          <w:sz w:val="24"/>
          <w:szCs w:val="24"/>
          <w:color w:val="auto"/>
        </w:rPr>
      </w:pPr>
    </w:p>
    <w:p>
      <w:pPr>
        <w:ind w:left="3060"/>
        <w:spacing w:after="0"/>
        <w:rPr>
          <w:sz w:val="20"/>
          <w:szCs w:val="20"/>
          <w:color w:val="auto"/>
        </w:rPr>
      </w:pPr>
      <w:r>
        <w:rPr>
          <w:rFonts w:ascii="Arial" w:cs="Arial" w:eastAsia="Arial" w:hAnsi="Arial"/>
          <w:sz w:val="22"/>
          <w:szCs w:val="22"/>
          <w:b w:val="1"/>
          <w:bCs w:val="1"/>
          <w:color w:val="auto"/>
        </w:rPr>
        <w:t>INFORMATION REQUIRED IN PROXY STATEMENT</w:t>
      </w:r>
    </w:p>
    <w:p>
      <w:pPr>
        <w:spacing w:after="0" w:line="14" w:lineRule="exact"/>
        <w:rPr>
          <w:sz w:val="24"/>
          <w:szCs w:val="24"/>
          <w:color w:val="auto"/>
        </w:rPr>
      </w:pPr>
    </w:p>
    <w:p>
      <w:pPr>
        <w:ind w:left="4080"/>
        <w:spacing w:after="0"/>
        <w:rPr>
          <w:sz w:val="20"/>
          <w:szCs w:val="20"/>
          <w:color w:val="auto"/>
        </w:rPr>
      </w:pPr>
      <w:r>
        <w:rPr>
          <w:rFonts w:ascii="Arial" w:cs="Arial" w:eastAsia="Arial" w:hAnsi="Arial"/>
          <w:sz w:val="22"/>
          <w:szCs w:val="22"/>
          <w:b w:val="1"/>
          <w:bCs w:val="1"/>
          <w:color w:val="auto"/>
        </w:rPr>
        <w:t>SCHEDULE 14A INFORMATION</w:t>
      </w:r>
    </w:p>
    <w:p>
      <w:pPr>
        <w:spacing w:after="0" w:line="182" w:lineRule="exact"/>
        <w:rPr>
          <w:sz w:val="24"/>
          <w:szCs w:val="24"/>
          <w:color w:val="auto"/>
        </w:rPr>
      </w:pPr>
    </w:p>
    <w:p>
      <w:pPr>
        <w:ind w:left="3460"/>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spacing w:after="0" w:line="207" w:lineRule="exact"/>
        <w:tabs>
          <w:tab w:leader="none" w:pos="31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Sec. 240.14a-11(c) or Sec. 240.14a-12</w:t>
      </w:r>
    </w:p>
    <w:p>
      <w:pPr>
        <w:spacing w:after="0" w:line="300" w:lineRule="exact"/>
        <w:rPr>
          <w:sz w:val="24"/>
          <w:szCs w:val="24"/>
          <w:color w:val="auto"/>
        </w:rPr>
      </w:pPr>
    </w:p>
    <w:p>
      <w:pPr>
        <w:jc w:val="center"/>
        <w:ind w:right="-259"/>
        <w:spacing w:after="0"/>
        <w:rPr>
          <w:sz w:val="20"/>
          <w:szCs w:val="20"/>
          <w:color w:val="auto"/>
        </w:rPr>
      </w:pPr>
      <w:r>
        <w:rPr>
          <w:rFonts w:ascii="Arial" w:cs="Arial" w:eastAsia="Arial" w:hAnsi="Arial"/>
          <w:sz w:val="40"/>
          <w:szCs w:val="40"/>
          <w:b w:val="1"/>
          <w:bCs w:val="1"/>
          <w:color w:val="auto"/>
        </w:rPr>
        <w:t>CECO ENVIRONMENTAL CORP.</w:t>
      </w:r>
    </w:p>
    <w:p>
      <w:pPr>
        <w:spacing w:after="0" w:line="35"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09" w:lineRule="exact"/>
        <w:rPr>
          <w:sz w:val="24"/>
          <w:szCs w:val="24"/>
          <w:color w:val="auto"/>
        </w:rPr>
      </w:pPr>
    </w:p>
    <w:p>
      <w:pPr>
        <w:jc w:val="center"/>
        <w:ind w:right="-259"/>
        <w:spacing w:after="0"/>
        <w:rPr>
          <w:sz w:val="20"/>
          <w:szCs w:val="20"/>
          <w:color w:val="auto"/>
        </w:rPr>
      </w:pPr>
      <w:r>
        <w:rPr>
          <w:rFonts w:ascii="Arial" w:cs="Arial" w:eastAsia="Arial" w:hAnsi="Arial"/>
          <w:sz w:val="14"/>
          <w:szCs w:val="14"/>
          <w:b w:val="1"/>
          <w:bCs w:val="1"/>
          <w:color w:val="auto"/>
        </w:rPr>
        <w:t>(Name of Person(s) Filing Proxy Statement, if other than Registrant)</w:t>
      </w:r>
    </w:p>
    <w:p>
      <w:pPr>
        <w:spacing w:after="0" w:line="320"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line="277" w:lineRule="auto"/>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480" w:right="180" w:hanging="472"/>
        <w:spacing w:after="0" w:line="308" w:lineRule="auto"/>
        <w:tabs>
          <w:tab w:leader="none" w:pos="48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4" w:lineRule="exact"/>
        <w:rPr>
          <w:rFonts w:ascii="MS PGothic" w:cs="MS PGothic" w:eastAsia="MS PGothic" w:hAnsi="MS PGothic"/>
          <w:sz w:val="17"/>
          <w:szCs w:val="17"/>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-3088640</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-2642870</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-2059940</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-1614170</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-1167765</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306705</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838" w:orient="portrait"/>
          <w:cols w:equalWidth="0" w:num="1">
            <w:col w:w="11180"/>
          </w:cols>
          <w:pgMar w:left="240" w:top="517" w:right="479" w:bottom="653" w:gutter="0" w:footer="0" w:header="0"/>
        </w:sectPr>
      </w:pPr>
    </w:p>
    <w:bookmarkStart w:id="1" w:name="page2"/>
    <w:bookmarkEnd w:id="1"/>
    <w:p>
      <w:pPr>
        <w:ind w:left="439" w:hanging="439"/>
        <w:spacing w:after="0"/>
        <w:tabs>
          <w:tab w:leader="none" w:pos="439" w:val="left"/>
        </w:tabs>
        <w:numPr>
          <w:ilvl w:val="0"/>
          <w:numId w:val="6"/>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200" w:lineRule="exact"/>
        <w:rPr>
          <w:rFonts w:ascii="Arial" w:cs="Arial" w:eastAsia="Arial" w:hAnsi="Arial"/>
          <w:sz w:val="16"/>
          <w:szCs w:val="16"/>
          <w:color w:val="auto"/>
        </w:rPr>
      </w:pPr>
    </w:p>
    <w:p>
      <w:pPr>
        <w:spacing w:after="0" w:line="318" w:lineRule="exact"/>
        <w:rPr>
          <w:rFonts w:ascii="Arial" w:cs="Arial" w:eastAsia="Arial" w:hAnsi="Arial"/>
          <w:sz w:val="16"/>
          <w:szCs w:val="16"/>
          <w:color w:val="auto"/>
        </w:rPr>
      </w:pPr>
    </w:p>
    <w:p>
      <w:pPr>
        <w:ind w:left="439" w:hanging="439"/>
        <w:spacing w:after="0"/>
        <w:tabs>
          <w:tab w:leader="none" w:pos="439" w:val="left"/>
        </w:tabs>
        <w:numPr>
          <w:ilvl w:val="0"/>
          <w:numId w:val="6"/>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439" w:hanging="439"/>
        <w:spacing w:after="0"/>
        <w:tabs>
          <w:tab w:leader="none" w:pos="439" w:val="left"/>
        </w:tabs>
        <w:numPr>
          <w:ilvl w:val="0"/>
          <w:numId w:val="6"/>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-584835</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283210</wp:posOffset>
            </wp:positionH>
            <wp:positionV relativeFrom="paragraph">
              <wp:posOffset>-139065</wp:posOffset>
            </wp:positionV>
            <wp:extent cx="66636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283210</wp:posOffset>
            </wp:positionH>
            <wp:positionV relativeFrom="paragraph">
              <wp:posOffset>306705</wp:posOffset>
            </wp:positionV>
            <wp:extent cx="66636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486410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529590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738"/>
          </w:cols>
          <w:pgMar w:left="721" w:top="139" w:right="1440" w:bottom="1440" w:gutter="0" w:footer="0" w:header="0"/>
        </w:sectPr>
      </w:pPr>
    </w:p>
    <w:bookmarkStart w:id="2" w:name="page3"/>
    <w:bookmarkEnd w:id="2"/>
    <w:p>
      <w:pPr>
        <w:jc w:val="center"/>
        <w:ind w:right="40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Important Notice of Availability of Proxy Materials for the Shareholder Meeting of</w:t>
      </w:r>
    </w:p>
    <w:p>
      <w:pPr>
        <w:spacing w:after="0" w:line="190" w:lineRule="exact"/>
        <w:rPr>
          <w:sz w:val="20"/>
          <w:szCs w:val="20"/>
          <w:color w:val="auto"/>
        </w:rPr>
      </w:pPr>
    </w:p>
    <w:p>
      <w:pPr>
        <w:jc w:val="center"/>
        <w:ind w:right="400"/>
        <w:spacing w:after="0"/>
        <w:rPr>
          <w:sz w:val="20"/>
          <w:szCs w:val="20"/>
          <w:color w:val="auto"/>
        </w:rPr>
      </w:pPr>
      <w:r>
        <w:rPr>
          <w:rFonts w:ascii="Arial" w:cs="Arial" w:eastAsia="Arial" w:hAnsi="Arial"/>
          <w:sz w:val="43"/>
          <w:szCs w:val="43"/>
          <w:b w:val="1"/>
          <w:bCs w:val="1"/>
          <w:color w:val="auto"/>
        </w:rPr>
        <w:t>CECO ENVIRONMENTAL CORP.</w:t>
      </w:r>
    </w:p>
    <w:p>
      <w:pPr>
        <w:spacing w:after="0" w:line="237" w:lineRule="exact"/>
        <w:rPr>
          <w:sz w:val="20"/>
          <w:szCs w:val="20"/>
          <w:color w:val="auto"/>
        </w:rPr>
      </w:pPr>
    </w:p>
    <w:p>
      <w:pPr>
        <w:jc w:val="center"/>
        <w:ind w:right="400"/>
        <w:spacing w:after="0"/>
        <w:rPr>
          <w:sz w:val="20"/>
          <w:szCs w:val="20"/>
          <w:color w:val="auto"/>
        </w:rPr>
      </w:pPr>
      <w:r>
        <w:rPr>
          <w:rFonts w:ascii="Arial" w:cs="Arial" w:eastAsia="Arial" w:hAnsi="Arial"/>
          <w:sz w:val="22"/>
          <w:szCs w:val="22"/>
          <w:b w:val="1"/>
          <w:bCs w:val="1"/>
          <w:color w:val="auto"/>
        </w:rPr>
        <w:t>To Be Held On:</w:t>
      </w:r>
    </w:p>
    <w:p>
      <w:pPr>
        <w:spacing w:after="0" w:line="206" w:lineRule="exact"/>
        <w:rPr>
          <w:sz w:val="20"/>
          <w:szCs w:val="20"/>
          <w:color w:val="auto"/>
        </w:rPr>
      </w:pPr>
    </w:p>
    <w:p>
      <w:pPr>
        <w:jc w:val="center"/>
        <w:ind w:right="400"/>
        <w:spacing w:after="0"/>
        <w:rPr>
          <w:sz w:val="20"/>
          <w:szCs w:val="20"/>
          <w:color w:val="auto"/>
        </w:rPr>
      </w:pPr>
      <w:r>
        <w:rPr>
          <w:rFonts w:ascii="Arial" w:cs="Arial" w:eastAsia="Arial" w:hAnsi="Arial"/>
          <w:sz w:val="22"/>
          <w:szCs w:val="22"/>
          <w:b w:val="1"/>
          <w:bCs w:val="1"/>
          <w:color w:val="auto"/>
        </w:rPr>
        <w:t>June 12, 2018 at 8:30 a.m. CDT</w:t>
      </w:r>
    </w:p>
    <w:p>
      <w:pPr>
        <w:spacing w:after="0" w:line="206" w:lineRule="exact"/>
        <w:rPr>
          <w:sz w:val="20"/>
          <w:szCs w:val="20"/>
          <w:color w:val="auto"/>
        </w:rPr>
      </w:pPr>
    </w:p>
    <w:p>
      <w:pPr>
        <w:jc w:val="center"/>
        <w:ind w:right="400"/>
        <w:spacing w:after="0"/>
        <w:rPr>
          <w:sz w:val="20"/>
          <w:szCs w:val="20"/>
          <w:color w:val="auto"/>
        </w:rPr>
      </w:pPr>
      <w:r>
        <w:rPr>
          <w:rFonts w:ascii="Arial" w:cs="Arial" w:eastAsia="Arial" w:hAnsi="Arial"/>
          <w:sz w:val="22"/>
          <w:szCs w:val="22"/>
          <w:b w:val="1"/>
          <w:bCs w:val="1"/>
          <w:color w:val="auto"/>
        </w:rPr>
        <w:t>14651 N. Dallas Pkwy., Suite 118, Dallas, TX 75254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3657600</wp:posOffset>
            </wp:positionH>
            <wp:positionV relativeFrom="paragraph">
              <wp:posOffset>165735</wp:posOffset>
            </wp:positionV>
            <wp:extent cx="3336290" cy="8578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36290" cy="857885"/>
                    </a:xfrm>
                    <a:prstGeom prst="rect">
                      <a:avLst/>
                    </a:prstGeom>
                    <a:noFill/>
                  </pic:spPr>
                </pic:pic>
              </a:graphicData>
            </a:graphic>
          </wp:anchor>
        </w:drawing>
      </w:r>
    </w:p>
    <w:p>
      <w:pPr>
        <w:spacing w:after="0" w:line="344" w:lineRule="exact"/>
        <w:rPr>
          <w:sz w:val="20"/>
          <w:szCs w:val="20"/>
          <w:color w:val="auto"/>
        </w:rPr>
      </w:pPr>
    </w:p>
    <w:p>
      <w:pPr>
        <w:ind w:left="6260"/>
        <w:spacing w:after="0"/>
        <w:rPr>
          <w:sz w:val="20"/>
          <w:szCs w:val="20"/>
          <w:color w:val="auto"/>
        </w:rPr>
      </w:pPr>
      <w:r>
        <w:rPr>
          <w:rFonts w:ascii="Arial" w:cs="Arial" w:eastAsia="Arial" w:hAnsi="Arial"/>
          <w:sz w:val="18"/>
          <w:szCs w:val="18"/>
          <w:b w:val="1"/>
          <w:bCs w:val="1"/>
          <w:color w:val="auto"/>
        </w:rPr>
        <w:t>COMPANY NUMBER</w:t>
      </w:r>
    </w:p>
    <w:p>
      <w:pPr>
        <w:spacing w:after="0" w:line="239" w:lineRule="exact"/>
        <w:rPr>
          <w:sz w:val="20"/>
          <w:szCs w:val="20"/>
          <w:color w:val="auto"/>
        </w:rPr>
      </w:pPr>
    </w:p>
    <w:p>
      <w:pPr>
        <w:ind w:left="6260"/>
        <w:spacing w:after="0"/>
        <w:rPr>
          <w:sz w:val="20"/>
          <w:szCs w:val="20"/>
          <w:color w:val="auto"/>
        </w:rPr>
      </w:pPr>
      <w:r>
        <w:rPr>
          <w:rFonts w:ascii="Arial" w:cs="Arial" w:eastAsia="Arial" w:hAnsi="Arial"/>
          <w:sz w:val="18"/>
          <w:szCs w:val="18"/>
          <w:b w:val="1"/>
          <w:bCs w:val="1"/>
          <w:color w:val="auto"/>
        </w:rPr>
        <w:t>ACCOUNT NUMBER</w:t>
      </w:r>
    </w:p>
    <w:p>
      <w:pPr>
        <w:spacing w:after="0" w:line="239" w:lineRule="exact"/>
        <w:rPr>
          <w:sz w:val="20"/>
          <w:szCs w:val="20"/>
          <w:color w:val="auto"/>
        </w:rPr>
      </w:pPr>
    </w:p>
    <w:p>
      <w:pPr>
        <w:ind w:left="6260"/>
        <w:spacing w:after="0"/>
        <w:rPr>
          <w:sz w:val="20"/>
          <w:szCs w:val="20"/>
          <w:color w:val="auto"/>
        </w:rPr>
      </w:pPr>
      <w:r>
        <w:rPr>
          <w:rFonts w:ascii="Arial" w:cs="Arial" w:eastAsia="Arial" w:hAnsi="Arial"/>
          <w:sz w:val="18"/>
          <w:szCs w:val="18"/>
          <w:b w:val="1"/>
          <w:bCs w:val="1"/>
          <w:color w:val="auto"/>
        </w:rPr>
        <w:t>CONTROL NUMBER</w:t>
      </w:r>
    </w:p>
    <w:p>
      <w:pPr>
        <w:spacing w:after="0" w:line="374" w:lineRule="exact"/>
        <w:rPr>
          <w:sz w:val="20"/>
          <w:szCs w:val="20"/>
          <w:color w:val="auto"/>
        </w:rPr>
      </w:pPr>
    </w:p>
    <w:p>
      <w:pPr>
        <w:ind w:right="280"/>
        <w:spacing w:after="0" w:line="347" w:lineRule="auto"/>
        <w:rPr>
          <w:sz w:val="20"/>
          <w:szCs w:val="20"/>
          <w:color w:val="auto"/>
        </w:rPr>
      </w:pPr>
      <w:r>
        <w:rPr>
          <w:rFonts w:ascii="Arial" w:cs="Arial" w:eastAsia="Arial" w:hAnsi="Arial"/>
          <w:sz w:val="16"/>
          <w:szCs w:val="16"/>
          <w:b w:val="1"/>
          <w:bCs w:val="1"/>
          <w:color w:val="auto"/>
        </w:rPr>
        <w:t>This communication is not a form of voting and presents only an overview of the more complete proxy materials that are available to you on the Internet. We encourage you to access and review all of the important information contained in the proxy materials before voting.</w:t>
      </w:r>
    </w:p>
    <w:p>
      <w:pPr>
        <w:spacing w:after="0" w:line="143" w:lineRule="exact"/>
        <w:rPr>
          <w:sz w:val="20"/>
          <w:szCs w:val="20"/>
          <w:color w:val="auto"/>
        </w:rPr>
      </w:pPr>
    </w:p>
    <w:p>
      <w:pPr>
        <w:spacing w:after="0" w:line="347" w:lineRule="auto"/>
        <w:rPr>
          <w:sz w:val="20"/>
          <w:szCs w:val="20"/>
          <w:color w:val="auto"/>
        </w:rPr>
      </w:pPr>
      <w:r>
        <w:rPr>
          <w:rFonts w:ascii="Arial" w:cs="Arial" w:eastAsia="Arial" w:hAnsi="Arial"/>
          <w:sz w:val="16"/>
          <w:szCs w:val="16"/>
          <w:b w:val="1"/>
          <w:bCs w:val="1"/>
          <w:color w:val="auto"/>
        </w:rPr>
        <w:t>If you want to receive a paper or e-mail copy of the proxy materials for this, or any future, meeting of stockholders you must request one. There is no charge to you for requesting a copy. To facilitate timely delivery please make the request as instructed below before May 30, 2018.</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Please visit www.cecoenviro.com/investors.aspx, where the following materials are available for view:</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440" w:type="dxa"/>
            <w:vAlign w:val="bottom"/>
          </w:tcPr>
          <w:p>
            <w:pPr>
              <w:spacing w:after="0"/>
              <w:rPr>
                <w:sz w:val="20"/>
                <w:szCs w:val="20"/>
                <w:color w:val="auto"/>
              </w:rPr>
            </w:pPr>
          </w:p>
        </w:tc>
        <w:tc>
          <w:tcPr>
            <w:tcW w:w="8280" w:type="dxa"/>
            <w:vAlign w:val="bottom"/>
            <w:gridSpan w:val="3"/>
          </w:tcPr>
          <w:p>
            <w:pPr>
              <w:ind w:left="220"/>
              <w:spacing w:after="0"/>
              <w:rPr>
                <w:sz w:val="20"/>
                <w:szCs w:val="20"/>
                <w:color w:val="auto"/>
              </w:rPr>
            </w:pPr>
            <w:r>
              <w:rPr>
                <w:rFonts w:ascii="Arial" w:cs="Arial" w:eastAsia="Arial" w:hAnsi="Arial"/>
                <w:sz w:val="18"/>
                <w:szCs w:val="18"/>
                <w:color w:val="auto"/>
              </w:rPr>
              <w:t>•   Notice of Annual Meeting of Stockholders</w:t>
            </w:r>
          </w:p>
        </w:tc>
      </w:tr>
      <w:tr>
        <w:trPr>
          <w:trHeight w:val="324"/>
        </w:trPr>
        <w:tc>
          <w:tcPr>
            <w:tcW w:w="2440" w:type="dxa"/>
            <w:vAlign w:val="bottom"/>
          </w:tcPr>
          <w:p>
            <w:pPr>
              <w:spacing w:after="0"/>
              <w:rPr>
                <w:sz w:val="24"/>
                <w:szCs w:val="24"/>
                <w:color w:val="auto"/>
              </w:rPr>
            </w:pPr>
          </w:p>
        </w:tc>
        <w:tc>
          <w:tcPr>
            <w:tcW w:w="8280" w:type="dxa"/>
            <w:vAlign w:val="bottom"/>
            <w:gridSpan w:val="3"/>
          </w:tcPr>
          <w:p>
            <w:pPr>
              <w:ind w:left="220"/>
              <w:spacing w:after="0"/>
              <w:rPr>
                <w:sz w:val="20"/>
                <w:szCs w:val="20"/>
                <w:color w:val="auto"/>
              </w:rPr>
            </w:pPr>
            <w:r>
              <w:rPr>
                <w:rFonts w:ascii="Arial" w:cs="Arial" w:eastAsia="Arial" w:hAnsi="Arial"/>
                <w:sz w:val="18"/>
                <w:szCs w:val="18"/>
                <w:color w:val="auto"/>
              </w:rPr>
              <w:t>•   Proxy Statement</w:t>
            </w:r>
          </w:p>
        </w:tc>
      </w:tr>
      <w:tr>
        <w:trPr>
          <w:trHeight w:val="324"/>
        </w:trPr>
        <w:tc>
          <w:tcPr>
            <w:tcW w:w="2440" w:type="dxa"/>
            <w:vAlign w:val="bottom"/>
          </w:tcPr>
          <w:p>
            <w:pPr>
              <w:spacing w:after="0"/>
              <w:rPr>
                <w:sz w:val="24"/>
                <w:szCs w:val="24"/>
                <w:color w:val="auto"/>
              </w:rPr>
            </w:pPr>
          </w:p>
        </w:tc>
        <w:tc>
          <w:tcPr>
            <w:tcW w:w="8280" w:type="dxa"/>
            <w:vAlign w:val="bottom"/>
            <w:gridSpan w:val="3"/>
          </w:tcPr>
          <w:p>
            <w:pPr>
              <w:ind w:left="220"/>
              <w:spacing w:after="0"/>
              <w:rPr>
                <w:sz w:val="20"/>
                <w:szCs w:val="20"/>
                <w:color w:val="auto"/>
              </w:rPr>
            </w:pPr>
            <w:r>
              <w:rPr>
                <w:rFonts w:ascii="Arial" w:cs="Arial" w:eastAsia="Arial" w:hAnsi="Arial"/>
                <w:sz w:val="18"/>
                <w:szCs w:val="18"/>
                <w:color w:val="auto"/>
              </w:rPr>
              <w:t>•   Form of Electronic Proxy Card</w:t>
            </w:r>
          </w:p>
        </w:tc>
      </w:tr>
      <w:tr>
        <w:trPr>
          <w:trHeight w:val="324"/>
        </w:trPr>
        <w:tc>
          <w:tcPr>
            <w:tcW w:w="2440" w:type="dxa"/>
            <w:vAlign w:val="bottom"/>
          </w:tcPr>
          <w:p>
            <w:pPr>
              <w:spacing w:after="0"/>
              <w:rPr>
                <w:sz w:val="24"/>
                <w:szCs w:val="24"/>
                <w:color w:val="auto"/>
              </w:rPr>
            </w:pPr>
          </w:p>
        </w:tc>
        <w:tc>
          <w:tcPr>
            <w:tcW w:w="8280" w:type="dxa"/>
            <w:vAlign w:val="bottom"/>
            <w:gridSpan w:val="3"/>
          </w:tcPr>
          <w:p>
            <w:pPr>
              <w:ind w:left="220"/>
              <w:spacing w:after="0"/>
              <w:rPr>
                <w:sz w:val="20"/>
                <w:szCs w:val="20"/>
                <w:color w:val="auto"/>
              </w:rPr>
            </w:pPr>
            <w:r>
              <w:rPr>
                <w:rFonts w:ascii="Arial" w:cs="Arial" w:eastAsia="Arial" w:hAnsi="Arial"/>
                <w:sz w:val="18"/>
                <w:szCs w:val="18"/>
                <w:color w:val="auto"/>
              </w:rPr>
              <w:t>•   Annual Report to Stockholders</w:t>
            </w:r>
          </w:p>
        </w:tc>
      </w:tr>
      <w:tr>
        <w:trPr>
          <w:trHeight w:val="324"/>
        </w:trPr>
        <w:tc>
          <w:tcPr>
            <w:tcW w:w="2440" w:type="dxa"/>
            <w:vAlign w:val="bottom"/>
          </w:tcPr>
          <w:p>
            <w:pPr>
              <w:spacing w:after="0"/>
              <w:rPr>
                <w:sz w:val="20"/>
                <w:szCs w:val="20"/>
                <w:color w:val="auto"/>
              </w:rPr>
            </w:pPr>
            <w:r>
              <w:rPr>
                <w:rFonts w:ascii="Arial" w:cs="Arial" w:eastAsia="Arial" w:hAnsi="Arial"/>
                <w:sz w:val="18"/>
                <w:szCs w:val="18"/>
                <w:b w:val="1"/>
                <w:bCs w:val="1"/>
                <w:color w:val="auto"/>
              </w:rPr>
              <w:t>TO REQUEST MATERIAL:</w:t>
            </w:r>
          </w:p>
        </w:tc>
        <w:tc>
          <w:tcPr>
            <w:tcW w:w="8280" w:type="dxa"/>
            <w:vAlign w:val="bottom"/>
            <w:gridSpan w:val="3"/>
          </w:tcPr>
          <w:p>
            <w:pPr>
              <w:ind w:left="220"/>
              <w:spacing w:after="0"/>
              <w:rPr>
                <w:sz w:val="20"/>
                <w:szCs w:val="20"/>
                <w:color w:val="auto"/>
              </w:rPr>
            </w:pPr>
            <w:r>
              <w:rPr>
                <w:rFonts w:ascii="Arial" w:cs="Arial" w:eastAsia="Arial" w:hAnsi="Arial"/>
                <w:sz w:val="18"/>
                <w:szCs w:val="18"/>
                <w:b w:val="1"/>
                <w:bCs w:val="1"/>
                <w:color w:val="auto"/>
              </w:rPr>
              <w:t>TELEPHONE: 888-Proxy-NA (888-776-9962) 718-921-8562 (for international callers)</w:t>
            </w:r>
          </w:p>
        </w:tc>
      </w:tr>
      <w:tr>
        <w:trPr>
          <w:trHeight w:val="324"/>
        </w:trPr>
        <w:tc>
          <w:tcPr>
            <w:tcW w:w="2440" w:type="dxa"/>
            <w:vAlign w:val="bottom"/>
          </w:tcPr>
          <w:p>
            <w:pPr>
              <w:spacing w:after="0"/>
              <w:rPr>
                <w:sz w:val="24"/>
                <w:szCs w:val="24"/>
                <w:color w:val="auto"/>
              </w:rPr>
            </w:pPr>
          </w:p>
        </w:tc>
        <w:tc>
          <w:tcPr>
            <w:tcW w:w="8280" w:type="dxa"/>
            <w:vAlign w:val="bottom"/>
            <w:gridSpan w:val="3"/>
          </w:tcPr>
          <w:p>
            <w:pPr>
              <w:ind w:left="220"/>
              <w:spacing w:after="0"/>
              <w:rPr>
                <w:sz w:val="20"/>
                <w:szCs w:val="20"/>
                <w:color w:val="auto"/>
              </w:rPr>
            </w:pPr>
            <w:r>
              <w:rPr>
                <w:rFonts w:ascii="Arial" w:cs="Arial" w:eastAsia="Arial" w:hAnsi="Arial"/>
                <w:sz w:val="18"/>
                <w:szCs w:val="18"/>
                <w:b w:val="1"/>
                <w:bCs w:val="1"/>
                <w:color w:val="auto"/>
              </w:rPr>
              <w:t>E-MAIL: info@astfinancial.com</w:t>
            </w:r>
          </w:p>
        </w:tc>
      </w:tr>
      <w:tr>
        <w:trPr>
          <w:trHeight w:val="324"/>
        </w:trPr>
        <w:tc>
          <w:tcPr>
            <w:tcW w:w="2440" w:type="dxa"/>
            <w:vAlign w:val="bottom"/>
          </w:tcPr>
          <w:p>
            <w:pPr>
              <w:spacing w:after="0"/>
              <w:rPr>
                <w:sz w:val="24"/>
                <w:szCs w:val="24"/>
                <w:color w:val="auto"/>
              </w:rPr>
            </w:pPr>
          </w:p>
        </w:tc>
        <w:tc>
          <w:tcPr>
            <w:tcW w:w="8280" w:type="dxa"/>
            <w:vAlign w:val="bottom"/>
            <w:gridSpan w:val="3"/>
          </w:tcPr>
          <w:p>
            <w:pPr>
              <w:ind w:left="220"/>
              <w:spacing w:after="0"/>
              <w:rPr>
                <w:sz w:val="20"/>
                <w:szCs w:val="20"/>
                <w:color w:val="auto"/>
              </w:rPr>
            </w:pPr>
            <w:r>
              <w:rPr>
                <w:rFonts w:ascii="Arial" w:cs="Arial" w:eastAsia="Arial" w:hAnsi="Arial"/>
                <w:sz w:val="18"/>
                <w:szCs w:val="18"/>
                <w:b w:val="1"/>
                <w:bCs w:val="1"/>
                <w:color w:val="auto"/>
              </w:rPr>
              <w:t>WEBSITE: https://us.astfinancial.com/OnlineProxyVoting/ProxyVoting/RequestMaterials</w:t>
            </w:r>
          </w:p>
        </w:tc>
      </w:tr>
      <w:tr>
        <w:trPr>
          <w:trHeight w:val="284"/>
        </w:trPr>
        <w:tc>
          <w:tcPr>
            <w:tcW w:w="2440" w:type="dxa"/>
            <w:vAlign w:val="bottom"/>
          </w:tcPr>
          <w:p>
            <w:pPr>
              <w:spacing w:after="0"/>
              <w:rPr>
                <w:sz w:val="20"/>
                <w:szCs w:val="20"/>
                <w:color w:val="auto"/>
              </w:rPr>
            </w:pPr>
            <w:r>
              <w:rPr>
                <w:rFonts w:ascii="Arial" w:cs="Arial" w:eastAsia="Arial" w:hAnsi="Arial"/>
                <w:sz w:val="18"/>
                <w:szCs w:val="18"/>
                <w:b w:val="1"/>
                <w:bCs w:val="1"/>
                <w:color w:val="auto"/>
              </w:rPr>
              <w:t>TO VOTE:</w:t>
            </w:r>
          </w:p>
        </w:tc>
        <w:tc>
          <w:tcPr>
            <w:tcW w:w="8280" w:type="dxa"/>
            <w:vAlign w:val="bottom"/>
            <w:gridSpan w:val="3"/>
          </w:tcPr>
          <w:p>
            <w:pPr>
              <w:ind w:left="220"/>
              <w:spacing w:after="0"/>
              <w:rPr>
                <w:sz w:val="20"/>
                <w:szCs w:val="20"/>
                <w:color w:val="auto"/>
              </w:rPr>
            </w:pPr>
            <w:r>
              <w:rPr>
                <w:rFonts w:ascii="Arial" w:cs="Arial" w:eastAsia="Arial" w:hAnsi="Arial"/>
                <w:sz w:val="18"/>
                <w:szCs w:val="18"/>
                <w:b w:val="1"/>
                <w:bCs w:val="1"/>
                <w:color w:val="auto"/>
                <w:w w:val="97"/>
              </w:rPr>
              <w:t xml:space="preserve">ONLINE: </w:t>
            </w:r>
            <w:r>
              <w:rPr>
                <w:rFonts w:ascii="Arial" w:cs="Arial" w:eastAsia="Arial" w:hAnsi="Arial"/>
                <w:sz w:val="18"/>
                <w:szCs w:val="18"/>
                <w:color w:val="auto"/>
                <w:w w:val="97"/>
              </w:rPr>
              <w:t>To access your online proxy card, please visit</w:t>
            </w:r>
            <w:r>
              <w:rPr>
                <w:rFonts w:ascii="Arial" w:cs="Arial" w:eastAsia="Arial" w:hAnsi="Arial"/>
                <w:sz w:val="18"/>
                <w:szCs w:val="18"/>
                <w:b w:val="1"/>
                <w:bCs w:val="1"/>
                <w:color w:val="auto"/>
                <w:w w:val="97"/>
              </w:rPr>
              <w:t xml:space="preserve"> www.voteproxy.com </w:t>
            </w:r>
            <w:r>
              <w:rPr>
                <w:rFonts w:ascii="Arial" w:cs="Arial" w:eastAsia="Arial" w:hAnsi="Arial"/>
                <w:sz w:val="18"/>
                <w:szCs w:val="18"/>
                <w:color w:val="auto"/>
                <w:w w:val="97"/>
              </w:rPr>
              <w:t>and follow the on-screen</w:t>
            </w:r>
          </w:p>
        </w:tc>
      </w:tr>
      <w:tr>
        <w:trPr>
          <w:trHeight w:val="20"/>
        </w:trPr>
        <w:tc>
          <w:tcPr>
            <w:tcW w:w="244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222"/>
        </w:trPr>
        <w:tc>
          <w:tcPr>
            <w:tcW w:w="2440" w:type="dxa"/>
            <w:vAlign w:val="bottom"/>
          </w:tcPr>
          <w:p>
            <w:pPr>
              <w:spacing w:after="0"/>
              <w:rPr>
                <w:sz w:val="19"/>
                <w:szCs w:val="19"/>
                <w:color w:val="auto"/>
              </w:rPr>
            </w:pPr>
          </w:p>
        </w:tc>
        <w:tc>
          <w:tcPr>
            <w:tcW w:w="8280" w:type="dxa"/>
            <w:vAlign w:val="bottom"/>
            <w:gridSpan w:val="3"/>
          </w:tcPr>
          <w:p>
            <w:pPr>
              <w:ind w:left="220"/>
              <w:spacing w:after="0"/>
              <w:rPr>
                <w:sz w:val="20"/>
                <w:szCs w:val="20"/>
                <w:color w:val="auto"/>
              </w:rPr>
            </w:pPr>
            <w:r>
              <w:rPr>
                <w:rFonts w:ascii="Arial" w:cs="Arial" w:eastAsia="Arial" w:hAnsi="Arial"/>
                <w:sz w:val="18"/>
                <w:szCs w:val="18"/>
                <w:color w:val="auto"/>
              </w:rPr>
              <w:t>instructions or scan the QR code with your smartphone. You may enter your voting instructions at</w:t>
            </w:r>
          </w:p>
        </w:tc>
      </w:tr>
      <w:tr>
        <w:trPr>
          <w:trHeight w:val="230"/>
        </w:trPr>
        <w:tc>
          <w:tcPr>
            <w:tcW w:w="2440" w:type="dxa"/>
            <w:vAlign w:val="bottom"/>
          </w:tcPr>
          <w:p>
            <w:pPr>
              <w:spacing w:after="0"/>
              <w:rPr>
                <w:sz w:val="20"/>
                <w:szCs w:val="20"/>
                <w:color w:val="auto"/>
              </w:rPr>
            </w:pPr>
          </w:p>
        </w:tc>
        <w:tc>
          <w:tcPr>
            <w:tcW w:w="8280" w:type="dxa"/>
            <w:vAlign w:val="bottom"/>
            <w:gridSpan w:val="3"/>
          </w:tcPr>
          <w:p>
            <w:pPr>
              <w:ind w:left="220"/>
              <w:spacing w:after="0"/>
              <w:rPr>
                <w:sz w:val="20"/>
                <w:szCs w:val="20"/>
                <w:color w:val="auto"/>
              </w:rPr>
            </w:pPr>
            <w:r>
              <w:rPr>
                <w:rFonts w:ascii="Arial" w:cs="Arial" w:eastAsia="Arial" w:hAnsi="Arial"/>
                <w:sz w:val="18"/>
                <w:szCs w:val="18"/>
                <w:color w:val="auto"/>
              </w:rPr>
              <w:t>www.voteproxy.com up until 11:59, p.m. EDT, the day before the meeting date.</w:t>
            </w:r>
          </w:p>
        </w:tc>
      </w:tr>
      <w:tr>
        <w:trPr>
          <w:trHeight w:val="323"/>
        </w:trPr>
        <w:tc>
          <w:tcPr>
            <w:tcW w:w="2440" w:type="dxa"/>
            <w:vAlign w:val="bottom"/>
          </w:tcPr>
          <w:p>
            <w:pPr>
              <w:spacing w:after="0"/>
              <w:rPr>
                <w:sz w:val="24"/>
                <w:szCs w:val="24"/>
                <w:color w:val="auto"/>
              </w:rPr>
            </w:pPr>
          </w:p>
        </w:tc>
        <w:tc>
          <w:tcPr>
            <w:tcW w:w="8280" w:type="dxa"/>
            <w:vAlign w:val="bottom"/>
            <w:gridSpan w:val="3"/>
          </w:tcPr>
          <w:p>
            <w:pPr>
              <w:ind w:left="220"/>
              <w:spacing w:after="0"/>
              <w:rPr>
                <w:sz w:val="20"/>
                <w:szCs w:val="20"/>
                <w:color w:val="auto"/>
              </w:rPr>
            </w:pPr>
            <w:r>
              <w:rPr>
                <w:rFonts w:ascii="Arial" w:cs="Arial" w:eastAsia="Arial" w:hAnsi="Arial"/>
                <w:sz w:val="18"/>
                <w:szCs w:val="18"/>
                <w:b w:val="1"/>
                <w:bCs w:val="1"/>
                <w:color w:val="auto"/>
                <w:w w:val="91"/>
              </w:rPr>
              <w:t xml:space="preserve">IN PERSON: </w:t>
            </w:r>
            <w:r>
              <w:rPr>
                <w:rFonts w:ascii="Arial" w:cs="Arial" w:eastAsia="Arial" w:hAnsi="Arial"/>
                <w:sz w:val="18"/>
                <w:szCs w:val="18"/>
                <w:color w:val="auto"/>
                <w:w w:val="91"/>
              </w:rPr>
              <w:t>You may vote your shares in person by attending the Annual Meeting. To obtain directions to the</w:t>
            </w:r>
          </w:p>
        </w:tc>
      </w:tr>
      <w:tr>
        <w:trPr>
          <w:trHeight w:val="230"/>
        </w:trPr>
        <w:tc>
          <w:tcPr>
            <w:tcW w:w="2440" w:type="dxa"/>
            <w:vAlign w:val="bottom"/>
          </w:tcPr>
          <w:p>
            <w:pPr>
              <w:spacing w:after="0"/>
              <w:rPr>
                <w:sz w:val="20"/>
                <w:szCs w:val="20"/>
                <w:color w:val="auto"/>
              </w:rPr>
            </w:pPr>
          </w:p>
        </w:tc>
        <w:tc>
          <w:tcPr>
            <w:tcW w:w="8280" w:type="dxa"/>
            <w:vAlign w:val="bottom"/>
            <w:gridSpan w:val="3"/>
          </w:tcPr>
          <w:p>
            <w:pPr>
              <w:ind w:left="220"/>
              <w:spacing w:after="0"/>
              <w:rPr>
                <w:sz w:val="20"/>
                <w:szCs w:val="20"/>
                <w:color w:val="auto"/>
              </w:rPr>
            </w:pPr>
            <w:r>
              <w:rPr>
                <w:rFonts w:ascii="Arial" w:cs="Arial" w:eastAsia="Arial" w:hAnsi="Arial"/>
                <w:sz w:val="18"/>
                <w:szCs w:val="18"/>
                <w:color w:val="auto"/>
              </w:rPr>
              <w:t>Annual Meeting please call (214)357-6181.</w:t>
            </w:r>
          </w:p>
        </w:tc>
      </w:tr>
      <w:tr>
        <w:trPr>
          <w:trHeight w:val="338"/>
        </w:trPr>
        <w:tc>
          <w:tcPr>
            <w:tcW w:w="2440" w:type="dxa"/>
            <w:vAlign w:val="bottom"/>
          </w:tcPr>
          <w:p>
            <w:pPr>
              <w:spacing w:after="0"/>
              <w:rPr>
                <w:sz w:val="24"/>
                <w:szCs w:val="24"/>
                <w:color w:val="auto"/>
              </w:rPr>
            </w:pPr>
          </w:p>
        </w:tc>
        <w:tc>
          <w:tcPr>
            <w:tcW w:w="8280" w:type="dxa"/>
            <w:vAlign w:val="bottom"/>
            <w:gridSpan w:val="3"/>
          </w:tcPr>
          <w:p>
            <w:pPr>
              <w:ind w:left="220"/>
              <w:spacing w:after="0"/>
              <w:rPr>
                <w:sz w:val="20"/>
                <w:szCs w:val="20"/>
                <w:color w:val="auto"/>
              </w:rPr>
            </w:pPr>
            <w:r>
              <w:rPr>
                <w:rFonts w:ascii="Arial" w:cs="Arial" w:eastAsia="Arial" w:hAnsi="Arial"/>
                <w:sz w:val="18"/>
                <w:szCs w:val="18"/>
                <w:b w:val="1"/>
                <w:bCs w:val="1"/>
                <w:color w:val="auto"/>
              </w:rPr>
              <w:t xml:space="preserve">MAIL: </w:t>
            </w:r>
            <w:r>
              <w:rPr>
                <w:rFonts w:ascii="Arial" w:cs="Arial" w:eastAsia="Arial" w:hAnsi="Arial"/>
                <w:sz w:val="18"/>
                <w:szCs w:val="18"/>
                <w:color w:val="auto"/>
              </w:rPr>
              <w:t>You may request a card by following the instructions above.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1110615</wp:posOffset>
            </wp:positionH>
            <wp:positionV relativeFrom="paragraph">
              <wp:posOffset>-977265</wp:posOffset>
            </wp:positionV>
            <wp:extent cx="394335" cy="3943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94335" cy="394335"/>
                    </a:xfrm>
                    <a:prstGeom prst="rect">
                      <a:avLst/>
                    </a:prstGeom>
                    <a:noFill/>
                  </pic:spPr>
                </pic:pic>
              </a:graphicData>
            </a:graphic>
          </wp:anchor>
        </w:drawing>
      </w:r>
    </w:p>
    <w:p>
      <w:pPr>
        <w:sectPr>
          <w:pgSz w:w="11900" w:h="16838" w:orient="portrait"/>
          <w:cols w:equalWidth="0" w:num="1">
            <w:col w:w="11000"/>
          </w:cols>
          <w:pgMar w:left="660" w:top="261" w:right="239" w:bottom="1440" w:gutter="0" w:footer="0" w:header="0"/>
        </w:sectPr>
      </w:pPr>
    </w:p>
    <w:bookmarkStart w:id="3" w:name="page4"/>
    <w:bookmarkEnd w:id="3"/>
    <w:p>
      <w:pPr>
        <w:ind w:left="286" w:hanging="286"/>
        <w:spacing w:after="0"/>
        <w:tabs>
          <w:tab w:leader="none" w:pos="286" w:val="left"/>
        </w:tabs>
        <w:numPr>
          <w:ilvl w:val="0"/>
          <w:numId w:val="7"/>
        </w:numPr>
        <w:rPr>
          <w:rFonts w:ascii="Arial" w:cs="Arial" w:eastAsia="Arial" w:hAnsi="Arial"/>
          <w:sz w:val="14"/>
          <w:szCs w:val="14"/>
          <w:color w:val="auto"/>
        </w:rPr>
      </w:pPr>
      <w:r>
        <w:rPr>
          <w:rFonts w:ascii="Arial" w:cs="Arial" w:eastAsia="Arial" w:hAnsi="Arial"/>
          <w:sz w:val="14"/>
          <w:szCs w:val="14"/>
          <w:color w:val="auto"/>
        </w:rPr>
        <w:t>Election of Directors:</w:t>
      </w:r>
    </w:p>
    <w:p>
      <w:pPr>
        <w:spacing w:after="0" w:line="105" w:lineRule="exact"/>
        <w:rPr>
          <w:sz w:val="20"/>
          <w:szCs w:val="20"/>
          <w:color w:val="auto"/>
        </w:rPr>
      </w:pPr>
    </w:p>
    <w:p>
      <w:pPr>
        <w:ind w:left="326"/>
        <w:spacing w:after="0"/>
        <w:rPr>
          <w:sz w:val="20"/>
          <w:szCs w:val="20"/>
          <w:color w:val="auto"/>
        </w:rPr>
      </w:pPr>
      <w:r>
        <w:rPr>
          <w:rFonts w:ascii="Arial" w:cs="Arial" w:eastAsia="Arial" w:hAnsi="Arial"/>
          <w:sz w:val="14"/>
          <w:szCs w:val="14"/>
          <w:b w:val="1"/>
          <w:bCs w:val="1"/>
          <w:color w:val="auto"/>
        </w:rPr>
        <w:t>NOMINEES:</w:t>
      </w:r>
    </w:p>
    <w:p>
      <w:pPr>
        <w:spacing w:after="0" w:line="5" w:lineRule="exact"/>
        <w:rPr>
          <w:sz w:val="20"/>
          <w:szCs w:val="20"/>
          <w:color w:val="auto"/>
        </w:rPr>
      </w:pPr>
    </w:p>
    <w:p>
      <w:pPr>
        <w:ind w:left="1266"/>
        <w:spacing w:after="0"/>
        <w:rPr>
          <w:sz w:val="20"/>
          <w:szCs w:val="20"/>
          <w:color w:val="auto"/>
        </w:rPr>
      </w:pPr>
      <w:r>
        <w:rPr>
          <w:rFonts w:ascii="Arial" w:cs="Arial" w:eastAsia="Arial" w:hAnsi="Arial"/>
          <w:sz w:val="14"/>
          <w:szCs w:val="14"/>
          <w:color w:val="auto"/>
        </w:rPr>
        <w:t>Jason DeZwirek</w:t>
      </w:r>
    </w:p>
    <w:p>
      <w:pPr>
        <w:ind w:left="1266"/>
        <w:spacing w:after="0" w:line="221" w:lineRule="auto"/>
        <w:rPr>
          <w:sz w:val="20"/>
          <w:szCs w:val="20"/>
          <w:color w:val="auto"/>
        </w:rPr>
      </w:pPr>
      <w:r>
        <w:rPr>
          <w:rFonts w:ascii="Arial" w:cs="Arial" w:eastAsia="Arial" w:hAnsi="Arial"/>
          <w:sz w:val="14"/>
          <w:szCs w:val="14"/>
          <w:color w:val="auto"/>
        </w:rPr>
        <w:t>Eric M. Goldberg</w:t>
      </w:r>
    </w:p>
    <w:p>
      <w:pPr>
        <w:ind w:left="1266"/>
        <w:spacing w:after="0" w:line="221" w:lineRule="auto"/>
        <w:rPr>
          <w:sz w:val="20"/>
          <w:szCs w:val="20"/>
          <w:color w:val="auto"/>
        </w:rPr>
      </w:pPr>
      <w:r>
        <w:rPr>
          <w:rFonts w:ascii="Arial" w:cs="Arial" w:eastAsia="Arial" w:hAnsi="Arial"/>
          <w:sz w:val="14"/>
          <w:szCs w:val="14"/>
          <w:color w:val="auto"/>
        </w:rPr>
        <w:t>David B. Liner</w:t>
      </w:r>
    </w:p>
    <w:p>
      <w:pPr>
        <w:ind w:left="1266"/>
        <w:spacing w:after="0" w:line="222" w:lineRule="auto"/>
        <w:rPr>
          <w:sz w:val="20"/>
          <w:szCs w:val="20"/>
          <w:color w:val="auto"/>
        </w:rPr>
      </w:pPr>
      <w:r>
        <w:rPr>
          <w:rFonts w:ascii="Arial" w:cs="Arial" w:eastAsia="Arial" w:hAnsi="Arial"/>
          <w:sz w:val="14"/>
          <w:szCs w:val="14"/>
          <w:color w:val="auto"/>
        </w:rPr>
        <w:t>Claudio A. Mannarino</w:t>
      </w:r>
    </w:p>
    <w:p>
      <w:pPr>
        <w:ind w:left="1266"/>
        <w:spacing w:after="0" w:line="221" w:lineRule="auto"/>
        <w:rPr>
          <w:sz w:val="20"/>
          <w:szCs w:val="20"/>
          <w:color w:val="auto"/>
        </w:rPr>
      </w:pPr>
      <w:r>
        <w:rPr>
          <w:rFonts w:ascii="Arial" w:cs="Arial" w:eastAsia="Arial" w:hAnsi="Arial"/>
          <w:sz w:val="14"/>
          <w:szCs w:val="14"/>
          <w:color w:val="auto"/>
        </w:rPr>
        <w:t>Munish Nanda</w:t>
      </w:r>
    </w:p>
    <w:p>
      <w:pPr>
        <w:ind w:left="1266"/>
        <w:spacing w:after="0" w:line="222" w:lineRule="auto"/>
        <w:rPr>
          <w:sz w:val="20"/>
          <w:szCs w:val="20"/>
          <w:color w:val="auto"/>
        </w:rPr>
      </w:pPr>
      <w:r>
        <w:rPr>
          <w:rFonts w:ascii="Arial" w:cs="Arial" w:eastAsia="Arial" w:hAnsi="Arial"/>
          <w:sz w:val="14"/>
          <w:szCs w:val="14"/>
          <w:color w:val="auto"/>
        </w:rPr>
        <w:t>Jonathan Pollack</w:t>
      </w:r>
    </w:p>
    <w:p>
      <w:pPr>
        <w:ind w:left="1266"/>
        <w:spacing w:after="0" w:line="221" w:lineRule="auto"/>
        <w:rPr>
          <w:sz w:val="20"/>
          <w:szCs w:val="20"/>
          <w:color w:val="auto"/>
        </w:rPr>
      </w:pPr>
      <w:r>
        <w:rPr>
          <w:rFonts w:ascii="Arial" w:cs="Arial" w:eastAsia="Arial" w:hAnsi="Arial"/>
          <w:sz w:val="14"/>
          <w:szCs w:val="14"/>
          <w:color w:val="auto"/>
        </w:rPr>
        <w:t>Valerie Gentile Sachs</w:t>
      </w:r>
    </w:p>
    <w:p>
      <w:pPr>
        <w:spacing w:after="0" w:line="1" w:lineRule="exact"/>
        <w:rPr>
          <w:sz w:val="20"/>
          <w:szCs w:val="20"/>
          <w:color w:val="auto"/>
        </w:rPr>
      </w:pPr>
    </w:p>
    <w:p>
      <w:pPr>
        <w:ind w:left="1266"/>
        <w:spacing w:after="0"/>
        <w:rPr>
          <w:sz w:val="20"/>
          <w:szCs w:val="20"/>
          <w:color w:val="auto"/>
        </w:rPr>
      </w:pPr>
      <w:r>
        <w:rPr>
          <w:rFonts w:ascii="Arial" w:cs="Arial" w:eastAsia="Arial" w:hAnsi="Arial"/>
          <w:sz w:val="14"/>
          <w:szCs w:val="14"/>
          <w:color w:val="auto"/>
        </w:rPr>
        <w:t>Dennis Sadlowski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6"/>
        <w:spacing w:after="0"/>
        <w:rPr>
          <w:sz w:val="20"/>
          <w:szCs w:val="20"/>
          <w:color w:val="auto"/>
        </w:rPr>
      </w:pPr>
      <w:r>
        <w:rPr>
          <w:rFonts w:ascii="Arial" w:cs="Arial" w:eastAsia="Arial" w:hAnsi="Arial"/>
          <w:sz w:val="12"/>
          <w:szCs w:val="12"/>
          <w:b w:val="1"/>
          <w:bCs w:val="1"/>
          <w:color w:val="auto"/>
        </w:rPr>
        <w:t>Please note that you cannot use this notice to vote by mail.</w:t>
      </w:r>
    </w:p>
    <w:p>
      <w:pPr>
        <w:spacing w:after="0" w:line="20" w:lineRule="exact"/>
        <w:rPr>
          <w:sz w:val="20"/>
          <w:szCs w:val="20"/>
          <w:color w:val="auto"/>
        </w:rPr>
      </w:pPr>
      <w:r>
        <w:rPr>
          <w:sz w:val="20"/>
          <w:szCs w:val="20"/>
          <w:color w:val="auto"/>
        </w:rPr>
        <w:br w:type="column"/>
      </w:r>
    </w:p>
    <w:p>
      <w:pPr>
        <w:ind w:left="220" w:hanging="218"/>
        <w:spacing w:after="0"/>
        <w:tabs>
          <w:tab w:leader="none" w:pos="220" w:val="left"/>
        </w:tabs>
        <w:numPr>
          <w:ilvl w:val="0"/>
          <w:numId w:val="8"/>
        </w:numPr>
        <w:rPr>
          <w:rFonts w:ascii="Arial" w:cs="Arial" w:eastAsia="Arial" w:hAnsi="Arial"/>
          <w:sz w:val="13"/>
          <w:szCs w:val="13"/>
          <w:color w:val="auto"/>
        </w:rPr>
      </w:pPr>
      <w:r>
        <w:rPr>
          <w:rFonts w:ascii="Arial" w:cs="Arial" w:eastAsia="Arial" w:hAnsi="Arial"/>
          <w:sz w:val="13"/>
          <w:szCs w:val="13"/>
          <w:color w:val="auto"/>
        </w:rPr>
        <w:t>To approve, on an advisory basis, the Company’s named executive officer compensation.</w:t>
      </w:r>
    </w:p>
    <w:p>
      <w:pPr>
        <w:spacing w:after="0" w:line="200" w:lineRule="exact"/>
        <w:rPr>
          <w:rFonts w:ascii="Arial" w:cs="Arial" w:eastAsia="Arial" w:hAnsi="Arial"/>
          <w:sz w:val="13"/>
          <w:szCs w:val="13"/>
          <w:color w:val="auto"/>
        </w:rPr>
      </w:pPr>
    </w:p>
    <w:p>
      <w:pPr>
        <w:spacing w:after="0" w:line="204" w:lineRule="exact"/>
        <w:rPr>
          <w:rFonts w:ascii="Arial" w:cs="Arial" w:eastAsia="Arial" w:hAnsi="Arial"/>
          <w:sz w:val="13"/>
          <w:szCs w:val="13"/>
          <w:color w:val="auto"/>
        </w:rPr>
      </w:pPr>
    </w:p>
    <w:p>
      <w:pPr>
        <w:ind w:left="220" w:right="600" w:hanging="218"/>
        <w:spacing w:after="0" w:line="253" w:lineRule="auto"/>
        <w:tabs>
          <w:tab w:leader="none" w:pos="220" w:val="left"/>
        </w:tabs>
        <w:numPr>
          <w:ilvl w:val="0"/>
          <w:numId w:val="8"/>
        </w:numPr>
        <w:rPr>
          <w:rFonts w:ascii="Arial" w:cs="Arial" w:eastAsia="Arial" w:hAnsi="Arial"/>
          <w:sz w:val="14"/>
          <w:szCs w:val="14"/>
          <w:color w:val="auto"/>
        </w:rPr>
      </w:pPr>
      <w:r>
        <w:rPr>
          <w:rFonts w:ascii="Arial" w:cs="Arial" w:eastAsia="Arial" w:hAnsi="Arial"/>
          <w:sz w:val="14"/>
          <w:szCs w:val="14"/>
          <w:color w:val="auto"/>
        </w:rPr>
        <w:t>To ratify the appointment of BDO USA, LLP as the independent registered public accounting firm of the Company for fiscal year 2018.</w:t>
      </w:r>
    </w:p>
    <w:p>
      <w:pPr>
        <w:spacing w:after="0" w:line="92" w:lineRule="exact"/>
        <w:rPr>
          <w:rFonts w:ascii="Arial" w:cs="Arial" w:eastAsia="Arial" w:hAnsi="Arial"/>
          <w:sz w:val="14"/>
          <w:szCs w:val="14"/>
          <w:color w:val="auto"/>
        </w:rPr>
      </w:pPr>
    </w:p>
    <w:p>
      <w:pPr>
        <w:ind w:left="220" w:right="780" w:hanging="218"/>
        <w:spacing w:after="0" w:line="253" w:lineRule="auto"/>
        <w:tabs>
          <w:tab w:leader="none" w:pos="220" w:val="left"/>
        </w:tabs>
        <w:numPr>
          <w:ilvl w:val="0"/>
          <w:numId w:val="8"/>
        </w:numPr>
        <w:rPr>
          <w:rFonts w:ascii="Arial" w:cs="Arial" w:eastAsia="Arial" w:hAnsi="Arial"/>
          <w:sz w:val="14"/>
          <w:szCs w:val="14"/>
          <w:color w:val="auto"/>
        </w:rPr>
      </w:pPr>
      <w:r>
        <w:rPr>
          <w:rFonts w:ascii="Arial" w:cs="Arial" w:eastAsia="Arial" w:hAnsi="Arial"/>
          <w:sz w:val="14"/>
          <w:szCs w:val="14"/>
          <w:color w:val="auto"/>
        </w:rPr>
        <w:t>To transact such other business as my properly come before the meeting or any adjournments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-863600</wp:posOffset>
            </wp:positionV>
            <wp:extent cx="7246620" cy="2693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269303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spacing w:after="0" w:line="259" w:lineRule="auto"/>
        <w:rPr>
          <w:sz w:val="20"/>
          <w:szCs w:val="20"/>
          <w:color w:val="auto"/>
        </w:rPr>
      </w:pPr>
      <w:r>
        <w:rPr>
          <w:rFonts w:ascii="Arial" w:cs="Arial" w:eastAsia="Arial" w:hAnsi="Arial"/>
          <w:sz w:val="14"/>
          <w:szCs w:val="14"/>
          <w:b w:val="1"/>
          <w:bCs w:val="1"/>
          <w:color w:val="auto"/>
        </w:rPr>
        <w:t>THE BOARD OF DIRECTORS RECOMMENDS A VOTE “FOR” THE ELECTION OF DIRECTORS, “FOR” PROPOSAL NO. 2 AND “FOR” PROPOSAL NO. 3.</w:t>
      </w:r>
    </w:p>
    <w:sectPr>
      <w:pgSz w:w="11900" w:h="16838" w:orient="portrait"/>
      <w:cols w:equalWidth="0" w:num="2">
        <w:col w:w="4666" w:space="720"/>
        <w:col w:w="5540"/>
      </w:cols>
      <w:pgMar w:left="694" w:top="418"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lvl w:ilvl="1">
      <w:lvlJc w:val="left"/>
      <w:lvlText w:val="(%2)"/>
      <w:numFmt w:val="decimal"/>
      <w:start w:val="1"/>
    </w:lvl>
  </w:abstractNum>
  <w:abstractNum w:abstractNumId="5">
    <w:nsid w:val="41B71EFB"/>
    <w:multiLevelType w:val="hybridMultilevel"/>
    <w:lvl w:ilvl="0">
      <w:lvlJc w:val="left"/>
      <w:lvlText w:val="(%1)"/>
      <w:numFmt w:val="decimal"/>
      <w:start w:val="2"/>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2020-01-15T06:35:36Z</dcterms:created>
  <dcterms:modified xsi:type="dcterms:W3CDTF">2020-01-15T06:35:36Z</dcterms:modified>
</cp:coreProperties>
</file>