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189230</wp:posOffset>
            </wp:positionV>
            <wp:extent cx="70294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CECO ENVIRONMENTAL 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420" w:type="dxa"/>
            <w:vAlign w:val="bottom"/>
          </w:tcPr>
          <w:p>
            <w:pPr>
              <w:jc w:val="center"/>
              <w:ind w:right="1958"/>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41"/>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442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40" w:type="dxa"/>
            <w:vAlign w:val="bottom"/>
          </w:tcPr>
          <w:p>
            <w:pPr>
              <w:jc w:val="center"/>
              <w:ind w:left="19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420" w:type="dxa"/>
            <w:vAlign w:val="bottom"/>
          </w:tcPr>
          <w:p>
            <w:pPr>
              <w:jc w:val="center"/>
              <w:ind w:right="1958"/>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420" w:type="dxa"/>
            <w:vAlign w:val="bottom"/>
          </w:tcPr>
          <w:p>
            <w:pPr>
              <w:jc w:val="center"/>
              <w:ind w:right="1958"/>
              <w:spacing w:after="0"/>
              <w:rPr>
                <w:sz w:val="20"/>
                <w:szCs w:val="20"/>
                <w:color w:val="auto"/>
              </w:rPr>
            </w:pPr>
            <w:r>
              <w:rPr>
                <w:rFonts w:ascii="Arial" w:cs="Arial" w:eastAsia="Arial" w:hAnsi="Arial"/>
                <w:sz w:val="18"/>
                <w:szCs w:val="18"/>
                <w:b w:val="1"/>
                <w:bCs w:val="1"/>
                <w:color w:val="auto"/>
                <w:w w:val="92"/>
              </w:rPr>
              <w:t>14651 North Dallas Parkway</w:t>
            </w:r>
          </w:p>
        </w:tc>
        <w:tc>
          <w:tcPr>
            <w:tcW w:w="3140" w:type="dxa"/>
            <w:vAlign w:val="bottom"/>
          </w:tcPr>
          <w:p>
            <w:pPr>
              <w:spacing w:after="0"/>
              <w:rPr>
                <w:sz w:val="24"/>
                <w:szCs w:val="24"/>
                <w:color w:val="auto"/>
              </w:rPr>
            </w:pPr>
          </w:p>
        </w:tc>
      </w:tr>
      <w:tr>
        <w:trPr>
          <w:trHeight w:val="216"/>
        </w:trPr>
        <w:tc>
          <w:tcPr>
            <w:tcW w:w="4420" w:type="dxa"/>
            <w:vAlign w:val="bottom"/>
          </w:tcPr>
          <w:p>
            <w:pPr>
              <w:jc w:val="center"/>
              <w:ind w:right="1958"/>
              <w:spacing w:after="0"/>
              <w:rPr>
                <w:sz w:val="20"/>
                <w:szCs w:val="20"/>
                <w:color w:val="auto"/>
              </w:rPr>
            </w:pPr>
            <w:r>
              <w:rPr>
                <w:rFonts w:ascii="Arial" w:cs="Arial" w:eastAsia="Arial" w:hAnsi="Arial"/>
                <w:sz w:val="18"/>
                <w:szCs w:val="18"/>
                <w:b w:val="1"/>
                <w:bCs w:val="1"/>
                <w:color w:val="auto"/>
                <w:w w:val="88"/>
              </w:rPr>
              <w:t>Suite 500</w:t>
            </w:r>
          </w:p>
        </w:tc>
        <w:tc>
          <w:tcPr>
            <w:tcW w:w="3140" w:type="dxa"/>
            <w:vAlign w:val="bottom"/>
          </w:tcPr>
          <w:p>
            <w:pPr>
              <w:spacing w:after="0"/>
              <w:rPr>
                <w:sz w:val="18"/>
                <w:szCs w:val="18"/>
                <w:color w:val="auto"/>
              </w:rPr>
            </w:pPr>
          </w:p>
        </w:tc>
      </w:tr>
      <w:tr>
        <w:trPr>
          <w:trHeight w:val="212"/>
        </w:trPr>
        <w:tc>
          <w:tcPr>
            <w:tcW w:w="4420" w:type="dxa"/>
            <w:vAlign w:val="bottom"/>
          </w:tcPr>
          <w:p>
            <w:pPr>
              <w:jc w:val="center"/>
              <w:ind w:right="1958"/>
              <w:spacing w:after="0"/>
              <w:rPr>
                <w:sz w:val="20"/>
                <w:szCs w:val="20"/>
                <w:color w:val="auto"/>
              </w:rPr>
            </w:pPr>
            <w:r>
              <w:rPr>
                <w:rFonts w:ascii="Arial" w:cs="Arial" w:eastAsia="Arial" w:hAnsi="Arial"/>
                <w:sz w:val="18"/>
                <w:szCs w:val="18"/>
                <w:b w:val="1"/>
                <w:bCs w:val="1"/>
                <w:color w:val="auto"/>
                <w:w w:val="89"/>
              </w:rPr>
              <w:t>Dallas, Texas</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75254</w:t>
            </w:r>
          </w:p>
        </w:tc>
      </w:tr>
      <w:tr>
        <w:trPr>
          <w:trHeight w:val="186"/>
        </w:trPr>
        <w:tc>
          <w:tcPr>
            <w:tcW w:w="4420" w:type="dxa"/>
            <w:vAlign w:val="bottom"/>
          </w:tcPr>
          <w:p>
            <w:pPr>
              <w:jc w:val="center"/>
              <w:ind w:right="19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6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21"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92"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520" w:type="dxa"/>
        <w:tblCellMar>
          <w:top w:w="0" w:type="dxa"/>
          <w:left w:w="0" w:type="dxa"/>
          <w:bottom w:w="0" w:type="dxa"/>
          <w:right w:w="0" w:type="dxa"/>
        </w:tblCellMar>
      </w:tblPr>
      <w:tr>
        <w:trPr>
          <w:trHeight w:val="254"/>
        </w:trPr>
        <w:tc>
          <w:tcPr>
            <w:tcW w:w="7400" w:type="dxa"/>
            <w:vAlign w:val="bottom"/>
            <w:gridSpan w:val="5"/>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060" w:type="dxa"/>
            <w:vAlign w:val="bottom"/>
          </w:tcPr>
          <w:p>
            <w:pPr>
              <w:ind w:left="6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96"/>
        </w:trPr>
        <w:tc>
          <w:tcPr>
            <w:tcW w:w="30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3060" w:type="dxa"/>
            <w:vAlign w:val="bottom"/>
            <w:tcBorders>
              <w:bottom w:val="single" w:sz="8" w:color="auto"/>
            </w:tcBorders>
          </w:tcPr>
          <w:p>
            <w:pPr>
              <w:spacing w:after="0"/>
              <w:rPr>
                <w:sz w:val="24"/>
                <w:szCs w:val="24"/>
                <w:color w:val="auto"/>
              </w:rPr>
            </w:pPr>
          </w:p>
        </w:tc>
      </w:tr>
      <w:tr>
        <w:trPr>
          <w:trHeight w:val="203"/>
        </w:trPr>
        <w:tc>
          <w:tcPr>
            <w:tcW w:w="300" w:type="dxa"/>
            <w:vAlign w:val="bottom"/>
            <w:tcBorders>
              <w:right w:val="single" w:sz="8" w:color="auto"/>
            </w:tcBorders>
          </w:tcPr>
          <w:p>
            <w:pPr>
              <w:spacing w:after="0"/>
              <w:rPr>
                <w:sz w:val="17"/>
                <w:szCs w:val="17"/>
                <w:color w:val="auto"/>
              </w:rPr>
            </w:pPr>
          </w:p>
        </w:tc>
        <w:tc>
          <w:tcPr>
            <w:tcW w:w="3220" w:type="dxa"/>
            <w:vAlign w:val="bottom"/>
          </w:tcPr>
          <w:p>
            <w:pPr>
              <w:jc w:val="center"/>
              <w:ind w:left="259"/>
              <w:spacing w:after="0"/>
              <w:rPr>
                <w:sz w:val="20"/>
                <w:szCs w:val="20"/>
                <w:color w:val="auto"/>
              </w:rPr>
            </w:pPr>
            <w:r>
              <w:rPr>
                <w:rFonts w:ascii="Arial" w:cs="Arial" w:eastAsia="Arial" w:hAnsi="Arial"/>
                <w:sz w:val="16"/>
                <w:szCs w:val="16"/>
                <w:color w:val="auto"/>
                <w:w w:val="90"/>
              </w:rPr>
              <w:t>Title of each class</w:t>
            </w:r>
          </w:p>
        </w:tc>
        <w:tc>
          <w:tcPr>
            <w:tcW w:w="38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37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00" w:type="dxa"/>
            <w:vAlign w:val="bottom"/>
            <w:tcBorders>
              <w:right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00"/>
        </w:trPr>
        <w:tc>
          <w:tcPr>
            <w:tcW w:w="300" w:type="dxa"/>
            <w:vAlign w:val="bottom"/>
            <w:tcBorders>
              <w:right w:val="single" w:sz="8" w:color="auto"/>
            </w:tcBorders>
          </w:tcPr>
          <w:p>
            <w:pPr>
              <w:spacing w:after="0"/>
              <w:rPr>
                <w:sz w:val="17"/>
                <w:szCs w:val="17"/>
                <w:color w:val="auto"/>
              </w:rPr>
            </w:pPr>
          </w:p>
        </w:tc>
        <w:tc>
          <w:tcPr>
            <w:tcW w:w="3220" w:type="dxa"/>
            <w:vAlign w:val="bottom"/>
          </w:tcPr>
          <w:p>
            <w:pPr>
              <w:jc w:val="center"/>
              <w:ind w:left="259"/>
              <w:spacing w:after="0"/>
              <w:rPr>
                <w:sz w:val="20"/>
                <w:szCs w:val="20"/>
                <w:color w:val="auto"/>
              </w:rPr>
            </w:pPr>
            <w:r>
              <w:rPr>
                <w:rFonts w:ascii="Arial" w:cs="Arial" w:eastAsia="Arial" w:hAnsi="Arial"/>
                <w:sz w:val="16"/>
                <w:szCs w:val="16"/>
                <w:color w:val="auto"/>
                <w:w w:val="90"/>
              </w:rPr>
              <w:t>Common Stock, par value $0.01 per share</w:t>
            </w:r>
          </w:p>
        </w:tc>
        <w:tc>
          <w:tcPr>
            <w:tcW w:w="38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660" w:type="dxa"/>
            <w:vAlign w:val="bottom"/>
          </w:tcPr>
          <w:p>
            <w:pPr>
              <w:spacing w:after="0"/>
              <w:rPr>
                <w:sz w:val="17"/>
                <w:szCs w:val="17"/>
                <w:color w:val="auto"/>
              </w:rPr>
            </w:pPr>
          </w:p>
        </w:tc>
        <w:tc>
          <w:tcPr>
            <w:tcW w:w="3060" w:type="dxa"/>
            <w:vAlign w:val="bottom"/>
            <w:tcBorders>
              <w:right w:val="single" w:sz="8" w:color="auto"/>
            </w:tcBorders>
          </w:tcPr>
          <w:p>
            <w:pPr>
              <w:jc w:val="center"/>
              <w:ind w:right="599"/>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00" w:type="dxa"/>
            <w:vAlign w:val="bottom"/>
            <w:tcBorders>
              <w:right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4"/>
          <w:szCs w:val="24"/>
          <w:color w:val="auto"/>
        </w:rPr>
      </w:pPr>
    </w:p>
    <w:p>
      <w:pPr>
        <w:ind w:right="40" w:firstLine="518"/>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35,051,760 shares of common stock, par value $0.01 per share, as of 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301625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March 31,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060" w:type="dxa"/>
            <w:vAlign w:val="bottom"/>
            <w:gridSpan w:val="15"/>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58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2019 and December 31, 2018</w:t>
              </w:r>
            </w:hyperlink>
          </w:p>
        </w:tc>
        <w:tc>
          <w:tcPr>
            <w:tcW w:w="292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three-month periods ended March 31,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three-month periods ended March 31, 2019 and 2018</w:t>
              </w:r>
            </w:hyperlink>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0" w:type="dxa"/>
            <w:vAlign w:val="bottom"/>
            <w:gridSpan w:val="18"/>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Shareholders’ Equity for the three-month periods ended March 31,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tcBorders>
              <w:top w:val="single" w:sz="8" w:color="0000EE"/>
            </w:tcBorders>
            <w:gridSpan w:val="16"/>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Cash Flows for the three-month periods ended March 31, 2019 and 2018</w:t>
              </w:r>
            </w:hyperlink>
          </w:p>
        </w:tc>
        <w:tc>
          <w:tcPr>
            <w:tcW w:w="42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100" w:type="dxa"/>
            <w:vAlign w:val="bottom"/>
            <w:tcBorders>
              <w:top w:val="single" w:sz="8" w:color="0000EE"/>
            </w:tcBorders>
            <w:gridSpan w:val="6"/>
          </w:tcPr>
          <w:p>
            <w:pPr>
              <w:spacing w:after="0"/>
              <w:rPr>
                <w:sz w:val="24"/>
                <w:szCs w:val="24"/>
                <w:color w:val="auto"/>
              </w:rPr>
            </w:pPr>
          </w:p>
        </w:tc>
        <w:tc>
          <w:tcPr>
            <w:tcW w:w="110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5"/>
          </w:tcPr>
          <w:p>
            <w:pPr>
              <w:spacing w:after="0"/>
              <w:rPr>
                <w:sz w:val="24"/>
                <w:szCs w:val="24"/>
                <w:color w:val="auto"/>
              </w:rPr>
            </w:pPr>
          </w:p>
        </w:tc>
        <w:tc>
          <w:tcPr>
            <w:tcW w:w="732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76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474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676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732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778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94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33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PART I – FINANCIAL INFORMATION</w:t>
      </w:r>
    </w:p>
    <w:p>
      <w:pPr>
        <w:spacing w:after="0" w:line="10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6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60" w:type="dxa"/>
            <w:vAlign w:val="bottom"/>
            <w:tcBorders>
              <w:top w:val="single" w:sz="8" w:color="CFF0FC"/>
            </w:tcBorders>
            <w:shd w:val="clear" w:color="auto" w:fill="CFF0FC"/>
          </w:tcPr>
          <w:p>
            <w:pPr>
              <w:ind w:left="320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28,167</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income taxes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 (Note 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152,066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396,669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ind w:left="158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Note payable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22,572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(Note 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8"/>
                <w:szCs w:val="18"/>
                <w:color w:val="auto"/>
              </w:rPr>
              <w:t>Common stock, $.01 par value; 100,000,000 shares authorized, 34,979,895 and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520"/>
              <w:spacing w:after="0"/>
              <w:rPr>
                <w:sz w:val="20"/>
                <w:szCs w:val="20"/>
                <w:color w:val="auto"/>
              </w:rPr>
            </w:pPr>
            <w:r>
              <w:rPr>
                <w:rFonts w:ascii="Arial" w:cs="Arial" w:eastAsia="Arial" w:hAnsi="Arial"/>
                <w:sz w:val="18"/>
                <w:szCs w:val="18"/>
                <w:color w:val="auto"/>
                <w:w w:val="92"/>
              </w:rPr>
              <w:t>34,953,825 shares issued and outstanding at March 31, 2019 and December 31, 2018,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Accumulated loss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(62,165)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(12,637)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Less treasury stock, at cost, 137,920 shares at March 31, 2019 and December 31, 2018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177,390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396,669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8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18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34,835,550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34,592,803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34,641,390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vMerge w:val="continue"/>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w:t>
            </w:r>
          </w:p>
        </w:tc>
        <w:tc>
          <w:tcPr>
            <w:tcW w:w="2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translation</w:t>
            </w:r>
          </w:p>
        </w:tc>
        <w:tc>
          <w:tcPr>
            <w:tcW w:w="2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6"/>
          </w:tcPr>
          <w:p>
            <w:pPr>
              <w:jc w:val="center"/>
              <w:ind w:right="260"/>
              <w:spacing w:after="0" w:line="15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Capital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61"/>
        </w:trPr>
        <w:tc>
          <w:tcPr>
            <w:tcW w:w="3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75"/>
              </w:rPr>
              <w:t>excess of</w:t>
            </w:r>
          </w:p>
        </w:tc>
        <w:tc>
          <w:tcPr>
            <w:tcW w:w="40" w:type="dxa"/>
            <w:vAlign w:val="bottom"/>
          </w:tcPr>
          <w:p>
            <w:pPr>
              <w:spacing w:after="0"/>
              <w:rPr>
                <w:sz w:val="14"/>
                <w:szCs w:val="14"/>
                <w:color w:val="auto"/>
              </w:rPr>
            </w:pPr>
          </w:p>
        </w:tc>
        <w:tc>
          <w:tcPr>
            <w:tcW w:w="1020" w:type="dxa"/>
            <w:vAlign w:val="bottom"/>
            <w:gridSpan w:val="7"/>
          </w:tcPr>
          <w:p>
            <w:pPr>
              <w:ind w:left="1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Shareholders'</w:t>
            </w:r>
          </w:p>
        </w:tc>
      </w:tr>
      <w:tr>
        <w:trPr>
          <w:trHeight w:val="142"/>
        </w:trPr>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w w:val="79"/>
              </w:rPr>
              <w:t>Amount</w:t>
            </w:r>
          </w:p>
        </w:tc>
        <w:tc>
          <w:tcPr>
            <w:tcW w:w="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81"/>
              </w:rPr>
              <w:t>par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73"/>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tcPr>
          <w:p>
            <w:pPr>
              <w:jc w:val="center"/>
              <w:ind w:right="560"/>
              <w:spacing w:after="0"/>
              <w:rPr>
                <w:sz w:val="20"/>
                <w:szCs w:val="20"/>
                <w:color w:val="auto"/>
              </w:rPr>
            </w:pPr>
            <w:r>
              <w:rPr>
                <w:rFonts w:ascii="Arial" w:cs="Arial" w:eastAsia="Arial" w:hAnsi="Arial"/>
                <w:sz w:val="12"/>
                <w:szCs w:val="12"/>
                <w:b w:val="1"/>
                <w:bCs w:val="1"/>
                <w:color w:val="auto"/>
                <w:w w:val="78"/>
              </w:rPr>
              <w:t>Loss</w:t>
            </w:r>
          </w:p>
        </w:tc>
        <w:tc>
          <w:tcPr>
            <w:tcW w:w="80" w:type="dxa"/>
            <w:vAlign w:val="bottom"/>
          </w:tcPr>
          <w:p>
            <w:pPr>
              <w:spacing w:after="0"/>
              <w:rPr>
                <w:sz w:val="12"/>
                <w:szCs w:val="12"/>
                <w:color w:val="auto"/>
              </w:rPr>
            </w:pPr>
          </w:p>
        </w:tc>
        <w:tc>
          <w:tcPr>
            <w:tcW w:w="700" w:type="dxa"/>
            <w:vAlign w:val="bottom"/>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Equity</w:t>
            </w:r>
          </w:p>
        </w:tc>
      </w:tr>
      <w:tr>
        <w:trPr>
          <w:trHeight w:val="20"/>
        </w:trPr>
        <w:tc>
          <w:tcPr>
            <w:tcW w:w="5000" w:type="dxa"/>
            <w:vAlign w:val="bottom"/>
            <w:tcBorders>
              <w:right w:val="single" w:sz="8" w:color="auto"/>
            </w:tcBorders>
            <w:gridSpan w:val="11"/>
          </w:tcPr>
          <w:p>
            <w:pPr>
              <w:spacing w:after="0" w:line="20" w:lineRule="exact"/>
              <w:rPr>
                <w:sz w:val="1"/>
                <w:szCs w:val="1"/>
                <w:color w:val="auto"/>
              </w:rPr>
            </w:pPr>
          </w:p>
        </w:tc>
        <w:tc>
          <w:tcPr>
            <w:tcW w:w="780" w:type="dxa"/>
            <w:vAlign w:val="bottom"/>
            <w:tcBorders>
              <w:right w:val="single" w:sz="8" w:color="auto"/>
            </w:tcBorders>
            <w:gridSpan w:val="6"/>
            <w:shd w:val="clear" w:color="auto" w:fill="000000"/>
          </w:tcPr>
          <w:p>
            <w:pPr>
              <w:spacing w:after="0" w:line="20" w:lineRule="exact"/>
              <w:rPr>
                <w:sz w:val="1"/>
                <w:szCs w:val="1"/>
                <w:color w:val="auto"/>
              </w:rPr>
            </w:pPr>
          </w:p>
        </w:tc>
        <w:tc>
          <w:tcPr>
            <w:tcW w:w="2180" w:type="dxa"/>
            <w:vAlign w:val="bottom"/>
            <w:tcBorders>
              <w:right w:val="single" w:sz="8" w:color="auto"/>
            </w:tcBorders>
            <w:gridSpan w:val="16"/>
            <w:shd w:val="clear" w:color="auto" w:fill="000000"/>
          </w:tcPr>
          <w:p>
            <w:pPr>
              <w:spacing w:after="0" w:line="20" w:lineRule="exact"/>
              <w:rPr>
                <w:sz w:val="1"/>
                <w:szCs w:val="1"/>
                <w:color w:val="auto"/>
              </w:rPr>
            </w:pPr>
          </w:p>
        </w:tc>
        <w:tc>
          <w:tcPr>
            <w:tcW w:w="940" w:type="dxa"/>
            <w:vAlign w:val="bottom"/>
            <w:tcBorders>
              <w:right w:val="single" w:sz="8" w:color="auto"/>
            </w:tcBorders>
            <w:gridSpan w:val="6"/>
            <w:shd w:val="clear" w:color="auto" w:fill="000000"/>
          </w:tcPr>
          <w:p>
            <w:pPr>
              <w:spacing w:after="0" w:line="20" w:lineRule="exact"/>
              <w:rPr>
                <w:sz w:val="1"/>
                <w:szCs w:val="1"/>
                <w:color w:val="auto"/>
              </w:rPr>
            </w:pPr>
          </w:p>
        </w:tc>
        <w:tc>
          <w:tcPr>
            <w:tcW w:w="2140" w:type="dxa"/>
            <w:vAlign w:val="bottom"/>
            <w:gridSpan w:val="16"/>
            <w:shd w:val="clear" w:color="auto" w:fill="000000"/>
          </w:tcPr>
          <w:p>
            <w:pPr>
              <w:spacing w:after="0" w:line="20" w:lineRule="exact"/>
              <w:rPr>
                <w:sz w:val="1"/>
                <w:szCs w:val="1"/>
                <w:color w:val="auto"/>
              </w:rPr>
            </w:pPr>
          </w:p>
        </w:tc>
        <w:tc>
          <w:tcPr>
            <w:tcW w:w="380" w:type="dxa"/>
            <w:vAlign w:val="bottom"/>
            <w:tcBorders>
              <w:left w:val="single" w:sz="8" w:color="auto"/>
            </w:tcBorders>
            <w:gridSpan w:val="3"/>
          </w:tcPr>
          <w:p>
            <w:pPr>
              <w:spacing w:after="0" w:line="20" w:lineRule="exact"/>
              <w:rPr>
                <w:sz w:val="1"/>
                <w:szCs w:val="1"/>
                <w:color w:val="auto"/>
              </w:rPr>
            </w:pPr>
          </w:p>
        </w:tc>
      </w:tr>
      <w:tr>
        <w:trPr>
          <w:trHeight w:val="156"/>
        </w:trPr>
        <w:tc>
          <w:tcPr>
            <w:tcW w:w="40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2017</w:t>
            </w:r>
          </w:p>
        </w:tc>
        <w:tc>
          <w:tcPr>
            <w:tcW w:w="40" w:type="dxa"/>
            <w:vAlign w:val="bottom"/>
            <w:shd w:val="clear" w:color="auto" w:fill="CFF0FC"/>
          </w:tcPr>
          <w:p>
            <w:pPr>
              <w:spacing w:after="0"/>
              <w:rPr>
                <w:sz w:val="13"/>
                <w:szCs w:val="13"/>
                <w:color w:val="auto"/>
              </w:rPr>
            </w:pPr>
          </w:p>
        </w:tc>
        <w:tc>
          <w:tcPr>
            <w:tcW w:w="52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34,708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tcBorders>
              <w:right w:val="single" w:sz="8" w:color="CFF0FC"/>
            </w:tcBorders>
            <w:gridSpan w:val="2"/>
            <w:shd w:val="clear" w:color="auto" w:fill="CFF0FC"/>
          </w:tcPr>
          <w:p>
            <w:pPr>
              <w:jc w:val="center"/>
              <w:ind w:right="60"/>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347</w:t>
            </w:r>
          </w:p>
        </w:tc>
        <w:tc>
          <w:tcPr>
            <w:tcW w:w="60" w:type="dxa"/>
            <w:vAlign w:val="bottom"/>
            <w:shd w:val="clear" w:color="auto" w:fill="CFF0FC"/>
          </w:tcPr>
          <w:p>
            <w:pPr>
              <w:spacing w:after="0"/>
              <w:rPr>
                <w:sz w:val="13"/>
                <w:szCs w:val="13"/>
                <w:color w:val="auto"/>
              </w:rPr>
            </w:pPr>
          </w:p>
        </w:tc>
        <w:tc>
          <w:tcPr>
            <w:tcW w:w="24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248,170</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gridSpan w:val="3"/>
            <w:shd w:val="clear" w:color="auto" w:fill="CFF0FC"/>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5"/>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(52,673)</w:t>
            </w:r>
          </w:p>
        </w:tc>
        <w:tc>
          <w:tcPr>
            <w:tcW w:w="1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(8,919)</w:t>
            </w:r>
          </w:p>
        </w:tc>
        <w:tc>
          <w:tcPr>
            <w:tcW w:w="100" w:type="dxa"/>
            <w:vAlign w:val="bottom"/>
            <w:shd w:val="clear" w:color="auto" w:fill="CFF0FC"/>
          </w:tcPr>
          <w:p>
            <w:pPr>
              <w:spacing w:after="0"/>
              <w:rPr>
                <w:sz w:val="13"/>
                <w:szCs w:val="13"/>
                <w:color w:val="auto"/>
              </w:rPr>
            </w:pPr>
          </w:p>
        </w:tc>
        <w:tc>
          <w:tcPr>
            <w:tcW w:w="780" w:type="dxa"/>
            <w:vAlign w:val="bottom"/>
            <w:gridSpan w:val="6"/>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(138)</w:t>
            </w:r>
          </w:p>
        </w:tc>
        <w:tc>
          <w:tcPr>
            <w:tcW w:w="18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(356)</w:t>
            </w:r>
          </w:p>
        </w:tc>
        <w:tc>
          <w:tcPr>
            <w:tcW w:w="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186,569</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Net income for the three-months ended March 31, 2018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5,763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5,763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1"/>
        </w:trPr>
        <w:tc>
          <w:tcPr>
            <w:tcW w:w="5000" w:type="dxa"/>
            <w:vAlign w:val="bottom"/>
            <w:tcBorders>
              <w:right w:val="single" w:sz="8" w:color="CFF0FC"/>
            </w:tcBorders>
            <w:gridSpan w:val="11"/>
            <w:shd w:val="clear" w:color="auto" w:fill="CFF0FC"/>
          </w:tcPr>
          <w:p>
            <w:pPr>
              <w:spacing w:after="0" w:line="151" w:lineRule="exact"/>
              <w:rPr>
                <w:sz w:val="20"/>
                <w:szCs w:val="20"/>
                <w:color w:val="auto"/>
              </w:rPr>
            </w:pPr>
            <w:r>
              <w:rPr>
                <w:rFonts w:ascii="Arial" w:cs="Arial" w:eastAsia="Arial" w:hAnsi="Arial"/>
                <w:sz w:val="14"/>
                <w:szCs w:val="14"/>
                <w:color w:val="auto"/>
              </w:rPr>
              <w:t>Cumulative effect adjustment upon adoption of new accounting</w:t>
            </w:r>
          </w:p>
        </w:tc>
        <w:tc>
          <w:tcPr>
            <w:tcW w:w="480" w:type="dxa"/>
            <w:vAlign w:val="bottom"/>
            <w:tcBorders>
              <w:right w:val="single" w:sz="8" w:color="CFF0FC"/>
            </w:tcBorders>
            <w:gridSpan w:val="3"/>
            <w:shd w:val="clear" w:color="auto" w:fill="CFF0FC"/>
          </w:tcPr>
          <w:p>
            <w:pPr>
              <w:spacing w:after="0"/>
              <w:rPr>
                <w:sz w:val="13"/>
                <w:szCs w:val="13"/>
                <w:color w:val="auto"/>
              </w:rPr>
            </w:pPr>
          </w:p>
        </w:tc>
        <w:tc>
          <w:tcPr>
            <w:tcW w:w="300" w:type="dxa"/>
            <w:vAlign w:val="bottom"/>
            <w:tcBorders>
              <w:right w:val="single" w:sz="8" w:color="CFF0FC"/>
            </w:tcBorders>
            <w:gridSpan w:val="3"/>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80" w:type="dxa"/>
            <w:vAlign w:val="bottom"/>
            <w:tcBorders>
              <w:left w:val="single" w:sz="8" w:color="CFF0FC"/>
              <w:right w:val="single" w:sz="8" w:color="CFF0FC"/>
            </w:tcBorders>
            <w:gridSpan w:val="15"/>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left w:val="single" w:sz="8" w:color="CFF0FC"/>
              <w:right w:val="single" w:sz="8" w:color="CFF0FC"/>
            </w:tcBorders>
            <w:gridSpan w:val="5"/>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40" w:type="dxa"/>
            <w:vAlign w:val="bottom"/>
            <w:tcBorders>
              <w:left w:val="single" w:sz="8" w:color="CFF0FC"/>
              <w:right w:val="single" w:sz="8" w:color="CFF0FC"/>
            </w:tcBorders>
            <w:gridSpan w:val="6"/>
            <w:shd w:val="clear" w:color="auto" w:fill="CFF0FC"/>
          </w:tcPr>
          <w:p>
            <w:pPr>
              <w:spacing w:after="0"/>
              <w:rPr>
                <w:sz w:val="13"/>
                <w:szCs w:val="13"/>
                <w:color w:val="auto"/>
              </w:rPr>
            </w:pPr>
          </w:p>
        </w:tc>
        <w:tc>
          <w:tcPr>
            <w:tcW w:w="1000" w:type="dxa"/>
            <w:vAlign w:val="bottom"/>
            <w:tcBorders>
              <w:right w:val="single" w:sz="8" w:color="CFF0FC"/>
            </w:tcBorders>
            <w:gridSpan w:val="8"/>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tcBorders>
              <w:left w:val="single" w:sz="8" w:color="CFF0FC"/>
            </w:tcBorders>
            <w:gridSpan w:val="3"/>
            <w:shd w:val="clear" w:color="auto" w:fill="CFF0FC"/>
          </w:tcPr>
          <w:p>
            <w:pPr>
              <w:spacing w:after="0"/>
              <w:rPr>
                <w:sz w:val="13"/>
                <w:szCs w:val="13"/>
                <w:color w:val="auto"/>
              </w:rPr>
            </w:pPr>
          </w:p>
        </w:tc>
      </w:tr>
      <w:tr>
        <w:trPr>
          <w:trHeight w:val="159"/>
        </w:trPr>
        <w:tc>
          <w:tcPr>
            <w:tcW w:w="40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standards (ASU 2018-02) and (ASU 2014-09)</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gridSpan w:val="3"/>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415</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(1,067)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5"/>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(652)</w:t>
            </w: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Restricted stock units issued</w:t>
            </w:r>
          </w:p>
        </w:tc>
        <w:tc>
          <w:tcPr>
            <w:tcW w:w="56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66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(22)</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5"/>
            <w:shd w:val="clear" w:color="auto" w:fill="CFF0FC"/>
          </w:tcPr>
          <w:p>
            <w:pPr>
              <w:jc w:val="right"/>
              <w:ind w:right="60"/>
              <w:spacing w:after="0"/>
              <w:rPr>
                <w:sz w:val="20"/>
                <w:szCs w:val="20"/>
                <w:color w:val="auto"/>
              </w:rPr>
            </w:pPr>
            <w:r>
              <w:rPr>
                <w:rFonts w:ascii="Arial" w:cs="Arial" w:eastAsia="Arial" w:hAnsi="Arial"/>
                <w:sz w:val="14"/>
                <w:szCs w:val="14"/>
                <w:color w:val="auto"/>
              </w:rPr>
              <w:t>(22)</w:t>
            </w: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Share based compensation earned</w:t>
            </w:r>
          </w:p>
        </w:tc>
        <w:tc>
          <w:tcPr>
            <w:tcW w:w="560" w:type="dxa"/>
            <w:vAlign w:val="bottom"/>
            <w:gridSpan w:val="5"/>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708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 for interest rate swap</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193</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2"/>
        </w:trPr>
        <w:tc>
          <w:tcPr>
            <w:tcW w:w="3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Translation gain</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156"/>
        </w:trPr>
        <w:tc>
          <w:tcPr>
            <w:tcW w:w="40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March 31, 2018</w:t>
            </w:r>
          </w:p>
        </w:tc>
        <w:tc>
          <w:tcPr>
            <w:tcW w:w="560" w:type="dxa"/>
            <w:vAlign w:val="bottom"/>
            <w:gridSpan w:val="5"/>
            <w:shd w:val="clear" w:color="auto" w:fill="CFF0FC"/>
          </w:tcPr>
          <w:p>
            <w:pPr>
              <w:jc w:val="right"/>
              <w:spacing w:after="0" w:line="155" w:lineRule="exact"/>
              <w:rPr>
                <w:sz w:val="20"/>
                <w:szCs w:val="20"/>
                <w:color w:val="auto"/>
              </w:rPr>
            </w:pPr>
            <w:r>
              <w:rPr>
                <w:rFonts w:ascii="Arial" w:cs="Arial" w:eastAsia="Arial" w:hAnsi="Arial"/>
                <w:sz w:val="14"/>
                <w:szCs w:val="14"/>
                <w:color w:val="auto"/>
              </w:rPr>
              <w:t>34,741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tcBorders>
              <w:right w:val="single" w:sz="8" w:color="CFF0FC"/>
            </w:tcBorders>
            <w:gridSpan w:val="2"/>
            <w:shd w:val="clear" w:color="auto" w:fill="CFF0FC"/>
          </w:tcPr>
          <w:p>
            <w:pPr>
              <w:jc w:val="center"/>
              <w:ind w:right="60"/>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347</w:t>
            </w:r>
          </w:p>
        </w:tc>
        <w:tc>
          <w:tcPr>
            <w:tcW w:w="60" w:type="dxa"/>
            <w:vAlign w:val="bottom"/>
            <w:shd w:val="clear" w:color="auto" w:fill="CFF0FC"/>
          </w:tcPr>
          <w:p>
            <w:pPr>
              <w:spacing w:after="0"/>
              <w:rPr>
                <w:sz w:val="13"/>
                <w:szCs w:val="13"/>
                <w:color w:val="auto"/>
              </w:rPr>
            </w:pPr>
          </w:p>
        </w:tc>
        <w:tc>
          <w:tcPr>
            <w:tcW w:w="24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248,860</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gridSpan w:val="3"/>
            <w:shd w:val="clear" w:color="auto" w:fill="CFF0FC"/>
          </w:tcPr>
          <w:p>
            <w:pPr>
              <w:ind w:left="14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5"/>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(46,495)</w:t>
            </w:r>
          </w:p>
        </w:tc>
        <w:tc>
          <w:tcPr>
            <w:tcW w:w="1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(7,783)</w:t>
            </w:r>
          </w:p>
        </w:tc>
        <w:tc>
          <w:tcPr>
            <w:tcW w:w="100" w:type="dxa"/>
            <w:vAlign w:val="bottom"/>
            <w:shd w:val="clear" w:color="auto" w:fill="CFF0FC"/>
          </w:tcPr>
          <w:p>
            <w:pPr>
              <w:spacing w:after="0"/>
              <w:rPr>
                <w:sz w:val="13"/>
                <w:szCs w:val="13"/>
                <w:color w:val="auto"/>
              </w:rPr>
            </w:pPr>
          </w:p>
        </w:tc>
        <w:tc>
          <w:tcPr>
            <w:tcW w:w="780" w:type="dxa"/>
            <w:vAlign w:val="bottom"/>
            <w:gridSpan w:val="6"/>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(138)</w:t>
            </w:r>
          </w:p>
        </w:tc>
        <w:tc>
          <w:tcPr>
            <w:tcW w:w="18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(356)</w:t>
            </w:r>
          </w:p>
        </w:tc>
        <w:tc>
          <w:tcPr>
            <w:tcW w:w="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194,573</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gridSpan w:val="6"/>
          </w:tcPr>
          <w:p>
            <w:pPr>
              <w:spacing w:after="0" w:line="20" w:lineRule="exact"/>
              <w:rPr>
                <w:sz w:val="1"/>
                <w:szCs w:val="1"/>
                <w:color w:val="auto"/>
              </w:rPr>
            </w:pPr>
          </w:p>
        </w:tc>
        <w:tc>
          <w:tcPr>
            <w:tcW w:w="240" w:type="dxa"/>
            <w:vAlign w:val="bottom"/>
            <w:tcBorders>
              <w:top w:val="single" w:sz="8" w:color="CFF0FC"/>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CFF0FC"/>
            </w:tcBorders>
            <w:gridSpan w:val="4"/>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CFF0FC"/>
            </w:tcBorders>
            <w:gridSpan w:val="4"/>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CFF0FC"/>
            </w:tcBorders>
            <w:gridSpan w:val="4"/>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CFF0FC"/>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FF0FC"/>
            </w:tcBorders>
            <w:gridSpan w:val="2"/>
          </w:tcPr>
          <w:p>
            <w:pPr>
              <w:spacing w:after="0" w:line="20" w:lineRule="exact"/>
              <w:rPr>
                <w:sz w:val="1"/>
                <w:szCs w:val="1"/>
                <w:color w:val="auto"/>
              </w:rPr>
            </w:pPr>
          </w:p>
        </w:tc>
      </w:tr>
      <w:tr>
        <w:trPr>
          <w:trHeight w:val="562"/>
        </w:trPr>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Capital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78"/>
              </w:rPr>
              <w:t>excess of</w:t>
            </w:r>
          </w:p>
        </w:tc>
        <w:tc>
          <w:tcPr>
            <w:tcW w:w="40" w:type="dxa"/>
            <w:vAlign w:val="bottom"/>
          </w:tcPr>
          <w:p>
            <w:pPr>
              <w:spacing w:after="0"/>
              <w:rPr>
                <w:sz w:val="14"/>
                <w:szCs w:val="14"/>
                <w:color w:val="auto"/>
              </w:rPr>
            </w:pPr>
          </w:p>
        </w:tc>
        <w:tc>
          <w:tcPr>
            <w:tcW w:w="10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8"/>
              </w:rPr>
              <w:t>Treasury Stock</w:t>
            </w:r>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Shareholders'</w:t>
            </w:r>
          </w:p>
        </w:tc>
      </w:tr>
      <w:tr>
        <w:trPr>
          <w:trHeight w:val="142"/>
        </w:trPr>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par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tcPr>
          <w:p>
            <w:pPr>
              <w:jc w:val="center"/>
              <w:ind w:right="520"/>
              <w:spacing w:after="0" w:line="142" w:lineRule="exact"/>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Equity</w:t>
            </w:r>
          </w:p>
        </w:tc>
      </w:tr>
      <w:tr>
        <w:trPr>
          <w:trHeight w:val="20"/>
        </w:trPr>
        <w:tc>
          <w:tcPr>
            <w:tcW w:w="5480" w:type="dxa"/>
            <w:vAlign w:val="bottom"/>
            <w:tcBorders>
              <w:right w:val="single" w:sz="8" w:color="auto"/>
            </w:tcBorders>
            <w:gridSpan w:val="14"/>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tcBorders>
              <w:left w:val="single" w:sz="8" w:color="auto"/>
            </w:tcBorders>
            <w:gridSpan w:val="16"/>
          </w:tcPr>
          <w:p>
            <w:pPr>
              <w:spacing w:after="0" w:line="20" w:lineRule="exact"/>
              <w:rPr>
                <w:sz w:val="1"/>
                <w:szCs w:val="1"/>
                <w:color w:val="auto"/>
              </w:rPr>
            </w:pPr>
          </w:p>
        </w:tc>
        <w:tc>
          <w:tcPr>
            <w:tcW w:w="1080" w:type="dxa"/>
            <w:vAlign w:val="bottom"/>
            <w:tcBorders>
              <w:left w:val="single" w:sz="8" w:color="auto"/>
            </w:tcBorders>
            <w:gridSpan w:val="6"/>
          </w:tcPr>
          <w:p>
            <w:pPr>
              <w:spacing w:after="0" w:line="20" w:lineRule="exact"/>
              <w:rPr>
                <w:sz w:val="1"/>
                <w:szCs w:val="1"/>
                <w:color w:val="auto"/>
              </w:rPr>
            </w:pPr>
          </w:p>
        </w:tc>
        <w:tc>
          <w:tcPr>
            <w:tcW w:w="440" w:type="dxa"/>
            <w:vAlign w:val="bottom"/>
            <w:tcBorders>
              <w:left w:val="single" w:sz="8" w:color="auto"/>
              <w:right w:val="single" w:sz="8" w:color="auto"/>
            </w:tcBorders>
            <w:gridSpan w:val="6"/>
          </w:tcPr>
          <w:p>
            <w:pPr>
              <w:spacing w:after="0" w:line="20" w:lineRule="exact"/>
              <w:rPr>
                <w:sz w:val="1"/>
                <w:szCs w:val="1"/>
                <w:color w:val="auto"/>
              </w:rPr>
            </w:pPr>
          </w:p>
        </w:tc>
        <w:tc>
          <w:tcPr>
            <w:tcW w:w="1000" w:type="dxa"/>
            <w:vAlign w:val="bottom"/>
            <w:tcBorders>
              <w:right w:val="single" w:sz="8" w:color="auto"/>
            </w:tcBorders>
            <w:gridSpan w:val="8"/>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r>
      <w:tr>
        <w:trPr>
          <w:trHeight w:val="156"/>
        </w:trPr>
        <w:tc>
          <w:tcPr>
            <w:tcW w:w="40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260" w:type="dxa"/>
            <w:vAlign w:val="bottom"/>
            <w:gridSpan w:val="3"/>
            <w:shd w:val="clear" w:color="auto" w:fill="CFF0FC"/>
          </w:tcPr>
          <w:p>
            <w:pPr>
              <w:spacing w:after="0"/>
              <w:rPr>
                <w:sz w:val="13"/>
                <w:szCs w:val="13"/>
                <w:color w:val="auto"/>
              </w:rPr>
            </w:pPr>
          </w:p>
        </w:tc>
        <w:tc>
          <w:tcPr>
            <w:tcW w:w="500" w:type="dxa"/>
            <w:vAlign w:val="bottom"/>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34,954</w:t>
            </w:r>
          </w:p>
        </w:tc>
        <w:tc>
          <w:tcPr>
            <w:tcW w:w="420" w:type="dxa"/>
            <w:vAlign w:val="bottom"/>
            <w:gridSpan w:val="3"/>
            <w:shd w:val="clear" w:color="auto" w:fill="CFF0FC"/>
          </w:tcPr>
          <w:p>
            <w:pPr>
              <w:jc w:val="right"/>
              <w:ind w:right="115"/>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349</w:t>
            </w:r>
          </w:p>
        </w:tc>
        <w:tc>
          <w:tcPr>
            <w:tcW w:w="24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251,409</w:t>
            </w: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760" w:type="dxa"/>
            <w:vAlign w:val="bottom"/>
            <w:gridSpan w:val="5"/>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(59,427)</w:t>
            </w:r>
          </w:p>
        </w:tc>
        <w:tc>
          <w:tcPr>
            <w:tcW w:w="1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5"/>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(13,415)</w:t>
            </w:r>
          </w:p>
        </w:tc>
        <w:tc>
          <w:tcPr>
            <w:tcW w:w="780" w:type="dxa"/>
            <w:vAlign w:val="bottom"/>
            <w:gridSpan w:val="6"/>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(138)</w:t>
            </w:r>
          </w:p>
        </w:tc>
        <w:tc>
          <w:tcPr>
            <w:tcW w:w="180" w:type="dxa"/>
            <w:vAlign w:val="bottom"/>
            <w:tcBorders>
              <w:right w:val="single" w:sz="8" w:color="CFF0FC"/>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(356)</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178,560</w:t>
            </w:r>
          </w:p>
        </w:tc>
        <w:tc>
          <w:tcPr>
            <w:tcW w:w="80" w:type="dxa"/>
            <w:vAlign w:val="bottom"/>
            <w:shd w:val="clear" w:color="auto" w:fill="CFF0FC"/>
          </w:tcPr>
          <w:p>
            <w:pPr>
              <w:spacing w:after="0"/>
              <w:rPr>
                <w:sz w:val="13"/>
                <w:szCs w:val="13"/>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Net income for the three-months ended March 31, 2019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rPr>
              <w:t>1,864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1,864</w:t>
            </w:r>
          </w:p>
        </w:tc>
        <w:tc>
          <w:tcPr>
            <w:tcW w:w="80" w:type="dxa"/>
            <w:vAlign w:val="bottom"/>
          </w:tcPr>
          <w:p>
            <w:pPr>
              <w:spacing w:after="0"/>
              <w:rPr>
                <w:sz w:val="14"/>
                <w:szCs w:val="14"/>
                <w:color w:val="auto"/>
              </w:rPr>
            </w:pPr>
          </w:p>
        </w:tc>
      </w:tr>
      <w:tr>
        <w:trPr>
          <w:trHeight w:val="151"/>
        </w:trPr>
        <w:tc>
          <w:tcPr>
            <w:tcW w:w="5000" w:type="dxa"/>
            <w:vAlign w:val="bottom"/>
            <w:tcBorders>
              <w:right w:val="single" w:sz="8" w:color="CFF0FC"/>
            </w:tcBorders>
            <w:gridSpan w:val="11"/>
            <w:shd w:val="clear" w:color="auto" w:fill="CFF0FC"/>
          </w:tcPr>
          <w:p>
            <w:pPr>
              <w:spacing w:after="0" w:line="151" w:lineRule="exact"/>
              <w:rPr>
                <w:sz w:val="20"/>
                <w:szCs w:val="20"/>
                <w:color w:val="auto"/>
              </w:rPr>
            </w:pPr>
            <w:r>
              <w:rPr>
                <w:rFonts w:ascii="Arial" w:cs="Arial" w:eastAsia="Arial" w:hAnsi="Arial"/>
                <w:sz w:val="14"/>
                <w:szCs w:val="14"/>
                <w:color w:val="auto"/>
                <w:w w:val="87"/>
              </w:rPr>
              <w:t>Cumulative effect adjustment upon adoption of new accounting standards</w:t>
            </w:r>
          </w:p>
        </w:tc>
        <w:tc>
          <w:tcPr>
            <w:tcW w:w="480" w:type="dxa"/>
            <w:vAlign w:val="bottom"/>
            <w:tcBorders>
              <w:right w:val="single" w:sz="8" w:color="CFF0FC"/>
            </w:tcBorders>
            <w:gridSpan w:val="3"/>
            <w:shd w:val="clear" w:color="auto" w:fill="CFF0FC"/>
          </w:tcPr>
          <w:p>
            <w:pPr>
              <w:spacing w:after="0"/>
              <w:rPr>
                <w:sz w:val="13"/>
                <w:szCs w:val="13"/>
                <w:color w:val="auto"/>
              </w:rPr>
            </w:pPr>
          </w:p>
        </w:tc>
        <w:tc>
          <w:tcPr>
            <w:tcW w:w="300" w:type="dxa"/>
            <w:vAlign w:val="bottom"/>
            <w:tcBorders>
              <w:right w:val="single" w:sz="8" w:color="CFF0FC"/>
            </w:tcBorders>
            <w:gridSpan w:val="3"/>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80" w:type="dxa"/>
            <w:vAlign w:val="bottom"/>
            <w:tcBorders>
              <w:left w:val="single" w:sz="8" w:color="CFF0FC"/>
              <w:right w:val="single" w:sz="8" w:color="CFF0FC"/>
            </w:tcBorders>
            <w:gridSpan w:val="15"/>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left w:val="single" w:sz="8" w:color="CFF0FC"/>
              <w:right w:val="single" w:sz="8" w:color="CFF0FC"/>
            </w:tcBorders>
            <w:gridSpan w:val="5"/>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40" w:type="dxa"/>
            <w:vAlign w:val="bottom"/>
            <w:tcBorders>
              <w:left w:val="single" w:sz="8" w:color="CFF0FC"/>
              <w:right w:val="single" w:sz="8" w:color="CFF0FC"/>
            </w:tcBorders>
            <w:gridSpan w:val="6"/>
            <w:shd w:val="clear" w:color="auto" w:fill="CFF0FC"/>
          </w:tcPr>
          <w:p>
            <w:pPr>
              <w:spacing w:after="0"/>
              <w:rPr>
                <w:sz w:val="13"/>
                <w:szCs w:val="13"/>
                <w:color w:val="auto"/>
              </w:rPr>
            </w:pPr>
          </w:p>
        </w:tc>
        <w:tc>
          <w:tcPr>
            <w:tcW w:w="1000" w:type="dxa"/>
            <w:vAlign w:val="bottom"/>
            <w:tcBorders>
              <w:right w:val="single" w:sz="8" w:color="CFF0FC"/>
            </w:tcBorders>
            <w:gridSpan w:val="8"/>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tcBorders>
              <w:left w:val="single" w:sz="8" w:color="CFF0FC"/>
            </w:tcBorders>
            <w:gridSpan w:val="3"/>
            <w:shd w:val="clear" w:color="auto" w:fill="CFF0FC"/>
          </w:tcPr>
          <w:p>
            <w:pPr>
              <w:spacing w:after="0"/>
              <w:rPr>
                <w:sz w:val="13"/>
                <w:szCs w:val="13"/>
                <w:color w:val="auto"/>
              </w:rPr>
            </w:pPr>
          </w:p>
        </w:tc>
      </w:tr>
      <w:tr>
        <w:trPr>
          <w:trHeight w:val="159"/>
        </w:trPr>
        <w:tc>
          <w:tcPr>
            <w:tcW w:w="402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(ASU 2017-12) and (ASU 2016-02)</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gridSpan w:val="5"/>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(4,602)</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5"/>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(4,590)</w:t>
            </w: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Restricted stock units issued</w:t>
            </w:r>
          </w:p>
        </w:tc>
        <w:tc>
          <w:tcPr>
            <w:tcW w:w="760" w:type="dxa"/>
            <w:vAlign w:val="bottom"/>
            <w:gridSpan w:val="7"/>
          </w:tcPr>
          <w:p>
            <w:pPr>
              <w:jc w:val="right"/>
              <w:ind w:right="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4"/>
                <w:szCs w:val="14"/>
                <w:color w:val="auto"/>
              </w:rPr>
              <w:t>(8)</w:t>
            </w:r>
          </w:p>
        </w:tc>
      </w:tr>
      <w:tr>
        <w:trPr>
          <w:trHeight w:val="162"/>
        </w:trPr>
        <w:tc>
          <w:tcPr>
            <w:tcW w:w="4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 based compensation earned</w:t>
            </w:r>
          </w:p>
        </w:tc>
        <w:tc>
          <w:tcPr>
            <w:tcW w:w="760" w:type="dxa"/>
            <w:vAlign w:val="bottom"/>
            <w:gridSpan w:val="7"/>
            <w:shd w:val="clear" w:color="auto" w:fill="CFF0FC"/>
          </w:tcPr>
          <w:p>
            <w:pPr>
              <w:jc w:val="right"/>
              <w:ind w:right="20"/>
              <w:spacing w:after="0"/>
              <w:rPr>
                <w:sz w:val="20"/>
                <w:szCs w:val="20"/>
                <w:color w:val="auto"/>
              </w:rPr>
            </w:pPr>
            <w:r>
              <w:rPr>
                <w:rFonts w:ascii="Arial" w:cs="Arial" w:eastAsia="Arial" w:hAnsi="Arial"/>
                <w:sz w:val="14"/>
                <w:szCs w:val="14"/>
                <w:color w:val="auto"/>
              </w:rPr>
              <w:t>14</w:t>
            </w:r>
          </w:p>
        </w:tc>
        <w:tc>
          <w:tcPr>
            <w:tcW w:w="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798</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798</w:t>
            </w:r>
          </w:p>
        </w:tc>
        <w:tc>
          <w:tcPr>
            <w:tcW w:w="80" w:type="dxa"/>
            <w:vAlign w:val="bottom"/>
            <w:shd w:val="clear" w:color="auto" w:fill="CFF0FC"/>
          </w:tcPr>
          <w:p>
            <w:pPr>
              <w:spacing w:after="0"/>
              <w:rPr>
                <w:sz w:val="14"/>
                <w:szCs w:val="14"/>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Adjustment for interest rate swap</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4"/>
                <w:szCs w:val="14"/>
                <w:color w:val="auto"/>
              </w:rPr>
              <w:t>(213)</w:t>
            </w:r>
          </w:p>
        </w:tc>
      </w:tr>
      <w:tr>
        <w:trPr>
          <w:trHeight w:val="162"/>
        </w:trPr>
        <w:tc>
          <w:tcPr>
            <w:tcW w:w="4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Translation gain</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bottom w:val="single" w:sz="8" w:color="auto"/>
              <w:right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6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right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right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979</w:t>
            </w:r>
          </w:p>
        </w:tc>
        <w:tc>
          <w:tcPr>
            <w:tcW w:w="80" w:type="dxa"/>
            <w:vAlign w:val="bottom"/>
            <w:shd w:val="clear" w:color="auto" w:fill="CFF0FC"/>
          </w:tcPr>
          <w:p>
            <w:pPr>
              <w:spacing w:after="0"/>
              <w:rPr>
                <w:sz w:val="14"/>
                <w:szCs w:val="14"/>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Balance March 31, 2019</w:t>
            </w:r>
          </w:p>
        </w:tc>
        <w:tc>
          <w:tcPr>
            <w:tcW w:w="760" w:type="dxa"/>
            <w:vAlign w:val="bottom"/>
            <w:gridSpan w:val="7"/>
          </w:tcPr>
          <w:p>
            <w:pPr>
              <w:jc w:val="right"/>
              <w:ind w:right="20"/>
              <w:spacing w:after="0" w:line="155" w:lineRule="exact"/>
              <w:rPr>
                <w:sz w:val="20"/>
                <w:szCs w:val="20"/>
                <w:color w:val="auto"/>
              </w:rPr>
            </w:pPr>
            <w:r>
              <w:rPr>
                <w:rFonts w:ascii="Arial" w:cs="Arial" w:eastAsia="Arial" w:hAnsi="Arial"/>
                <w:sz w:val="14"/>
                <w:szCs w:val="14"/>
                <w:color w:val="auto"/>
              </w:rPr>
              <w:t>34,980</w:t>
            </w:r>
          </w:p>
        </w:tc>
        <w:tc>
          <w:tcPr>
            <w:tcW w:w="420" w:type="dxa"/>
            <w:vAlign w:val="bottom"/>
            <w:gridSpan w:val="3"/>
          </w:tcPr>
          <w:p>
            <w:pPr>
              <w:jc w:val="right"/>
              <w:ind w:right="115"/>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349</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252,199</w:t>
            </w:r>
          </w:p>
        </w:tc>
        <w:tc>
          <w:tcPr>
            <w:tcW w:w="80" w:type="dxa"/>
            <w:vAlign w:val="bottom"/>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(62,165)</w:t>
            </w:r>
          </w:p>
        </w:tc>
        <w:tc>
          <w:tcPr>
            <w:tcW w:w="1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5"/>
          </w:tcPr>
          <w:p>
            <w:pPr>
              <w:jc w:val="right"/>
              <w:ind w:right="60"/>
              <w:spacing w:after="0" w:line="155" w:lineRule="exact"/>
              <w:rPr>
                <w:sz w:val="20"/>
                <w:szCs w:val="20"/>
                <w:color w:val="auto"/>
              </w:rPr>
            </w:pPr>
            <w:r>
              <w:rPr>
                <w:rFonts w:ascii="Arial" w:cs="Arial" w:eastAsia="Arial" w:hAnsi="Arial"/>
                <w:sz w:val="14"/>
                <w:szCs w:val="14"/>
                <w:color w:val="auto"/>
              </w:rPr>
              <w:t>(12,637)</w:t>
            </w:r>
          </w:p>
        </w:tc>
        <w:tc>
          <w:tcPr>
            <w:tcW w:w="780" w:type="dxa"/>
            <w:vAlign w:val="bottom"/>
            <w:gridSpan w:val="6"/>
          </w:tcPr>
          <w:p>
            <w:pPr>
              <w:jc w:val="right"/>
              <w:ind w:right="60"/>
              <w:spacing w:after="0" w:line="155" w:lineRule="exact"/>
              <w:rPr>
                <w:sz w:val="20"/>
                <w:szCs w:val="20"/>
                <w:color w:val="auto"/>
              </w:rPr>
            </w:pPr>
            <w:r>
              <w:rPr>
                <w:rFonts w:ascii="Arial" w:cs="Arial" w:eastAsia="Arial" w:hAnsi="Arial"/>
                <w:sz w:val="14"/>
                <w:szCs w:val="14"/>
                <w:color w:val="auto"/>
              </w:rPr>
              <w:t>(138)</w:t>
            </w:r>
          </w:p>
        </w:tc>
        <w:tc>
          <w:tcPr>
            <w:tcW w:w="1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177,390</w:t>
            </w:r>
          </w:p>
        </w:tc>
        <w:tc>
          <w:tcPr>
            <w:tcW w:w="80" w:type="dxa"/>
            <w:vAlign w:val="bottom"/>
          </w:tcPr>
          <w:p>
            <w:pPr>
              <w:spacing w:after="0"/>
              <w:rPr>
                <w:sz w:val="13"/>
                <w:szCs w:val="13"/>
                <w:color w:val="auto"/>
              </w:rPr>
            </w:pPr>
          </w:p>
        </w:tc>
      </w:tr>
      <w:tr>
        <w:trPr>
          <w:trHeight w:val="20"/>
        </w:trPr>
        <w:tc>
          <w:tcPr>
            <w:tcW w:w="4200" w:type="dxa"/>
            <w:vAlign w:val="bottom"/>
            <w:gridSpan w:val="4"/>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1,864</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(used in) provided by operating activities: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 (gain)</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Earnout payments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Gain on sale of property and equipment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(gain) on divestitures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(11,177)</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Debt discount amortization</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Bad debt expense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reserve expense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Deferred income tax benefit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(19,627)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(1,607)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Deferred charges and other assets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(3,938)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(13,741)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cash proceeds from divestitures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60" w:type="dxa"/>
            <w:vAlign w:val="bottom"/>
          </w:tcPr>
          <w:p>
            <w:pPr>
              <w:ind w:left="500"/>
              <w:spacing w:after="0"/>
              <w:rPr>
                <w:sz w:val="20"/>
                <w:szCs w:val="20"/>
                <w:color w:val="auto"/>
              </w:rPr>
            </w:pPr>
            <w:r>
              <w:rPr>
                <w:rFonts w:ascii="Arial" w:cs="Arial" w:eastAsia="Arial" w:hAnsi="Arial"/>
                <w:sz w:val="16"/>
                <w:szCs w:val="16"/>
                <w:color w:val="auto"/>
              </w:rPr>
              <w:t>Net cash (used in) provided by investing activities</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Net repayments on revolving credit lines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debt</w:t>
            </w: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(28,156)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Proceeds from employee stock purchase plan, exercise of stock options, and dividend reinvestment plan</w:t>
            </w:r>
          </w:p>
        </w:tc>
        <w:tc>
          <w:tcPr>
            <w:tcW w:w="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6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(30,599)</w:t>
            </w:r>
          </w:p>
        </w:tc>
        <w:tc>
          <w:tcPr>
            <w:tcW w:w="0" w:type="dxa"/>
            <w:vAlign w:val="bottom"/>
          </w:tcPr>
          <w:p>
            <w:pPr>
              <w:spacing w:after="0"/>
              <w:rPr>
                <w:sz w:val="1"/>
                <w:szCs w:val="1"/>
                <w:color w:val="auto"/>
              </w:rPr>
            </w:pPr>
          </w:p>
        </w:tc>
      </w:tr>
      <w:tr>
        <w:trPr>
          <w:trHeight w:val="21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6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(15,533)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6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28,905</w:t>
            </w:r>
          </w:p>
        </w:tc>
        <w:tc>
          <w:tcPr>
            <w:tcW w:w="180" w:type="dxa"/>
            <w:vAlign w:val="bottom"/>
          </w:tcPr>
          <w:p>
            <w:pPr>
              <w:spacing w:after="0"/>
              <w:rPr>
                <w:sz w:val="21"/>
                <w:szCs w:val="21"/>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paid during the period for:</w:t>
            </w:r>
          </w:p>
        </w:tc>
        <w:tc>
          <w:tcPr>
            <w:tcW w:w="3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260"/>
              <w:spacing w:after="0"/>
              <w:rPr>
                <w:sz w:val="20"/>
                <w:szCs w:val="20"/>
                <w:color w:val="auto"/>
              </w:rPr>
            </w:pPr>
            <w:r>
              <w:rPr>
                <w:rFonts w:ascii="Arial" w:cs="Arial" w:eastAsia="Arial" w:hAnsi="Arial"/>
                <w:sz w:val="16"/>
                <w:szCs w:val="16"/>
                <w:color w:val="auto"/>
              </w:rPr>
              <w:t>Interest</w:t>
            </w: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1,514</w:t>
            </w:r>
          </w:p>
        </w:tc>
        <w:tc>
          <w:tcPr>
            <w:tcW w:w="18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Income taxes</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shd w:val="clear" w:color="auto" w:fill="CFF0FC"/>
          </w:tcPr>
          <w:p>
            <w:pPr>
              <w:spacing w:after="0"/>
              <w:rPr>
                <w:sz w:val="17"/>
                <w:szCs w:val="17"/>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Non-cash transaction:</w:t>
            </w: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tcBorders>
              <w:bottom w:val="single" w:sz="8" w:color="CFF0FC"/>
            </w:tcBorders>
            <w:vMerge w:val="continue"/>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consideration receivable from divestiture</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12" w:hanging="512"/>
        <w:spacing w:after="0"/>
        <w:tabs>
          <w:tab w:leader="none" w:pos="5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2019 and the results of operations, cash flows and shareholders’ equity for the three-month periods ended March 31, 2019 and 2018. The results of operations for the three-month periods ended March 31, 2019 are not necessarily indicative of the results to be expected for the full year. The balance sheet as of December 31, 2018 has been derived from the audited consolidated financial statements included in the Company’s Annual Report on Form 10-K for the year ended December 31, 2018 as filed with the SEC.</w:t>
      </w:r>
    </w:p>
    <w:p>
      <w:pPr>
        <w:spacing w:after="0" w:line="181"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12"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Company’s Annual Report on Form 10-K for the year ended December 31, 2018 filed with the SEC.</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12" w:right="7400" w:hanging="512"/>
        <w:spacing w:after="0" w:line="566" w:lineRule="auto"/>
        <w:tabs>
          <w:tab w:leader="none" w:pos="5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2019</w:t>
      </w:r>
    </w:p>
    <w:p>
      <w:pPr>
        <w:ind w:left="512"/>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In February 2016, the Financial Accounting Standards Board (“FASB”) issued Accounting Standards Update (“ASU”) 2016-02, “Leases,” which, together with its related clarifying ASUs, provides revised guidance for lease accounting and related disclosure requirements and establishes a right-of-use (“ROU”) model that requires a lessee to record a ROU asset and a lease liability on the balance sheet for all leases with terms longer than 12 months. Under the guidance, leases are classified as either finance or operating, with classification affecting the pattern of expense recognition. We adopted ASU 2016-02 effective January 1, 2019, using the modified retrospective method which was applied to leases that existed or were entered into on or after January 1, 2019. The Company elected to utilize the package of practical expedients that allows us to 1) not reassess whether any expired or existing contracts are or contain leases, 2) retain the existing classification of lease contracts as of the date of adoption, and 3) not reassess initial direct costs for any existing leases. We also elected to not separate lease and non-lease components, for all leases. The adoption of this standard had a material impact on our consolidated balance sheet due to the recognition of ROU assets and liabilities for our operating leases totaling $13.3 million, as well as an adjustment to beginning equity of $4.6 million, net of tax, related to prior sales lease back transaction. The adoption of the standard did not have a material impact on our statement of income or liquidity. See Note 12 – Leases for disclosures related to the amended guidance.</w:t>
      </w:r>
    </w:p>
    <w:p>
      <w:pPr>
        <w:spacing w:after="0" w:line="172" w:lineRule="exact"/>
        <w:rPr>
          <w:rFonts w:ascii="Arial" w:cs="Arial" w:eastAsia="Arial" w:hAnsi="Arial"/>
          <w:sz w:val="16"/>
          <w:szCs w:val="16"/>
          <w:b w:val="1"/>
          <w:bCs w:val="1"/>
          <w:color w:val="auto"/>
        </w:rPr>
      </w:pPr>
    </w:p>
    <w:p>
      <w:pPr>
        <w:ind w:left="512" w:right="1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August 2017, the FASB issued ASU 2017-12, “Derivatives and Hedging (Topic 815): Targeted Improvements to Accounting for Hedging Activities.” This guidance expands an entity’s ability to apply hedge accounting for nonfinancial and financial risk components and allows for a simplified approach for fair value hedging of interest rate risk. Additionally, this ASU eliminates the need to separately measure and report hedge ineffectiveness and generally requires the entire change in fair value of a hedging instrument to be presented in the same income statement line as the hedged item. The Company adopted this ASU on January 1, 2019 and applied the modified retrospective approach through a cumulative-effect adjustment from accumulated other comprehensive income (“AOCI”) to retained earnings as of the effective date. The impact of the adoption of this ASU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Accounting Standards Yet to be Adopted</w:t>
      </w:r>
    </w:p>
    <w:p>
      <w:pPr>
        <w:spacing w:after="0" w:line="121"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72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40" w:type="dxa"/>
            <w:vAlign w:val="bottom"/>
          </w:tcPr>
          <w:p>
            <w:pPr>
              <w:spacing w:after="0"/>
              <w:rPr>
                <w:sz w:val="24"/>
                <w:szCs w:val="24"/>
                <w:color w:val="auto"/>
              </w:rPr>
            </w:pPr>
          </w:p>
        </w:tc>
        <w:tc>
          <w:tcPr>
            <w:tcW w:w="7280" w:type="dxa"/>
            <w:vAlign w:val="bottom"/>
            <w:gridSpan w:val="2"/>
          </w:tcPr>
          <w:p>
            <w:pPr>
              <w:ind w:left="3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only in thousands)</w:t>
            </w:r>
          </w:p>
        </w:tc>
        <w:tc>
          <w:tcPr>
            <w:tcW w:w="160" w:type="dxa"/>
            <w:vAlign w:val="bottom"/>
          </w:tcPr>
          <w:p>
            <w:pPr>
              <w:spacing w:after="0"/>
              <w:rPr>
                <w:sz w:val="24"/>
                <w:szCs w:val="2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65,453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(2,897)</w:t>
            </w:r>
          </w:p>
        </w:tc>
      </w:tr>
      <w:tr>
        <w:trPr>
          <w:trHeight w:val="223"/>
        </w:trPr>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8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72,963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60"/>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$0.9 million at March 31, 2019 and December 31, 2018. Retainage receivables on contracts in progress are generally collected within a year after contract completion.</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Bad debt expense was $0.1 million for the three-month periods ended March 31, 2019 and 2018.</w:t>
      </w: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29" w:lineRule="exact"/>
        <w:rPr>
          <w:rFonts w:ascii="Arial" w:cs="Arial" w:eastAsia="Arial" w:hAnsi="Arial"/>
          <w:sz w:val="18"/>
          <w:szCs w:val="18"/>
          <w:b w:val="1"/>
          <w:bCs w:val="1"/>
          <w:color w:val="auto"/>
        </w:rPr>
      </w:pPr>
    </w:p>
    <w:p>
      <w:pPr>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contracts have various lengths to completion ranging from a few days to several months. We anticipate that a majority of our current contracts will be completed within the next twelve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8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incurred on uncompleted contracts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193,393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earnings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(261,981)</w:t>
            </w: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(232,045)</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Included in the accompanying condensed consolidated</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balance sheets under the following captions: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(23,596)</w:t>
            </w: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20" w:right="20"/>
        <w:spacing w:after="0" w:line="312" w:lineRule="auto"/>
        <w:rPr>
          <w:sz w:val="20"/>
          <w:szCs w:val="20"/>
          <w:color w:val="auto"/>
        </w:rPr>
      </w:pPr>
      <w:r>
        <w:rPr>
          <w:rFonts w:ascii="Arial" w:cs="Arial" w:eastAsia="Arial" w:hAnsi="Arial"/>
          <w:sz w:val="16"/>
          <w:szCs w:val="16"/>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No provision for estimated losses on uncompleted contracts was required as of March 31, 2019 or December 31, 2018.</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732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6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Obsolescence allowance</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$0.2 million and $0.3 million for the three-month periods ended March 31, 2019 and 2018, respectively.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464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4"/>
              </w:rPr>
              <w:t>Three months ended March 31, 2019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3"/>
          </w:tcPr>
          <w:p>
            <w:pPr>
              <w:jc w:val="right"/>
              <w:ind w:right="440"/>
              <w:spacing w:after="0"/>
              <w:rPr>
                <w:sz w:val="20"/>
                <w:szCs w:val="20"/>
                <w:color w:val="auto"/>
              </w:rPr>
            </w:pPr>
            <w:r>
              <w:rPr>
                <w:rFonts w:ascii="Arial" w:cs="Arial" w:eastAsia="Arial" w:hAnsi="Arial"/>
                <w:sz w:val="14"/>
                <w:szCs w:val="14"/>
                <w:b w:val="1"/>
                <w:bCs w:val="1"/>
                <w:color w:val="auto"/>
                <w:w w:val="98"/>
              </w:rPr>
              <w:t>Year ended December 31, 2018</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Pr>
          <w:p>
            <w:pPr>
              <w:spacing w:after="0" w:line="155" w:lineRule="exact"/>
              <w:rPr>
                <w:sz w:val="20"/>
                <w:szCs w:val="20"/>
                <w:color w:val="auto"/>
              </w:rPr>
            </w:pPr>
            <w:r>
              <w:rPr>
                <w:rFonts w:ascii="Arial" w:cs="Arial" w:eastAsia="Arial" w:hAnsi="Arial"/>
                <w:sz w:val="14"/>
                <w:szCs w:val="14"/>
                <w:b w:val="1"/>
                <w:bCs w:val="1"/>
                <w:color w:val="auto"/>
              </w:rPr>
              <w:t>Goodwill / Tradenames</w:t>
            </w:r>
          </w:p>
        </w:tc>
        <w:tc>
          <w:tcPr>
            <w:tcW w:w="4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Goodwill</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Tradenames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6"/>
          </w:tcPr>
          <w:p>
            <w:pPr>
              <w:jc w:val="right"/>
              <w:ind w:right="480"/>
              <w:spacing w:after="0" w:line="155" w:lineRule="exact"/>
              <w:rPr>
                <w:sz w:val="20"/>
                <w:szCs w:val="20"/>
                <w:color w:val="auto"/>
              </w:rPr>
            </w:pPr>
            <w:r>
              <w:rPr>
                <w:rFonts w:ascii="Arial" w:cs="Arial" w:eastAsia="Arial" w:hAnsi="Arial"/>
                <w:sz w:val="14"/>
                <w:szCs w:val="14"/>
                <w:b w:val="1"/>
                <w:bCs w:val="1"/>
                <w:color w:val="auto"/>
              </w:rPr>
              <w:t>Goodwill</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w w:val="92"/>
              </w:rPr>
              <w:t>Tradenames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18,258</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166,951</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Transfers to finite life classification</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Divestitures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(14,317)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14,314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152,156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March 31, 2019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w w:val="94"/>
              </w:rPr>
              <w:t>As of December 31, 2018</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0" w:type="dxa"/>
            <w:vAlign w:val="bottom"/>
          </w:tcPr>
          <w:p>
            <w:pPr>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Cost</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Accum. Amort.</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Cost</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5"/>
          </w:tcPr>
          <w:p>
            <w:pPr>
              <w:ind w:left="60"/>
              <w:spacing w:after="0" w:line="155" w:lineRule="exact"/>
              <w:rPr>
                <w:sz w:val="20"/>
                <w:szCs w:val="20"/>
                <w:color w:val="auto"/>
              </w:rPr>
            </w:pPr>
            <w:r>
              <w:rPr>
                <w:rFonts w:ascii="Arial" w:cs="Arial" w:eastAsia="Arial" w:hAnsi="Arial"/>
                <w:sz w:val="14"/>
                <w:szCs w:val="14"/>
                <w:b w:val="1"/>
                <w:bCs w:val="1"/>
                <w:color w:val="auto"/>
              </w:rPr>
              <w:t>Accum. Amort.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w:t>
            </w:r>
          </w:p>
        </w:tc>
        <w:tc>
          <w:tcPr>
            <w:tcW w:w="4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9,674</w:t>
            </w:r>
          </w:p>
        </w:tc>
        <w:tc>
          <w:tcPr>
            <w:tcW w:w="40" w:type="dxa"/>
            <w:vAlign w:val="bottom"/>
            <w:tcBorders>
              <w:top w:val="single" w:sz="8" w:color="auto"/>
            </w:tcBorders>
            <w:gridSpan w:val="2"/>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14,457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9,414</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Customer lists</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68,943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39,611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68,943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Tradename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88,050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50,417</w:t>
            </w:r>
          </w:p>
        </w:tc>
        <w:tc>
          <w:tcPr>
            <w:tcW w:w="40" w:type="dxa"/>
            <w:vAlign w:val="bottom"/>
            <w:tcBorders>
              <w:top w:val="single" w:sz="8" w:color="auto"/>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84,180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48,221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6420" w:type="dxa"/>
            <w:vAlign w:val="bottom"/>
            <w:gridSpan w:val="7"/>
          </w:tcPr>
          <w:p>
            <w:pPr>
              <w:ind w:left="180"/>
              <w:spacing w:after="0"/>
              <w:rPr>
                <w:sz w:val="20"/>
                <w:szCs w:val="20"/>
                <w:color w:val="auto"/>
              </w:rPr>
            </w:pPr>
            <w:r>
              <w:rPr>
                <w:rFonts w:ascii="Arial" w:cs="Arial" w:eastAsia="Arial" w:hAnsi="Arial"/>
                <w:sz w:val="18"/>
                <w:szCs w:val="18"/>
                <w:color w:val="auto"/>
              </w:rPr>
              <w:t>Activity for the three-months ended March 31, 2019 and 2018 is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4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7"/>
          </w:tcPr>
          <w:p>
            <w:pPr>
              <w:jc w:val="right"/>
              <w:ind w:right="60"/>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(2,555)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1"/>
              </w:rPr>
              <w:t>(2,372)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adjustments</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Intangible assets – finite life, net at end of period</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37,633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520" w:right="180"/>
        <w:spacing w:after="0" w:line="264" w:lineRule="auto"/>
        <w:rPr>
          <w:sz w:val="20"/>
          <w:szCs w:val="20"/>
          <w:color w:val="auto"/>
        </w:rPr>
      </w:pPr>
      <w:r>
        <w:rPr>
          <w:rFonts w:ascii="Arial" w:cs="Arial" w:eastAsia="Arial" w:hAnsi="Arial"/>
          <w:sz w:val="18"/>
          <w:szCs w:val="18"/>
          <w:color w:val="auto"/>
        </w:rPr>
        <w:t>Amortization expense of finite life intangible assets was $2.2 million and $2.6 million for the three-month periods ended March 31, 2019 and 2018, respectively. Amortization over the next five years for finite life intangibles is expected to be $6.3 million for the remainder of 2019, $6.8 million in 2020, $5.7 million in 2021, $4.8 million in 2022, and $4.0 million in 2023.</w:t>
      </w:r>
    </w:p>
    <w:p>
      <w:pPr>
        <w:spacing w:after="0" w:line="181" w:lineRule="exact"/>
        <w:rPr>
          <w:sz w:val="20"/>
          <w:szCs w:val="20"/>
          <w:color w:val="auto"/>
        </w:rPr>
      </w:pPr>
    </w:p>
    <w:p>
      <w:pPr>
        <w:ind w:left="520"/>
        <w:spacing w:after="0" w:line="303" w:lineRule="auto"/>
        <w:rPr>
          <w:sz w:val="20"/>
          <w:szCs w:val="20"/>
          <w:color w:val="auto"/>
        </w:rPr>
      </w:pPr>
      <w:r>
        <w:rPr>
          <w:rFonts w:ascii="Arial" w:cs="Arial" w:eastAsia="Arial" w:hAnsi="Arial"/>
          <w:sz w:val="17"/>
          <w:szCs w:val="17"/>
          <w:color w:val="auto"/>
        </w:rPr>
        <w:t>During the three-month period ended March 31, 2019, the Company reassessed the useful lives of certain tradenames and determined that $3.9 million of their tradenames would have useful lives of 10 years now versus indefinite. The Company did not identify any triggering events during the three-month period ended March 31, 2019 that would require an interim impairment assessment of goodwill or intangible assets.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10" w:name="page11"/>
    <w:bookmarkEnd w:id="10"/>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 payable, including due to subcontractors</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53,315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51,984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Accrued warranty</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79,201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80,229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8.</w:t>
            </w:r>
          </w:p>
        </w:tc>
        <w:tc>
          <w:tcPr>
            <w:tcW w:w="68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Senior debt</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40" w:type="dxa"/>
            <w:vAlign w:val="bottom"/>
            <w:vMerge w:val="continue"/>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Debt consisted of the following at March 31, 2019 and December 31,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40" w:type="dxa"/>
            <w:vAlign w:val="bottom"/>
          </w:tcPr>
          <w:p>
            <w:pPr>
              <w:spacing w:after="0"/>
              <w:rPr>
                <w:sz w:val="17"/>
                <w:szCs w:val="17"/>
                <w:color w:val="auto"/>
              </w:rPr>
            </w:pPr>
          </w:p>
        </w:tc>
        <w:tc>
          <w:tcPr>
            <w:tcW w:w="12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w w:val="98"/>
              </w:rPr>
              <w:t>March 31, 2019</w:t>
            </w:r>
          </w:p>
        </w:tc>
        <w:tc>
          <w:tcPr>
            <w:tcW w:w="260" w:type="dxa"/>
            <w:vAlign w:val="bottom"/>
          </w:tcPr>
          <w:p>
            <w:pPr>
              <w:spacing w:after="0"/>
              <w:rPr>
                <w:sz w:val="17"/>
                <w:szCs w:val="17"/>
                <w:color w:val="auto"/>
              </w:rPr>
            </w:pPr>
          </w:p>
        </w:tc>
        <w:tc>
          <w:tcPr>
            <w:tcW w:w="2080" w:type="dxa"/>
            <w:vAlign w:val="bottom"/>
            <w:gridSpan w:val="7"/>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1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76,147</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76,147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U.S. Dollar revolving loans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140" w:type="dxa"/>
            <w:vAlign w:val="bottom"/>
          </w:tcPr>
          <w:p>
            <w:pPr>
              <w:spacing w:after="0"/>
              <w:rPr>
                <w:sz w:val="19"/>
                <w:szCs w:val="19"/>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8"/>
                <w:szCs w:val="18"/>
                <w:color w:val="auto"/>
              </w:rPr>
              <w:t>(1,422)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74,725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420"/>
        <w:spacing w:after="0" w:line="264" w:lineRule="auto"/>
        <w:rPr>
          <w:sz w:val="20"/>
          <w:szCs w:val="20"/>
          <w:color w:val="auto"/>
        </w:rPr>
      </w:pPr>
      <w:r>
        <w:rPr>
          <w:rFonts w:ascii="Arial" w:cs="Arial" w:eastAsia="Arial" w:hAnsi="Arial"/>
          <w:sz w:val="18"/>
          <w:szCs w:val="18"/>
          <w:color w:val="auto"/>
        </w:rPr>
        <w:t>During the three-month period ended March 31, 2019, the Company made no payments on the outstanding balance of the term loan. Due to the additional prepayments made in 2018, there are no payments due on the term loan until the final scheduled principal payment of $76.1 million, in September 2020.</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spacing w:after="0" w:line="276" w:lineRule="auto"/>
        <w:rPr>
          <w:sz w:val="20"/>
          <w:szCs w:val="20"/>
          <w:color w:val="auto"/>
        </w:rPr>
      </w:pPr>
      <w:r>
        <w:rPr>
          <w:rFonts w:ascii="Arial" w:cs="Arial" w:eastAsia="Arial" w:hAnsi="Arial"/>
          <w:sz w:val="17"/>
          <w:szCs w:val="17"/>
          <w:color w:val="auto"/>
        </w:rPr>
        <w:t>As of March 31, 2019 and December 31, 2018, $27.4 million and $29.3 million of letters of credit were outstanding, respectively. Total unused credit availability under the Company’s senior secured term loan, senior secured U.S. dollar revolving loans with sub-facilities for letters of credit and swing-line loans and senior secured multi-currency revolving credit facility for U.S. dollar and specific foreign currency loans (collectively, the “Credit Facility”) was $52.6 million and $50.7 million at March 31, 2019 and December 31, 2018, respectively. Revolving loans may be borrowed, repaid and reborrowed until September 3, 2020, at which time all outstanding balances of the Credit Facility must be repaid.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5.25% and 5.27% at March 31, 2019 and December 31, 2018, respectively.</w:t>
      </w:r>
    </w:p>
    <w:p>
      <w:pPr>
        <w:spacing w:after="0" w:line="248" w:lineRule="exact"/>
        <w:rPr>
          <w:sz w:val="20"/>
          <w:szCs w:val="20"/>
          <w:color w:val="auto"/>
        </w:rPr>
      </w:pPr>
    </w:p>
    <w:p>
      <w:pPr>
        <w:ind w:left="520" w:right="40"/>
        <w:spacing w:after="0" w:line="276" w:lineRule="auto"/>
        <w:rPr>
          <w:sz w:val="20"/>
          <w:szCs w:val="20"/>
          <w:color w:val="auto"/>
        </w:rPr>
      </w:pPr>
      <w:r>
        <w:rPr>
          <w:rFonts w:ascii="Arial" w:cs="Arial" w:eastAsia="Arial" w:hAnsi="Arial"/>
          <w:sz w:val="17"/>
          <w:szCs w:val="17"/>
          <w:color w:val="auto"/>
        </w:rPr>
        <w:t>In accordance with the Credit Facility terms, the Company entered into an interest rate swap to hedge against interest rate exposure related to a portion of the outstanding debt indexed to LIBOR market rates. The fair value of the interest rate swap was an asset of $0.3 million and $0.5 million as of March 31, 2019 and December 31, 2018, respectively, and is classified within the “Deferred charges and other assets” on the Condensed Consolidated Balance Sheets. The Company designated the interest rate swap as an effective hedge; therefore, the changes to the fair value of the interest rate swap have been recorded in other comprehensive income as the hedge is deemed effective.</w:t>
      </w:r>
    </w:p>
    <w:p>
      <w:pPr>
        <w:spacing w:after="0" w:line="173"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Leverage Ratio as well as restricting the amount of capital expenditures the Company may make in 2019. Through March 31, 2019, the maximum Consolidated Leverage Ratio is 3.75, after which time it will decrease to 3.50 through September 30, 2019. The Consolidated Leverage Ratio will then decrease to 3.25 until the end of the term of the Credit Facility.</w:t>
      </w:r>
    </w:p>
    <w:p>
      <w:pPr>
        <w:spacing w:after="0" w:line="187"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As of March 31, 2019 and December 31, 2018, the Company was in compliance with all related financial and other restrictive covenants under the Credit Facility.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The Company has a number of facilities and bilateral agreements in various countries currently supported by letters of credit issued under the Credit Facility. In addition, a subsidiary of the Company located in the Netherlands has a Euro-denominated bank guarantee agreement, under which $3.1 million in bank guarantees were outstanding as of March 31,2019. As of March 31, 2019, the borrowers of these facilities and agreements were in compliance with all related financial and other restrictive covenants.</w:t>
      </w:r>
    </w:p>
    <w:p>
      <w:pPr>
        <w:spacing w:after="0" w:line="16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and Dividends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computational components of basic and diluted earnings per share for the three-month periods ended March 31, 2019 and 2018 are below.</w:t>
      </w:r>
    </w:p>
    <w:p>
      <w:pPr>
        <w:spacing w:after="0" w:line="93"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 period ended March 31,</w:t>
            </w:r>
          </w:p>
        </w:tc>
        <w:tc>
          <w:tcPr>
            <w:tcW w:w="0" w:type="dxa"/>
            <w:vAlign w:val="bottom"/>
          </w:tcPr>
          <w:p>
            <w:pPr>
              <w:spacing w:after="0"/>
              <w:rPr>
                <w:sz w:val="1"/>
                <w:szCs w:val="1"/>
                <w:color w:val="auto"/>
              </w:rPr>
            </w:pPr>
          </w:p>
        </w:tc>
      </w:tr>
      <w:tr>
        <w:trPr>
          <w:trHeight w:val="156"/>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(Table only in thousands)</w:t>
            </w:r>
          </w:p>
        </w:tc>
        <w:tc>
          <w:tcPr>
            <w:tcW w:w="44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3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C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CFF"/>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1,864</w:t>
            </w:r>
          </w:p>
        </w:tc>
        <w:tc>
          <w:tcPr>
            <w:tcW w:w="240" w:type="dxa"/>
            <w:vAlign w:val="bottom"/>
            <w:shd w:val="clear" w:color="auto" w:fill="CCECFF"/>
          </w:tcPr>
          <w:p>
            <w:pPr>
              <w:spacing w:after="0"/>
              <w:rPr>
                <w:sz w:val="19"/>
                <w:szCs w:val="19"/>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CFF"/>
            </w:tcBorders>
          </w:tcPr>
          <w:p>
            <w:pPr>
              <w:spacing w:after="0" w:line="20" w:lineRule="exact"/>
              <w:rPr>
                <w:sz w:val="1"/>
                <w:szCs w:val="1"/>
                <w:color w:val="auto"/>
              </w:rPr>
            </w:pPr>
          </w:p>
        </w:tc>
        <w:tc>
          <w:tcPr>
            <w:tcW w:w="440" w:type="dxa"/>
            <w:vAlign w:val="bottom"/>
            <w:tcBorders>
              <w:top w:val="single" w:sz="8" w:color="CCEC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34,836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CFF"/>
          </w:tcPr>
          <w:p>
            <w:pPr>
              <w:spacing w:after="0"/>
              <w:rPr>
                <w:sz w:val="20"/>
                <w:szCs w:val="20"/>
                <w:color w:val="auto"/>
              </w:rPr>
            </w:pPr>
            <w:r>
              <w:rPr>
                <w:rFonts w:ascii="Arial" w:cs="Arial" w:eastAsia="Arial" w:hAnsi="Arial"/>
                <w:sz w:val="18"/>
                <w:szCs w:val="18"/>
                <w:color w:val="auto"/>
                <w:w w:val="97"/>
              </w:rPr>
              <w:t>Common stock equivalents arising from stock options and restricted stock awards</w:t>
            </w:r>
          </w:p>
        </w:tc>
        <w:tc>
          <w:tcPr>
            <w:tcW w:w="440" w:type="dxa"/>
            <w:vAlign w:val="bottom"/>
            <w:shd w:val="clear" w:color="auto" w:fill="CCECFF"/>
          </w:tcPr>
          <w:p>
            <w:pPr>
              <w:spacing w:after="0"/>
              <w:rPr>
                <w:sz w:val="19"/>
                <w:szCs w:val="19"/>
                <w:color w:val="auto"/>
              </w:rPr>
            </w:pPr>
          </w:p>
        </w:tc>
        <w:tc>
          <w:tcPr>
            <w:tcW w:w="980" w:type="dxa"/>
            <w:vAlign w:val="bottom"/>
            <w:tcBorders>
              <w:bottom w:val="single" w:sz="8" w:color="auto"/>
            </w:tcBorders>
            <w:shd w:val="clear" w:color="auto" w:fill="CCECFF"/>
          </w:tcPr>
          <w:p>
            <w:pPr>
              <w:spacing w:after="0"/>
              <w:rPr>
                <w:sz w:val="19"/>
                <w:szCs w:val="19"/>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4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35,360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 periods ended March 31, 2019 and 2018, 0.5 million and 0.6 million respectively, of outstanding options and restricted stock units were excluded from the computation of diluted earnings per share due to their having an anti-dilutive effect.</w:t>
      </w:r>
    </w:p>
    <w:p>
      <w:pPr>
        <w:spacing w:after="0" w:line="18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2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$0.8 million and $0.6 million of share compensation related expense during the three-month periods ended March 31, 2019 and 2018, respectively.</w:t>
      </w:r>
    </w:p>
    <w:p>
      <w:pPr>
        <w:spacing w:after="0" w:line="18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granted zero options during the three-month periods ended March 31, 2019 and 2018, respectively.</w:t>
      </w:r>
    </w:p>
    <w:p>
      <w:pPr>
        <w:spacing w:after="0" w:line="225" w:lineRule="exact"/>
        <w:rPr>
          <w:rFonts w:ascii="Arial" w:cs="Arial" w:eastAsia="Arial" w:hAnsi="Arial"/>
          <w:sz w:val="18"/>
          <w:szCs w:val="18"/>
          <w:b w:val="1"/>
          <w:bCs w:val="1"/>
          <w:color w:val="auto"/>
        </w:rPr>
      </w:pPr>
    </w:p>
    <w:p>
      <w:pPr>
        <w:jc w:val="both"/>
        <w:ind w:left="520" w:righ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granted approximately 400,000 and 20,000 restricted stock units during the three-month periods ended March 31, 2019 and 2018, respectively. The weighted-average fair value of restricted stock units was estimated at $7.24 and $4.27 per unit granted during the three-months ended March 31, 2019 and 2018, respectively. The fair value of the restricted stock units was determined by using the value of stock in the open market on the date of grant.</w:t>
      </w:r>
    </w:p>
    <w:p>
      <w:pPr>
        <w:spacing w:after="0" w:line="18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48" w:lineRule="exact"/>
        <w:rPr>
          <w:rFonts w:ascii="Arial" w:cs="Arial" w:eastAsia="Arial" w:hAnsi="Arial"/>
          <w:sz w:val="18"/>
          <w:szCs w:val="18"/>
          <w:b w:val="1"/>
          <w:bCs w:val="1"/>
          <w:color w:val="auto"/>
        </w:rPr>
      </w:pPr>
    </w:p>
    <w:p>
      <w:pPr>
        <w:ind w:left="52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There were zero and approximately 2,000 options exercised during the three-months ended March 31, 2019 and 2018, respectively. The Company received zero and $4,000 in cash from employees exercising options during the three-months ended March 31, 2019 and 2018. The intrinsic value of options exercised during the three-months ended March 31, 2019 and 2018 was zero and $6,000, respectively.</w:t>
      </w:r>
    </w:p>
    <w:p>
      <w:pPr>
        <w:spacing w:after="0" w:line="148" w:lineRule="exact"/>
        <w:rPr>
          <w:rFonts w:ascii="Arial" w:cs="Arial" w:eastAsia="Arial" w:hAnsi="Arial"/>
          <w:sz w:val="18"/>
          <w:szCs w:val="18"/>
          <w:b w:val="1"/>
          <w:bCs w:val="1"/>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20"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left="512" w:right="20"/>
        <w:spacing w:after="0" w:line="264" w:lineRule="auto"/>
        <w:rPr>
          <w:sz w:val="20"/>
          <w:szCs w:val="20"/>
          <w:color w:val="auto"/>
        </w:rPr>
      </w:pPr>
      <w:r>
        <w:rPr>
          <w:rFonts w:ascii="Arial" w:cs="Arial" w:eastAsia="Arial" w:hAnsi="Arial"/>
          <w:sz w:val="18"/>
          <w:szCs w:val="18"/>
          <w:color w:val="auto"/>
        </w:rPr>
        <w:t>We present service cost within cost of sales and selling and administrative expenses depending on where the relevant employees compensation costs are recorded, and we present other components of net periodic benefit cost (gain) within other expense, net on the Condensed Consolidated Statements of Income.</w:t>
      </w:r>
    </w:p>
    <w:p>
      <w:pPr>
        <w:spacing w:after="0" w:line="181" w:lineRule="exact"/>
        <w:rPr>
          <w:sz w:val="20"/>
          <w:szCs w:val="20"/>
          <w:color w:val="auto"/>
        </w:rPr>
      </w:pPr>
    </w:p>
    <w:p>
      <w:pPr>
        <w:ind w:left="512" w:right="20"/>
        <w:spacing w:after="0" w:line="277"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200" w:lineRule="exact"/>
        <w:rPr>
          <w:sz w:val="20"/>
          <w:szCs w:val="20"/>
          <w:color w:val="auto"/>
        </w:rPr>
      </w:pPr>
    </w:p>
    <w:p>
      <w:pPr>
        <w:spacing w:after="0" w:line="259"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vMerge w:val="continue"/>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Service cost</w:t>
            </w:r>
          </w:p>
        </w:tc>
        <w:tc>
          <w:tcPr>
            <w:tcW w:w="2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2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periodic benefit cost (gain)</w:t>
            </w:r>
          </w:p>
        </w:tc>
        <w:tc>
          <w:tcPr>
            <w:tcW w:w="23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Health care plan:</w:t>
            </w:r>
          </w:p>
        </w:tc>
        <w:tc>
          <w:tcPr>
            <w:tcW w:w="2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Interest cost</w:t>
            </w:r>
          </w:p>
        </w:tc>
        <w:tc>
          <w:tcPr>
            <w:tcW w:w="2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loss</w:t>
            </w:r>
          </w:p>
        </w:tc>
        <w:tc>
          <w:tcPr>
            <w:tcW w:w="2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3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512" w:right="240"/>
        <w:spacing w:after="0" w:line="259" w:lineRule="auto"/>
        <w:rPr>
          <w:sz w:val="20"/>
          <w:szCs w:val="20"/>
          <w:color w:val="auto"/>
        </w:rPr>
      </w:pPr>
      <w:r>
        <w:rPr>
          <w:rFonts w:ascii="Arial" w:cs="Arial" w:eastAsia="Arial" w:hAnsi="Arial"/>
          <w:sz w:val="18"/>
          <w:szCs w:val="18"/>
          <w:color w:val="auto"/>
        </w:rPr>
        <w:t>We made contributions to our defined benefit plans during the three-months ended March 31, 2019 and 2018 totaling $0.1 million and $0.2 million, respectively. We anticipate $0.4 million and $24,000 of further contributions to fund the pension plan and the retiree health care plan, respectively, during the remainder of 2019. The unfunded liability of the plans of $8.8 million as of March 31, 2019 and December 31, 2018 is included in Other liabilities on our Condensed Consolidated Balance Sheets.</w:t>
      </w:r>
    </w:p>
    <w:p>
      <w:pPr>
        <w:spacing w:after="0" w:line="377" w:lineRule="exact"/>
        <w:rPr>
          <w:sz w:val="20"/>
          <w:szCs w:val="20"/>
          <w:color w:val="auto"/>
        </w:rPr>
      </w:pPr>
    </w:p>
    <w:p>
      <w:pPr>
        <w:ind w:left="512" w:hanging="512"/>
        <w:spacing w:after="0"/>
        <w:tabs>
          <w:tab w:leader="none" w:pos="51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20" w:lineRule="exact"/>
        <w:rPr>
          <w:rFonts w:ascii="Arial" w:cs="Arial" w:eastAsia="Arial" w:hAnsi="Arial"/>
          <w:sz w:val="16"/>
          <w:szCs w:val="16"/>
          <w:b w:val="1"/>
          <w:bCs w:val="1"/>
          <w:color w:val="auto"/>
        </w:rPr>
      </w:pPr>
    </w:p>
    <w:p>
      <w:pPr>
        <w:ind w:left="512" w:right="1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Our leasing activity is primarily related to buildings used for manufacturing, warehousing, sales, and administrative activities. We determine if an arrangement is a lease at inception.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spacing w:after="0" w:line="164" w:lineRule="exact"/>
        <w:rPr>
          <w:rFonts w:ascii="Arial" w:cs="Arial" w:eastAsia="Arial" w:hAnsi="Arial"/>
          <w:sz w:val="16"/>
          <w:szCs w:val="16"/>
          <w:b w:val="1"/>
          <w:bCs w:val="1"/>
          <w:color w:val="auto"/>
        </w:rPr>
      </w:pPr>
    </w:p>
    <w:p>
      <w:pPr>
        <w:ind w:left="512"/>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ASU 2016-02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we consider, among other factors, interest rates on our existing credit facilities, risk-free rates, the types of assets being leased, and the term of the leases.</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3360" w:type="dxa"/>
            <w:vAlign w:val="bottom"/>
            <w:gridSpan w:val="6"/>
          </w:tcPr>
          <w:p>
            <w:pPr>
              <w:jc w:val="right"/>
              <w:ind w:right="990"/>
              <w:spacing w:after="0"/>
              <w:rPr>
                <w:sz w:val="20"/>
                <w:szCs w:val="20"/>
                <w:color w:val="auto"/>
              </w:rPr>
            </w:pPr>
            <w:r>
              <w:rPr>
                <w:rFonts w:ascii="Arial" w:cs="Arial" w:eastAsia="Arial" w:hAnsi="Arial"/>
                <w:sz w:val="14"/>
                <w:szCs w:val="14"/>
                <w:b w:val="1"/>
                <w:bCs w:val="1"/>
                <w:color w:val="auto"/>
                <w:w w:val="96"/>
              </w:rPr>
              <w:t>For the Three Months Ended March</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6040" w:type="dxa"/>
            <w:vAlign w:val="bottom"/>
            <w:vMerge w:val="continue"/>
          </w:tcPr>
          <w:p>
            <w:pPr>
              <w:spacing w:after="0"/>
              <w:rPr>
                <w:sz w:val="14"/>
                <w:szCs w:val="14"/>
                <w:color w:val="auto"/>
              </w:rPr>
            </w:pPr>
          </w:p>
        </w:tc>
        <w:tc>
          <w:tcPr>
            <w:tcW w:w="15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31, 2019</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lease cost (a)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Amortization of right-of-use assets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on lease liability</w:t>
            </w:r>
          </w:p>
        </w:tc>
        <w:tc>
          <w:tcPr>
            <w:tcW w:w="7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finance lease cost</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FF0FC"/>
            </w:tcBorders>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right w:val="single" w:sz="8" w:color="CFF0FC"/>
            </w:tcBorders>
          </w:tcPr>
          <w:p>
            <w:pPr>
              <w:spacing w:after="0"/>
              <w:rPr>
                <w:sz w:val="19"/>
                <w:szCs w:val="19"/>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740" w:type="dxa"/>
            <w:vAlign w:val="bottom"/>
            <w:tcBorders>
              <w:bottom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(a) includes variable lease costs which are immaterial</w:t>
            </w: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ind w:left="76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740" w:type="dxa"/>
            <w:vAlign w:val="bottom"/>
          </w:tcPr>
          <w:p>
            <w:pPr>
              <w:spacing w:after="0"/>
              <w:rPr>
                <w:sz w:val="24"/>
                <w:szCs w:val="24"/>
                <w:color w:val="auto"/>
              </w:rPr>
            </w:pPr>
          </w:p>
        </w:tc>
        <w:tc>
          <w:tcPr>
            <w:tcW w:w="2620" w:type="dxa"/>
            <w:vAlign w:val="bottom"/>
            <w:gridSpan w:val="5"/>
            <w:vMerge w:val="restart"/>
          </w:tcPr>
          <w:p>
            <w:pPr>
              <w:jc w:val="right"/>
              <w:ind w:right="1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74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60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8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2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40" w:type="dxa"/>
            <w:vAlign w:val="bottom"/>
            <w:tcBorders>
              <w:top w:val="single" w:sz="8" w:color="CFF0FC"/>
              <w:bottom w:val="single" w:sz="8" w:color="CFF0FC"/>
            </w:tcBorders>
            <w:vMerge w:val="restart"/>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60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20" w:type="dxa"/>
            <w:vAlign w:val="bottom"/>
            <w:tcBorders>
              <w:right w:val="single" w:sz="8" w:color="CFF0FC"/>
            </w:tcBorders>
          </w:tcPr>
          <w:p>
            <w:pPr>
              <w:spacing w:after="0"/>
              <w:rPr>
                <w:sz w:val="18"/>
                <w:szCs w:val="18"/>
                <w:color w:val="auto"/>
              </w:rPr>
            </w:pPr>
          </w:p>
        </w:tc>
        <w:tc>
          <w:tcPr>
            <w:tcW w:w="60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Financing cash flows from finance leases</w:t>
            </w: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2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ind w:left="80"/>
              <w:spacing w:after="0"/>
              <w:rPr>
                <w:sz w:val="20"/>
                <w:szCs w:val="20"/>
                <w:color w:val="auto"/>
              </w:rPr>
            </w:pPr>
            <w:r>
              <w:rPr>
                <w:rFonts w:ascii="Arial" w:cs="Arial" w:eastAsia="Arial" w:hAnsi="Arial"/>
                <w:sz w:val="18"/>
                <w:szCs w:val="18"/>
                <w:color w:val="auto"/>
              </w:rPr>
              <w:t>Operating leases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8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02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CFF0FC"/>
            </w:tcBorders>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60" w:type="dxa"/>
            <w:vAlign w:val="bottom"/>
            <w:gridSpan w:val="2"/>
            <w:vMerge w:val="restart"/>
          </w:tcPr>
          <w:p>
            <w:pPr>
              <w:ind w:left="7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(table only 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gridSpan w:val="3"/>
          </w:tcPr>
          <w:p>
            <w:pPr>
              <w:jc w:val="right"/>
              <w:ind w:right="730"/>
              <w:spacing w:after="0"/>
              <w:rPr>
                <w:sz w:val="20"/>
                <w:szCs w:val="20"/>
                <w:color w:val="auto"/>
              </w:rPr>
            </w:pPr>
            <w:r>
              <w:rPr>
                <w:rFonts w:ascii="Arial" w:cs="Arial" w:eastAsia="Arial" w:hAnsi="Arial"/>
                <w:sz w:val="14"/>
                <w:szCs w:val="14"/>
                <w:b w:val="1"/>
                <w:bCs w:val="1"/>
                <w:color w:val="auto"/>
              </w:rPr>
              <w:t>March 31, 2019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from operating leases</w:t>
            </w:r>
          </w:p>
        </w:tc>
        <w:tc>
          <w:tcPr>
            <w:tcW w:w="1500" w:type="dxa"/>
            <w:vAlign w:val="bottom"/>
            <w:gridSpan w:val="3"/>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13,260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gridSpan w:val="3"/>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Operating lease liabilities</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10,822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gridSpan w:val="2"/>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gridSpan w:val="3"/>
          </w:tcPr>
          <w:p>
            <w:pPr>
              <w:jc w:val="right"/>
              <w:ind w:right="505"/>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3,462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gridSpan w:val="3"/>
          </w:tcPr>
          <w:p>
            <w:pPr>
              <w:jc w:val="right"/>
              <w:ind w:right="505"/>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7,731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840" w:type="dxa"/>
            <w:vAlign w:val="bottom"/>
            <w:gridSpan w:val="2"/>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8,218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 years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Finance leases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 years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CFF0FC"/>
            </w:tcBorders>
          </w:tcPr>
          <w:p>
            <w:pPr>
              <w:spacing w:after="0"/>
              <w:rPr>
                <w:sz w:val="19"/>
                <w:szCs w:val="19"/>
                <w:color w:val="auto"/>
              </w:rPr>
            </w:pPr>
          </w:p>
        </w:tc>
        <w:tc>
          <w:tcPr>
            <w:tcW w:w="6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060" w:type="dxa"/>
            <w:vAlign w:val="bottom"/>
            <w:gridSpan w:val="2"/>
          </w:tcPr>
          <w:p>
            <w:pPr>
              <w:jc w:val="right"/>
              <w:ind w:right="1171"/>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p>
      <w:pPr>
        <w:ind w:left="752"/>
        <w:spacing w:after="0"/>
        <w:rPr>
          <w:sz w:val="20"/>
          <w:szCs w:val="20"/>
          <w:color w:val="auto"/>
        </w:rPr>
      </w:pPr>
      <w:r>
        <w:rPr>
          <w:rFonts w:ascii="Arial" w:cs="Arial" w:eastAsia="Arial" w:hAnsi="Arial"/>
          <w:sz w:val="18"/>
          <w:szCs w:val="18"/>
          <w:color w:val="auto"/>
        </w:rPr>
        <w:t>As of March 31, 2019, maturities of lease liabilities were as follows:</w:t>
      </w:r>
    </w:p>
    <w:p>
      <w:pPr>
        <w:spacing w:after="0" w:line="235" w:lineRule="exact"/>
        <w:rPr>
          <w:sz w:val="20"/>
          <w:szCs w:val="20"/>
          <w:color w:val="auto"/>
        </w:rPr>
      </w:pPr>
    </w:p>
    <w:tbl>
      <w:tblPr>
        <w:tblLayout w:type="fixed"/>
        <w:tblInd w:w="932"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(table only in thousands)</w:t>
            </w:r>
          </w:p>
        </w:tc>
        <w:tc>
          <w:tcPr>
            <w:tcW w:w="300" w:type="dxa"/>
            <w:vAlign w:val="bottom"/>
          </w:tcPr>
          <w:p>
            <w:pPr>
              <w:spacing w:after="0"/>
              <w:rPr>
                <w:sz w:val="20"/>
                <w:szCs w:val="20"/>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tcPr>
          <w:p>
            <w:pPr>
              <w:spacing w:after="0"/>
              <w:rPr>
                <w:sz w:val="20"/>
                <w:szCs w:val="20"/>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26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15,915</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(2,641)</w:t>
            </w:r>
          </w:p>
        </w:tc>
        <w:tc>
          <w:tcPr>
            <w:tcW w:w="3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(2,346)</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Lease liability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13,274</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52" w:right="20"/>
        <w:spacing w:after="0" w:line="308" w:lineRule="auto"/>
        <w:rPr>
          <w:sz w:val="20"/>
          <w:szCs w:val="20"/>
          <w:color w:val="auto"/>
        </w:rPr>
      </w:pPr>
      <w:r>
        <w:rPr>
          <w:rFonts w:ascii="Arial" w:cs="Arial" w:eastAsia="Arial" w:hAnsi="Arial"/>
          <w:sz w:val="17"/>
          <w:szCs w:val="17"/>
          <w:color w:val="auto"/>
        </w:rPr>
        <w:t>As previously disclosed in our 2018 Annual Report on Form 10-K and under previous lease accounting standards, future minimum lease payments for operating leases having initial or remaining noncancellable lease terms in excess of one year would have been as follows:</w:t>
      </w:r>
    </w:p>
    <w:p>
      <w:pPr>
        <w:spacing w:after="0" w:line="156" w:lineRule="exact"/>
        <w:rPr>
          <w:sz w:val="20"/>
          <w:szCs w:val="20"/>
          <w:color w:val="auto"/>
        </w:rPr>
      </w:pPr>
    </w:p>
    <w:tbl>
      <w:tblPr>
        <w:tblLayout w:type="fixed"/>
        <w:tblInd w:w="952"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(table only in thousands)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12"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2014 forward remain open for examination by Federal authorities. Tax years from 2013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March 31, 2019 and December 31, 2018, the liability for uncertain tax positions totaled approximately $1.0 million and $0.9 million, respectively,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86" w:lineRule="exact"/>
        <w:rPr>
          <w:rFonts w:ascii="Arial" w:cs="Arial" w:eastAsia="Arial" w:hAnsi="Arial"/>
          <w:sz w:val="18"/>
          <w:szCs w:val="18"/>
          <w:b w:val="1"/>
          <w:bCs w:val="1"/>
          <w:color w:val="auto"/>
        </w:rPr>
      </w:pPr>
    </w:p>
    <w:p>
      <w:pPr>
        <w:ind w:left="512"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undistributed earnings of our foreign subsidiaries are not permanently reinvested. Since foreign earnings have already been subject to U.S. income tax in 2017 as a result of the 2017 Tax Cuts and Jobs Act (the “Tax Act”), we intend to repatriate foreign-held cash as needed. As of March 31, 2019 and December 31, 2018, we have recorded deferred income taxes of approximately $0.6 million on the undistributed earnings of our foreign subsidiaries. This amount is attributable primarily to the foreign withholding taxes that would become payable should we decide to repatriate cash held in our foreign operations.</w:t>
      </w:r>
    </w:p>
    <w:p>
      <w:pPr>
        <w:spacing w:after="0" w:line="201" w:lineRule="exact"/>
        <w:rPr>
          <w:rFonts w:ascii="Arial" w:cs="Arial" w:eastAsia="Arial" w:hAnsi="Arial"/>
          <w:sz w:val="18"/>
          <w:szCs w:val="18"/>
          <w:b w:val="1"/>
          <w:bCs w:val="1"/>
          <w:color w:val="auto"/>
        </w:rPr>
      </w:pPr>
    </w:p>
    <w:p>
      <w:pPr>
        <w:ind w:left="51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Income tax expense was $0.8 million for the first quarter of 2019, compared with income tax expense of $4.1 million for the first quarter of 2018. The effective income tax rate for the first quarter of 2019 was 31.1%, compared with 41.6% for first quarter of 2018. The effective income tax rate for the first quarter of 2019 is higher than the U.S. federal statutory rate of 21% due to state income taxes and unrecognized tax losses in certain foreign jurisdictions. The comparable period effective tax rate was higher than the U.S. federal statutory rate most significantly due to a permanent book-tax difference related to the accounting treatment of goodwill on 2018 divestitures.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200" w:lineRule="exact"/>
        <w:rPr>
          <w:sz w:val="20"/>
          <w:szCs w:val="20"/>
          <w:color w:val="auto"/>
        </w:rPr>
      </w:pPr>
    </w:p>
    <w:p>
      <w:pPr>
        <w:spacing w:after="0" w:line="37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15" w:name="page16"/>
    <w:bookmarkEnd w:id="15"/>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March 31, 2019 and December 31, 2018, due to their short-term nature or variable, market-driven interest rates.</w:t>
      </w:r>
    </w:p>
    <w:p>
      <w:pPr>
        <w:spacing w:after="0" w:line="181" w:lineRule="exact"/>
        <w:rPr>
          <w:rFonts w:ascii="Arial" w:cs="Arial" w:eastAsia="Arial" w:hAnsi="Arial"/>
          <w:sz w:val="18"/>
          <w:szCs w:val="18"/>
          <w:b w:val="1"/>
          <w:bCs w:val="1"/>
          <w:color w:val="auto"/>
        </w:rPr>
      </w:pPr>
    </w:p>
    <w:p>
      <w:pPr>
        <w:ind w:left="51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$76.1 million at March 31, 2019 and December 31, 2018, respectively. The fair value of the note payable was $1.7 million at December 31, 2018.</w:t>
      </w:r>
    </w:p>
    <w:p>
      <w:pPr>
        <w:spacing w:after="0" w:line="170" w:lineRule="exact"/>
        <w:rPr>
          <w:rFonts w:ascii="Arial" w:cs="Arial" w:eastAsia="Arial" w:hAnsi="Arial"/>
          <w:sz w:val="18"/>
          <w:szCs w:val="18"/>
          <w:b w:val="1"/>
          <w:bCs w:val="1"/>
          <w:color w:val="auto"/>
        </w:rPr>
      </w:pPr>
    </w:p>
    <w:p>
      <w:pPr>
        <w:ind w:left="51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terms of the Credit Facility, the Company entered into an interest rate swap on December 30, 2015 to hedge against interest rate exposure related to a portion of the outstanding debt indexed to LIBOR market rates. See Note 8 for further information regarding the interest rate swap.</w:t>
      </w:r>
    </w:p>
    <w:p>
      <w:pPr>
        <w:spacing w:after="0" w:line="181" w:lineRule="exact"/>
        <w:rPr>
          <w:rFonts w:ascii="Arial" w:cs="Arial" w:eastAsia="Arial" w:hAnsi="Arial"/>
          <w:sz w:val="18"/>
          <w:szCs w:val="18"/>
          <w:b w:val="1"/>
          <w:bCs w:val="1"/>
          <w:color w:val="auto"/>
        </w:rPr>
      </w:pPr>
    </w:p>
    <w:p>
      <w:pPr>
        <w:ind w:left="512"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March 31, 2019 and December 31, 2018, the Company had cash and cash equivalents of $28.2 million and $43.7 million, respectively, of which $25.4 million and $23.3 million, respectively, was held outside of the United States, principally in the Netherlands, United Kingdom, China, and Canada.</w:t>
      </w:r>
    </w:p>
    <w:p>
      <w:pPr>
        <w:spacing w:after="0" w:line="163" w:lineRule="exact"/>
        <w:rPr>
          <w:rFonts w:ascii="Arial" w:cs="Arial" w:eastAsia="Arial" w:hAnsi="Arial"/>
          <w:sz w:val="18"/>
          <w:szCs w:val="18"/>
          <w:b w:val="1"/>
          <w:bCs w:val="1"/>
          <w:color w:val="auto"/>
        </w:rPr>
      </w:pPr>
    </w:p>
    <w:p>
      <w:pPr>
        <w:ind w:left="512" w:right="7080" w:hanging="512"/>
        <w:spacing w:after="0" w:line="378" w:lineRule="auto"/>
        <w:tabs>
          <w:tab w:leader="none" w:pos="50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2019 for cases involving asbestos-related claims were $2.9 million, of which, together with all legal fees other than corporate counsel expenses, $2.8 million has been paid by the Company’s insurers. The average cost per settled claim, excluding legal fees, was approximately $35,000.</w:t>
      </w:r>
    </w:p>
    <w:p>
      <w:pPr>
        <w:spacing w:after="0" w:line="182"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191 cases pending against the Company as of March 31, 2019 (with Illinois, New York, Pennsylvania and West Virginia having the largest number of cases), as compared with 208 cases that were pending as of December 31, 2018. During the three-months ended March 31, 2019, nine new cases were filed against the Company, and the Company was dismissed from 21 cases and settled five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8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Summary</w:t>
      </w:r>
    </w:p>
    <w:p>
      <w:pPr>
        <w:spacing w:after="0" w:line="225" w:lineRule="exact"/>
        <w:rPr>
          <w:rFonts w:ascii="Arial" w:cs="Arial" w:eastAsia="Arial" w:hAnsi="Arial"/>
          <w:sz w:val="18"/>
          <w:szCs w:val="18"/>
          <w:b w:val="1"/>
          <w:bCs w:val="1"/>
          <w:color w:val="auto"/>
        </w:rPr>
      </w:pPr>
    </w:p>
    <w:p>
      <w:pPr>
        <w:ind w:left="51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6" w:lineRule="exact"/>
        <w:rPr>
          <w:rFonts w:ascii="Arial" w:cs="Arial" w:eastAsia="Arial" w:hAnsi="Arial"/>
          <w:sz w:val="18"/>
          <w:szCs w:val="18"/>
          <w:b w:val="1"/>
          <w:bCs w:val="1"/>
          <w:color w:val="auto"/>
        </w:rPr>
      </w:pPr>
    </w:p>
    <w:p>
      <w:pPr>
        <w:ind w:left="512"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16" w:name="page17"/>
    <w:bookmarkEnd w:id="16"/>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to the “Income (loss) from operations” line on the Consolidated Statements of Income.</w:t>
      </w:r>
    </w:p>
    <w:p>
      <w:pPr>
        <w:spacing w:after="0" w:line="73" w:lineRule="exact"/>
        <w:rPr>
          <w:rFonts w:ascii="Arial" w:cs="Arial" w:eastAsia="Arial" w:hAnsi="Arial"/>
          <w:sz w:val="18"/>
          <w:szCs w:val="18"/>
          <w:b w:val="1"/>
          <w:bCs w:val="1"/>
          <w:color w:val="auto"/>
        </w:rPr>
      </w:pPr>
    </w:p>
    <w:p>
      <w:pPr>
        <w:ind w:left="512"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During the first quarter of 2019, as a result of further evaluating the Company’s operating structure, management determined that a realignment of the Company’s segments with current customer solutions we provide and end markets we serve would help maximize growth and improve customer experience. As a result of this minor realignment, the operating results of the reportable segments Fluid Handling Solutions and Industrial Solutions have been reclassified to have their results align for the three-month periods ended March 31, 2019 and 2018.</w:t>
      </w:r>
    </w:p>
    <w:p>
      <w:pPr>
        <w:spacing w:after="0" w:line="6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rFonts w:ascii="Arial" w:cs="Arial" w:eastAsia="Arial" w:hAnsi="Arial"/>
          <w:sz w:val="18"/>
          <w:szCs w:val="18"/>
          <w:b w:val="1"/>
          <w:bCs w:val="1"/>
          <w:color w:val="auto"/>
        </w:rPr>
      </w:pPr>
    </w:p>
    <w:p>
      <w:pPr>
        <w:ind w:left="512"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Clean Energy with products and services that support our customers with efficient solutions and technologies to keep the world clean and safe. Our offerings improve air quality and solves fluid handling needs with market leading, highly engineered, and customized solutions for the power generation, oil &amp; gas, and petrochemical industries.</w:t>
      </w:r>
    </w:p>
    <w:p>
      <w:pPr>
        <w:spacing w:after="0" w:line="180" w:lineRule="exact"/>
        <w:rPr>
          <w:rFonts w:ascii="Arial" w:cs="Arial" w:eastAsia="Arial" w:hAnsi="Arial"/>
          <w:sz w:val="18"/>
          <w:szCs w:val="18"/>
          <w:b w:val="1"/>
          <w:bCs w:val="1"/>
          <w:color w:val="auto"/>
        </w:rPr>
      </w:pPr>
    </w:p>
    <w:p>
      <w:pPr>
        <w:ind w:left="512" w:right="2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Industrial Solutions segment: </w:t>
      </w:r>
      <w:r>
        <w:rPr>
          <w:rFonts w:ascii="Arial" w:cs="Arial" w:eastAsia="Arial" w:hAnsi="Arial"/>
          <w:sz w:val="16"/>
          <w:szCs w:val="16"/>
          <w:color w:val="auto"/>
        </w:rPr>
        <w:t>Our Industrial Solutions segment serves the Industrial Pollution Control market where our aim is to address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need to protect the air we breathe and help our customers’ desires for sustainability upgrades beyond 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w:t>
      </w:r>
    </w:p>
    <w:p>
      <w:pPr>
        <w:spacing w:after="0" w:line="178" w:lineRule="exact"/>
        <w:rPr>
          <w:rFonts w:ascii="Arial" w:cs="Arial" w:eastAsia="Arial" w:hAnsi="Arial"/>
          <w:sz w:val="18"/>
          <w:szCs w:val="18"/>
          <w:b w:val="1"/>
          <w:bCs w:val="1"/>
          <w:color w:val="auto"/>
        </w:rPr>
      </w:pPr>
    </w:p>
    <w:p>
      <w:pPr>
        <w:ind w:left="512"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 clean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in some of the most harsh and toxic environments. In this market, we provide solutions for mission-critical applications to a wide variety of industries including, but not limited to, plating and metal finishing, food and beverage, chemical, petrochemical, pharmaceutical, wastewater treatment, desalination and the aquarium &amp; aquaculture markets.</w:t>
      </w:r>
    </w:p>
    <w:p>
      <w:pPr>
        <w:spacing w:after="0" w:line="278"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financial segment information is presented in the following tables:</w:t>
      </w:r>
    </w:p>
    <w:p>
      <w:pPr>
        <w:spacing w:after="0" w:line="298"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vMerge w:val="continue"/>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55,188</w:t>
            </w:r>
          </w:p>
        </w:tc>
        <w:tc>
          <w:tcPr>
            <w:tcW w:w="24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b w:val="1"/>
                <w:bCs w:val="1"/>
                <w:color w:val="auto"/>
              </w:rPr>
              <w:t>Net sales</w:t>
            </w:r>
          </w:p>
        </w:tc>
        <w:tc>
          <w:tcPr>
            <w:tcW w:w="19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adjustment for revenue on intercompany jobs.</w:t>
      </w:r>
    </w:p>
    <w:p>
      <w:pPr>
        <w:spacing w:after="0" w:line="298"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vMerge w:val="continue"/>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9,291</w:t>
            </w:r>
          </w:p>
        </w:tc>
        <w:tc>
          <w:tcPr>
            <w:tcW w:w="14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Eliminations</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12" w:right="300" w:hanging="512"/>
        <w:spacing w:after="0" w:line="264" w:lineRule="auto"/>
        <w:tabs>
          <w:tab w:leader="none" w:pos="512"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gain (loss) on divestitures, net of selling costs (see Note 17 – Divestitures), corporate compensation, professional services, information technology, and other general and administrative corporate expenses. This figure excludes earnout expenses, which are recorded in the segment in which the expense occurs.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24" w:right="27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21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0"/>
                <w:szCs w:val="20"/>
                <w:color w:val="auto"/>
              </w:rPr>
            </w:pPr>
            <w:r>
              <w:rPr>
                <w:rFonts w:ascii="Arial" w:cs="Arial" w:eastAsia="Arial" w:hAnsi="Arial"/>
                <w:sz w:val="14"/>
                <w:szCs w:val="14"/>
                <w:color w:val="auto"/>
              </w:rPr>
              <w:t>(dollars in thousands)</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2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261,164</w:t>
            </w:r>
          </w:p>
        </w:tc>
        <w:tc>
          <w:tcPr>
            <w:tcW w:w="24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(3)</w:t>
            </w:r>
          </w:p>
        </w:tc>
        <w:tc>
          <w:tcPr>
            <w:tcW w:w="2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500"/>
              <w:spacing w:after="0"/>
              <w:rPr>
                <w:sz w:val="20"/>
                <w:szCs w:val="20"/>
                <w:color w:val="auto"/>
              </w:rPr>
            </w:pPr>
            <w:r>
              <w:rPr>
                <w:rFonts w:ascii="Arial" w:cs="Arial" w:eastAsia="Arial" w:hAnsi="Arial"/>
                <w:sz w:val="18"/>
                <w:szCs w:val="18"/>
                <w:color w:val="auto"/>
              </w:rPr>
              <w:t>Identifiable assets</w:t>
            </w:r>
          </w:p>
        </w:tc>
        <w:tc>
          <w:tcPr>
            <w:tcW w:w="24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396,669</w:t>
            </w:r>
          </w:p>
        </w:tc>
        <w:tc>
          <w:tcPr>
            <w:tcW w:w="2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214"/>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97,053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97,143</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2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152,066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4"/>
                <w:szCs w:val="14"/>
                <w:b w:val="1"/>
                <w:bCs w:val="1"/>
                <w:color w:val="auto"/>
                <w:w w:val="94"/>
              </w:rPr>
              <w:t>Three Months Ended March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Intra-</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200"/>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9"/>
              </w:rPr>
              <w:t>Net Sales to</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7"/>
              </w:rPr>
              <w:t>Corp</w:t>
            </w:r>
          </w:p>
        </w:tc>
        <w:tc>
          <w:tcPr>
            <w:tcW w:w="100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Segment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Industrial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Outside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w w:val="92"/>
              </w:rPr>
              <w:t>Sales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Sales</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Customers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55,188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11,970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Pr>
          <w:p>
            <w:pPr>
              <w:ind w:left="500"/>
              <w:spacing w:after="0"/>
              <w:rPr>
                <w:sz w:val="20"/>
                <w:szCs w:val="20"/>
                <w:color w:val="auto"/>
              </w:rPr>
            </w:pPr>
            <w:r>
              <w:rPr>
                <w:rFonts w:ascii="Arial" w:cs="Arial" w:eastAsia="Arial" w:hAnsi="Arial"/>
                <w:sz w:val="18"/>
                <w:szCs w:val="18"/>
                <w:b w:val="1"/>
                <w:bCs w:val="1"/>
                <w:color w:val="auto"/>
              </w:rPr>
              <w:t>Net Sales</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90,388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29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8" w:name="page19"/>
    <w:bookmarkEnd w:id="18"/>
    <w:tbl>
      <w:tblPr>
        <w:tblLayout w:type="fixed"/>
        <w:tblInd w:w="572"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9"/>
              </w:rPr>
              <w:t>Three Months Ended March 31, 2018</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Intra-</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ind w:left="60"/>
              <w:spacing w:after="0" w:line="155" w:lineRule="exact"/>
              <w:rPr>
                <w:sz w:val="20"/>
                <w:szCs w:val="20"/>
                <w:color w:val="auto"/>
              </w:rPr>
            </w:pPr>
            <w:r>
              <w:rPr>
                <w:rFonts w:ascii="Arial" w:cs="Arial" w:eastAsia="Arial" w:hAnsi="Arial"/>
                <w:sz w:val="14"/>
                <w:szCs w:val="14"/>
                <w:b w:val="1"/>
                <w:bCs w:val="1"/>
                <w:color w:val="auto"/>
                <w:w w:val="92"/>
              </w:rPr>
              <w:t>Less Inter-Segment Sales</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Sales to</w:t>
            </w: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Corp</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Segment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Industrial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Fluid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Sales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Sales</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19,379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16,115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b w:val="1"/>
                <w:bCs w:val="1"/>
                <w:color w:val="auto"/>
              </w:rPr>
              <w:t>Net Sales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78,622</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12" w:hanging="512"/>
        <w:spacing w:after="0"/>
        <w:tabs>
          <w:tab w:leader="none" w:pos="5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1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3" w:lineRule="exact"/>
        <w:rPr>
          <w:rFonts w:ascii="Arial" w:cs="Arial" w:eastAsia="Arial" w:hAnsi="Arial"/>
          <w:sz w:val="18"/>
          <w:szCs w:val="18"/>
          <w:b w:val="1"/>
          <w:bCs w:val="1"/>
          <w:color w:val="auto"/>
        </w:rPr>
      </w:pPr>
    </w:p>
    <w:p>
      <w:pPr>
        <w:ind w:left="51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an estimated gain of $6.9 million recorded in the first quarter of 2018, comprised of $27.9 million of net proceeds received as consideration after estimated post-closing purchase price adjustments less net assets disposed of $18.8 million and transaction costs of $2.2 million. The net assets disposed were primarily comprised of $13.0 million of goodwill, $2.3 million of definite-lived intangible assets and $1.2 million of indefinite-lived intangible assets allocated to the Strobic business. In the first quarter of 2018, Strobic reported $4.2 million in net sales and $1.1 million in income from operations. Strobic results through the date of disposition are included within income before income taxes in the Condensed Consolidated Statement of Income and are reported within the Fluid Handling Solutions segment. The sale of Strobic did not constitute a significant strategic shift that will have a material impact on the Company’s ongoing operations and financial results.</w:t>
      </w:r>
    </w:p>
    <w:p>
      <w:pPr>
        <w:spacing w:after="0" w:line="17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Keystone Filter</w:t>
      </w:r>
    </w:p>
    <w:p>
      <w:pPr>
        <w:spacing w:after="0" w:line="23" w:lineRule="exact"/>
        <w:rPr>
          <w:rFonts w:ascii="Arial" w:cs="Arial" w:eastAsia="Arial" w:hAnsi="Arial"/>
          <w:sz w:val="18"/>
          <w:szCs w:val="18"/>
          <w:b w:val="1"/>
          <w:bCs w:val="1"/>
          <w:color w:val="auto"/>
        </w:rPr>
      </w:pPr>
    </w:p>
    <w:p>
      <w:pPr>
        <w:ind w:left="512"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an estimated gain of $4.3 million recorded in the first quarter of 2018, comprised of $7.2 million of net proceeds received as consideration after estimated post-closing purchase price adjustments less net assets disposed of $2.7 million and transaction costs of $0.2 million. Keystone results are reported within the Fluid Handling Solutions segment through the date of disposition.</w:t>
      </w:r>
    </w:p>
    <w:p>
      <w:pPr>
        <w:spacing w:after="0" w:line="194"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Zhongli</w:t>
      </w:r>
    </w:p>
    <w:p>
      <w:pPr>
        <w:spacing w:after="0" w:line="23" w:lineRule="exact"/>
        <w:rPr>
          <w:rFonts w:ascii="Arial" w:cs="Arial" w:eastAsia="Arial" w:hAnsi="Arial"/>
          <w:sz w:val="18"/>
          <w:szCs w:val="18"/>
          <w:b w:val="1"/>
          <w:bCs w:val="1"/>
          <w:color w:val="auto"/>
        </w:rPr>
      </w:pPr>
    </w:p>
    <w:p>
      <w:pPr>
        <w:ind w:left="512"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November 27, 2018, the Company completed the sale of Jiangyin Zhongli Industrial Technology Co. Ltd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 estimated selling price, less cost to sell to our carrying value in Zhongli. Based on this analysis, we recorded a $15.1 million estimated loss. The disposal of this business does not constitute a significant strategic shift that will have a material impact on the Company’s ongoing operations and financial results. In the first quarter of 2018, Zhongli reported net sales of $1.7 million. Zhongli results are reported within the Energy Solutions segment through the date of disposition.</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14" w:right="239" w:bottom="1440" w:gutter="0" w:footer="0" w:header="0"/>
        </w:sectPr>
      </w:pPr>
    </w:p>
    <w:bookmarkStart w:id="19" w:name="page20"/>
    <w:bookmarkEnd w:id="19"/>
    <w:p>
      <w:pPr>
        <w:jc w:val="center"/>
        <w:ind w:right="20"/>
        <w:spacing w:after="0" w:line="264"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Condensed Consolidated Statements of Income for the three-month periods ended March 31, 2019 and 2018 reflect the consolidated operations of the Company and its subsidiaries.</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chemical and petrochemical processing, along with a wide range of other industries.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three-month periods ended March 31, 2019 and 2018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3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3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33.0%</w:t>
            </w:r>
          </w:p>
        </w:tc>
        <w:tc>
          <w:tcPr>
            <w:tcW w:w="3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3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24.7%</w:t>
            </w:r>
          </w:p>
        </w:tc>
        <w:tc>
          <w:tcPr>
            <w:tcW w:w="3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3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3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3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3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margin</w:t>
            </w:r>
          </w:p>
        </w:tc>
        <w:tc>
          <w:tcPr>
            <w:tcW w:w="3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i w:val="1"/>
                <w:iCs w:val="1"/>
                <w:color w:val="auto"/>
              </w:rPr>
              <w:t>5.7%</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3260" w:type="dxa"/>
            <w:vAlign w:val="bottom"/>
          </w:tcPr>
          <w:p>
            <w:pPr>
              <w:jc w:val="right"/>
              <w:ind w:right="187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ind w:right="100"/>
        <w:spacing w:after="0" w:line="276" w:lineRule="auto"/>
        <w:rPr>
          <w:sz w:val="20"/>
          <w:szCs w:val="20"/>
          <w:color w:val="auto"/>
        </w:rPr>
      </w:pPr>
      <w:r>
        <w:rPr>
          <w:rFonts w:ascii="Arial" w:cs="Arial" w:eastAsia="Arial" w:hAnsi="Arial"/>
          <w:sz w:val="17"/>
          <w:szCs w:val="17"/>
          <w:color w:val="auto"/>
        </w:rPr>
        <w:t>To compare operating performance between the three-month periods ended March 31, 2019 and 2018, the Company has adjusted GAAP operating income to exclude (1) loss (gain) on divestitures, net of selling costs necessary to complete the divestiture such as legal, accounting and compliance, (2) amortization and contingent acquisition expenses, including amortization of acquisition related intangibles, retention, severance, and earnout expenses, and (3) restructuring expenses. See “Note Regarding Use of Non-GAAP Financial Measures” above. The following table presents the reconciliation of GAAP operating income and GAAP operating margin to non-GAAP operating income and non-GAAP operating margin: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FF0FC"/>
            </w:tcBorders>
            <w:vMerge w:val="continue"/>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5.7%</w:t>
            </w:r>
          </w:p>
        </w:tc>
        <w:tc>
          <w:tcPr>
            <w:tcW w:w="3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16.5%</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Arial" w:cs="Arial" w:eastAsia="Arial" w:hAnsi="Arial"/>
                <w:sz w:val="18"/>
                <w:szCs w:val="18"/>
                <w:color w:val="auto"/>
              </w:rPr>
              <w:t>Loss (gain) on divestitures, net of selling costs</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84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1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i w:val="1"/>
                <w:iCs w:val="1"/>
                <w:color w:val="auto"/>
              </w:rPr>
              <w:t>8.4%</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2018, we divested three non-core businesses; Keystone filter brand (“Keystone”) and Strobic Air Corporation (“Strobic”) in the first quarter and Jiangyin Zhongli Industrial Technology Co. Ltd. (“Zhongli”) in the fourth quarter (collectively, the “Divestitures”). The exclusion of the operating results of the Divestitures subsequent to their disposition impacts the comparability of our consolidated and segment operating results.</w:t>
      </w:r>
    </w:p>
    <w:p>
      <w:pPr>
        <w:spacing w:after="0" w:line="23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Consolidated sales for the first quarter of 2019 increased $11.9 million, or 16.0%, to $86.0 million compared with $74.1 million in the first quarter of 2018. The increase is primarily attributable to volume growth, period over period, for the Company’s refinery-related products and midstream oil &amp; gas markets, partially offset by the impact of Divestitures. Excluding the impact of Divestitures, sales increased $18.4 million, or 27.2%.</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increased $2.8 million, or 10.9%, to $28.4 million in the first quarter of 2019 compared with $25.6 million in the same period of 2018. The increase in gross profit is primarily attributable to sales volume increases period over period. Gross profit as a percentage of sales decreased to 33.0% in the first quarter of 2019 compared with 34.5% in the first quarter of 2018.</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Orders booked were $97.3 million during the first quarter of 2019 as compared with $95.0 million during the first quarter of 2018. The increase is primarily attributable to increased orders for scrubbers, period over period, partially offset by a reduction in orders for refinery-related products and the impact of Divestitures. Excluding the impact of the Divestitures, bookings increased $7.0 million.</w:t>
      </w:r>
    </w:p>
    <w:p>
      <w:pPr>
        <w:spacing w:after="0" w:line="1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Selling and administrative expenses were $21.2 million for the first quarter of 2019 compared with $21.6 million for the first quarter of 2018. Selling and administrative expenses decreased as a percentage of sales to 24.7% in the first quarter of 2019 compared with 29.1% in the first quarter of 2018. The decrease in selling and administrative expenses as a percentage of sales is primarily attributable to the increase in sales.</w:t>
      </w:r>
    </w:p>
    <w:p>
      <w:pPr>
        <w:spacing w:after="0" w:line="166"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Amortization and earnout expense was $2.2 million for the first quarter of 2019 compared with $2.9 million for the first quarter of 2018. The decrease in expense is primarily attributable to a $0.3 million decrease in earn-out expense and a $0.4 million decrease in definite-lived intangible asset amortization.</w:t>
      </w:r>
    </w:p>
    <w:p>
      <w:pPr>
        <w:spacing w:after="0" w:line="12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Operating income decreased $7.3 million to $4.9 million in the first quarter of 2019 compared with $12.2 million during the first quarter of 2018. The decrease is due to the gain on divestures, net of selling costs of $11.2 million in the first quarter of 2018, offset by the factors described above.</w:t>
      </w:r>
    </w:p>
    <w:p>
      <w:pPr>
        <w:spacing w:after="0" w:line="12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Non-GAAP operating income was $7.2 million for the first quarter of 2019 compared with $4.0 million for the first quarter of 2018. The increase in non-GAAP operating income is primarily attributable to higher sales, which led to an increase in gross profit. Non-GAAP operating income as a percentage of sales increased to 8.4% for the first quarter of 2019 from 5.4% for the first quarter of 2018.</w:t>
      </w:r>
    </w:p>
    <w:p>
      <w:pPr>
        <w:spacing w:after="0" w:line="181"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Interest expense decreased to $1.5 million in the first quarter of 2019 from $1.9 million for the first quarter of 2018. The decrease is due to a reduced debt balance in 2019 in comparison to 2018, resulting in lower interest expense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 w:name="page22"/>
    <w:bookmarkEnd w:id="21"/>
    <w:p>
      <w:pPr>
        <w:ind w:right="40"/>
        <w:spacing w:after="0" w:line="272" w:lineRule="auto"/>
        <w:rPr>
          <w:sz w:val="20"/>
          <w:szCs w:val="20"/>
          <w:color w:val="auto"/>
        </w:rPr>
      </w:pPr>
      <w:r>
        <w:rPr>
          <w:rFonts w:ascii="Arial" w:cs="Arial" w:eastAsia="Arial" w:hAnsi="Arial"/>
          <w:sz w:val="17"/>
          <w:szCs w:val="17"/>
          <w:color w:val="auto"/>
        </w:rPr>
        <w:t>Income tax expense was $0.8 million for the first quarter of 2019, compared with income tax expense of $4.1 million for the first quarter of 2018. The effective income tax rate for the first quarter of 2019 was 31.1%, compared with 41.6% for first quarter of 2018. The effective income tax rate for the first quarter of 2019 is higher than the U.S. federal statutory rate of 21% due to state income taxes and unrecognized tax losses in certain foreign jurisdictions. The comparable period effective tax rate was higher than the U.S. federal statutory rate most significantly due to a permanent book-tax difference related to the accounting treatment of goodwill on 2018 divestitures.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28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55,188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39,973</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18,448</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11,970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b w:val="1"/>
                <w:bCs w:val="1"/>
                <w:color w:val="auto"/>
              </w:rPr>
              <w:t>Net sales</w:t>
            </w:r>
          </w:p>
        </w:tc>
        <w:tc>
          <w:tcPr>
            <w:tcW w:w="2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86,011</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4"/>
          <w:szCs w:val="14"/>
          <w:color w:val="auto"/>
        </w:rPr>
        <w:t>Includes adjustment for revenue on intercompany jobs.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vMerge w:val="continue"/>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3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9,291</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Eliminations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20" w:right="880" w:hanging="512"/>
        <w:spacing w:after="0" w:line="238"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4"/>
          <w:szCs w:val="14"/>
          <w:color w:val="auto"/>
        </w:rPr>
        <w:t>Includes (loss) gain on divestitures, net of selling costs, corporate compensation, professional services, information technology and other general and administrative corporate expenses. This amount excludes earnout adjustments, which are recorded in the segment in which the adjustment occurs.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Energy Solutions segment net sales increased $15.2 million to $55.2 million in the first quarter of 2019 compared with $40.0 million in the same period of 2018. Excluding the divested division Zhongli, net sales increased $16.9 million in the first quarter 2019 from $38.3 million in the same period of 2018. The increase is due primarily to volume increases for the Company’s refinery related products and separation equipment serving the midstream oil &amp; gas markets.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for the Energy Solutions segment increased $5.7 million to $9.3 million in the first quarter of 2019 compared to income of $3.6 million in the same period of 2018. The increase is primarily attributable to increased sales in the first quarter of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Industrial Solutions segment net sales increased $0.5 million to $18.9 million in the first quarter of 2019 compared with $18.4 million in the first quarter of 2018. The increase is due primarily to volume increases for the Company’s modular duct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segment decreased $0.6 million to $0.6 million in the first quarter of 2019 compared with $1.2 million in the first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is primarily attributable to a $0.3 million decrease in gross profit due to product mix and a $0.3 million increase in operating expenses.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Fluid Handling Solutions segment net sales decreased $3.6 million to $12.0 million in the first quarter of 2019 compared with $15.6 million in the first quarter of 2018. The sales decrease was driven by $4.8 million of revenue from the 2018 divisions Keystone and Strobic recognized during the first quarter of 2018, which do not recur in the first quarter of 2019. Excluding the divested divisions, segment sales increased $1.2 million.</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income for the segment decreased $1.0 million to $2.4 million in the first quarter of 2019 compared with $3.4 million in the first quarter of 2018. The decrease is attributable to the decrease in sales and operating income of $1.2 million from the divestitures of Keystone and Strobic. Excluding the divested divisions, segment operating income increased by $0.2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Operating expense for the Corporate and Other segment was $7.4 million in the first quarter of 2019 compared with operating income of $4.5 million in the first quarter of 2018. The increase in operating expenses is primarily attributable to the recognition of an $11.2 million gain on the divestitures of Keystone and Strobic recorded in the first quarter of 2018, which did not recur in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Backlog (i.e., unfulfilled or remaining performance obligations) represents the sales we expect to recognize for our products and services for which control has not yet transferred to the customer. Our customers may have the right to cancel a given order, although historically cancellations have been rare. Our backlog as of March 31, 2019, was $193.8 million compared with $182.1 million as of December 31, 2018. Backlog is adjusted on a quarterly basis for adjustments in foreign currency exchange rates.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March 31, 2019, the Company had working capital of $61.0 million, compared with $57.0 million at December 31, 2018. The ratio of current assets to current liabilities was 1.59 to 1 on March 31, 2019, as compared with a ratio of 1.55 to 1 at December 31, 2018.</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March 31, 2019 and December 31, 2018, cash and cash equivalents totaled $28.2 million and $43.7 million, respectively. As of March 31, 2019 and December 31, 2018, $25.4 million and $23.3 million, respectively, of our cash and cash equivalents were held by certain non-U.S. subsidiaries, as well as being denominated in foreign currencies.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Debt consisted of the following at March 31, 2019 and December 31, 2018:</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Arial" w:cs="Arial" w:eastAsia="Arial" w:hAnsi="Arial"/>
                <w:sz w:val="14"/>
                <w:szCs w:val="14"/>
                <w:b w:val="1"/>
                <w:bCs w:val="1"/>
                <w:i w:val="1"/>
                <w:iCs w:val="1"/>
                <w:color w:val="auto"/>
              </w:rPr>
              <w:t>(Table only in thousands)</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2018</w:t>
            </w:r>
          </w:p>
        </w:tc>
      </w:tr>
      <w:tr>
        <w:trPr>
          <w:trHeight w:val="209"/>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Credit Facility (defined below).</w:t>
            </w:r>
          </w:p>
        </w:tc>
        <w:tc>
          <w:tcPr>
            <w:tcW w:w="1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loan balance due upon maturity in September 2020.</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00" w:type="dxa"/>
            <w:vAlign w:val="bottom"/>
          </w:tcPr>
          <w:p>
            <w:pPr>
              <w:ind w:left="240"/>
              <w:spacing w:after="0"/>
              <w:rPr>
                <w:sz w:val="20"/>
                <w:szCs w:val="20"/>
                <w:color w:val="auto"/>
              </w:rPr>
            </w:pPr>
            <w:r>
              <w:rPr>
                <w:rFonts w:ascii="Arial" w:cs="Arial" w:eastAsia="Arial" w:hAnsi="Arial"/>
                <w:sz w:val="18"/>
                <w:szCs w:val="18"/>
                <w:color w:val="auto"/>
              </w:rPr>
              <w:t>- Term loan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76,147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76,147</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U.S. Dollar revolving loans</w:t>
            </w: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40"/>
              <w:spacing w:after="0"/>
              <w:rPr>
                <w:sz w:val="20"/>
                <w:szCs w:val="20"/>
                <w:color w:val="auto"/>
              </w:rPr>
            </w:pPr>
            <w:r>
              <w:rPr>
                <w:rFonts w:ascii="Arial" w:cs="Arial" w:eastAsia="Arial" w:hAnsi="Arial"/>
                <w:sz w:val="18"/>
                <w:szCs w:val="18"/>
                <w:color w:val="auto"/>
              </w:rPr>
              <w:t>- Unamortized debt discount</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outstanding borrowings in the United States consist of senior secured term loan, senior secured U.S. dollar revolving loans with sub-facilities for letters of credit and swing-line loans and senior secured multi-currency revolving credit facility for U.S. dollar and specific foreign currency loans (collectively, the “Credit Facility”). As of March 31, 2019 and December 31, 2018, the Company was in compliance with all related financial and other restrictive covenants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condensed consolidated financial statements for further information on the Company’s debt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U.S. Dollar revolving loans</w:t>
            </w:r>
          </w:p>
        </w:tc>
        <w:tc>
          <w:tcPr>
            <w:tcW w:w="1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Draw down</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Letters of credit open</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Credit Facility, Multi-currency revolving facilities</w:t>
            </w:r>
          </w:p>
        </w:tc>
        <w:tc>
          <w:tcPr>
            <w:tcW w:w="1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unused credit availability</w:t>
            </w:r>
          </w:p>
        </w:tc>
        <w:tc>
          <w:tcPr>
            <w:tcW w:w="1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Amount available based on borrowing limitations</w:t>
            </w: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Cash Flows and Liquidity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2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30,338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(1,816)</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Effect of exchange rate changes on cash and cash equivalents</w:t>
            </w:r>
          </w:p>
        </w:tc>
        <w:tc>
          <w:tcPr>
            <w:tcW w:w="2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20" w:type="dxa"/>
            <w:vAlign w:val="bottom"/>
            <w:vMerge w:val="restart"/>
          </w:tcPr>
          <w:p>
            <w:pPr>
              <w:jc w:val="right"/>
              <w:ind w:right="1430"/>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three-months ended March 31, 2019, $13.7 million of cash was used in operating activities compared with $3.2 million provided by operating activities in the prior year period, a $16.9 million decrease. Net earnings adjusted for non-cash items decreased $12.8 million primarily due to a gain of $11.2 million on divestitures and the cash associated with which was recorded in investing activities (both occurred in the first quarter of 2018 but did not recur in 2019) and an increase of $1.2 million of deferred income tax expense. Cash flow from operating activities in the first quarter 2019 had a negative impact year-over-year primarily due to the increase in accounts receivable as reflected in the Condensed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three-months ended March 31, 2019, net cash used in investing activities was $0.4 million compared with net cash provided by investing activities of $30.3 million in the prior year period. In the first three-months of 2019, cash used in investing activities was primarily the result of cash used for the acquisitions of property and equipment totaling $0.4 million. In the prior year period, cash provided by investing activities was primarily the result of cash proceeds from divestitures totaling $30.7 million and cash used for the acquisitions of property and equipment totaling $0.5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three-months ended March 31, 2019, net cash used in financing activities was $1.8 million due principally to note payable repayments of $1.7 million. For the three-months ended March 31, 2018, net cash used in financing activities was $30.6 million due principally to net term loan repayments of $28.2 million and $2.3 million in net revolving credit line repayments term loan repayments.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believes there have been no changes during the three-month period ended March 31, 2019,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Quarterly Report on Form 10-Q are forward-looking.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2" w:right="259" w:bottom="1440" w:gutter="0" w:footer="0" w:header="0"/>
        </w:sectPr>
      </w:pPr>
    </w:p>
    <w:bookmarkStart w:id="25" w:name="page26"/>
    <w:bookmarkEnd w:id="25"/>
    <w:p>
      <w:pPr>
        <w:ind w:right="20"/>
        <w:spacing w:after="0" w:line="270" w:lineRule="auto"/>
        <w:rPr>
          <w:sz w:val="20"/>
          <w:szCs w:val="20"/>
          <w:color w:val="auto"/>
        </w:rPr>
      </w:pPr>
      <w:r>
        <w:rPr>
          <w:rFonts w:ascii="Arial" w:cs="Arial" w:eastAsia="Arial" w:hAnsi="Arial"/>
          <w:sz w:val="17"/>
          <w:szCs w:val="17"/>
          <w:color w:val="auto"/>
        </w:rPr>
        <w:t>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However, we do have an interest rate swap in place as of March 31, 2019 to hedge against a portion of our interest rate exposure related to debt indexed to LIBOR market rates. See Note 8 “Senior Debt” to the condensed consolidated financial statements within Item 1 of this Quarterly Report on Form 10-Q, for further information on this interest rate swap.</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carrying value of the Company’s long-term debt and current maturities of long-term debt was $76.1 million at March 31, 2019. Market risk was estimated as the potential decrease (increase) in future earnings and cash flows resulting from hypothetical 10% increase (decrease) in the Company’s estimated weighted average borrowing rate at March 31, 2019. Most of the interest on the Company’s debt is indexed to either the LIBOR or EURIBOR market rates. The estimated impact of a hypothetical 10% change in the estimated weighted average borrowing rate, excluding the portion of debt which has an interest rate fixed by the interest rate swap described above, at March 31, 2019 is $0.2 million on an annual basis.</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2019.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March 31, 2019, that materially affected, or are reasonably likely to materially affect, the Company’s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with respect to legal proceedings can be found in Note 15 “Commitments and Contingencies – Legal Matters” to the Condensed Consolidated Financial Statements contained in Part I, Item 1 of this Quarterly Report on Form 10-Q.</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2018.</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Rule 13(a)/15d-14(a) Certification by Chief Executive Officer</w:t>
            </w:r>
          </w:p>
        </w:tc>
        <w:tc>
          <w:tcPr>
            <w:tcW w:w="100" w:type="dxa"/>
            <w:vAlign w:val="bottom"/>
            <w:gridSpan w:val="2"/>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4580" w:type="dxa"/>
            <w:vAlign w:val="bottom"/>
            <w:gridSpan w:val="4"/>
          </w:tcPr>
          <w:p>
            <w:pPr>
              <w:spacing w:after="0"/>
              <w:rPr>
                <w:sz w:val="20"/>
                <w:szCs w:val="20"/>
                <w:color w:val="auto"/>
              </w:rPr>
            </w:pPr>
            <w:r>
              <w:rPr>
                <w:rFonts w:ascii="Arial" w:cs="Arial" w:eastAsia="Arial" w:hAnsi="Arial"/>
                <w:sz w:val="18"/>
                <w:szCs w:val="18"/>
                <w:color w:val="0000EE"/>
                <w:w w:val="96"/>
              </w:rPr>
              <w:t>Rule 13(a)/15d-14(a) Certification by Chief Financial Officer</w:t>
            </w:r>
          </w:p>
        </w:tc>
      </w:tr>
      <w:tr>
        <w:trPr>
          <w:trHeight w:val="20"/>
        </w:trPr>
        <w:tc>
          <w:tcPr>
            <w:tcW w:w="106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Executive Officer (18 U.S. Section 1350)</w:t>
            </w: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32.2</w:t>
            </w:r>
          </w:p>
        </w:tc>
        <w:tc>
          <w:tcPr>
            <w:tcW w:w="4580" w:type="dxa"/>
            <w:vAlign w:val="bottom"/>
            <w:gridSpan w:val="4"/>
          </w:tcPr>
          <w:p>
            <w:pPr>
              <w:spacing w:after="0"/>
              <w:rPr>
                <w:sz w:val="20"/>
                <w:szCs w:val="20"/>
                <w:color w:val="auto"/>
              </w:rPr>
            </w:pPr>
            <w:r>
              <w:rPr>
                <w:rFonts w:ascii="Arial" w:cs="Arial" w:eastAsia="Arial" w:hAnsi="Arial"/>
                <w:sz w:val="18"/>
                <w:szCs w:val="18"/>
                <w:color w:val="0000EE"/>
                <w:w w:val="94"/>
              </w:rPr>
              <w:t>Certification of Chief Financial Officer (18 U.S. Section 1350)</w:t>
            </w:r>
          </w:p>
        </w:tc>
      </w:tr>
      <w:tr>
        <w:trPr>
          <w:trHeight w:val="574"/>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4580" w:type="dxa"/>
            <w:vAlign w:val="bottom"/>
            <w:gridSpan w:val="4"/>
          </w:tcPr>
          <w:p>
            <w:pPr>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4580" w:type="dxa"/>
            <w:vAlign w:val="bottom"/>
            <w:gridSpan w:val="4"/>
          </w:tcPr>
          <w:p>
            <w:pPr>
              <w:spacing w:after="0"/>
              <w:rPr>
                <w:sz w:val="20"/>
                <w:szCs w:val="20"/>
                <w:color w:val="auto"/>
              </w:rPr>
            </w:pPr>
            <w:r>
              <w:rPr>
                <w:rFonts w:ascii="Arial" w:cs="Arial" w:eastAsia="Arial" w:hAnsi="Arial"/>
                <w:sz w:val="18"/>
                <w:szCs w:val="18"/>
                <w:color w:val="auto"/>
                <w:w w:val="98"/>
              </w:rPr>
              <w:t>XBRL Taxonomy Extension Definition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4580" w:type="dxa"/>
            <w:vAlign w:val="bottom"/>
            <w:gridSpan w:val="4"/>
          </w:tcPr>
          <w:p>
            <w:pPr>
              <w:spacing w:after="0"/>
              <w:rPr>
                <w:sz w:val="20"/>
                <w:szCs w:val="20"/>
                <w:color w:val="auto"/>
              </w:rPr>
            </w:pPr>
            <w:r>
              <w:rPr>
                <w:rFonts w:ascii="Arial" w:cs="Arial" w:eastAsia="Arial" w:hAnsi="Arial"/>
                <w:sz w:val="18"/>
                <w:szCs w:val="18"/>
                <w:color w:val="auto"/>
                <w:w w:val="93"/>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CECO Environmental Corp.</w:t>
      </w:r>
    </w:p>
    <w:p>
      <w:pPr>
        <w:spacing w:after="0" w:line="266" w:lineRule="exact"/>
        <w:rPr>
          <w:sz w:val="20"/>
          <w:szCs w:val="20"/>
          <w:color w:val="auto"/>
        </w:rPr>
      </w:pPr>
    </w:p>
    <w:p>
      <w:pPr>
        <w:ind w:left="7280"/>
        <w:spacing w:after="0"/>
        <w:tabs>
          <w:tab w:leader="none" w:pos="8800" w:val="left"/>
          <w:tab w:leader="none" w:pos="9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-130810</wp:posOffset>
            </wp:positionV>
            <wp:extent cx="2426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2019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3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CECO Environmental Corp. (the “Company”) on Form 10-Q for the three-month period ended March 31, 2019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5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decimal"/>
      <w:start w:val="13"/>
    </w:lvl>
  </w:abstractNum>
  <w:abstractNum w:abstractNumId="9">
    <w:nsid w:val="41A7C4C9"/>
    <w:multiLevelType w:val="hybridMultilevel"/>
    <w:lvl w:ilvl="0">
      <w:lvlJc w:val="left"/>
      <w:lvlText w:val="%1."/>
      <w:numFmt w:val="decimal"/>
      <w:start w:val="14"/>
    </w:lvl>
  </w:abstractNum>
  <w:abstractNum w:abstractNumId="10">
    <w:nsid w:val="6B68079A"/>
    <w:multiLevelType w:val="hybridMultilevel"/>
    <w:lvl w:ilvl="0">
      <w:lvlJc w:val="left"/>
      <w:lvlText w:val="%1."/>
      <w:numFmt w:val="decimal"/>
      <w:start w:val="16"/>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7"/>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2019-12-02T22:34:46Z</dcterms:created>
  <dcterms:modified xsi:type="dcterms:W3CDTF">2019-12-02T22:34:46Z</dcterms:modified>
</cp:coreProperties>
</file>