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151765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161925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391"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391"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391"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391"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40" w:right="2760" w:hanging="3632"/>
        <w:spacing w:after="0" w:line="428" w:lineRule="auto"/>
        <w:tabs>
          <w:tab w:leader="none" w:pos="60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3120" w:type="dxa"/>
            <w:vAlign w:val="bottom"/>
          </w:tcPr>
          <w:p>
            <w:pPr>
              <w:jc w:val="center"/>
              <w:ind w:right="608"/>
              <w:spacing w:after="0"/>
              <w:rPr>
                <w:sz w:val="20"/>
                <w:szCs w:val="20"/>
                <w:color w:val="auto"/>
              </w:rPr>
            </w:pPr>
            <w:r>
              <w:rPr>
                <w:rFonts w:ascii="Arial" w:cs="Arial" w:eastAsia="Arial" w:hAnsi="Arial"/>
                <w:sz w:val="14"/>
                <w:szCs w:val="14"/>
                <w:color w:val="auto"/>
                <w:w w:val="92"/>
              </w:rPr>
              <w:t>Title of each class</w:t>
            </w:r>
          </w:p>
        </w:tc>
        <w:tc>
          <w:tcPr>
            <w:tcW w:w="2440" w:type="dxa"/>
            <w:vAlign w:val="bottom"/>
          </w:tcPr>
          <w:p>
            <w:pPr>
              <w:jc w:val="center"/>
              <w:ind w:right="68"/>
              <w:spacing w:after="0"/>
              <w:rPr>
                <w:sz w:val="20"/>
                <w:szCs w:val="20"/>
                <w:color w:val="auto"/>
              </w:rPr>
            </w:pPr>
            <w:r>
              <w:rPr>
                <w:rFonts w:ascii="Arial" w:cs="Arial" w:eastAsia="Arial" w:hAnsi="Arial"/>
                <w:sz w:val="14"/>
                <w:szCs w:val="14"/>
                <w:color w:val="auto"/>
                <w:w w:val="95"/>
              </w:rPr>
              <w:t>Trading Symbol</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20" w:type="dxa"/>
            <w:vAlign w:val="bottom"/>
          </w:tcPr>
          <w:p>
            <w:pPr>
              <w:jc w:val="center"/>
              <w:ind w:right="628"/>
              <w:spacing w:after="0"/>
              <w:rPr>
                <w:sz w:val="20"/>
                <w:szCs w:val="20"/>
                <w:color w:val="auto"/>
              </w:rPr>
            </w:pPr>
            <w:r>
              <w:rPr>
                <w:rFonts w:ascii="Arial" w:cs="Arial" w:eastAsia="Arial" w:hAnsi="Arial"/>
                <w:sz w:val="14"/>
                <w:szCs w:val="14"/>
                <w:color w:val="auto"/>
                <w:w w:val="91"/>
              </w:rPr>
              <w:t>Common Stock, par value $0.01 per share</w:t>
            </w:r>
          </w:p>
        </w:tc>
        <w:tc>
          <w:tcPr>
            <w:tcW w:w="2440" w:type="dxa"/>
            <w:vAlign w:val="bottom"/>
          </w:tcPr>
          <w:p>
            <w:pPr>
              <w:jc w:val="center"/>
              <w:ind w:right="48"/>
              <w:spacing w:after="0"/>
              <w:rPr>
                <w:sz w:val="20"/>
                <w:szCs w:val="20"/>
                <w:color w:val="auto"/>
              </w:rPr>
            </w:pPr>
            <w:r>
              <w:rPr>
                <w:rFonts w:ascii="Arial" w:cs="Arial" w:eastAsia="Arial" w:hAnsi="Arial"/>
                <w:sz w:val="14"/>
                <w:szCs w:val="14"/>
                <w:color w:val="auto"/>
                <w:w w:val="92"/>
              </w:rPr>
              <w:t>CECE</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-240665</wp:posOffset>
            </wp:positionV>
            <wp:extent cx="68351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266065"/>
                    </a:xfrm>
                    <a:prstGeom prst="rect">
                      <a:avLst/>
                    </a:prstGeom>
                    <a:noFill/>
                  </pic:spPr>
                </pic:pic>
              </a:graphicData>
            </a:graphic>
          </wp:anchor>
        </w:drawing>
      </w:r>
    </w:p>
    <w:p>
      <w:pPr>
        <w:spacing w:after="0" w:line="1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On November 6, 2019, CECO Environmental Corp., a Delaware corporation, issued a press release announcing its financial results for the three and nine months ended September 30, 2019. A copy of the press release is furnished as Exhibit 99.1 to this report and is incorporated herein by reference.</w:t>
      </w:r>
    </w:p>
    <w:p>
      <w:pPr>
        <w:spacing w:after="0" w:line="124"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Press Release, dated November 6, 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60" w:type="dxa"/>
            <w:vAlign w:val="bottom"/>
            <w:tcBorders>
              <w:top w:val="single" w:sz="8" w:color="0000EE"/>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Eckl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240" w:top="12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791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Third Quarter 2019 Results;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Record Backlog Driven by Continued Bookings Strength and Strategic Investments</w:t>
      </w:r>
    </w:p>
    <w:p>
      <w:pPr>
        <w:spacing w:after="0" w:line="243" w:lineRule="exact"/>
        <w:rPr>
          <w:sz w:val="20"/>
          <w:szCs w:val="20"/>
          <w:color w:val="auto"/>
        </w:rPr>
      </w:pPr>
    </w:p>
    <w:p>
      <w:pPr>
        <w:ind w:left="120" w:right="80"/>
        <w:spacing w:after="0" w:line="258" w:lineRule="auto"/>
        <w:rPr>
          <w:sz w:val="20"/>
          <w:szCs w:val="20"/>
          <w:color w:val="auto"/>
        </w:rPr>
      </w:pPr>
      <w:r>
        <w:rPr>
          <w:rFonts w:ascii="Arial" w:cs="Arial" w:eastAsia="Arial" w:hAnsi="Arial"/>
          <w:sz w:val="20"/>
          <w:szCs w:val="20"/>
          <w:b w:val="1"/>
          <w:bCs w:val="1"/>
          <w:color w:val="auto"/>
        </w:rPr>
        <w:t xml:space="preserve">DALLAS, Texas, November 6, 2019 -- CECO Environmental Corp. (Nasdaq: CECE), </w:t>
      </w:r>
      <w:r>
        <w:rPr>
          <w:rFonts w:ascii="Arial" w:cs="Arial" w:eastAsia="Arial" w:hAnsi="Arial"/>
          <w:sz w:val="20"/>
          <w:szCs w:val="20"/>
          <w:color w:val="auto"/>
        </w:rPr>
        <w:t>a leading global air quality and fluid</w:t>
      </w:r>
      <w:r>
        <w:rPr>
          <w:rFonts w:ascii="Arial" w:cs="Arial" w:eastAsia="Arial" w:hAnsi="Arial"/>
          <w:sz w:val="20"/>
          <w:szCs w:val="20"/>
          <w:b w:val="1"/>
          <w:bCs w:val="1"/>
          <w:color w:val="auto"/>
        </w:rPr>
        <w:t xml:space="preserve"> </w:t>
      </w:r>
      <w:r>
        <w:rPr>
          <w:rFonts w:ascii="Arial" w:cs="Arial" w:eastAsia="Arial" w:hAnsi="Arial"/>
          <w:sz w:val="20"/>
          <w:szCs w:val="20"/>
          <w:color w:val="auto"/>
        </w:rPr>
        <w:t>handling company serving the energy and industrial markets, today reported its financial results for the third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Third Quarter 2019*</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Bookings of $115.7 million, compared with $97.1 million, adjusted for divestitures</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Record backlog of $237.8 million, compared with $182.1 million as of December 31, 2018</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of $85.3 million, compared with $88.3 million, and $86.7 million organic</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Gross profit of $28.8 million (33.8% margin), compared with $28.7 million (32.5% margin)</w:t>
      </w:r>
    </w:p>
    <w:p>
      <w:pPr>
        <w:ind w:left="760" w:right="10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Operating income of $4.1 million, compared with operating loss of $(10.4) million (included a $15.1 million non-cash impairment charge related to the sale of our Zhongli business)</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operating income of $7.0 million, compared with $6.5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of $1.9 million, compared with net loss of $(12.9)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EBITDA of $8.4 million, compared with $8.3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of $4.2 million, compared with $3.5 million</w:t>
      </w:r>
    </w:p>
    <w:p>
      <w:pPr>
        <w:ind w:left="760" w:hanging="374"/>
        <w:spacing w:after="0" w:line="225"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per diluted share was $0.05, compared with net loss per diluted share of $(0.37)</w:t>
      </w:r>
    </w:p>
    <w:p>
      <w:pPr>
        <w:ind w:left="760" w:hanging="374"/>
        <w:spacing w:after="0"/>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per diluted share of $0.12, compared with $0.10</w:t>
      </w:r>
    </w:p>
    <w:p>
      <w:pPr>
        <w:spacing w:after="0" w:line="222"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16"/>
          <w:szCs w:val="16"/>
          <w:color w:val="auto"/>
        </w:rPr>
        <w:t>* All comparisons are versus the comparable prior-year period, which include results from divestitures, unless otherwise stated.</w:t>
      </w:r>
    </w:p>
    <w:p>
      <w:pPr>
        <w:spacing w:after="0" w:line="241" w:lineRule="exact"/>
        <w:rPr>
          <w:sz w:val="20"/>
          <w:szCs w:val="20"/>
          <w:color w:val="auto"/>
        </w:rPr>
      </w:pPr>
    </w:p>
    <w:p>
      <w:pPr>
        <w:jc w:val="both"/>
        <w:ind w:left="120" w:right="220"/>
        <w:spacing w:after="0" w:line="244" w:lineRule="auto"/>
        <w:rPr>
          <w:sz w:val="20"/>
          <w:szCs w:val="20"/>
          <w:color w:val="auto"/>
        </w:rPr>
      </w:pPr>
      <w:r>
        <w:rPr>
          <w:rFonts w:ascii="Arial" w:cs="Arial" w:eastAsia="Arial" w:hAnsi="Arial"/>
          <w:sz w:val="19"/>
          <w:szCs w:val="19"/>
          <w:color w:val="auto"/>
        </w:rPr>
        <w:t>CECO’s Chief Executive Officer Dennis Sadlowski commented, “I am very pleased with our team’s execution during the quarter which generated triple digit bookings, strong profitability and a record backlog for the Company. Our investments are continuing to pay off as we realized sequential quarterly growth in all our key financial metrics. Our strong third quarter bookings, led by our Energy Segment, and our record backlog are the best predictors of the future, signaling improving revenue going forward.”</w:t>
      </w:r>
    </w:p>
    <w:p>
      <w:pPr>
        <w:spacing w:after="0" w:line="205" w:lineRule="exact"/>
        <w:rPr>
          <w:sz w:val="20"/>
          <w:szCs w:val="20"/>
          <w:color w:val="auto"/>
        </w:rPr>
      </w:pPr>
    </w:p>
    <w:p>
      <w:pPr>
        <w:ind w:left="120" w:right="720"/>
        <w:spacing w:after="0" w:line="232" w:lineRule="auto"/>
        <w:rPr>
          <w:sz w:val="20"/>
          <w:szCs w:val="20"/>
          <w:color w:val="auto"/>
        </w:rPr>
      </w:pPr>
      <w:r>
        <w:rPr>
          <w:rFonts w:ascii="Arial" w:cs="Arial" w:eastAsia="Arial" w:hAnsi="Arial"/>
          <w:sz w:val="20"/>
          <w:szCs w:val="20"/>
          <w:color w:val="auto"/>
        </w:rPr>
        <w:t>Mr. Sadlowski added, “We are pleased with our progress and are determined to do even better. We anticipate a continued positive trajectory towards our aggressive 2021 financial targets that we believe will produce significant upside for our shareholders.”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THIRD QUARTER RESULTS</w:t>
      </w:r>
    </w:p>
    <w:p>
      <w:pPr>
        <w:spacing w:after="0" w:line="240"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Revenue in the third quarter of 2019 was $85.3 million as compared to $88.3 million in the prior-year period. Excluding revenue of $1.6 million attributable to the divested business in 2018, organic revenues decreased 1.6%.</w:t>
      </w:r>
    </w:p>
    <w:p>
      <w:pPr>
        <w:spacing w:after="0" w:line="209" w:lineRule="exact"/>
        <w:rPr>
          <w:sz w:val="20"/>
          <w:szCs w:val="20"/>
          <w:color w:val="auto"/>
        </w:rPr>
      </w:pPr>
    </w:p>
    <w:p>
      <w:pPr>
        <w:jc w:val="both"/>
        <w:ind w:left="120" w:right="80"/>
        <w:spacing w:after="0" w:line="231" w:lineRule="auto"/>
        <w:rPr>
          <w:sz w:val="20"/>
          <w:szCs w:val="20"/>
          <w:color w:val="auto"/>
        </w:rPr>
      </w:pPr>
      <w:r>
        <w:rPr>
          <w:rFonts w:ascii="Arial" w:cs="Arial" w:eastAsia="Arial" w:hAnsi="Arial"/>
          <w:sz w:val="20"/>
          <w:szCs w:val="20"/>
          <w:color w:val="auto"/>
        </w:rPr>
        <w:t>Operating income was $4.1 million for the third quarter of 2019, compared with an operating loss of $10.4 million in the prior-year period. The operating loss in 2018 included a $15.1 million non-cash impairment charge related to the sale of our Zhongli business. Non-GAAP operating income was $7.0 million for the third quarter of 2019 (8.2% margin), compared with $6.5 million in the prior-year period (7.4% margin).</w:t>
      </w:r>
    </w:p>
    <w:p>
      <w:pPr>
        <w:spacing w:after="0" w:line="209"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Net income was $1.9 million for the third quarter of 2019, compared with net loss of $12.9 million in the prior-year period. Net income on a non-GAAP basis was $4.2 million for the third quarter of 2019, compared with $3.5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both"/>
        <w:ind w:left="120" w:right="100"/>
        <w:spacing w:after="0" w:line="232" w:lineRule="auto"/>
        <w:rPr>
          <w:sz w:val="20"/>
          <w:szCs w:val="20"/>
          <w:color w:val="auto"/>
        </w:rPr>
      </w:pPr>
      <w:r>
        <w:rPr>
          <w:rFonts w:ascii="Arial" w:cs="Arial" w:eastAsia="Arial" w:hAnsi="Arial"/>
          <w:sz w:val="20"/>
          <w:szCs w:val="20"/>
          <w:color w:val="auto"/>
        </w:rPr>
        <w:t>Net income per diluted share was $0.05 for the third quarter of 2019, compared with net loss per diluted share of $(0.37) in the prior-year period. Non-GAAP net income per diluted share was $0.12 for the third quarter of 2019, compared with $0.10 for the prior-year period.</w:t>
      </w:r>
    </w:p>
    <w:p>
      <w:pPr>
        <w:spacing w:after="0" w:line="197"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Cash and cash equivalents were $29.0 million and bank debt was $69.4 million as of September 30, 2019, compared with $43.7 million and $76.1 million, respectively, as of December 31, 2018.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40"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Total backlog at September 30, 2019 was $237.8 million as compared with $182.1 million on December 31, 2018 and $211.4 million on September 30, 2018. As of September 30, 2018, $7.4 million of backlog was attributable to the divested businesses. Adjusted for divestitures, backlog increased $33.8 million from third quarter 2018 to third quarter 2019, or 16.6%.</w:t>
      </w:r>
    </w:p>
    <w:p>
      <w:pPr>
        <w:spacing w:after="0" w:line="211" w:lineRule="exact"/>
        <w:rPr>
          <w:sz w:val="20"/>
          <w:szCs w:val="20"/>
          <w:color w:val="auto"/>
        </w:rPr>
      </w:pPr>
    </w:p>
    <w:p>
      <w:pPr>
        <w:jc w:val="both"/>
        <w:ind w:left="120" w:right="100"/>
        <w:spacing w:after="0" w:line="231" w:lineRule="auto"/>
        <w:rPr>
          <w:sz w:val="20"/>
          <w:szCs w:val="20"/>
          <w:color w:val="auto"/>
        </w:rPr>
      </w:pPr>
      <w:r>
        <w:rPr>
          <w:rFonts w:ascii="Arial" w:cs="Arial" w:eastAsia="Arial" w:hAnsi="Arial"/>
          <w:sz w:val="20"/>
          <w:szCs w:val="20"/>
          <w:color w:val="auto"/>
        </w:rPr>
        <w:t>Bookings were $115.7 million for the third quarter of 2019, compared with $97.5 million in the prior-year period. Excluding bookings of $0.4 million attributable to the businesses divested in 2018, 2019 organic bookings increased $18.6 million, or 19.2%. Bookings were $316.0 million for the first nine months of 2019 compared with $292.9 million for the prior-year period. Excluding the impact of divestitures, bookings increased $29.5 million during the first nine months of 2019, or 10.3%.</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YEAR-TO-DATE RESULTS</w:t>
      </w:r>
    </w:p>
    <w:p>
      <w:pPr>
        <w:spacing w:after="0" w:line="240" w:lineRule="exact"/>
        <w:rPr>
          <w:sz w:val="20"/>
          <w:szCs w:val="20"/>
          <w:color w:val="auto"/>
        </w:rPr>
      </w:pPr>
    </w:p>
    <w:p>
      <w:pPr>
        <w:jc w:val="both"/>
        <w:ind w:left="100" w:right="60"/>
        <w:spacing w:after="0" w:line="236" w:lineRule="auto"/>
        <w:rPr>
          <w:sz w:val="20"/>
          <w:szCs w:val="20"/>
          <w:color w:val="auto"/>
        </w:rPr>
      </w:pPr>
      <w:r>
        <w:rPr>
          <w:rFonts w:ascii="Arial" w:cs="Arial" w:eastAsia="Arial" w:hAnsi="Arial"/>
          <w:sz w:val="20"/>
          <w:szCs w:val="20"/>
          <w:color w:val="auto"/>
        </w:rPr>
        <w:t>Revenue in the first nine months of 2019 was $252.5 million, up 3.7% from $243.5 million in the prior-year period. Excluding revenue of $9.3 million attributable to the business divested in 2018, organic revenues increased 7.8%.</w:t>
      </w:r>
    </w:p>
    <w:p>
      <w:pPr>
        <w:spacing w:after="0" w:line="196" w:lineRule="exact"/>
        <w:rPr>
          <w:sz w:val="20"/>
          <w:szCs w:val="20"/>
          <w:color w:val="auto"/>
        </w:rPr>
      </w:pPr>
    </w:p>
    <w:p>
      <w:pPr>
        <w:jc w:val="both"/>
        <w:ind w:left="100" w:right="60"/>
        <w:spacing w:after="0" w:line="232" w:lineRule="auto"/>
        <w:rPr>
          <w:sz w:val="20"/>
          <w:szCs w:val="20"/>
          <w:color w:val="auto"/>
        </w:rPr>
      </w:pPr>
      <w:r>
        <w:rPr>
          <w:rFonts w:ascii="Arial" w:cs="Arial" w:eastAsia="Arial" w:hAnsi="Arial"/>
          <w:sz w:val="20"/>
          <w:szCs w:val="20"/>
          <w:color w:val="auto"/>
        </w:rPr>
        <w:t>Operating income was $11.0 million for the first nine months of 2019 (4.4% margin), compared with $4.3 million in the prior-year period (1.8% margin). Operating income on a non-GAAP basis was $18.6 million for the first nine months of 2019 (7.4% margin), compared with $15.7 million in the prior-year period (6.4% margin).</w:t>
      </w:r>
    </w:p>
    <w:p>
      <w:pPr>
        <w:spacing w:after="0" w:line="197" w:lineRule="exact"/>
        <w:rPr>
          <w:sz w:val="20"/>
          <w:szCs w:val="20"/>
          <w:color w:val="auto"/>
        </w:rPr>
      </w:pPr>
    </w:p>
    <w:p>
      <w:pPr>
        <w:jc w:val="both"/>
        <w:ind w:left="100" w:right="60"/>
        <w:spacing w:after="0" w:line="232" w:lineRule="auto"/>
        <w:rPr>
          <w:sz w:val="20"/>
          <w:szCs w:val="20"/>
          <w:color w:val="auto"/>
        </w:rPr>
      </w:pPr>
      <w:r>
        <w:rPr>
          <w:rFonts w:ascii="Arial" w:cs="Arial" w:eastAsia="Arial" w:hAnsi="Arial"/>
          <w:sz w:val="20"/>
          <w:szCs w:val="20"/>
          <w:color w:val="auto"/>
        </w:rPr>
        <w:t>Net income was $ 9.3 million for the first nine months of 2019, compared with net loss of $(8.1) million in the prior-year period. Net income on a non-GAAP basis was $11.3 million for the first nine months of 2019, compared with $7.1 million in the prior-year period.</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Net income per diluted share was $0.26 for the first nine months of 2019, compared with net loss per diluted share of</w:t>
      </w:r>
    </w:p>
    <w:p>
      <w:pPr>
        <w:ind w:left="100" w:right="420"/>
        <w:spacing w:after="0" w:line="236" w:lineRule="auto"/>
        <w:rPr>
          <w:sz w:val="20"/>
          <w:szCs w:val="20"/>
          <w:color w:val="auto"/>
        </w:rPr>
      </w:pPr>
      <w:r>
        <w:rPr>
          <w:rFonts w:ascii="Arial" w:cs="Arial" w:eastAsia="Arial" w:hAnsi="Arial"/>
          <w:sz w:val="20"/>
          <w:szCs w:val="20"/>
          <w:color w:val="auto"/>
        </w:rPr>
        <w:t>$0.23 in the prior-year period. Non-GAAP net income per diluted share was $0.32 for the first nine months of 2019, compared with $0.21 for the prior-year period.</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A conference call is scheduled for today at 8:30 a.m. ET to discuss the third quarter 2019 financial results. The conference call may also be accessed by dialing (888) 346-4547 (Toll-Free) within the U.S., (855) 669-9657 (Toll-Free) within Canada or Toll/International (412) 317-5251.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1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20"/>
          <w:szCs w:val="20"/>
          <w:color w:val="auto"/>
        </w:rPr>
        <w:t>A replay of the conference call will be available on the Company’s website for 7 days. The replay may be accessed by dialing toll free (877) 344-7529 within North America or Toll/International (412) 317-0088 and entering passcode 10135305.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540" w:firstLine="8"/>
        <w:spacing w:after="0" w:line="257"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5511165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5665470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SEPTEMBER 30, 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28,963</w:t>
            </w: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34,409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12,879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151,969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389,640</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172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78,264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Note payable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103,777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64,995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205,466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35,243,663</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34,953,825 shares issued and outstanding at September 30, 2019 and</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2018, respectively</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253,757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251,409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(54,736)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(59,427)</w:t>
            </w: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(14,844)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184,530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w w:val="92"/>
              </w:rPr>
              <w:t>Less treasury stock, at cost, 137,920 shares at September 30, 2019 and December 31, 2018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184,174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389,640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tcBorders>
              <w:bottom w:val="single" w:sz="8" w:color="D9D9D9"/>
            </w:tcBorders>
          </w:tcPr>
          <w:p>
            <w:pPr>
              <w:spacing w:after="0"/>
              <w:rPr>
                <w:sz w:val="17"/>
                <w:szCs w:val="17"/>
                <w:color w:val="auto"/>
              </w:rPr>
            </w:pPr>
          </w:p>
        </w:tc>
        <w:tc>
          <w:tcPr>
            <w:tcW w:w="36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1640" w:type="dxa"/>
            <w:vAlign w:val="bottom"/>
            <w:tcBorders>
              <w:bottom w:val="single" w:sz="8" w:color="D9D9D9"/>
            </w:tcBorders>
          </w:tcPr>
          <w:p>
            <w:pPr>
              <w:spacing w:after="0"/>
              <w:rPr>
                <w:sz w:val="17"/>
                <w:szCs w:val="17"/>
                <w:color w:val="auto"/>
              </w:rPr>
            </w:pPr>
          </w:p>
        </w:tc>
        <w:tc>
          <w:tcPr>
            <w:tcW w:w="26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140" w:type="dxa"/>
            <w:vAlign w:val="bottom"/>
            <w:tcBorders>
              <w:bottom w:val="single" w:sz="8" w:color="D9D9D9"/>
            </w:tcBorders>
          </w:tcPr>
          <w:p>
            <w:pPr>
              <w:spacing w:after="0"/>
              <w:rPr>
                <w:sz w:val="17"/>
                <w:szCs w:val="17"/>
                <w:color w:val="auto"/>
              </w:rPr>
            </w:pPr>
          </w:p>
        </w:tc>
        <w:tc>
          <w:tcPr>
            <w:tcW w:w="162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D9D9D9"/>
            </w:tcBorders>
          </w:tcPr>
          <w:p>
            <w:pPr>
              <w:spacing w:after="0"/>
              <w:rPr>
                <w:sz w:val="19"/>
                <w:szCs w:val="19"/>
                <w:color w:val="auto"/>
              </w:rPr>
            </w:pPr>
          </w:p>
        </w:tc>
        <w:tc>
          <w:tcPr>
            <w:tcW w:w="3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164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6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10540"/>
        <w:spacing w:after="0"/>
        <w:rPr>
          <w:sz w:val="20"/>
          <w:szCs w:val="20"/>
          <w:color w:val="auto"/>
        </w:rPr>
      </w:pPr>
      <w:r>
        <w:rPr>
          <w:rFonts w:ascii="Arial" w:cs="Arial" w:eastAsia="Arial" w:hAnsi="Arial"/>
          <w:sz w:val="17"/>
          <w:szCs w:val="17"/>
          <w:color w:val="auto"/>
        </w:rPr>
        <w:t>Exhibit 99.1</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40" w:type="dxa"/>
            <w:vAlign w:val="bottom"/>
          </w:tcPr>
          <w:p>
            <w:pPr>
              <w:spacing w:after="0"/>
              <w:rPr>
                <w:sz w:val="14"/>
                <w:szCs w:val="14"/>
                <w:color w:val="auto"/>
              </w:rPr>
            </w:pPr>
          </w:p>
        </w:tc>
        <w:tc>
          <w:tcPr>
            <w:tcW w:w="3340" w:type="dxa"/>
            <w:vAlign w:val="bottom"/>
            <w:gridSpan w:val="8"/>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334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56"/>
        </w:trPr>
        <w:tc>
          <w:tcPr>
            <w:tcW w:w="432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7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92"/>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88,256</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243,485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56,489</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59,582</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168,400</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161,725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28,674</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84,056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81,760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21,823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22,216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65,573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66,147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2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15,074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 (income), net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(173)</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(10,441)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(1,729)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(4,319)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(11,578)</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6,741</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1,337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(2,569)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w w:val="91"/>
              </w:rPr>
              <w:t>Weighted average number of common shares outstanding:</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35,070,449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34,779,125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34,944,056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34,681,262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35,624,590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34,779,125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35,522,568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34,681,262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bookmarkStart w:id="8" w:name="page9"/>
    <w:bookmarkEnd w:id="8"/>
    <w:p>
      <w:pPr>
        <w:ind w:left="10540"/>
        <w:spacing w:after="0"/>
        <w:rPr>
          <w:sz w:val="20"/>
          <w:szCs w:val="20"/>
          <w:color w:val="auto"/>
        </w:rPr>
      </w:pPr>
      <w:r>
        <w:rPr>
          <w:rFonts w:ascii="Arial" w:cs="Arial" w:eastAsia="Arial" w:hAnsi="Arial"/>
          <w:sz w:val="17"/>
          <w:szCs w:val="17"/>
          <w:color w:val="auto"/>
        </w:rPr>
        <w:t>Exhibit 99.1</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12"/>
          </w:tcPr>
          <w:p>
            <w:pPr>
              <w:jc w:val="right"/>
              <w:ind w:right="330"/>
              <w:spacing w:after="0"/>
              <w:rPr>
                <w:sz w:val="20"/>
                <w:szCs w:val="20"/>
                <w:color w:val="auto"/>
              </w:rPr>
            </w:pPr>
            <w:r>
              <w:rPr>
                <w:rFonts w:ascii="Arial" w:cs="Arial" w:eastAsia="Arial" w:hAnsi="Arial"/>
                <w:sz w:val="14"/>
                <w:szCs w:val="14"/>
                <w:b w:val="1"/>
                <w:bCs w:val="1"/>
                <w:color w:val="auto"/>
                <w:w w:val="92"/>
              </w:rPr>
              <w:t>Three months ended 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as reported in accordance with GAAP</w:t>
            </w:r>
          </w:p>
        </w:tc>
        <w:tc>
          <w:tcPr>
            <w:tcW w:w="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5"/>
              </w:rPr>
              <w:t>85.3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252.5</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Less revenue attributable to divestitures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Organic revenue</w:t>
            </w:r>
          </w:p>
        </w:tc>
        <w:tc>
          <w:tcPr>
            <w:tcW w:w="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5"/>
              </w:rPr>
              <w:t>85.3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252.5</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24"/>
                <w:szCs w:val="24"/>
                <w:color w:val="auto"/>
              </w:rPr>
            </w:pPr>
          </w:p>
        </w:tc>
        <w:tc>
          <w:tcPr>
            <w:tcW w:w="3240" w:type="dxa"/>
            <w:vAlign w:val="bottom"/>
            <w:gridSpan w:val="15"/>
          </w:tcPr>
          <w:p>
            <w:pPr>
              <w:jc w:val="right"/>
              <w:ind w:right="69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Borders>
              <w:top w:val="single" w:sz="8" w:color="auto"/>
            </w:tcBorders>
            <w:gridSpan w:val="4"/>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Operating income (loss) as reported in accordance with GAAP</w:t>
            </w:r>
          </w:p>
        </w:tc>
        <w:tc>
          <w:tcPr>
            <w:tcW w:w="42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vMerge w:val="continue"/>
            <w:shd w:val="clear" w:color="auto" w:fill="CFF0FC"/>
          </w:tcPr>
          <w:p>
            <w:pPr>
              <w:spacing w:after="0"/>
              <w:rPr>
                <w:sz w:val="19"/>
                <w:szCs w:val="19"/>
                <w:color w:val="auto"/>
              </w:rPr>
            </w:pPr>
          </w:p>
        </w:tc>
        <w:tc>
          <w:tcPr>
            <w:tcW w:w="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(10.4)</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8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i w:val="1"/>
                <w:iCs w:val="1"/>
                <w:color w:val="auto"/>
              </w:rPr>
              <w:t>Operating margin in accordance with GAAP</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3"/>
          </w:tcPr>
          <w:p>
            <w:pPr>
              <w:jc w:val="right"/>
              <w:ind w:right="90"/>
              <w:spacing w:after="0"/>
              <w:rPr>
                <w:sz w:val="20"/>
                <w:szCs w:val="20"/>
                <w:color w:val="auto"/>
              </w:rPr>
            </w:pPr>
            <w:r>
              <w:rPr>
                <w:rFonts w:ascii="Arial" w:cs="Arial" w:eastAsia="Arial" w:hAnsi="Arial"/>
                <w:sz w:val="18"/>
                <w:szCs w:val="18"/>
                <w:i w:val="1"/>
                <w:iCs w:val="1"/>
                <w:color w:val="auto"/>
              </w:rPr>
              <w:t>(11.8)%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earnout expenses</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Loss on divestitures, net of selling costs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expense (income), net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(0.2)</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420" w:type="dxa"/>
            <w:vAlign w:val="bottom"/>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i w:val="1"/>
                <w:iCs w:val="1"/>
                <w:color w:val="auto"/>
              </w:rPr>
              <w:t>8.2%</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ind w:right="150"/>
              <w:spacing w:after="0"/>
              <w:rPr>
                <w:sz w:val="20"/>
                <w:szCs w:val="20"/>
                <w:color w:val="auto"/>
              </w:rPr>
            </w:pPr>
            <w:r>
              <w:rPr>
                <w:rFonts w:ascii="Arial" w:cs="Arial" w:eastAsia="Arial" w:hAnsi="Arial"/>
                <w:sz w:val="18"/>
                <w:szCs w:val="18"/>
                <w:i w:val="1"/>
                <w:iCs w:val="1"/>
                <w:color w:val="auto"/>
              </w:rPr>
              <w:t>7.4%</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7.4%</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635"/>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12"/>
          </w:tcPr>
          <w:p>
            <w:pPr>
              <w:jc w:val="right"/>
              <w:ind w:right="230"/>
              <w:spacing w:after="0"/>
              <w:rPr>
                <w:sz w:val="20"/>
                <w:szCs w:val="20"/>
                <w:color w:val="auto"/>
              </w:rPr>
            </w:pPr>
            <w:r>
              <w:rPr>
                <w:rFonts w:ascii="Arial" w:cs="Arial" w:eastAsia="Arial" w:hAnsi="Arial"/>
                <w:sz w:val="14"/>
                <w:szCs w:val="14"/>
                <w:b w:val="1"/>
                <w:bCs w:val="1"/>
                <w:color w:val="auto"/>
                <w:w w:val="96"/>
              </w:rPr>
              <w:t>Three months ended 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 as reported in accordance with GAAP</w:t>
            </w:r>
          </w:p>
        </w:tc>
        <w:tc>
          <w:tcPr>
            <w:tcW w:w="880" w:type="dxa"/>
            <w:vAlign w:val="bottom"/>
            <w:gridSpan w:val="3"/>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gridSpan w:val="2"/>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gridSpan w:val="2"/>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880" w:type="dxa"/>
            <w:vAlign w:val="bottom"/>
            <w:gridSpan w:val="3"/>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00" w:type="dxa"/>
            <w:vAlign w:val="bottom"/>
            <w:gridSpan w:val="2"/>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FF0FC"/>
            </w:tcBorders>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Amortization and earnout expenses, net</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on divestiture, net of selling costs</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Restructuring expense (income), net</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4"/>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financing fee adjustment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Foreign currency remeasurement</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 expense (benefit) of adjustments</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Zhongli tax benefit</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880" w:type="dxa"/>
            <w:vAlign w:val="bottom"/>
            <w:tcBorders>
              <w:top w:val="single" w:sz="8" w:color="CFF0FC"/>
            </w:tcBorders>
            <w:gridSpan w:val="3"/>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Non-cash stock compensation</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5"/>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4"/>
          </w:tcPr>
          <w:p>
            <w:pPr>
              <w:jc w:val="right"/>
              <w:ind w:right="7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Adjusted EBITDA</w:t>
            </w:r>
          </w:p>
        </w:tc>
        <w:tc>
          <w:tcPr>
            <w:tcW w:w="880" w:type="dxa"/>
            <w:vAlign w:val="bottom"/>
            <w:gridSpan w:val="3"/>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w:t>
            </w:r>
          </w:p>
        </w:tc>
        <w:tc>
          <w:tcPr>
            <w:tcW w:w="140" w:type="dxa"/>
            <w:vAlign w:val="bottom"/>
            <w:tcBorders>
              <w:right w:val="single" w:sz="8" w:color="CFF0FC"/>
            </w:tcBorders>
            <w:shd w:val="clear" w:color="auto" w:fill="CFF0FC"/>
          </w:tcPr>
          <w:p>
            <w:pPr>
              <w:spacing w:after="0"/>
              <w:rPr>
                <w:sz w:val="19"/>
                <w:szCs w:val="19"/>
                <w:color w:val="auto"/>
              </w:rPr>
            </w:pPr>
          </w:p>
        </w:tc>
        <w:tc>
          <w:tcPr>
            <w:tcW w:w="2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Basic</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70"/>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19"/>
                <w:szCs w:val="19"/>
                <w:color w:val="auto"/>
              </w:rPr>
            </w:pP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FF0FC"/>
            </w:tcBorders>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0.26</w:t>
            </w:r>
          </w:p>
        </w:tc>
        <w:tc>
          <w:tcPr>
            <w:tcW w:w="140" w:type="dxa"/>
            <w:vAlign w:val="bottom"/>
            <w:tcBorders>
              <w:right w:val="single" w:sz="8" w:color="CFF0FC"/>
            </w:tcBorders>
            <w:shd w:val="clear" w:color="auto" w:fill="CFF0FC"/>
          </w:tcPr>
          <w:p>
            <w:pPr>
              <w:spacing w:after="0"/>
              <w:rPr>
                <w:sz w:val="19"/>
                <w:szCs w:val="19"/>
                <w:color w:val="auto"/>
              </w:rPr>
            </w:pPr>
          </w:p>
        </w:tc>
        <w:tc>
          <w:tcPr>
            <w:tcW w:w="2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 per share:</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Basic</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4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9"/>
                <w:szCs w:val="19"/>
                <w:color w:val="auto"/>
              </w:rPr>
            </w:pP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0.32</w:t>
            </w:r>
          </w:p>
        </w:tc>
        <w:tc>
          <w:tcPr>
            <w:tcW w:w="140" w:type="dxa"/>
            <w:vAlign w:val="bottom"/>
            <w:tcBorders>
              <w:right w:val="single" w:sz="8" w:color="CFF0FC"/>
            </w:tcBorders>
            <w:shd w:val="clear" w:color="auto" w:fill="CFF0FC"/>
          </w:tcPr>
          <w:p>
            <w:pPr>
              <w:spacing w:after="0"/>
              <w:rPr>
                <w:sz w:val="19"/>
                <w:szCs w:val="19"/>
                <w:color w:val="auto"/>
              </w:rPr>
            </w:pPr>
          </w:p>
        </w:tc>
        <w:tc>
          <w:tcPr>
            <w:tcW w:w="2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D9D9D9"/>
            </w:tcBorders>
          </w:tcPr>
          <w:p>
            <w:pPr>
              <w:spacing w:after="0"/>
              <w:rPr>
                <w:sz w:val="18"/>
                <w:szCs w:val="18"/>
                <w:color w:val="auto"/>
              </w:rPr>
            </w:pPr>
          </w:p>
        </w:tc>
        <w:tc>
          <w:tcPr>
            <w:tcW w:w="420" w:type="dxa"/>
            <w:vAlign w:val="bottom"/>
            <w:tcBorders>
              <w:bottom w:val="single" w:sz="8" w:color="D9D9D9"/>
            </w:tcBorders>
          </w:tcPr>
          <w:p>
            <w:pPr>
              <w:spacing w:after="0"/>
              <w:rPr>
                <w:sz w:val="18"/>
                <w:szCs w:val="18"/>
                <w:color w:val="auto"/>
              </w:rPr>
            </w:pPr>
          </w:p>
        </w:tc>
        <w:tc>
          <w:tcPr>
            <w:tcW w:w="30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680" w:type="dxa"/>
            <w:vAlign w:val="bottom"/>
            <w:tcBorders>
              <w:bottom w:val="single" w:sz="8" w:color="D9D9D9"/>
            </w:tcBorders>
          </w:tcPr>
          <w:p>
            <w:pPr>
              <w:spacing w:after="0"/>
              <w:rPr>
                <w:sz w:val="18"/>
                <w:szCs w:val="18"/>
                <w:color w:val="auto"/>
              </w:rPr>
            </w:pPr>
          </w:p>
        </w:tc>
        <w:tc>
          <w:tcPr>
            <w:tcW w:w="26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380" w:type="dxa"/>
            <w:vAlign w:val="bottom"/>
            <w:tcBorders>
              <w:bottom w:val="single" w:sz="8" w:color="D9D9D9"/>
            </w:tcBorders>
          </w:tcPr>
          <w:p>
            <w:pPr>
              <w:spacing w:after="0"/>
              <w:rPr>
                <w:sz w:val="18"/>
                <w:szCs w:val="18"/>
                <w:color w:val="auto"/>
              </w:rPr>
            </w:pPr>
          </w:p>
        </w:tc>
        <w:tc>
          <w:tcPr>
            <w:tcW w:w="42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380" w:type="dxa"/>
            <w:vAlign w:val="bottom"/>
            <w:tcBorders>
              <w:bottom w:val="single" w:sz="8" w:color="D9D9D9"/>
            </w:tcBorders>
          </w:tcPr>
          <w:p>
            <w:pPr>
              <w:spacing w:after="0"/>
              <w:rPr>
                <w:sz w:val="18"/>
                <w:szCs w:val="18"/>
                <w:color w:val="auto"/>
              </w:rPr>
            </w:pPr>
          </w:p>
        </w:tc>
        <w:tc>
          <w:tcPr>
            <w:tcW w:w="18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02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84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D9D9D9"/>
            </w:tcBorders>
          </w:tcPr>
          <w:p>
            <w:pPr>
              <w:spacing w:after="0"/>
              <w:rPr>
                <w:sz w:val="19"/>
                <w:szCs w:val="19"/>
                <w:color w:val="auto"/>
              </w:rPr>
            </w:pPr>
          </w:p>
        </w:tc>
        <w:tc>
          <w:tcPr>
            <w:tcW w:w="420" w:type="dxa"/>
            <w:vAlign w:val="bottom"/>
            <w:tcBorders>
              <w:bottom w:val="single" w:sz="8" w:color="D9D9D9"/>
            </w:tcBorders>
          </w:tcPr>
          <w:p>
            <w:pPr>
              <w:spacing w:after="0"/>
              <w:rPr>
                <w:sz w:val="19"/>
                <w:szCs w:val="19"/>
                <w:color w:val="auto"/>
              </w:rPr>
            </w:pPr>
          </w:p>
        </w:tc>
        <w:tc>
          <w:tcPr>
            <w:tcW w:w="30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68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4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1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02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84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9"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CECO is providing organic revenue for comparability purposes given the impact of divestitures.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13"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loss on divestitures, net of selling costs, acquisition and integration expense activities including retention, legal, accounting, banking, amortization and contingent earn-out expenses, foreign currency re-measurement, other nonrecurring or infrequent items and the associated tax benefit of these items. Organic revenue, as we present them in the financial data included in this press release, excludes revenue attributable to divested businesses.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4" w:lineRule="exact"/>
        <w:rPr>
          <w:sz w:val="20"/>
          <w:szCs w:val="20"/>
          <w:color w:val="auto"/>
        </w:rPr>
      </w:pPr>
    </w:p>
    <w:p>
      <w:pPr>
        <w:ind w:right="300"/>
        <w:spacing w:after="0" w:line="228" w:lineRule="auto"/>
        <w:rPr>
          <w:sz w:val="20"/>
          <w:szCs w:val="20"/>
          <w:color w:val="auto"/>
        </w:rPr>
      </w:pPr>
      <w:r>
        <w:rPr>
          <w:rFonts w:ascii="Arial" w:cs="Arial" w:eastAsia="Arial" w:hAnsi="Arial"/>
          <w:sz w:val="20"/>
          <w:szCs w:val="20"/>
          <w:color w:val="auto"/>
        </w:rPr>
        <w:t>Organic revenue, 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3"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organic revenue,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26" w:lineRule="exact"/>
        <w:rPr>
          <w:sz w:val="20"/>
          <w:szCs w:val="20"/>
          <w:color w:val="auto"/>
        </w:rPr>
      </w:pPr>
    </w:p>
    <w:p>
      <w:pPr>
        <w:ind w:right="20" w:firstLine="518"/>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2018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and method of accounting for revenue;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divestitures of non-core assets and the effect of competition in the industries served by our Energy Solutions segment, Industrial Solutions segment and Fluid Handling Solutions segment.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2020-01-09T07:20:28Z</dcterms:created>
  <dcterms:modified xsi:type="dcterms:W3CDTF">2020-01-09T07:20:28Z</dcterms:modified>
</cp:coreProperties>
</file>