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540" w:hanging="519"/>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jc w:val="center"/>
        <w:ind w:right="-39"/>
        <w:spacing w:after="0" w:line="219" w:lineRule="auto"/>
        <w:rPr>
          <w:sz w:val="20"/>
          <w:szCs w:val="20"/>
          <w:color w:val="auto"/>
        </w:rPr>
      </w:pPr>
      <w:r>
        <w:rPr>
          <w:rFonts w:ascii="Times New Roman" w:cs="Times New Roman" w:eastAsia="Times New Roman" w:hAnsi="Times New Roman"/>
          <w:sz w:val="18"/>
          <w:szCs w:val="18"/>
          <w:b w:val="1"/>
          <w:bCs w:val="1"/>
          <w:color w:val="auto"/>
        </w:rPr>
        <w:t>or</w:t>
      </w:r>
    </w:p>
    <w:p>
      <w:pPr>
        <w:spacing w:after="0" w:line="1"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1" w:lineRule="exact"/>
        <w:rPr>
          <w:sz w:val="24"/>
          <w:szCs w:val="24"/>
          <w:color w:val="auto"/>
        </w:rPr>
      </w:pPr>
    </w:p>
    <w:p>
      <w:pPr>
        <w:ind w:left="332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-5080</wp:posOffset>
            </wp:positionV>
            <wp:extent cx="628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234315</wp:posOffset>
            </wp:positionV>
            <wp:extent cx="71120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2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4"/>
          <w:szCs w:val="34"/>
          <w:b w:val="1"/>
          <w:bCs w:val="1"/>
          <w:color w:val="auto"/>
        </w:rPr>
        <w:t>CECO ENVIRONMENTAL CORP.</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97" w:lineRule="exact"/>
        <w:rPr>
          <w:sz w:val="24"/>
          <w:szCs w:val="24"/>
          <w:color w:val="auto"/>
        </w:rPr>
      </w:pPr>
    </w:p>
    <w:tbl>
      <w:tblPr>
        <w:tblLayout w:type="fixed"/>
        <w:tblInd w:w="670" w:type="dxa"/>
        <w:tblCellMar>
          <w:top w:w="0" w:type="dxa"/>
          <w:left w:w="0" w:type="dxa"/>
          <w:bottom w:w="0" w:type="dxa"/>
          <w:right w:w="0" w:type="dxa"/>
        </w:tblCellMar>
      </w:tblPr>
      <w:tr>
        <w:trPr>
          <w:trHeight w:val="227"/>
        </w:trPr>
        <w:tc>
          <w:tcPr>
            <w:tcW w:w="3320" w:type="dxa"/>
            <w:vAlign w:val="bottom"/>
          </w:tcPr>
          <w:p>
            <w:pPr>
              <w:jc w:val="center"/>
              <w:ind w:left="79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620" w:type="dxa"/>
            <w:vAlign w:val="bottom"/>
          </w:tcPr>
          <w:p>
            <w:pPr>
              <w:jc w:val="right"/>
              <w:ind w:right="1660"/>
              <w:spacing w:after="0"/>
              <w:rPr>
                <w:sz w:val="20"/>
                <w:szCs w:val="20"/>
                <w:color w:val="auto"/>
              </w:rPr>
            </w:pPr>
            <w:r>
              <w:rPr>
                <w:rFonts w:ascii="Times New Roman" w:cs="Times New Roman" w:eastAsia="Times New Roman" w:hAnsi="Times New Roman"/>
                <w:sz w:val="18"/>
                <w:szCs w:val="18"/>
                <w:b w:val="1"/>
                <w:bCs w:val="1"/>
                <w:color w:val="auto"/>
              </w:rPr>
              <w:t>13-2566064</w:t>
            </w:r>
          </w:p>
        </w:tc>
        <w:tc>
          <w:tcPr>
            <w:tcW w:w="0" w:type="dxa"/>
            <w:vAlign w:val="bottom"/>
          </w:tcPr>
          <w:p>
            <w:pPr>
              <w:spacing w:after="0"/>
              <w:rPr>
                <w:sz w:val="1"/>
                <w:szCs w:val="1"/>
                <w:color w:val="auto"/>
              </w:rPr>
            </w:pPr>
          </w:p>
        </w:tc>
      </w:tr>
      <w:tr>
        <w:trPr>
          <w:trHeight w:val="162"/>
        </w:trPr>
        <w:tc>
          <w:tcPr>
            <w:tcW w:w="3320" w:type="dxa"/>
            <w:vAlign w:val="bottom"/>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6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320" w:type="dxa"/>
            <w:vAlign w:val="bottom"/>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66"/>
        </w:trPr>
        <w:tc>
          <w:tcPr>
            <w:tcW w:w="3320" w:type="dxa"/>
            <w:vAlign w:val="bottom"/>
          </w:tcPr>
          <w:p>
            <w:pPr>
              <w:jc w:val="center"/>
              <w:ind w:left="797"/>
              <w:spacing w:after="0"/>
              <w:rPr>
                <w:sz w:val="20"/>
                <w:szCs w:val="20"/>
                <w:color w:val="auto"/>
              </w:rPr>
            </w:pPr>
            <w:r>
              <w:rPr>
                <w:rFonts w:ascii="Times New Roman" w:cs="Times New Roman" w:eastAsia="Times New Roman" w:hAnsi="Times New Roman"/>
                <w:sz w:val="18"/>
                <w:szCs w:val="18"/>
                <w:b w:val="1"/>
                <w:bCs w:val="1"/>
                <w:color w:val="auto"/>
                <w:w w:val="99"/>
              </w:rPr>
              <w:t>14651 North Dallas Parkway</w:t>
            </w:r>
          </w:p>
        </w:tc>
        <w:tc>
          <w:tcPr>
            <w:tcW w:w="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20" w:type="dxa"/>
            <w:vAlign w:val="bottom"/>
          </w:tcPr>
          <w:p>
            <w:pPr>
              <w:jc w:val="center"/>
              <w:ind w:left="797"/>
              <w:spacing w:after="0" w:line="189" w:lineRule="exact"/>
              <w:rPr>
                <w:sz w:val="20"/>
                <w:szCs w:val="20"/>
                <w:color w:val="auto"/>
              </w:rPr>
            </w:pPr>
            <w:r>
              <w:rPr>
                <w:rFonts w:ascii="Times New Roman" w:cs="Times New Roman" w:eastAsia="Times New Roman" w:hAnsi="Times New Roman"/>
                <w:sz w:val="18"/>
                <w:szCs w:val="18"/>
                <w:b w:val="1"/>
                <w:bCs w:val="1"/>
                <w:color w:val="auto"/>
              </w:rPr>
              <w:t>Suite 500</w:t>
            </w:r>
          </w:p>
        </w:tc>
        <w:tc>
          <w:tcPr>
            <w:tcW w:w="2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20" w:type="dxa"/>
            <w:vAlign w:val="bottom"/>
            <w:vMerge w:val="restart"/>
          </w:tcPr>
          <w:p>
            <w:pPr>
              <w:jc w:val="right"/>
              <w:ind w:right="1860"/>
              <w:spacing w:after="0"/>
              <w:rPr>
                <w:sz w:val="20"/>
                <w:szCs w:val="20"/>
                <w:color w:val="auto"/>
              </w:rPr>
            </w:pPr>
            <w:r>
              <w:rPr>
                <w:rFonts w:ascii="Times New Roman" w:cs="Times New Roman" w:eastAsia="Times New Roman" w:hAnsi="Times New Roman"/>
                <w:sz w:val="18"/>
                <w:szCs w:val="18"/>
                <w:b w:val="1"/>
                <w:bCs w:val="1"/>
                <w:color w:val="auto"/>
              </w:rPr>
              <w:t>75254</w:t>
            </w:r>
          </w:p>
        </w:tc>
        <w:tc>
          <w:tcPr>
            <w:tcW w:w="0" w:type="dxa"/>
            <w:vAlign w:val="bottom"/>
          </w:tcPr>
          <w:p>
            <w:pPr>
              <w:spacing w:after="0"/>
              <w:rPr>
                <w:sz w:val="1"/>
                <w:szCs w:val="1"/>
                <w:color w:val="auto"/>
              </w:rPr>
            </w:pPr>
          </w:p>
        </w:tc>
      </w:tr>
      <w:tr>
        <w:trPr>
          <w:trHeight w:val="227"/>
        </w:trPr>
        <w:tc>
          <w:tcPr>
            <w:tcW w:w="3320" w:type="dxa"/>
            <w:vAlign w:val="bottom"/>
          </w:tcPr>
          <w:p>
            <w:pPr>
              <w:jc w:val="center"/>
              <w:ind w:left="837"/>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320" w:type="dxa"/>
            <w:vAlign w:val="bottom"/>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15"/>
        </w:trPr>
        <w:tc>
          <w:tcPr>
            <w:tcW w:w="10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(214) 357-6181</w:t>
            </w:r>
          </w:p>
        </w:tc>
        <w:tc>
          <w:tcPr>
            <w:tcW w:w="0" w:type="dxa"/>
            <w:vAlign w:val="bottom"/>
          </w:tcPr>
          <w:p>
            <w:pPr>
              <w:spacing w:after="0"/>
              <w:rPr>
                <w:sz w:val="1"/>
                <w:szCs w:val="1"/>
                <w:color w:val="auto"/>
              </w:rPr>
            </w:pPr>
          </w:p>
        </w:tc>
      </w:tr>
      <w:tr>
        <w:trPr>
          <w:trHeight w:val="299"/>
        </w:trPr>
        <w:tc>
          <w:tcPr>
            <w:tcW w:w="33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192"/>
        </w:trPr>
        <w:tc>
          <w:tcPr>
            <w:tcW w:w="3320" w:type="dxa"/>
            <w:vAlign w:val="bottom"/>
            <w:tcBorders>
              <w:left w:val="single" w:sz="8" w:color="auto"/>
            </w:tcBorders>
          </w:tcPr>
          <w:p>
            <w:pPr>
              <w:jc w:val="center"/>
              <w:ind w:left="177"/>
              <w:spacing w:after="0"/>
              <w:rPr>
                <w:sz w:val="20"/>
                <w:szCs w:val="20"/>
                <w:color w:val="auto"/>
              </w:rPr>
            </w:pPr>
            <w:r>
              <w:rPr>
                <w:rFonts w:ascii="Times New Roman" w:cs="Times New Roman" w:eastAsia="Times New Roman" w:hAnsi="Times New Roman"/>
                <w:sz w:val="16"/>
                <w:szCs w:val="16"/>
                <w:color w:val="auto"/>
              </w:rPr>
              <w:t>Title of each class</w:t>
            </w:r>
          </w:p>
        </w:tc>
        <w:tc>
          <w:tcPr>
            <w:tcW w:w="24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46"/>
        </w:trPr>
        <w:tc>
          <w:tcPr>
            <w:tcW w:w="332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320" w:type="dxa"/>
            <w:vAlign w:val="bottom"/>
            <w:tcBorders>
              <w:left w:val="single" w:sz="8" w:color="auto"/>
            </w:tcBorders>
          </w:tcPr>
          <w:p>
            <w:pPr>
              <w:jc w:val="center"/>
              <w:ind w:left="177"/>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4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CECE</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9"/>
        </w:trPr>
        <w:tc>
          <w:tcPr>
            <w:tcW w:w="332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20" w:firstLine="26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jc w:val="both"/>
        <w:ind w:right="60" w:firstLine="26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firstLine="26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26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78" w:lineRule="exact"/>
        <w:rPr>
          <w:sz w:val="24"/>
          <w:szCs w:val="24"/>
          <w:color w:val="auto"/>
        </w:rPr>
      </w:pPr>
    </w:p>
    <w:p>
      <w:pPr>
        <w:ind w:right="200" w:firstLine="269"/>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7" w:lineRule="exact"/>
        <w:rPr>
          <w:sz w:val="24"/>
          <w:szCs w:val="24"/>
          <w:color w:val="auto"/>
        </w:rPr>
      </w:pPr>
    </w:p>
    <w:p>
      <w:pPr>
        <w:ind w:left="280"/>
        <w:spacing w:after="0" w:line="207" w:lineRule="exact"/>
        <w:tabs>
          <w:tab w:leader="none" w:pos="92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44" w:lineRule="exact"/>
        <w:rPr>
          <w:sz w:val="24"/>
          <w:szCs w:val="24"/>
          <w:color w:val="auto"/>
        </w:rPr>
      </w:pPr>
    </w:p>
    <w:p>
      <w:pPr>
        <w:ind w:right="80" w:firstLine="269"/>
        <w:spacing w:after="0" w:line="243" w:lineRule="auto"/>
        <w:rPr>
          <w:sz w:val="20"/>
          <w:szCs w:val="20"/>
          <w:color w:val="auto"/>
        </w:rPr>
      </w:pPr>
      <w:r>
        <w:rPr>
          <w:rFonts w:ascii="Times New Roman" w:cs="Times New Roman" w:eastAsia="Times New Roman" w:hAnsi="Times New Roman"/>
          <w:sz w:val="18"/>
          <w:szCs w:val="18"/>
          <w:color w:val="auto"/>
        </w:rPr>
        <w:t>The number of shares outstanding of each of the issuer’s classes of common equity, as of the latest practical date: 34,499,208 shares of common stock, par value $0.01 per share, as of August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346075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49" w:right="379" w:bottom="1440" w:gutter="0" w:footer="0" w:header="0"/>
        </w:sectPr>
      </w:pPr>
    </w:p>
    <w:bookmarkStart w:id="1" w:name="page2"/>
    <w:bookmarkEnd w:id="1"/>
    <w:p>
      <w:pPr>
        <w:ind w:left="310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2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QUARTERLY REPORT ON FORM 10-Q</w:t>
      </w:r>
    </w:p>
    <w:p>
      <w:pPr>
        <w:jc w:val="center"/>
        <w:ind w:left="600"/>
        <w:spacing w:after="0"/>
        <w:rPr>
          <w:sz w:val="20"/>
          <w:szCs w:val="20"/>
          <w:color w:val="auto"/>
        </w:rPr>
      </w:pPr>
      <w:r>
        <w:rPr>
          <w:rFonts w:ascii="Times New Roman" w:cs="Times New Roman" w:eastAsia="Times New Roman" w:hAnsi="Times New Roman"/>
          <w:sz w:val="18"/>
          <w:szCs w:val="18"/>
          <w:color w:val="auto"/>
        </w:rPr>
        <w:t>For the quarter ended June 30, 2022</w:t>
      </w:r>
    </w:p>
    <w:p>
      <w:pPr>
        <w:spacing w:after="0" w:line="8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Part I –</w:t>
      </w:r>
      <w:r>
        <w:rPr>
          <w:sz w:val="20"/>
          <w:szCs w:val="20"/>
          <w:color w:val="auto"/>
        </w:rPr>
        <w:tab/>
      </w:r>
      <w:r>
        <w:rPr>
          <w:rFonts w:ascii="Times New Roman" w:cs="Times New Roman" w:eastAsia="Times New Roman" w:hAnsi="Times New Roman"/>
          <w:sz w:val="17"/>
          <w:szCs w:val="17"/>
          <w:u w:val="single" w:color="auto"/>
          <w:color w:val="0000FF"/>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999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June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38963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96360" cy="8255"/>
                    </a:xfrm>
                    <a:prstGeom prst="rect">
                      <a:avLst/>
                    </a:prstGeom>
                    <a:noFill/>
                  </pic:spPr>
                </pic:pic>
              </a:graphicData>
            </a:graphic>
          </wp:anchor>
        </w:drawing>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Income for the three-month and six-month periods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55499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49900" cy="8255"/>
                    </a:xfrm>
                    <a:prstGeom prst="rect">
                      <a:avLst/>
                    </a:prstGeom>
                    <a:noFill/>
                  </pic:spPr>
                </pic:pic>
              </a:graphicData>
            </a:graphic>
          </wp:anchor>
        </w:drawing>
      </w:r>
    </w:p>
    <w:p>
      <w:pPr>
        <w:spacing w:after="0" w:line="124" w:lineRule="exact"/>
        <w:rPr>
          <w:sz w:val="20"/>
          <w:szCs w:val="20"/>
          <w:color w:val="auto"/>
        </w:rPr>
      </w:pPr>
    </w:p>
    <w:p>
      <w:pPr>
        <w:ind w:left="1340"/>
        <w:spacing w:after="0" w:line="250"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 for the three-month and six-month periods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-149860</wp:posOffset>
            </wp:positionV>
            <wp:extent cx="5616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16575" cy="8890"/>
                    </a:xfrm>
                    <a:prstGeom prst="rect">
                      <a:avLst/>
                    </a:prstGeom>
                    <a:noFill/>
                  </pic:spPr>
                </pic:pic>
              </a:graphicData>
            </a:graphic>
          </wp:anchor>
        </w:drawing>
        <w:drawing>
          <wp:anchor simplePos="0" relativeHeight="251657728" behindDoc="1" locked="0" layoutInCell="0" allowOverlap="1">
            <wp:simplePos x="0" y="0"/>
            <wp:positionH relativeFrom="column">
              <wp:posOffset>848360</wp:posOffset>
            </wp:positionH>
            <wp:positionV relativeFrom="paragraph">
              <wp:posOffset>-29845</wp:posOffset>
            </wp:positionV>
            <wp:extent cx="6788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75" w:lineRule="exact"/>
        <w:rPr>
          <w:sz w:val="20"/>
          <w:szCs w:val="20"/>
          <w:color w:val="auto"/>
        </w:rPr>
      </w:pPr>
    </w:p>
    <w:p>
      <w:pPr>
        <w:ind w:left="1340" w:right="200"/>
        <w:spacing w:after="0" w:line="250"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Shareholders’ Equity for the three-month and six-month periods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-149860</wp:posOffset>
            </wp:positionV>
            <wp:extent cx="54959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95925" cy="8255"/>
                    </a:xfrm>
                    <a:prstGeom prst="rect">
                      <a:avLst/>
                    </a:prstGeom>
                    <a:noFill/>
                  </pic:spPr>
                </pic:pic>
              </a:graphicData>
            </a:graphic>
          </wp:anchor>
        </w:drawing>
        <w:drawing>
          <wp:anchor simplePos="0" relativeHeight="251657728" behindDoc="1" locked="0" layoutInCell="0" allowOverlap="1">
            <wp:simplePos x="0" y="0"/>
            <wp:positionH relativeFrom="column">
              <wp:posOffset>848360</wp:posOffset>
            </wp:positionH>
            <wp:positionV relativeFrom="paragraph">
              <wp:posOffset>-29845</wp:posOffset>
            </wp:positionV>
            <wp:extent cx="678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7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for the six-month periods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4963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25355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44519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51985"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30873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4751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2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Part II –</w:t>
      </w:r>
      <w:r>
        <w:rPr>
          <w:sz w:val="20"/>
          <w:szCs w:val="20"/>
          <w:color w:val="auto"/>
        </w:rPr>
        <w:tab/>
      </w:r>
      <w:r>
        <w:rPr>
          <w:rFonts w:ascii="Times New Roman" w:cs="Times New Roman" w:eastAsia="Times New Roman" w:hAnsi="Times New Roman"/>
          <w:sz w:val="17"/>
          <w:szCs w:val="17"/>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8343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1995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009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3112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827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7530"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475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1868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732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82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2">
            <w:col w:w="10140" w:space="420"/>
            <w:col w:w="180"/>
          </w:cols>
          <w:pgMar w:left="580" w:top="320" w:right="5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300" w:type="dxa"/>
            <w:vAlign w:val="bottom"/>
          </w:tcPr>
          <w:p>
            <w:pPr>
              <w:spacing w:after="0"/>
              <w:rPr>
                <w:sz w:val="16"/>
                <w:szCs w:val="16"/>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7360" w:type="dxa"/>
            <w:vAlign w:val="bottom"/>
            <w:shd w:val="clear" w:color="auto" w:fill="CFF0FC"/>
          </w:tcPr>
          <w:p>
            <w:pPr>
              <w:ind w:left="3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29,902</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95,318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74,991</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51,429</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3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189,011</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185,795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161,183</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25,841</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3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481,729</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60" w:type="dxa"/>
            <w:vAlign w:val="bottom"/>
            <w:shd w:val="clear" w:color="auto" w:fill="CFF0FC"/>
          </w:tcPr>
          <w:p>
            <w:pPr>
              <w:ind w:left="16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84,081</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28,908</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 payable - current</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116,685</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Pr>
          <w:p>
            <w:pPr>
              <w:spacing w:after="0"/>
              <w:rPr>
                <w:sz w:val="18"/>
                <w:szCs w:val="18"/>
                <w:color w:val="auto"/>
              </w:rPr>
            </w:pPr>
          </w:p>
        </w:tc>
      </w:tr>
      <w:tr>
        <w:trPr>
          <w:trHeight w:val="210"/>
        </w:trPr>
        <w:tc>
          <w:tcPr>
            <w:tcW w:w="7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271,268</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30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36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$.01 par value; 100,000,000 shares authorized, 34,534,180 and</w:t>
            </w:r>
          </w:p>
        </w:tc>
        <w:tc>
          <w:tcPr>
            <w:tcW w:w="3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3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35,028,197 shares issued and outstanding at June 30, 2022 and</w:t>
            </w:r>
          </w:p>
        </w:tc>
        <w:tc>
          <w:tcPr>
            <w:tcW w:w="3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3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spacing w:after="0"/>
              <w:rPr>
                <w:sz w:val="20"/>
                <w:szCs w:val="20"/>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252,989</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loss</w:t>
            </w:r>
          </w:p>
        </w:tc>
        <w:tc>
          <w:tcPr>
            <w:tcW w:w="3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(29,538 )</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(36,715 )</w:t>
            </w: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(15,567 )</w:t>
            </w:r>
          </w:p>
        </w:tc>
        <w:tc>
          <w:tcPr>
            <w:tcW w:w="20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(12,070 )</w:t>
            </w:r>
          </w:p>
        </w:tc>
      </w:tr>
      <w:tr>
        <w:trPr>
          <w:trHeight w:val="209"/>
        </w:trPr>
        <w:tc>
          <w:tcPr>
            <w:tcW w:w="7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30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205,502</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204,554</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18"/>
                <w:szCs w:val="18"/>
                <w:color w:val="auto"/>
              </w:rPr>
            </w:pPr>
          </w:p>
        </w:tc>
      </w:tr>
      <w:tr>
        <w:trPr>
          <w:trHeight w:val="210"/>
        </w:trPr>
        <w:tc>
          <w:tcPr>
            <w:tcW w:w="7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210,461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481,729</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-4885690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-4885690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-3779520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-2647950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-1807845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6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105,375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197,811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150,572</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139,708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100,910</w:t>
            </w:r>
          </w:p>
        </w:tc>
        <w:tc>
          <w:tcPr>
            <w:tcW w:w="100" w:type="dxa"/>
            <w:vAlign w:val="bottom"/>
          </w:tcPr>
          <w:p>
            <w:pPr>
              <w:spacing w:after="0"/>
              <w:rPr>
                <w:sz w:val="18"/>
                <w:szCs w:val="18"/>
                <w:color w:val="auto"/>
              </w:rPr>
            </w:pPr>
          </w:p>
        </w:tc>
      </w:tr>
      <w:tr>
        <w:trPr>
          <w:trHeight w:val="209"/>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49,662</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39,965</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(860 )</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(1,339 )</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(1,098 )</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(704 )</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(1,920 )</w:t>
            </w: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(1,430 )</w:t>
            </w:r>
          </w:p>
        </w:tc>
      </w:tr>
      <w:tr>
        <w:trPr>
          <w:trHeight w:val="210"/>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r>
      <w:tr>
        <w:trPr>
          <w:trHeight w:val="209"/>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53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6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34,873,238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35,491,725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34,961,645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35,444,477</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35,041,152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35,819,269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35,119,685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35,797,001</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-2013585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-2013585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-2013585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-882015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-882015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-882015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-599440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-582295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-599440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-582295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-599440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-582295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7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4"/>
              </w:rPr>
              <w:t>(2,966 )</w:t>
            </w: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(3,497 )</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18"/>
                <w:szCs w:val="18"/>
                <w:color w:val="auto"/>
              </w:rPr>
            </w:pPr>
          </w:p>
        </w:tc>
      </w:tr>
      <w:tr>
        <w:trPr>
          <w:trHeight w:val="209"/>
        </w:trPr>
        <w:tc>
          <w:tcPr>
            <w:tcW w:w="5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7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60" w:type="dxa"/>
            <w:vAlign w:val="bottom"/>
            <w:tcBorders>
              <w:top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3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FF0FC"/>
            </w:tcBorders>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-454025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-454025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-454025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-170815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560" w:type="dxa"/>
            <w:vAlign w:val="bottom"/>
            <w:gridSpan w:val="64"/>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40" w:type="dxa"/>
            <w:vAlign w:val="bottom"/>
          </w:tcPr>
          <w:p>
            <w:pPr>
              <w:spacing w:after="0"/>
              <w:rPr>
                <w:sz w:val="12"/>
                <w:szCs w:val="12"/>
                <w:color w:val="auto"/>
              </w:rPr>
            </w:pPr>
          </w:p>
        </w:tc>
        <w:tc>
          <w:tcPr>
            <w:tcW w:w="940" w:type="dxa"/>
            <w:vAlign w:val="bottom"/>
            <w:gridSpan w:val="8"/>
            <w:vMerge w:val="restart"/>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7"/>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12"/>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6"/>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8"/>
            <w:vMerge w:val="continue"/>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9"/>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13"/>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60" w:type="dxa"/>
            <w:vAlign w:val="bottom"/>
            <w:gridSpan w:val="5"/>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Shareholder</w:t>
            </w: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1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5"/>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5"/>
          </w:tcPr>
          <w:p>
            <w:pPr>
              <w:jc w:val="center"/>
              <w:ind w:right="353"/>
              <w:spacing w:after="0"/>
              <w:rPr>
                <w:sz w:val="20"/>
                <w:szCs w:val="20"/>
                <w:color w:val="auto"/>
              </w:rPr>
            </w:pPr>
            <w:r>
              <w:rPr>
                <w:rFonts w:ascii="Times New Roman" w:cs="Times New Roman" w:eastAsia="Times New Roman" w:hAnsi="Times New Roman"/>
                <w:sz w:val="13"/>
                <w:szCs w:val="13"/>
                <w:b w:val="1"/>
                <w:bCs w:val="1"/>
                <w:color w:val="auto"/>
              </w:rPr>
              <w:t>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6"/>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13"/>
            <w:vMerge w:val="continue"/>
          </w:tcPr>
          <w:p>
            <w:pPr>
              <w:spacing w:after="0"/>
              <w:rPr>
                <w:sz w:val="15"/>
                <w:szCs w:val="15"/>
                <w:color w:val="auto"/>
              </w:rPr>
            </w:pPr>
          </w:p>
        </w:tc>
        <w:tc>
          <w:tcPr>
            <w:tcW w:w="96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w:t>
            </w: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5"/>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4"/>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6"/>
          </w:tcPr>
          <w:p>
            <w:pPr>
              <w:jc w:val="center"/>
              <w:ind w:right="273"/>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6"/>
          </w:tcPr>
          <w:p>
            <w:pPr>
              <w:jc w:val="center"/>
              <w:ind w:right="48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5"/>
          </w:tcPr>
          <w:p>
            <w:pPr>
              <w:jc w:val="right"/>
              <w:ind w:right="19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4"/>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4"/>
          </w:tcPr>
          <w:p>
            <w:pPr>
              <w:jc w:val="center"/>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1"/>
                <w:szCs w:val="11"/>
                <w:color w:val="auto"/>
              </w:rPr>
            </w:pPr>
          </w:p>
        </w:tc>
        <w:tc>
          <w:tcPr>
            <w:tcW w:w="740" w:type="dxa"/>
            <w:vAlign w:val="bottom"/>
            <w:gridSpan w:val="4"/>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2780" w:type="dxa"/>
            <w:vAlign w:val="bottom"/>
            <w:gridSpan w:val="2"/>
          </w:tcPr>
          <w:p>
            <w:pPr>
              <w:spacing w:after="0" w:line="20" w:lineRule="exact"/>
              <w:rPr>
                <w:sz w:val="1"/>
                <w:szCs w:val="1"/>
                <w:color w:val="auto"/>
              </w:rPr>
            </w:pPr>
          </w:p>
        </w:tc>
        <w:tc>
          <w:tcPr>
            <w:tcW w:w="400" w:type="dxa"/>
            <w:vAlign w:val="bottom"/>
            <w:tcBorders>
              <w:top w:val="single" w:sz="8" w:color="auto"/>
            </w:tcBorders>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80" w:type="dxa"/>
            <w:vAlign w:val="bottom"/>
            <w:tcBorders>
              <w:top w:val="single" w:sz="8" w:color="auto"/>
            </w:tcBorders>
            <w:gridSpan w:val="2"/>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540" w:type="dxa"/>
            <w:vAlign w:val="bottom"/>
            <w:tcBorders>
              <w:top w:val="single" w:sz="8" w:color="auto"/>
            </w:tcBorders>
            <w:gridSpan w:val="2"/>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60" w:type="dxa"/>
            <w:vAlign w:val="bottom"/>
            <w:tcBorders>
              <w:top w:val="single" w:sz="8" w:color="auto"/>
            </w:tcBorders>
            <w:gridSpan w:val="2"/>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80" w:type="dxa"/>
            <w:vAlign w:val="bottom"/>
            <w:tcBorders>
              <w:top w:val="single" w:sz="8" w:color="auto"/>
            </w:tcBorders>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400" w:type="dxa"/>
            <w:vAlign w:val="bottom"/>
            <w:tcBorders>
              <w:top w:val="single" w:sz="8" w:color="auto"/>
            </w:tcBorders>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80" w:type="dxa"/>
            <w:vAlign w:val="bottom"/>
            <w:tcBorders>
              <w:top w:val="single" w:sz="8" w:color="auto"/>
            </w:tcBorders>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2020</w:t>
            </w:r>
          </w:p>
        </w:tc>
        <w:tc>
          <w:tcPr>
            <w:tcW w:w="68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35,505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355</w:t>
            </w:r>
          </w:p>
        </w:tc>
        <w:tc>
          <w:tcPr>
            <w:tcW w:w="200" w:type="dxa"/>
            <w:vAlign w:val="bottom"/>
            <w:shd w:val="clear" w:color="auto" w:fill="CFF0FC"/>
          </w:tcPr>
          <w:p>
            <w:pPr>
              <w:spacing w:after="0"/>
              <w:rPr>
                <w:sz w:val="15"/>
                <w:szCs w:val="15"/>
                <w:color w:val="auto"/>
              </w:rPr>
            </w:pPr>
          </w:p>
        </w:tc>
        <w:tc>
          <w:tcPr>
            <w:tcW w:w="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255,296</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7"/>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(38,141 )</w:t>
            </w:r>
          </w:p>
        </w:tc>
        <w:tc>
          <w:tcPr>
            <w:tcW w:w="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(14,496 )</w:t>
            </w:r>
          </w:p>
        </w:tc>
        <w:tc>
          <w:tcPr>
            <w:tcW w:w="100" w:type="dxa"/>
            <w:vAlign w:val="bottom"/>
            <w:shd w:val="clear" w:color="auto" w:fill="CFF0FC"/>
          </w:tcPr>
          <w:p>
            <w:pPr>
              <w:spacing w:after="0"/>
              <w:rPr>
                <w:sz w:val="15"/>
                <w:szCs w:val="15"/>
                <w:color w:val="auto"/>
              </w:rPr>
            </w:pPr>
          </w:p>
        </w:tc>
        <w:tc>
          <w:tcPr>
            <w:tcW w:w="800" w:type="dxa"/>
            <w:vAlign w:val="bottom"/>
            <w:gridSpan w:val="7"/>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(138 )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953</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203,611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720" w:type="dxa"/>
            <w:vAlign w:val="bottom"/>
            <w:gridSpan w:val="25"/>
          </w:tcPr>
          <w:p>
            <w:pPr>
              <w:ind w:left="20"/>
              <w:spacing w:after="0" w:line="136" w:lineRule="exact"/>
              <w:rPr>
                <w:sz w:val="20"/>
                <w:szCs w:val="20"/>
                <w:color w:val="auto"/>
              </w:rPr>
            </w:pPr>
            <w:r>
              <w:rPr>
                <w:rFonts w:ascii="Times New Roman" w:cs="Times New Roman" w:eastAsia="Times New Roman" w:hAnsi="Times New Roman"/>
                <w:sz w:val="13"/>
                <w:szCs w:val="13"/>
                <w:color w:val="auto"/>
              </w:rPr>
              <w:t>Net income for the three months ended March</w:t>
            </w:r>
          </w:p>
        </w:tc>
        <w:tc>
          <w:tcPr>
            <w:tcW w:w="3820" w:type="dxa"/>
            <w:vAlign w:val="bottom"/>
            <w:gridSpan w:val="33"/>
          </w:tcPr>
          <w:p>
            <w:pPr>
              <w:jc w:val="right"/>
              <w:ind w:right="3133"/>
              <w:spacing w:after="0" w:line="136" w:lineRule="exact"/>
              <w:rPr>
                <w:sz w:val="20"/>
                <w:szCs w:val="20"/>
                <w:color w:val="auto"/>
              </w:rPr>
            </w:pPr>
            <w:r>
              <w:rPr>
                <w:rFonts w:ascii="Times New Roman" w:cs="Times New Roman" w:eastAsia="Times New Roman" w:hAnsi="Times New Roman"/>
                <w:sz w:val="13"/>
                <w:szCs w:val="13"/>
                <w:color w:val="auto"/>
              </w:rPr>
              <w:t>1,181</w:t>
            </w:r>
          </w:p>
        </w:tc>
        <w:tc>
          <w:tcPr>
            <w:tcW w:w="960" w:type="dxa"/>
            <w:vAlign w:val="bottom"/>
            <w:gridSpan w:val="5"/>
          </w:tcPr>
          <w:p>
            <w:pPr>
              <w:jc w:val="right"/>
              <w:ind w:right="273"/>
              <w:spacing w:after="0" w:line="136" w:lineRule="exact"/>
              <w:rPr>
                <w:sz w:val="20"/>
                <w:szCs w:val="20"/>
                <w:color w:val="auto"/>
              </w:rPr>
            </w:pPr>
            <w:r>
              <w:rPr>
                <w:rFonts w:ascii="Times New Roman" w:cs="Times New Roman" w:eastAsia="Times New Roman" w:hAnsi="Times New Roman"/>
                <w:sz w:val="13"/>
                <w:szCs w:val="13"/>
                <w:color w:val="auto"/>
              </w:rPr>
              <w:t>117</w:t>
            </w:r>
          </w:p>
        </w:tc>
        <w:tc>
          <w:tcPr>
            <w:tcW w:w="740" w:type="dxa"/>
            <w:vAlign w:val="bottom"/>
            <w:gridSpan w:val="4"/>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1,298</w:t>
            </w:r>
          </w:p>
        </w:tc>
        <w:tc>
          <w:tcPr>
            <w:tcW w:w="0" w:type="dxa"/>
            <w:vAlign w:val="bottom"/>
          </w:tcPr>
          <w:p>
            <w:pPr>
              <w:spacing w:after="0"/>
              <w:rPr>
                <w:sz w:val="1"/>
                <w:szCs w:val="1"/>
                <w:color w:val="auto"/>
              </w:rPr>
            </w:pPr>
          </w:p>
        </w:tc>
      </w:tr>
      <w:tr>
        <w:trPr>
          <w:trHeight w:val="175"/>
        </w:trPr>
        <w:tc>
          <w:tcPr>
            <w:tcW w:w="11240" w:type="dxa"/>
            <w:vAlign w:val="bottom"/>
            <w:gridSpan w:val="67"/>
          </w:tcPr>
          <w:p>
            <w:pPr>
              <w:ind w:left="20"/>
              <w:spacing w:after="0"/>
              <w:rPr>
                <w:sz w:val="20"/>
                <w:szCs w:val="20"/>
                <w:color w:val="auto"/>
              </w:rPr>
            </w:pPr>
            <w:r>
              <w:rPr>
                <w:rFonts w:ascii="Times New Roman" w:cs="Times New Roman" w:eastAsia="Times New Roman" w:hAnsi="Times New Roman"/>
                <w:sz w:val="13"/>
                <w:szCs w:val="13"/>
                <w:color w:val="auto"/>
              </w:rPr>
              <w:t>31, 2021</w:t>
            </w: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8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8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6"/>
          </w:tcPr>
          <w:p>
            <w:pPr>
              <w:jc w:val="right"/>
              <w:ind w:right="120"/>
              <w:spacing w:after="0"/>
              <w:rPr>
                <w:sz w:val="20"/>
                <w:szCs w:val="20"/>
                <w:color w:val="auto"/>
              </w:rPr>
            </w:pPr>
            <w:r>
              <w:rPr>
                <w:rFonts w:ascii="Times New Roman" w:cs="Times New Roman" w:eastAsia="Times New Roman" w:hAnsi="Times New Roman"/>
                <w:sz w:val="13"/>
                <w:szCs w:val="13"/>
                <w:color w:val="auto"/>
              </w:rPr>
              <w:t>(134 )</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(133 )</w:t>
            </w: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68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8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807</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loss</w:t>
            </w:r>
          </w:p>
        </w:tc>
        <w:tc>
          <w:tcPr>
            <w:tcW w:w="680" w:type="dxa"/>
            <w:vAlign w:val="bottom"/>
            <w:tcBorders>
              <w:bottom w:val="single" w:sz="8" w:color="auto"/>
            </w:tcBorders>
            <w:gridSpan w:val="5"/>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gridSpan w:val="6"/>
          </w:tcPr>
          <w:p>
            <w:pPr>
              <w:spacing w:after="0"/>
              <w:rPr>
                <w:sz w:val="15"/>
                <w:szCs w:val="15"/>
                <w:color w:val="auto"/>
              </w:rPr>
            </w:pPr>
          </w:p>
        </w:tc>
        <w:tc>
          <w:tcPr>
            <w:tcW w:w="240" w:type="dxa"/>
            <w:vAlign w:val="bottom"/>
            <w:gridSpan w:val="2"/>
          </w:tcPr>
          <w:p>
            <w:pPr>
              <w:spacing w:after="0"/>
              <w:rPr>
                <w:sz w:val="15"/>
                <w:szCs w:val="15"/>
                <w:color w:val="auto"/>
              </w:rPr>
            </w:pPr>
          </w:p>
        </w:tc>
        <w:tc>
          <w:tcPr>
            <w:tcW w:w="760" w:type="dxa"/>
            <w:vAlign w:val="bottom"/>
            <w:tcBorders>
              <w:bottom w:val="single" w:sz="8" w:color="auto"/>
            </w:tcBorders>
            <w:gridSpan w:val="7"/>
          </w:tcPr>
          <w:p>
            <w:pPr>
              <w:spacing w:after="0"/>
              <w:rPr>
                <w:sz w:val="15"/>
                <w:szCs w:val="15"/>
                <w:color w:val="auto"/>
              </w:rPr>
            </w:pPr>
          </w:p>
        </w:tc>
        <w:tc>
          <w:tcPr>
            <w:tcW w:w="220" w:type="dxa"/>
            <w:vAlign w:val="bottom"/>
            <w:gridSpan w:val="2"/>
          </w:tcPr>
          <w:p>
            <w:pPr>
              <w:spacing w:after="0"/>
              <w:rPr>
                <w:sz w:val="15"/>
                <w:szCs w:val="15"/>
                <w:color w:val="auto"/>
              </w:rPr>
            </w:pPr>
          </w:p>
        </w:tc>
        <w:tc>
          <w:tcPr>
            <w:tcW w:w="800" w:type="dxa"/>
            <w:vAlign w:val="bottom"/>
            <w:tcBorders>
              <w:bottom w:val="single" w:sz="8" w:color="auto"/>
            </w:tcBorders>
            <w:gridSpan w:val="7"/>
          </w:tcPr>
          <w:p>
            <w:pPr>
              <w:spacing w:after="0"/>
              <w:rPr>
                <w:sz w:val="15"/>
                <w:szCs w:val="15"/>
                <w:color w:val="auto"/>
              </w:rPr>
            </w:pPr>
          </w:p>
        </w:tc>
        <w:tc>
          <w:tcPr>
            <w:tcW w:w="200" w:type="dxa"/>
            <w:vAlign w:val="bottom"/>
            <w:gridSpan w:val="2"/>
          </w:tcPr>
          <w:p>
            <w:pPr>
              <w:spacing w:after="0"/>
              <w:rPr>
                <w:sz w:val="15"/>
                <w:szCs w:val="15"/>
                <w:color w:val="auto"/>
              </w:rPr>
            </w:pPr>
          </w:p>
        </w:tc>
        <w:tc>
          <w:tcPr>
            <w:tcW w:w="840" w:type="dxa"/>
            <w:vAlign w:val="bottom"/>
            <w:tcBorders>
              <w:bottom w:val="single" w:sz="8" w:color="auto"/>
            </w:tcBorders>
            <w:gridSpan w:val="7"/>
          </w:tcPr>
          <w:p>
            <w:pPr>
              <w:jc w:val="right"/>
              <w:ind w:right="773"/>
              <w:spacing w:after="0"/>
              <w:rPr>
                <w:sz w:val="20"/>
                <w:szCs w:val="20"/>
                <w:color w:val="auto"/>
              </w:rPr>
            </w:pPr>
            <w:r>
              <w:rPr>
                <w:rFonts w:ascii="Times New Roman" w:cs="Times New Roman" w:eastAsia="Times New Roman" w:hAnsi="Times New Roman"/>
                <w:sz w:val="13"/>
                <w:szCs w:val="13"/>
                <w:color w:val="auto"/>
              </w:rPr>
              <w:t>55</w:t>
            </w:r>
          </w:p>
        </w:tc>
        <w:tc>
          <w:tcPr>
            <w:tcW w:w="200" w:type="dxa"/>
            <w:vAlign w:val="bottom"/>
            <w:gridSpan w:val="2"/>
          </w:tcPr>
          <w:p>
            <w:pPr>
              <w:spacing w:after="0"/>
              <w:rPr>
                <w:sz w:val="15"/>
                <w:szCs w:val="15"/>
                <w:color w:val="auto"/>
              </w:rPr>
            </w:pPr>
          </w:p>
        </w:tc>
        <w:tc>
          <w:tcPr>
            <w:tcW w:w="660" w:type="dxa"/>
            <w:vAlign w:val="bottom"/>
            <w:tcBorders>
              <w:bottom w:val="single" w:sz="8" w:color="auto"/>
            </w:tcBorders>
            <w:gridSpan w:val="6"/>
          </w:tcPr>
          <w:p>
            <w:pPr>
              <w:spacing w:after="0"/>
              <w:rPr>
                <w:sz w:val="15"/>
                <w:szCs w:val="15"/>
                <w:color w:val="auto"/>
              </w:rPr>
            </w:pPr>
          </w:p>
        </w:tc>
        <w:tc>
          <w:tcPr>
            <w:tcW w:w="220" w:type="dxa"/>
            <w:vAlign w:val="bottom"/>
            <w:gridSpan w:val="2"/>
          </w:tcPr>
          <w:p>
            <w:pPr>
              <w:spacing w:after="0"/>
              <w:rPr>
                <w:sz w:val="15"/>
                <w:szCs w:val="15"/>
                <w:color w:val="auto"/>
              </w:rPr>
            </w:pPr>
          </w:p>
        </w:tc>
        <w:tc>
          <w:tcPr>
            <w:tcW w:w="740" w:type="dxa"/>
            <w:vAlign w:val="bottom"/>
            <w:tcBorders>
              <w:bottom w:val="single" w:sz="8" w:color="auto"/>
            </w:tcBorders>
            <w:gridSpan w:val="5"/>
          </w:tcPr>
          <w:p>
            <w:pPr>
              <w:spacing w:after="0"/>
              <w:rPr>
                <w:sz w:val="15"/>
                <w:szCs w:val="15"/>
                <w:color w:val="auto"/>
              </w:rPr>
            </w:pPr>
          </w:p>
        </w:tc>
        <w:tc>
          <w:tcPr>
            <w:tcW w:w="200" w:type="dxa"/>
            <w:vAlign w:val="bottom"/>
            <w:gridSpan w:val="2"/>
          </w:tcPr>
          <w:p>
            <w:pPr>
              <w:spacing w:after="0"/>
              <w:rPr>
                <w:sz w:val="15"/>
                <w:szCs w:val="15"/>
                <w:color w:val="auto"/>
              </w:rPr>
            </w:pPr>
          </w:p>
        </w:tc>
        <w:tc>
          <w:tcPr>
            <w:tcW w:w="760" w:type="dxa"/>
            <w:vAlign w:val="bottom"/>
            <w:tcBorders>
              <w:bottom w:val="single" w:sz="8" w:color="auto"/>
            </w:tcBorders>
            <w:gridSpan w:val="4"/>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March 31, 2021</w:t>
            </w:r>
          </w:p>
        </w:tc>
        <w:tc>
          <w:tcPr>
            <w:tcW w:w="680" w:type="dxa"/>
            <w:vAlign w:val="bottom"/>
            <w:tcBorders>
              <w:bottom w:val="single" w:sz="8" w:color="auto"/>
            </w:tcBorders>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35,568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356</w:t>
            </w: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255,982</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gridSpan w:val="6"/>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(36,960</w:t>
            </w:r>
          </w:p>
        </w:tc>
        <w:tc>
          <w:tcPr>
            <w:tcW w:w="14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gridSpan w:val="6"/>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(14,441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gridSpan w:val="6"/>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4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1,070</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205,651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5720" w:type="dxa"/>
            <w:vAlign w:val="bottom"/>
            <w:gridSpan w:val="25"/>
          </w:tcPr>
          <w:p>
            <w:pPr>
              <w:ind w:left="20"/>
              <w:spacing w:after="0" w:line="117" w:lineRule="exact"/>
              <w:rPr>
                <w:sz w:val="20"/>
                <w:szCs w:val="20"/>
                <w:color w:val="auto"/>
              </w:rPr>
            </w:pPr>
            <w:r>
              <w:rPr>
                <w:rFonts w:ascii="Times New Roman" w:cs="Times New Roman" w:eastAsia="Times New Roman" w:hAnsi="Times New Roman"/>
                <w:sz w:val="13"/>
                <w:szCs w:val="13"/>
                <w:color w:val="auto"/>
              </w:rPr>
              <w:t>Net income for the three months ended June</w:t>
            </w:r>
          </w:p>
        </w:tc>
        <w:tc>
          <w:tcPr>
            <w:tcW w:w="3820" w:type="dxa"/>
            <w:vAlign w:val="bottom"/>
            <w:gridSpan w:val="33"/>
          </w:tcPr>
          <w:p>
            <w:pPr>
              <w:jc w:val="right"/>
              <w:ind w:right="3133"/>
              <w:spacing w:after="0" w:line="117" w:lineRule="exact"/>
              <w:rPr>
                <w:sz w:val="20"/>
                <w:szCs w:val="20"/>
                <w:color w:val="auto"/>
              </w:rPr>
            </w:pPr>
            <w:r>
              <w:rPr>
                <w:rFonts w:ascii="Times New Roman" w:cs="Times New Roman" w:eastAsia="Times New Roman" w:hAnsi="Times New Roman"/>
                <w:sz w:val="13"/>
                <w:szCs w:val="13"/>
                <w:color w:val="auto"/>
              </w:rPr>
              <w:t>293</w:t>
            </w:r>
          </w:p>
        </w:tc>
        <w:tc>
          <w:tcPr>
            <w:tcW w:w="960" w:type="dxa"/>
            <w:vAlign w:val="bottom"/>
            <w:gridSpan w:val="5"/>
          </w:tcPr>
          <w:p>
            <w:pPr>
              <w:jc w:val="right"/>
              <w:ind w:right="273"/>
              <w:spacing w:after="0" w:line="117" w:lineRule="exact"/>
              <w:rPr>
                <w:sz w:val="20"/>
                <w:szCs w:val="20"/>
                <w:color w:val="auto"/>
              </w:rPr>
            </w:pPr>
            <w:r>
              <w:rPr>
                <w:rFonts w:ascii="Times New Roman" w:cs="Times New Roman" w:eastAsia="Times New Roman" w:hAnsi="Times New Roman"/>
                <w:sz w:val="13"/>
                <w:szCs w:val="13"/>
                <w:color w:val="auto"/>
              </w:rPr>
              <w:t>89</w:t>
            </w:r>
          </w:p>
        </w:tc>
        <w:tc>
          <w:tcPr>
            <w:tcW w:w="740" w:type="dxa"/>
            <w:vAlign w:val="bottom"/>
            <w:gridSpan w:val="4"/>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382</w:t>
            </w:r>
          </w:p>
        </w:tc>
        <w:tc>
          <w:tcPr>
            <w:tcW w:w="0" w:type="dxa"/>
            <w:vAlign w:val="bottom"/>
          </w:tcPr>
          <w:p>
            <w:pPr>
              <w:spacing w:after="0"/>
              <w:rPr>
                <w:sz w:val="1"/>
                <w:szCs w:val="1"/>
                <w:color w:val="auto"/>
              </w:rPr>
            </w:pPr>
          </w:p>
        </w:tc>
      </w:tr>
      <w:tr>
        <w:trPr>
          <w:trHeight w:val="175"/>
        </w:trPr>
        <w:tc>
          <w:tcPr>
            <w:tcW w:w="11240" w:type="dxa"/>
            <w:vAlign w:val="bottom"/>
            <w:gridSpan w:val="67"/>
          </w:tcPr>
          <w:p>
            <w:pPr>
              <w:ind w:left="20"/>
              <w:spacing w:after="0"/>
              <w:rPr>
                <w:sz w:val="20"/>
                <w:szCs w:val="20"/>
                <w:color w:val="auto"/>
              </w:rPr>
            </w:pPr>
            <w:r>
              <w:rPr>
                <w:rFonts w:ascii="Times New Roman" w:cs="Times New Roman" w:eastAsia="Times New Roman" w:hAnsi="Times New Roman"/>
                <w:sz w:val="13"/>
                <w:szCs w:val="13"/>
                <w:color w:val="auto"/>
              </w:rPr>
              <w:t>30, 2021</w:t>
            </w: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68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181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60" w:type="dxa"/>
            <w:vAlign w:val="bottom"/>
            <w:gridSpan w:val="6"/>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(271 )</w:t>
            </w: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(270 )</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887</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887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80" w:type="dxa"/>
            <w:vAlign w:val="bottom"/>
            <w:gridSpan w:val="3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Translation gain</w:t>
            </w:r>
          </w:p>
        </w:tc>
        <w:tc>
          <w:tcPr>
            <w:tcW w:w="3820" w:type="dxa"/>
            <w:vAlign w:val="bottom"/>
            <w:gridSpan w:val="29"/>
            <w:shd w:val="clear" w:color="auto" w:fill="CFF0FC"/>
          </w:tcPr>
          <w:p>
            <w:pPr>
              <w:jc w:val="right"/>
              <w:ind w:right="3033"/>
              <w:spacing w:after="0"/>
              <w:rPr>
                <w:sz w:val="20"/>
                <w:szCs w:val="20"/>
                <w:color w:val="auto"/>
              </w:rPr>
            </w:pPr>
            <w:r>
              <w:rPr>
                <w:rFonts w:ascii="Times New Roman" w:cs="Times New Roman" w:eastAsia="Times New Roman" w:hAnsi="Times New Roman"/>
                <w:sz w:val="13"/>
                <w:szCs w:val="13"/>
                <w:color w:val="auto"/>
              </w:rPr>
              <w:t>290</w:t>
            </w:r>
          </w:p>
        </w:tc>
        <w:tc>
          <w:tcPr>
            <w:tcW w:w="74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290</w:t>
            </w:r>
          </w:p>
        </w:tc>
        <w:tc>
          <w:tcPr>
            <w:tcW w:w="0" w:type="dxa"/>
            <w:vAlign w:val="bottom"/>
          </w:tcPr>
          <w:p>
            <w:pPr>
              <w:spacing w:after="0"/>
              <w:rPr>
                <w:sz w:val="1"/>
                <w:szCs w:val="1"/>
                <w:color w:val="auto"/>
              </w:rPr>
            </w:pPr>
          </w:p>
        </w:tc>
      </w:tr>
      <w:tr>
        <w:trPr>
          <w:trHeight w:val="175"/>
        </w:trPr>
        <w:tc>
          <w:tcPr>
            <w:tcW w:w="9420" w:type="dxa"/>
            <w:vAlign w:val="bottom"/>
            <w:gridSpan w:val="57"/>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5"/>
          </w:tcPr>
          <w:p>
            <w:pPr>
              <w:jc w:val="right"/>
              <w:ind w:right="193"/>
              <w:spacing w:after="0"/>
              <w:rPr>
                <w:sz w:val="20"/>
                <w:szCs w:val="20"/>
                <w:color w:val="auto"/>
              </w:rPr>
            </w:pPr>
            <w:r>
              <w:rPr>
                <w:rFonts w:ascii="Times New Roman" w:cs="Times New Roman" w:eastAsia="Times New Roman" w:hAnsi="Times New Roman"/>
                <w:sz w:val="13"/>
                <w:szCs w:val="13"/>
                <w:color w:val="auto"/>
              </w:rPr>
              <w:t>(107 )</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(107 )</w:t>
            </w:r>
          </w:p>
        </w:tc>
        <w:tc>
          <w:tcPr>
            <w:tcW w:w="0" w:type="dxa"/>
            <w:vAlign w:val="bottom"/>
          </w:tcPr>
          <w:p>
            <w:pPr>
              <w:spacing w:after="0"/>
              <w:rPr>
                <w:sz w:val="1"/>
                <w:szCs w:val="1"/>
                <w:color w:val="auto"/>
              </w:rPr>
            </w:pPr>
          </w:p>
        </w:tc>
      </w:tr>
      <w:tr>
        <w:trPr>
          <w:trHeight w:val="209"/>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June 30, 2021</w:t>
            </w:r>
          </w:p>
        </w:tc>
        <w:tc>
          <w:tcPr>
            <w:tcW w:w="680" w:type="dxa"/>
            <w:vAlign w:val="bottom"/>
            <w:tcBorders>
              <w:top w:val="single" w:sz="8" w:color="auto"/>
              <w:bottom w:val="single" w:sz="8" w:color="auto"/>
            </w:tcBorders>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35,749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357</w:t>
            </w: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256,598</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gridSpan w:val="6"/>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(36,667</w:t>
            </w:r>
          </w:p>
        </w:tc>
        <w:tc>
          <w:tcPr>
            <w:tcW w:w="14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gridSpan w:val="6"/>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gridSpan w:val="6"/>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4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1,052</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206,833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10560" w:type="dxa"/>
            <w:vAlign w:val="bottom"/>
            <w:gridSpan w:val="64"/>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8"/>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980" w:type="dxa"/>
            <w:vAlign w:val="bottom"/>
            <w:gridSpan w:val="9"/>
            <w:vMerge w:val="restart"/>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8"/>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12"/>
            <w:vMerge w:val="restart"/>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1"/>
                <w:szCs w:val="11"/>
                <w:color w:val="auto"/>
              </w:rPr>
            </w:pPr>
          </w:p>
        </w:tc>
        <w:tc>
          <w:tcPr>
            <w:tcW w:w="940" w:type="dxa"/>
            <w:vAlign w:val="bottom"/>
            <w:gridSpan w:val="8"/>
            <w:vMerge w:val="continue"/>
          </w:tcPr>
          <w:p>
            <w:pPr>
              <w:spacing w:after="0"/>
              <w:rPr>
                <w:sz w:val="11"/>
                <w:szCs w:val="11"/>
                <w:color w:val="auto"/>
              </w:rPr>
            </w:pPr>
          </w:p>
        </w:tc>
        <w:tc>
          <w:tcPr>
            <w:tcW w:w="980" w:type="dxa"/>
            <w:vAlign w:val="bottom"/>
            <w:gridSpan w:val="9"/>
            <w:vMerge w:val="continue"/>
          </w:tcPr>
          <w:p>
            <w:pPr>
              <w:spacing w:after="0"/>
              <w:rPr>
                <w:sz w:val="11"/>
                <w:szCs w:val="11"/>
                <w:color w:val="auto"/>
              </w:rPr>
            </w:pPr>
          </w:p>
        </w:tc>
        <w:tc>
          <w:tcPr>
            <w:tcW w:w="1100" w:type="dxa"/>
            <w:vAlign w:val="bottom"/>
            <w:gridSpan w:val="10"/>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13"/>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60" w:type="dxa"/>
            <w:vAlign w:val="bottom"/>
            <w:gridSpan w:val="5"/>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Shareholder</w:t>
            </w: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1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5"/>
          </w:tcPr>
          <w:p>
            <w:pPr>
              <w:jc w:val="center"/>
              <w:ind w:right="453"/>
              <w:spacing w:after="0"/>
              <w:rPr>
                <w:sz w:val="20"/>
                <w:szCs w:val="20"/>
                <w:color w:val="auto"/>
              </w:rPr>
            </w:pPr>
            <w:r>
              <w:rPr>
                <w:rFonts w:ascii="Times New Roman" w:cs="Times New Roman" w:eastAsia="Times New Roman" w:hAnsi="Times New Roman"/>
                <w:sz w:val="13"/>
                <w:szCs w:val="13"/>
                <w:b w:val="1"/>
                <w:bCs w:val="1"/>
                <w:color w:val="auto"/>
                <w:w w:val="82"/>
              </w:rPr>
              <w:t>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7"/>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ive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13"/>
            <w:vMerge w:val="continue"/>
          </w:tcPr>
          <w:p>
            <w:pPr>
              <w:spacing w:after="0"/>
              <w:rPr>
                <w:sz w:val="15"/>
                <w:szCs w:val="15"/>
                <w:color w:val="auto"/>
              </w:rPr>
            </w:pPr>
          </w:p>
        </w:tc>
        <w:tc>
          <w:tcPr>
            <w:tcW w:w="96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w:t>
            </w: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5"/>
          </w:tcPr>
          <w:p>
            <w:pPr>
              <w:jc w:val="right"/>
              <w:ind w:right="380"/>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4"/>
          </w:tcPr>
          <w:p>
            <w:pPr>
              <w:jc w:val="right"/>
              <w:ind w:right="93"/>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7"/>
          </w:tcPr>
          <w:p>
            <w:pPr>
              <w:jc w:val="right"/>
              <w:ind w:right="340"/>
              <w:spacing w:after="0" w:line="129" w:lineRule="exact"/>
              <w:rPr>
                <w:sz w:val="20"/>
                <w:szCs w:val="20"/>
                <w:color w:val="auto"/>
              </w:rPr>
            </w:pPr>
            <w:r>
              <w:rPr>
                <w:rFonts w:ascii="Times New Roman" w:cs="Times New Roman" w:eastAsia="Times New Roman" w:hAnsi="Times New Roman"/>
                <w:sz w:val="13"/>
                <w:szCs w:val="13"/>
                <w:b w:val="1"/>
                <w:bCs w:val="1"/>
                <w:color w:val="auto"/>
                <w:w w:val="99"/>
              </w:rPr>
              <w:t>par value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7"/>
          </w:tcPr>
          <w:p>
            <w:pPr>
              <w:jc w:val="center"/>
              <w:ind w:right="333"/>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6"/>
          </w:tcPr>
          <w:p>
            <w:pPr>
              <w:jc w:val="center"/>
              <w:ind w:right="393"/>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7"/>
          </w:tcPr>
          <w:p>
            <w:pPr>
              <w:jc w:val="right"/>
              <w:ind w:right="29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4"/>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4"/>
          </w:tcPr>
          <w:p>
            <w:pPr>
              <w:jc w:val="center"/>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1"/>
                <w:szCs w:val="11"/>
                <w:color w:val="auto"/>
              </w:rPr>
            </w:pPr>
          </w:p>
        </w:tc>
        <w:tc>
          <w:tcPr>
            <w:tcW w:w="740" w:type="dxa"/>
            <w:vAlign w:val="bottom"/>
            <w:gridSpan w:val="4"/>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
        </w:trPr>
        <w:tc>
          <w:tcPr>
            <w:tcW w:w="2780" w:type="dxa"/>
            <w:vAlign w:val="bottom"/>
            <w:gridSpan w:val="2"/>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80" w:type="dxa"/>
            <w:vAlign w:val="bottom"/>
            <w:tcBorders>
              <w:top w:val="single" w:sz="8" w:color="auto"/>
            </w:tcBorders>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540" w:type="dxa"/>
            <w:vAlign w:val="bottom"/>
            <w:tcBorders>
              <w:top w:val="single" w:sz="8" w:color="auto"/>
            </w:tcBorders>
            <w:gridSpan w:val="3"/>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260" w:type="dxa"/>
            <w:vAlign w:val="bottom"/>
            <w:tcBorders>
              <w:top w:val="single" w:sz="8" w:color="auto"/>
            </w:tcBorders>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80" w:type="dxa"/>
            <w:vAlign w:val="bottom"/>
            <w:tcBorders>
              <w:top w:val="single" w:sz="8" w:color="auto"/>
            </w:tcBorders>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380" w:type="dxa"/>
            <w:vAlign w:val="bottom"/>
            <w:tcBorders>
              <w:top w:val="single" w:sz="8" w:color="auto"/>
            </w:tcBorders>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60" w:type="dxa"/>
            <w:vAlign w:val="bottom"/>
            <w:tcBorders>
              <w:top w:val="single" w:sz="8" w:color="auto"/>
            </w:tcBorders>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6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35,028</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FF0FC"/>
          </w:tcPr>
          <w:p>
            <w:pPr>
              <w:spacing w:after="0"/>
              <w:rPr>
                <w:sz w:val="15"/>
                <w:szCs w:val="15"/>
                <w:color w:val="auto"/>
              </w:rPr>
            </w:pPr>
          </w:p>
        </w:tc>
        <w:tc>
          <w:tcPr>
            <w:tcW w:w="6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252,989</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7"/>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(36,715 )</w:t>
            </w:r>
          </w:p>
        </w:tc>
        <w:tc>
          <w:tcPr>
            <w:tcW w:w="18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(12,070 )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gridSpan w:val="4"/>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gridSpan w:val="2"/>
            <w:shd w:val="clear" w:color="auto" w:fill="CCEC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280" w:type="dxa"/>
            <w:vAlign w:val="bottom"/>
            <w:gridSpan w:val="3"/>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1,403</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205,957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720" w:type="dxa"/>
            <w:vAlign w:val="bottom"/>
            <w:gridSpan w:val="25"/>
          </w:tcPr>
          <w:p>
            <w:pPr>
              <w:ind w:left="20"/>
              <w:spacing w:after="0" w:line="136" w:lineRule="exact"/>
              <w:rPr>
                <w:sz w:val="20"/>
                <w:szCs w:val="20"/>
                <w:color w:val="auto"/>
              </w:rPr>
            </w:pPr>
            <w:r>
              <w:rPr>
                <w:rFonts w:ascii="Times New Roman" w:cs="Times New Roman" w:eastAsia="Times New Roman" w:hAnsi="Times New Roman"/>
                <w:sz w:val="13"/>
                <w:szCs w:val="13"/>
                <w:color w:val="auto"/>
              </w:rPr>
              <w:t>Net income for the three months ended March</w:t>
            </w:r>
          </w:p>
        </w:tc>
        <w:tc>
          <w:tcPr>
            <w:tcW w:w="3820" w:type="dxa"/>
            <w:vAlign w:val="bottom"/>
            <w:gridSpan w:val="33"/>
          </w:tcPr>
          <w:p>
            <w:pPr>
              <w:jc w:val="right"/>
              <w:ind w:right="3193"/>
              <w:spacing w:after="0" w:line="136" w:lineRule="exact"/>
              <w:rPr>
                <w:sz w:val="20"/>
                <w:szCs w:val="20"/>
                <w:color w:val="auto"/>
              </w:rPr>
            </w:pPr>
            <w:r>
              <w:rPr>
                <w:rFonts w:ascii="Times New Roman" w:cs="Times New Roman" w:eastAsia="Times New Roman" w:hAnsi="Times New Roman"/>
                <w:sz w:val="13"/>
                <w:szCs w:val="13"/>
                <w:color w:val="auto"/>
              </w:rPr>
              <w:t>2,792</w:t>
            </w:r>
          </w:p>
        </w:tc>
        <w:tc>
          <w:tcPr>
            <w:tcW w:w="960" w:type="dxa"/>
            <w:vAlign w:val="bottom"/>
            <w:gridSpan w:val="5"/>
          </w:tcPr>
          <w:p>
            <w:pPr>
              <w:jc w:val="right"/>
              <w:ind w:right="273"/>
              <w:spacing w:after="0" w:line="136" w:lineRule="exact"/>
              <w:rPr>
                <w:sz w:val="20"/>
                <w:szCs w:val="20"/>
                <w:color w:val="auto"/>
              </w:rPr>
            </w:pPr>
            <w:r>
              <w:rPr>
                <w:rFonts w:ascii="Times New Roman" w:cs="Times New Roman" w:eastAsia="Times New Roman" w:hAnsi="Times New Roman"/>
                <w:sz w:val="13"/>
                <w:szCs w:val="13"/>
                <w:color w:val="auto"/>
              </w:rPr>
              <w:t>18</w:t>
            </w:r>
          </w:p>
        </w:tc>
        <w:tc>
          <w:tcPr>
            <w:tcW w:w="740" w:type="dxa"/>
            <w:vAlign w:val="bottom"/>
            <w:gridSpan w:val="4"/>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2,810</w:t>
            </w:r>
          </w:p>
        </w:tc>
        <w:tc>
          <w:tcPr>
            <w:tcW w:w="0" w:type="dxa"/>
            <w:vAlign w:val="bottom"/>
          </w:tcPr>
          <w:p>
            <w:pPr>
              <w:spacing w:after="0"/>
              <w:rPr>
                <w:sz w:val="1"/>
                <w:szCs w:val="1"/>
                <w:color w:val="auto"/>
              </w:rPr>
            </w:pPr>
          </w:p>
        </w:tc>
      </w:tr>
      <w:tr>
        <w:trPr>
          <w:trHeight w:val="175"/>
        </w:trPr>
        <w:tc>
          <w:tcPr>
            <w:tcW w:w="11240" w:type="dxa"/>
            <w:vAlign w:val="bottom"/>
            <w:gridSpan w:val="67"/>
          </w:tcPr>
          <w:p>
            <w:pPr>
              <w:ind w:left="20"/>
              <w:spacing w:after="0"/>
              <w:rPr>
                <w:sz w:val="20"/>
                <w:szCs w:val="20"/>
                <w:color w:val="auto"/>
              </w:rPr>
            </w:pPr>
            <w:r>
              <w:rPr>
                <w:rFonts w:ascii="Times New Roman" w:cs="Times New Roman" w:eastAsia="Times New Roman" w:hAnsi="Times New Roman"/>
                <w:sz w:val="13"/>
                <w:szCs w:val="13"/>
                <w:color w:val="auto"/>
              </w:rPr>
              <w:t>31, 2022</w:t>
            </w: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6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34</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8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60" w:type="dxa"/>
            <w:vAlign w:val="bottom"/>
            <w:gridSpan w:val="6"/>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(67 )</w:t>
            </w: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0" w:type="dxa"/>
            <w:vAlign w:val="bottom"/>
            <w:gridSpan w:val="3"/>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(67 )</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3"/>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953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80" w:type="dxa"/>
            <w:vAlign w:val="bottom"/>
            <w:gridSpan w:val="3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Translation gain</w:t>
            </w:r>
          </w:p>
        </w:tc>
        <w:tc>
          <w:tcPr>
            <w:tcW w:w="3820" w:type="dxa"/>
            <w:vAlign w:val="bottom"/>
            <w:gridSpan w:val="29"/>
            <w:shd w:val="clear" w:color="auto" w:fill="CFF0FC"/>
          </w:tcPr>
          <w:p>
            <w:pPr>
              <w:jc w:val="right"/>
              <w:ind w:right="3073"/>
              <w:spacing w:after="0"/>
              <w:rPr>
                <w:sz w:val="20"/>
                <w:szCs w:val="20"/>
                <w:color w:val="auto"/>
              </w:rPr>
            </w:pPr>
            <w:r>
              <w:rPr>
                <w:rFonts w:ascii="Times New Roman" w:cs="Times New Roman" w:eastAsia="Times New Roman" w:hAnsi="Times New Roman"/>
                <w:sz w:val="13"/>
                <w:szCs w:val="13"/>
                <w:color w:val="auto"/>
              </w:rPr>
              <w:t>(531 )</w:t>
            </w:r>
          </w:p>
        </w:tc>
        <w:tc>
          <w:tcPr>
            <w:tcW w:w="7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(531 )</w:t>
            </w:r>
          </w:p>
        </w:tc>
        <w:tc>
          <w:tcPr>
            <w:tcW w:w="0" w:type="dxa"/>
            <w:vAlign w:val="bottom"/>
          </w:tcPr>
          <w:p>
            <w:pPr>
              <w:spacing w:after="0"/>
              <w:rPr>
                <w:sz w:val="1"/>
                <w:szCs w:val="1"/>
                <w:color w:val="auto"/>
              </w:rPr>
            </w:pPr>
          </w:p>
        </w:tc>
      </w:tr>
      <w:tr>
        <w:trPr>
          <w:trHeight w:val="175"/>
        </w:trPr>
        <w:tc>
          <w:tcPr>
            <w:tcW w:w="9540" w:type="dxa"/>
            <w:vAlign w:val="bottom"/>
            <w:gridSpan w:val="58"/>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960" w:type="dxa"/>
            <w:vAlign w:val="bottom"/>
            <w:gridSpan w:val="5"/>
          </w:tcPr>
          <w:p>
            <w:pPr>
              <w:jc w:val="right"/>
              <w:ind w:right="193"/>
              <w:spacing w:after="0"/>
              <w:rPr>
                <w:sz w:val="20"/>
                <w:szCs w:val="20"/>
                <w:color w:val="auto"/>
              </w:rPr>
            </w:pPr>
            <w:r>
              <w:rPr>
                <w:rFonts w:ascii="Times New Roman" w:cs="Times New Roman" w:eastAsia="Times New Roman" w:hAnsi="Times New Roman"/>
                <w:sz w:val="13"/>
                <w:szCs w:val="13"/>
                <w:color w:val="auto"/>
              </w:rPr>
              <w:t>(900 )</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(900 )</w:t>
            </w:r>
          </w:p>
        </w:tc>
        <w:tc>
          <w:tcPr>
            <w:tcW w:w="0" w:type="dxa"/>
            <w:vAlign w:val="bottom"/>
          </w:tcPr>
          <w:p>
            <w:pPr>
              <w:spacing w:after="0"/>
              <w:rPr>
                <w:sz w:val="1"/>
                <w:szCs w:val="1"/>
                <w:color w:val="auto"/>
              </w:rPr>
            </w:pPr>
          </w:p>
        </w:tc>
      </w:tr>
      <w:tr>
        <w:trPr>
          <w:trHeight w:val="136"/>
        </w:trPr>
        <w:tc>
          <w:tcPr>
            <w:tcW w:w="9540" w:type="dxa"/>
            <w:vAlign w:val="bottom"/>
            <w:gridSpan w:val="58"/>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Fair value of noncontrolling interest equity</w:t>
            </w:r>
          </w:p>
        </w:tc>
        <w:tc>
          <w:tcPr>
            <w:tcW w:w="960" w:type="dxa"/>
            <w:vAlign w:val="bottom"/>
            <w:gridSpan w:val="5"/>
            <w:shd w:val="clear" w:color="auto" w:fill="CFF0FC"/>
          </w:tcPr>
          <w:p>
            <w:pPr>
              <w:jc w:val="right"/>
              <w:ind w:right="273"/>
              <w:spacing w:after="0" w:line="136" w:lineRule="exact"/>
              <w:rPr>
                <w:sz w:val="20"/>
                <w:szCs w:val="20"/>
                <w:color w:val="auto"/>
              </w:rPr>
            </w:pPr>
            <w:r>
              <w:rPr>
                <w:rFonts w:ascii="Times New Roman" w:cs="Times New Roman" w:eastAsia="Times New Roman" w:hAnsi="Times New Roman"/>
                <w:sz w:val="13"/>
                <w:szCs w:val="13"/>
                <w:color w:val="auto"/>
              </w:rPr>
              <w:t>5,000</w:t>
            </w:r>
          </w:p>
        </w:tc>
        <w:tc>
          <w:tcPr>
            <w:tcW w:w="740" w:type="dxa"/>
            <w:vAlign w:val="bottom"/>
            <w:gridSpan w:val="4"/>
            <w:shd w:val="clear" w:color="auto" w:fill="CFF0FC"/>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5,000</w:t>
            </w:r>
          </w:p>
        </w:tc>
        <w:tc>
          <w:tcPr>
            <w:tcW w:w="0" w:type="dxa"/>
            <w:vAlign w:val="bottom"/>
          </w:tcPr>
          <w:p>
            <w:pPr>
              <w:spacing w:after="0"/>
              <w:rPr>
                <w:sz w:val="1"/>
                <w:szCs w:val="1"/>
                <w:color w:val="auto"/>
              </w:rPr>
            </w:pPr>
          </w:p>
        </w:tc>
      </w:tr>
      <w:tr>
        <w:trPr>
          <w:trHeight w:val="161"/>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(see Note 14)</w:t>
            </w:r>
          </w:p>
        </w:tc>
        <w:tc>
          <w:tcPr>
            <w:tcW w:w="660" w:type="dxa"/>
            <w:vAlign w:val="bottom"/>
            <w:tcBorders>
              <w:bottom w:val="single" w:sz="8" w:color="auto"/>
            </w:tcBorders>
            <w:gridSpan w:val="4"/>
            <w:shd w:val="clear" w:color="auto" w:fill="CFF0FC"/>
          </w:tcPr>
          <w:p>
            <w:pPr>
              <w:spacing w:after="0"/>
              <w:rPr>
                <w:sz w:val="14"/>
                <w:szCs w:val="14"/>
                <w:color w:val="auto"/>
              </w:rPr>
            </w:pPr>
          </w:p>
        </w:tc>
        <w:tc>
          <w:tcPr>
            <w:tcW w:w="240" w:type="dxa"/>
            <w:vAlign w:val="bottom"/>
            <w:tcBorders>
              <w:bottom w:val="single" w:sz="8" w:color="CFF0FC"/>
            </w:tcBorders>
            <w:gridSpan w:val="2"/>
            <w:shd w:val="clear" w:color="auto" w:fill="CFF0FC"/>
          </w:tcPr>
          <w:p>
            <w:pPr>
              <w:spacing w:after="0"/>
              <w:rPr>
                <w:sz w:val="14"/>
                <w:szCs w:val="14"/>
                <w:color w:val="auto"/>
              </w:rPr>
            </w:pPr>
          </w:p>
        </w:tc>
        <w:tc>
          <w:tcPr>
            <w:tcW w:w="780" w:type="dxa"/>
            <w:vAlign w:val="bottom"/>
            <w:tcBorders>
              <w:bottom w:val="single" w:sz="8" w:color="auto"/>
            </w:tcBorders>
            <w:gridSpan w:val="5"/>
            <w:shd w:val="clear" w:color="auto" w:fill="CFF0FC"/>
          </w:tcPr>
          <w:p>
            <w:pPr>
              <w:spacing w:after="0"/>
              <w:rPr>
                <w:sz w:val="14"/>
                <w:szCs w:val="14"/>
                <w:color w:val="auto"/>
              </w:rPr>
            </w:pPr>
          </w:p>
        </w:tc>
        <w:tc>
          <w:tcPr>
            <w:tcW w:w="220" w:type="dxa"/>
            <w:vAlign w:val="bottom"/>
            <w:tcBorders>
              <w:bottom w:val="single" w:sz="8" w:color="CFF0FC"/>
            </w:tcBorders>
            <w:gridSpan w:val="2"/>
            <w:shd w:val="clear" w:color="auto" w:fill="CFF0FC"/>
          </w:tcPr>
          <w:p>
            <w:pPr>
              <w:spacing w:after="0"/>
              <w:rPr>
                <w:sz w:val="14"/>
                <w:szCs w:val="14"/>
                <w:color w:val="auto"/>
              </w:rPr>
            </w:pPr>
          </w:p>
        </w:tc>
        <w:tc>
          <w:tcPr>
            <w:tcW w:w="740" w:type="dxa"/>
            <w:vAlign w:val="bottom"/>
            <w:tcBorders>
              <w:bottom w:val="single" w:sz="8" w:color="auto"/>
            </w:tcBorders>
            <w:gridSpan w:val="7"/>
            <w:shd w:val="clear" w:color="auto" w:fill="CFF0FC"/>
          </w:tcPr>
          <w:p>
            <w:pPr>
              <w:spacing w:after="0"/>
              <w:rPr>
                <w:sz w:val="14"/>
                <w:szCs w:val="14"/>
                <w:color w:val="auto"/>
              </w:rPr>
            </w:pPr>
          </w:p>
        </w:tc>
        <w:tc>
          <w:tcPr>
            <w:tcW w:w="240" w:type="dxa"/>
            <w:vAlign w:val="bottom"/>
            <w:tcBorders>
              <w:bottom w:val="single" w:sz="8" w:color="CFF0FC"/>
            </w:tcBorders>
            <w:gridSpan w:val="2"/>
            <w:shd w:val="clear" w:color="auto" w:fill="CFF0FC"/>
          </w:tcPr>
          <w:p>
            <w:pPr>
              <w:spacing w:after="0"/>
              <w:rPr>
                <w:sz w:val="14"/>
                <w:szCs w:val="14"/>
                <w:color w:val="auto"/>
              </w:rPr>
            </w:pPr>
          </w:p>
        </w:tc>
        <w:tc>
          <w:tcPr>
            <w:tcW w:w="780" w:type="dxa"/>
            <w:vAlign w:val="bottom"/>
            <w:tcBorders>
              <w:bottom w:val="single" w:sz="8" w:color="auto"/>
            </w:tcBorders>
            <w:gridSpan w:val="7"/>
            <w:shd w:val="clear" w:color="auto" w:fill="CFF0FC"/>
          </w:tcPr>
          <w:p>
            <w:pPr>
              <w:spacing w:after="0"/>
              <w:rPr>
                <w:sz w:val="14"/>
                <w:szCs w:val="14"/>
                <w:color w:val="auto"/>
              </w:rPr>
            </w:pPr>
          </w:p>
        </w:tc>
        <w:tc>
          <w:tcPr>
            <w:tcW w:w="200" w:type="dxa"/>
            <w:vAlign w:val="bottom"/>
            <w:tcBorders>
              <w:bottom w:val="single" w:sz="8" w:color="CFF0FC"/>
            </w:tcBorders>
            <w:gridSpan w:val="2"/>
            <w:shd w:val="clear" w:color="auto" w:fill="CFF0FC"/>
          </w:tcPr>
          <w:p>
            <w:pPr>
              <w:spacing w:after="0"/>
              <w:rPr>
                <w:sz w:val="14"/>
                <w:szCs w:val="14"/>
                <w:color w:val="auto"/>
              </w:rPr>
            </w:pPr>
          </w:p>
        </w:tc>
        <w:tc>
          <w:tcPr>
            <w:tcW w:w="800" w:type="dxa"/>
            <w:vAlign w:val="bottom"/>
            <w:tcBorders>
              <w:bottom w:val="single" w:sz="8" w:color="auto"/>
            </w:tcBorders>
            <w:gridSpan w:val="7"/>
            <w:shd w:val="clear" w:color="auto" w:fill="CFF0FC"/>
          </w:tcPr>
          <w:p>
            <w:pPr>
              <w:spacing w:after="0"/>
              <w:rPr>
                <w:sz w:val="14"/>
                <w:szCs w:val="14"/>
                <w:color w:val="auto"/>
              </w:rPr>
            </w:pPr>
          </w:p>
        </w:tc>
        <w:tc>
          <w:tcPr>
            <w:tcW w:w="200" w:type="dxa"/>
            <w:vAlign w:val="bottom"/>
            <w:tcBorders>
              <w:bottom w:val="single" w:sz="8" w:color="CFF0FC"/>
            </w:tcBorders>
            <w:gridSpan w:val="2"/>
            <w:shd w:val="clear" w:color="auto" w:fill="CFF0FC"/>
          </w:tcPr>
          <w:p>
            <w:pPr>
              <w:spacing w:after="0"/>
              <w:rPr>
                <w:sz w:val="14"/>
                <w:szCs w:val="14"/>
                <w:color w:val="auto"/>
              </w:rPr>
            </w:pPr>
          </w:p>
        </w:tc>
        <w:tc>
          <w:tcPr>
            <w:tcW w:w="700" w:type="dxa"/>
            <w:vAlign w:val="bottom"/>
            <w:tcBorders>
              <w:bottom w:val="single" w:sz="8" w:color="auto"/>
            </w:tcBorders>
            <w:gridSpan w:val="6"/>
            <w:shd w:val="clear" w:color="auto" w:fill="CFF0FC"/>
          </w:tcPr>
          <w:p>
            <w:pPr>
              <w:spacing w:after="0"/>
              <w:rPr>
                <w:sz w:val="14"/>
                <w:szCs w:val="14"/>
                <w:color w:val="auto"/>
              </w:rPr>
            </w:pPr>
          </w:p>
        </w:tc>
        <w:tc>
          <w:tcPr>
            <w:tcW w:w="200" w:type="dxa"/>
            <w:vAlign w:val="bottom"/>
            <w:tcBorders>
              <w:bottom w:val="single" w:sz="8" w:color="CFF0FC"/>
            </w:tcBorders>
            <w:gridSpan w:val="2"/>
            <w:shd w:val="clear" w:color="auto" w:fill="CFF0FC"/>
          </w:tcPr>
          <w:p>
            <w:pPr>
              <w:spacing w:after="0"/>
              <w:rPr>
                <w:sz w:val="14"/>
                <w:szCs w:val="14"/>
                <w:color w:val="auto"/>
              </w:rPr>
            </w:pPr>
          </w:p>
        </w:tc>
        <w:tc>
          <w:tcPr>
            <w:tcW w:w="820" w:type="dxa"/>
            <w:vAlign w:val="bottom"/>
            <w:tcBorders>
              <w:bottom w:val="single" w:sz="8" w:color="auto"/>
            </w:tcBorders>
            <w:gridSpan w:val="6"/>
            <w:shd w:val="clear" w:color="auto" w:fill="CFF0FC"/>
          </w:tcPr>
          <w:p>
            <w:pPr>
              <w:spacing w:after="0"/>
              <w:rPr>
                <w:sz w:val="14"/>
                <w:szCs w:val="14"/>
                <w:color w:val="auto"/>
              </w:rPr>
            </w:pPr>
          </w:p>
        </w:tc>
        <w:tc>
          <w:tcPr>
            <w:tcW w:w="200" w:type="dxa"/>
            <w:vAlign w:val="bottom"/>
            <w:tcBorders>
              <w:bottom w:val="single" w:sz="8" w:color="CFF0FC"/>
            </w:tcBorders>
            <w:gridSpan w:val="2"/>
            <w:shd w:val="clear" w:color="auto" w:fill="CFF0FC"/>
          </w:tcPr>
          <w:p>
            <w:pPr>
              <w:spacing w:after="0"/>
              <w:rPr>
                <w:sz w:val="14"/>
                <w:szCs w:val="14"/>
                <w:color w:val="auto"/>
              </w:rPr>
            </w:pPr>
          </w:p>
        </w:tc>
        <w:tc>
          <w:tcPr>
            <w:tcW w:w="760" w:type="dxa"/>
            <w:vAlign w:val="bottom"/>
            <w:tcBorders>
              <w:bottom w:val="single" w:sz="8" w:color="auto"/>
            </w:tcBorders>
            <w:gridSpan w:val="4"/>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gridSpan w:val="4"/>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2022</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35,076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253,875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7"/>
          </w:tcPr>
          <w:p>
            <w:pPr>
              <w:jc w:val="right"/>
              <w:ind w:right="73"/>
              <w:spacing w:after="0"/>
              <w:rPr>
                <w:sz w:val="20"/>
                <w:szCs w:val="20"/>
                <w:color w:val="auto"/>
              </w:rPr>
            </w:pPr>
            <w:r>
              <w:rPr>
                <w:rFonts w:ascii="Times New Roman" w:cs="Times New Roman" w:eastAsia="Times New Roman" w:hAnsi="Times New Roman"/>
                <w:sz w:val="13"/>
                <w:szCs w:val="13"/>
                <w:color w:val="auto"/>
              </w:rPr>
              <w:t>(33,923 )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(12,601 )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4"/>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5,521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213,222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720" w:type="dxa"/>
            <w:vAlign w:val="bottom"/>
            <w:gridSpan w:val="25"/>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Net income for the three months ended June</w:t>
            </w:r>
          </w:p>
        </w:tc>
        <w:tc>
          <w:tcPr>
            <w:tcW w:w="3820" w:type="dxa"/>
            <w:vAlign w:val="bottom"/>
            <w:gridSpan w:val="33"/>
            <w:shd w:val="clear" w:color="auto" w:fill="CFF0FC"/>
          </w:tcPr>
          <w:p>
            <w:pPr>
              <w:jc w:val="right"/>
              <w:ind w:right="3193"/>
              <w:spacing w:after="0" w:line="117" w:lineRule="exact"/>
              <w:rPr>
                <w:sz w:val="20"/>
                <w:szCs w:val="20"/>
                <w:color w:val="auto"/>
              </w:rPr>
            </w:pPr>
            <w:r>
              <w:rPr>
                <w:rFonts w:ascii="Times New Roman" w:cs="Times New Roman" w:eastAsia="Times New Roman" w:hAnsi="Times New Roman"/>
                <w:sz w:val="13"/>
                <w:szCs w:val="13"/>
                <w:color w:val="auto"/>
              </w:rPr>
              <w:t>4,385</w:t>
            </w:r>
          </w:p>
        </w:tc>
        <w:tc>
          <w:tcPr>
            <w:tcW w:w="960" w:type="dxa"/>
            <w:vAlign w:val="bottom"/>
            <w:gridSpan w:val="5"/>
            <w:shd w:val="clear" w:color="auto" w:fill="CFF0FC"/>
          </w:tcPr>
          <w:p>
            <w:pPr>
              <w:jc w:val="right"/>
              <w:ind w:right="273"/>
              <w:spacing w:after="0" w:line="117" w:lineRule="exact"/>
              <w:rPr>
                <w:sz w:val="20"/>
                <w:szCs w:val="20"/>
                <w:color w:val="auto"/>
              </w:rPr>
            </w:pPr>
            <w:r>
              <w:rPr>
                <w:rFonts w:ascii="Times New Roman" w:cs="Times New Roman" w:eastAsia="Times New Roman" w:hAnsi="Times New Roman"/>
                <w:sz w:val="13"/>
                <w:szCs w:val="13"/>
                <w:color w:val="auto"/>
              </w:rPr>
              <w:t>339</w:t>
            </w:r>
          </w:p>
        </w:tc>
        <w:tc>
          <w:tcPr>
            <w:tcW w:w="740" w:type="dxa"/>
            <w:vAlign w:val="bottom"/>
            <w:gridSpan w:val="4"/>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4,724</w:t>
            </w:r>
          </w:p>
        </w:tc>
        <w:tc>
          <w:tcPr>
            <w:tcW w:w="0" w:type="dxa"/>
            <w:vAlign w:val="bottom"/>
          </w:tcPr>
          <w:p>
            <w:pPr>
              <w:spacing w:after="0"/>
              <w:rPr>
                <w:sz w:val="1"/>
                <w:szCs w:val="1"/>
                <w:color w:val="auto"/>
              </w:rPr>
            </w:pPr>
          </w:p>
        </w:tc>
      </w:tr>
      <w:tr>
        <w:trPr>
          <w:trHeight w:val="175"/>
        </w:trPr>
        <w:tc>
          <w:tcPr>
            <w:tcW w:w="11240" w:type="dxa"/>
            <w:vAlign w:val="bottom"/>
            <w:gridSpan w:val="67"/>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30, 2022</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183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6"/>
          </w:tcPr>
          <w:p>
            <w:pPr>
              <w:jc w:val="right"/>
              <w:ind w:right="180"/>
              <w:spacing w:after="0"/>
              <w:rPr>
                <w:sz w:val="20"/>
                <w:szCs w:val="20"/>
                <w:color w:val="auto"/>
              </w:rPr>
            </w:pPr>
            <w:r>
              <w:rPr>
                <w:rFonts w:ascii="Times New Roman" w:cs="Times New Roman" w:eastAsia="Times New Roman" w:hAnsi="Times New Roman"/>
                <w:sz w:val="13"/>
                <w:szCs w:val="13"/>
                <w:color w:val="auto"/>
              </w:rPr>
              <w:t>(211 )</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3"/>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(209 )</w:t>
            </w: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140" w:type="dxa"/>
            <w:vAlign w:val="bottom"/>
            <w:shd w:val="clear" w:color="auto" w:fill="CFF0FC"/>
          </w:tcPr>
          <w:p>
            <w:pPr>
              <w:spacing w:after="0"/>
              <w:rPr>
                <w:sz w:val="15"/>
                <w:szCs w:val="15"/>
                <w:color w:val="auto"/>
              </w:rPr>
            </w:pPr>
          </w:p>
        </w:tc>
        <w:tc>
          <w:tcPr>
            <w:tcW w:w="760" w:type="dxa"/>
            <w:vAlign w:val="bottom"/>
            <w:gridSpan w:val="5"/>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8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0" w:type="dxa"/>
            <w:vAlign w:val="bottom"/>
            <w:gridSpan w:val="3"/>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6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Common stock repurchase and retirement</w:t>
            </w:r>
          </w:p>
        </w:tc>
        <w:tc>
          <w:tcPr>
            <w:tcW w:w="900" w:type="dxa"/>
            <w:vAlign w:val="bottom"/>
            <w:gridSpan w:val="6"/>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(725 )</w:t>
            </w:r>
          </w:p>
        </w:tc>
        <w:tc>
          <w:tcPr>
            <w:tcW w:w="140" w:type="dxa"/>
            <w:vAlign w:val="bottom"/>
          </w:tcPr>
          <w:p>
            <w:pPr>
              <w:spacing w:after="0"/>
              <w:rPr>
                <w:sz w:val="11"/>
                <w:szCs w:val="11"/>
                <w:color w:val="auto"/>
              </w:rPr>
            </w:pPr>
          </w:p>
        </w:tc>
        <w:tc>
          <w:tcPr>
            <w:tcW w:w="860" w:type="dxa"/>
            <w:vAlign w:val="bottom"/>
            <w:gridSpan w:val="6"/>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(7 )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6"/>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(4,317 )</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4"/>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(4,324 )</w:t>
            </w:r>
          </w:p>
        </w:tc>
        <w:tc>
          <w:tcPr>
            <w:tcW w:w="0" w:type="dxa"/>
            <w:vAlign w:val="bottom"/>
          </w:tcPr>
          <w:p>
            <w:pPr>
              <w:spacing w:after="0"/>
              <w:rPr>
                <w:sz w:val="1"/>
                <w:szCs w:val="1"/>
                <w:color w:val="auto"/>
              </w:rPr>
            </w:pPr>
          </w:p>
        </w:tc>
      </w:tr>
      <w:tr>
        <w:trPr>
          <w:trHeight w:val="175"/>
        </w:trPr>
        <w:tc>
          <w:tcPr>
            <w:tcW w:w="11240" w:type="dxa"/>
            <w:vAlign w:val="bottom"/>
            <w:gridSpan w:val="67"/>
          </w:tcPr>
          <w:p>
            <w:pPr>
              <w:ind w:left="20"/>
              <w:spacing w:after="0"/>
              <w:rPr>
                <w:sz w:val="20"/>
                <w:szCs w:val="20"/>
                <w:color w:val="auto"/>
              </w:rPr>
            </w:pPr>
            <w:r>
              <w:rPr>
                <w:rFonts w:ascii="Times New Roman" w:cs="Times New Roman" w:eastAsia="Times New Roman" w:hAnsi="Times New Roman"/>
                <w:sz w:val="13"/>
                <w:szCs w:val="13"/>
                <w:color w:val="auto"/>
              </w:rPr>
              <w:t>(see Note 8)</w:t>
            </w:r>
          </w:p>
        </w:tc>
        <w:tc>
          <w:tcPr>
            <w:tcW w:w="0" w:type="dxa"/>
            <w:vAlign w:val="bottom"/>
          </w:tcPr>
          <w:p>
            <w:pPr>
              <w:spacing w:after="0"/>
              <w:rPr>
                <w:sz w:val="1"/>
                <w:szCs w:val="1"/>
                <w:color w:val="auto"/>
              </w:rPr>
            </w:pPr>
          </w:p>
        </w:tc>
      </w:tr>
      <w:tr>
        <w:trPr>
          <w:trHeight w:val="176"/>
        </w:trPr>
        <w:tc>
          <w:tcPr>
            <w:tcW w:w="6680" w:type="dxa"/>
            <w:vAlign w:val="bottom"/>
            <w:gridSpan w:val="3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Translation gain</w:t>
            </w:r>
          </w:p>
        </w:tc>
        <w:tc>
          <w:tcPr>
            <w:tcW w:w="3820" w:type="dxa"/>
            <w:vAlign w:val="bottom"/>
            <w:gridSpan w:val="29"/>
            <w:shd w:val="clear" w:color="auto" w:fill="CFF0FC"/>
          </w:tcPr>
          <w:p>
            <w:pPr>
              <w:jc w:val="right"/>
              <w:ind w:right="3073"/>
              <w:spacing w:after="0"/>
              <w:rPr>
                <w:sz w:val="20"/>
                <w:szCs w:val="20"/>
                <w:color w:val="auto"/>
              </w:rPr>
            </w:pPr>
            <w:r>
              <w:rPr>
                <w:rFonts w:ascii="Times New Roman" w:cs="Times New Roman" w:eastAsia="Times New Roman" w:hAnsi="Times New Roman"/>
                <w:sz w:val="13"/>
                <w:szCs w:val="13"/>
                <w:color w:val="auto"/>
              </w:rPr>
              <w:t>(2,966 )</w:t>
            </w:r>
          </w:p>
        </w:tc>
        <w:tc>
          <w:tcPr>
            <w:tcW w:w="7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(2,966 )</w:t>
            </w:r>
          </w:p>
        </w:tc>
        <w:tc>
          <w:tcPr>
            <w:tcW w:w="0" w:type="dxa"/>
            <w:vAlign w:val="bottom"/>
          </w:tcPr>
          <w:p>
            <w:pPr>
              <w:spacing w:after="0"/>
              <w:rPr>
                <w:sz w:val="1"/>
                <w:szCs w:val="1"/>
                <w:color w:val="auto"/>
              </w:rPr>
            </w:pPr>
          </w:p>
        </w:tc>
      </w:tr>
      <w:tr>
        <w:trPr>
          <w:trHeight w:val="136"/>
        </w:trPr>
        <w:tc>
          <w:tcPr>
            <w:tcW w:w="9540" w:type="dxa"/>
            <w:vAlign w:val="bottom"/>
            <w:gridSpan w:val="58"/>
          </w:tcPr>
          <w:p>
            <w:pPr>
              <w:ind w:left="20"/>
              <w:spacing w:after="0" w:line="136" w:lineRule="exact"/>
              <w:rPr>
                <w:sz w:val="20"/>
                <w:szCs w:val="20"/>
                <w:color w:val="auto"/>
              </w:rPr>
            </w:pPr>
            <w:r>
              <w:rPr>
                <w:rFonts w:ascii="Times New Roman" w:cs="Times New Roman" w:eastAsia="Times New Roman" w:hAnsi="Times New Roman"/>
                <w:sz w:val="13"/>
                <w:szCs w:val="13"/>
                <w:color w:val="auto"/>
              </w:rPr>
              <w:t>Fair value of noncontrolling interest equity</w:t>
            </w:r>
          </w:p>
        </w:tc>
        <w:tc>
          <w:tcPr>
            <w:tcW w:w="960" w:type="dxa"/>
            <w:vAlign w:val="bottom"/>
            <w:gridSpan w:val="5"/>
          </w:tcPr>
          <w:p>
            <w:pPr>
              <w:jc w:val="right"/>
              <w:ind w:right="193"/>
              <w:spacing w:after="0" w:line="136" w:lineRule="exact"/>
              <w:rPr>
                <w:sz w:val="20"/>
                <w:szCs w:val="20"/>
                <w:color w:val="auto"/>
              </w:rPr>
            </w:pPr>
            <w:r>
              <w:rPr>
                <w:rFonts w:ascii="Times New Roman" w:cs="Times New Roman" w:eastAsia="Times New Roman" w:hAnsi="Times New Roman"/>
                <w:sz w:val="13"/>
                <w:szCs w:val="13"/>
                <w:color w:val="auto"/>
              </w:rPr>
              <w:t>(901 )</w:t>
            </w:r>
          </w:p>
        </w:tc>
        <w:tc>
          <w:tcPr>
            <w:tcW w:w="740" w:type="dxa"/>
            <w:vAlign w:val="bottom"/>
            <w:gridSpan w:val="4"/>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(901 )</w:t>
            </w:r>
          </w:p>
        </w:tc>
        <w:tc>
          <w:tcPr>
            <w:tcW w:w="0" w:type="dxa"/>
            <w:vAlign w:val="bottom"/>
          </w:tcPr>
          <w:p>
            <w:pPr>
              <w:spacing w:after="0"/>
              <w:rPr>
                <w:sz w:val="1"/>
                <w:szCs w:val="1"/>
                <w:color w:val="auto"/>
              </w:rPr>
            </w:pPr>
          </w:p>
        </w:tc>
      </w:tr>
      <w:tr>
        <w:trPr>
          <w:trHeight w:val="161"/>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(see Note 14)</w:t>
            </w:r>
          </w:p>
        </w:tc>
        <w:tc>
          <w:tcPr>
            <w:tcW w:w="660" w:type="dxa"/>
            <w:vAlign w:val="bottom"/>
            <w:tcBorders>
              <w:bottom w:val="single" w:sz="8" w:color="auto"/>
            </w:tcBorders>
            <w:gridSpan w:val="4"/>
          </w:tcPr>
          <w:p>
            <w:pPr>
              <w:spacing w:after="0"/>
              <w:rPr>
                <w:sz w:val="14"/>
                <w:szCs w:val="14"/>
                <w:color w:val="auto"/>
              </w:rPr>
            </w:pPr>
          </w:p>
        </w:tc>
        <w:tc>
          <w:tcPr>
            <w:tcW w:w="240" w:type="dxa"/>
            <w:vAlign w:val="bottom"/>
            <w:gridSpan w:val="2"/>
          </w:tcPr>
          <w:p>
            <w:pPr>
              <w:spacing w:after="0"/>
              <w:rPr>
                <w:sz w:val="14"/>
                <w:szCs w:val="14"/>
                <w:color w:val="auto"/>
              </w:rPr>
            </w:pPr>
          </w:p>
        </w:tc>
        <w:tc>
          <w:tcPr>
            <w:tcW w:w="780" w:type="dxa"/>
            <w:vAlign w:val="bottom"/>
            <w:tcBorders>
              <w:bottom w:val="single" w:sz="8" w:color="auto"/>
            </w:tcBorders>
            <w:gridSpan w:val="5"/>
          </w:tcPr>
          <w:p>
            <w:pPr>
              <w:spacing w:after="0"/>
              <w:rPr>
                <w:sz w:val="14"/>
                <w:szCs w:val="14"/>
                <w:color w:val="auto"/>
              </w:rPr>
            </w:pPr>
          </w:p>
        </w:tc>
        <w:tc>
          <w:tcPr>
            <w:tcW w:w="220" w:type="dxa"/>
            <w:vAlign w:val="bottom"/>
            <w:gridSpan w:val="2"/>
          </w:tcPr>
          <w:p>
            <w:pPr>
              <w:spacing w:after="0"/>
              <w:rPr>
                <w:sz w:val="14"/>
                <w:szCs w:val="14"/>
                <w:color w:val="auto"/>
              </w:rPr>
            </w:pPr>
          </w:p>
        </w:tc>
        <w:tc>
          <w:tcPr>
            <w:tcW w:w="740" w:type="dxa"/>
            <w:vAlign w:val="bottom"/>
            <w:tcBorders>
              <w:bottom w:val="single" w:sz="8" w:color="auto"/>
            </w:tcBorders>
            <w:gridSpan w:val="7"/>
          </w:tcPr>
          <w:p>
            <w:pPr>
              <w:spacing w:after="0"/>
              <w:rPr>
                <w:sz w:val="14"/>
                <w:szCs w:val="14"/>
                <w:color w:val="auto"/>
              </w:rPr>
            </w:pPr>
          </w:p>
        </w:tc>
        <w:tc>
          <w:tcPr>
            <w:tcW w:w="240" w:type="dxa"/>
            <w:vAlign w:val="bottom"/>
            <w:gridSpan w:val="2"/>
          </w:tcPr>
          <w:p>
            <w:pPr>
              <w:spacing w:after="0"/>
              <w:rPr>
                <w:sz w:val="14"/>
                <w:szCs w:val="14"/>
                <w:color w:val="auto"/>
              </w:rPr>
            </w:pPr>
          </w:p>
        </w:tc>
        <w:tc>
          <w:tcPr>
            <w:tcW w:w="780" w:type="dxa"/>
            <w:vAlign w:val="bottom"/>
            <w:tcBorders>
              <w:bottom w:val="single" w:sz="8" w:color="auto"/>
            </w:tcBorders>
            <w:gridSpan w:val="7"/>
          </w:tcPr>
          <w:p>
            <w:pPr>
              <w:spacing w:after="0"/>
              <w:rPr>
                <w:sz w:val="14"/>
                <w:szCs w:val="14"/>
                <w:color w:val="auto"/>
              </w:rPr>
            </w:pPr>
          </w:p>
        </w:tc>
        <w:tc>
          <w:tcPr>
            <w:tcW w:w="200" w:type="dxa"/>
            <w:vAlign w:val="bottom"/>
            <w:gridSpan w:val="2"/>
          </w:tcPr>
          <w:p>
            <w:pPr>
              <w:spacing w:after="0"/>
              <w:rPr>
                <w:sz w:val="14"/>
                <w:szCs w:val="14"/>
                <w:color w:val="auto"/>
              </w:rPr>
            </w:pPr>
          </w:p>
        </w:tc>
        <w:tc>
          <w:tcPr>
            <w:tcW w:w="800" w:type="dxa"/>
            <w:vAlign w:val="bottom"/>
            <w:tcBorders>
              <w:bottom w:val="single" w:sz="8" w:color="auto"/>
            </w:tcBorders>
            <w:gridSpan w:val="7"/>
          </w:tcPr>
          <w:p>
            <w:pPr>
              <w:spacing w:after="0"/>
              <w:rPr>
                <w:sz w:val="14"/>
                <w:szCs w:val="14"/>
                <w:color w:val="auto"/>
              </w:rPr>
            </w:pPr>
          </w:p>
        </w:tc>
        <w:tc>
          <w:tcPr>
            <w:tcW w:w="200" w:type="dxa"/>
            <w:vAlign w:val="bottom"/>
            <w:gridSpan w:val="2"/>
          </w:tcPr>
          <w:p>
            <w:pPr>
              <w:spacing w:after="0"/>
              <w:rPr>
                <w:sz w:val="14"/>
                <w:szCs w:val="14"/>
                <w:color w:val="auto"/>
              </w:rPr>
            </w:pPr>
          </w:p>
        </w:tc>
        <w:tc>
          <w:tcPr>
            <w:tcW w:w="700" w:type="dxa"/>
            <w:vAlign w:val="bottom"/>
            <w:tcBorders>
              <w:bottom w:val="single" w:sz="8" w:color="auto"/>
            </w:tcBorders>
            <w:gridSpan w:val="6"/>
          </w:tcPr>
          <w:p>
            <w:pPr>
              <w:spacing w:after="0"/>
              <w:rPr>
                <w:sz w:val="14"/>
                <w:szCs w:val="14"/>
                <w:color w:val="auto"/>
              </w:rPr>
            </w:pPr>
          </w:p>
        </w:tc>
        <w:tc>
          <w:tcPr>
            <w:tcW w:w="200" w:type="dxa"/>
            <w:vAlign w:val="bottom"/>
            <w:gridSpan w:val="2"/>
          </w:tcPr>
          <w:p>
            <w:pPr>
              <w:spacing w:after="0"/>
              <w:rPr>
                <w:sz w:val="14"/>
                <w:szCs w:val="14"/>
                <w:color w:val="auto"/>
              </w:rPr>
            </w:pPr>
          </w:p>
        </w:tc>
        <w:tc>
          <w:tcPr>
            <w:tcW w:w="820" w:type="dxa"/>
            <w:vAlign w:val="bottom"/>
            <w:tcBorders>
              <w:bottom w:val="single" w:sz="8" w:color="auto"/>
            </w:tcBorders>
            <w:gridSpan w:val="6"/>
          </w:tcPr>
          <w:p>
            <w:pPr>
              <w:spacing w:after="0"/>
              <w:rPr>
                <w:sz w:val="14"/>
                <w:szCs w:val="14"/>
                <w:color w:val="auto"/>
              </w:rPr>
            </w:pPr>
          </w:p>
        </w:tc>
        <w:tc>
          <w:tcPr>
            <w:tcW w:w="200" w:type="dxa"/>
            <w:vAlign w:val="bottom"/>
            <w:gridSpan w:val="2"/>
          </w:tcPr>
          <w:p>
            <w:pPr>
              <w:spacing w:after="0"/>
              <w:rPr>
                <w:sz w:val="14"/>
                <w:szCs w:val="14"/>
                <w:color w:val="auto"/>
              </w:rPr>
            </w:pPr>
          </w:p>
        </w:tc>
        <w:tc>
          <w:tcPr>
            <w:tcW w:w="760" w:type="dxa"/>
            <w:vAlign w:val="bottom"/>
            <w:tcBorders>
              <w:bottom w:val="single" w:sz="8" w:color="auto"/>
            </w:tcBorders>
            <w:gridSpan w:val="4"/>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gridSpan w:val="4"/>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June 30, 2022</w:t>
            </w:r>
          </w:p>
        </w:tc>
        <w:tc>
          <w:tcPr>
            <w:tcW w:w="66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34,534</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250,262</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(29,538</w:t>
            </w:r>
          </w:p>
        </w:tc>
        <w:tc>
          <w:tcPr>
            <w:tcW w:w="200" w:type="dxa"/>
            <w:vAlign w:val="bottom"/>
            <w:tcBorders>
              <w:bottom w:val="single" w:sz="8" w:color="CFF0FC"/>
            </w:tcBorders>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(15,567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180" w:type="dxa"/>
            <w:vAlign w:val="bottom"/>
            <w:tcBorders>
              <w:bottom w:val="single" w:sz="8" w:color="auto"/>
            </w:tcBorders>
            <w:gridSpan w:val="2"/>
            <w:shd w:val="clear" w:color="auto" w:fill="CCEC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CCECFF"/>
          </w:tcPr>
          <w:p>
            <w:pPr>
              <w:spacing w:after="0"/>
              <w:rPr>
                <w:sz w:val="18"/>
                <w:szCs w:val="18"/>
                <w:color w:val="auto"/>
              </w:rPr>
            </w:pPr>
          </w:p>
        </w:tc>
        <w:tc>
          <w:tcPr>
            <w:tcW w:w="440" w:type="dxa"/>
            <w:vAlign w:val="bottom"/>
            <w:tcBorders>
              <w:bottom w:val="single" w:sz="8" w:color="auto"/>
            </w:tcBorders>
            <w:shd w:val="clear" w:color="auto" w:fill="CCECFF"/>
          </w:tcPr>
          <w:p>
            <w:pPr>
              <w:spacing w:after="0"/>
              <w:rPr>
                <w:sz w:val="18"/>
                <w:szCs w:val="18"/>
                <w:color w:val="auto"/>
              </w:rPr>
            </w:pPr>
          </w:p>
        </w:tc>
        <w:tc>
          <w:tcPr>
            <w:tcW w:w="18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4,959</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210,461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-3608070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-3590925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-3608070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-3590925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-3608070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-3590925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-3608070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-3590925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-3608070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-3590925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-3608070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-3590925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-3608070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-3590925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-3608070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-3590925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-2819400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-2802890</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-2819400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-2802890</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-2819400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-2802890</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-2819400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-2802890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-2819400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-2802890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-2819400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-2802890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-2819400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-2802890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-2819400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-2802890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-2802890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-1207770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-1207770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-1207770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-1207770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-1207770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-1207770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-1207770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-1207770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-24765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-8255</wp:posOffset>
            </wp:positionV>
            <wp:extent cx="768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-24765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-8255</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-24765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-8255</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r>
      <w:tr>
        <w:trPr>
          <w:trHeight w:val="19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7,536</w:t>
            </w:r>
          </w:p>
        </w:tc>
        <w:tc>
          <w:tcPr>
            <w:tcW w:w="260" w:type="dxa"/>
            <w:vAlign w:val="bottom"/>
          </w:tcPr>
          <w:p>
            <w:pPr>
              <w:spacing w:after="0"/>
              <w:rPr>
                <w:sz w:val="17"/>
                <w:szCs w:val="17"/>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Unrealized foreign currency loss</w:t>
            </w:r>
          </w:p>
        </w:tc>
        <w:tc>
          <w:tcPr>
            <w:tcW w:w="4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(5 )</w:t>
            </w:r>
          </w:p>
        </w:tc>
        <w:tc>
          <w:tcPr>
            <w:tcW w:w="7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Fair value adjustment to earnout liabilities</w:t>
            </w:r>
          </w:p>
        </w:tc>
        <w:tc>
          <w:tcPr>
            <w:tcW w:w="440" w:type="dxa"/>
            <w:vAlign w:val="bottom"/>
          </w:tcPr>
          <w:p>
            <w:pPr>
              <w:spacing w:after="0"/>
              <w:rPr>
                <w:sz w:val="17"/>
                <w:szCs w:val="17"/>
                <w:color w:val="auto"/>
              </w:rPr>
            </w:pPr>
          </w:p>
        </w:tc>
        <w:tc>
          <w:tcPr>
            <w:tcW w:w="16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Earnout payments</w:t>
            </w:r>
          </w:p>
        </w:tc>
        <w:tc>
          <w:tcPr>
            <w:tcW w:w="4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(1,007 )</w:t>
            </w:r>
          </w:p>
        </w:tc>
        <w:tc>
          <w:tcPr>
            <w:tcW w:w="7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440" w:type="dxa"/>
            <w:vAlign w:val="bottom"/>
          </w:tcPr>
          <w:p>
            <w:pPr>
              <w:spacing w:after="0"/>
              <w:rPr>
                <w:sz w:val="17"/>
                <w:szCs w:val="17"/>
                <w:color w:val="auto"/>
              </w:rPr>
            </w:pPr>
          </w:p>
        </w:tc>
        <w:tc>
          <w:tcPr>
            <w:tcW w:w="16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(7 )</w:t>
            </w:r>
          </w:p>
        </w:tc>
        <w:tc>
          <w:tcPr>
            <w:tcW w:w="7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03"/>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Bad debt expense</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440" w:type="dxa"/>
            <w:vAlign w:val="bottom"/>
          </w:tcPr>
          <w:p>
            <w:pPr>
              <w:spacing w:after="0"/>
              <w:rPr>
                <w:sz w:val="17"/>
                <w:szCs w:val="17"/>
                <w:color w:val="auto"/>
              </w:rPr>
            </w:pPr>
          </w:p>
        </w:tc>
        <w:tc>
          <w:tcPr>
            <w:tcW w:w="16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(18,582 )</w:t>
            </w:r>
          </w:p>
        </w:tc>
        <w:tc>
          <w:tcPr>
            <w:tcW w:w="7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(2,638 )</w:t>
            </w:r>
          </w:p>
        </w:tc>
      </w:tr>
      <w:tr>
        <w:trPr>
          <w:trHeight w:val="20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(1,319 )</w:t>
            </w: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440" w:type="dxa"/>
            <w:vAlign w:val="bottom"/>
          </w:tcPr>
          <w:p>
            <w:pPr>
              <w:spacing w:after="0"/>
              <w:rPr>
                <w:sz w:val="17"/>
                <w:szCs w:val="17"/>
                <w:color w:val="auto"/>
              </w:rPr>
            </w:pPr>
          </w:p>
        </w:tc>
        <w:tc>
          <w:tcPr>
            <w:tcW w:w="16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(3,393 )</w:t>
            </w:r>
          </w:p>
        </w:tc>
        <w:tc>
          <w:tcPr>
            <w:tcW w:w="7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(409 )</w:t>
            </w:r>
          </w:p>
        </w:tc>
      </w:tr>
      <w:tr>
        <w:trPr>
          <w:trHeight w:val="20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(496 )</w:t>
            </w:r>
          </w:p>
        </w:tc>
      </w:tr>
      <w:tr>
        <w:trPr>
          <w:trHeight w:val="20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16,538</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(2,784 )</w:t>
            </w: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7,846</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(1,490 )</w:t>
            </w:r>
          </w:p>
        </w:tc>
      </w:tr>
      <w:tr>
        <w:trPr>
          <w:trHeight w:val="20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(508 )</w:t>
            </w: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440" w:type="dxa"/>
            <w:vAlign w:val="bottom"/>
          </w:tcPr>
          <w:p>
            <w:pPr>
              <w:spacing w:after="0"/>
              <w:rPr>
                <w:sz w:val="17"/>
                <w:szCs w:val="17"/>
                <w:color w:val="auto"/>
              </w:rPr>
            </w:pPr>
          </w:p>
        </w:tc>
        <w:tc>
          <w:tcPr>
            <w:tcW w:w="16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(2,405 )</w:t>
            </w:r>
          </w:p>
        </w:tc>
        <w:tc>
          <w:tcPr>
            <w:tcW w:w="7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(639 )</w:t>
            </w:r>
          </w:p>
        </w:tc>
      </w:tr>
      <w:tr>
        <w:trPr>
          <w:trHeight w:val="196"/>
        </w:trPr>
        <w:tc>
          <w:tcPr>
            <w:tcW w:w="7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18,691</w:t>
            </w:r>
          </w:p>
        </w:tc>
        <w:tc>
          <w:tcPr>
            <w:tcW w:w="2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(1,432 )</w:t>
            </w:r>
          </w:p>
        </w:tc>
        <w:tc>
          <w:tcPr>
            <w:tcW w:w="7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(997 )</w:t>
            </w: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paid for acquisitions</w:t>
            </w:r>
          </w:p>
        </w:tc>
        <w:tc>
          <w:tcPr>
            <w:tcW w:w="4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(37,372 )</w:t>
            </w:r>
          </w:p>
        </w:tc>
        <w:tc>
          <w:tcPr>
            <w:tcW w:w="7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40" w:type="dxa"/>
            <w:vAlign w:val="bottom"/>
          </w:tcPr>
          <w:p>
            <w:pPr>
              <w:spacing w:after="0"/>
              <w:rPr>
                <w:sz w:val="17"/>
                <w:szCs w:val="17"/>
                <w:color w:val="auto"/>
              </w:rPr>
            </w:pPr>
          </w:p>
        </w:tc>
        <w:tc>
          <w:tcPr>
            <w:tcW w:w="16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(38,797 )</w:t>
            </w:r>
          </w:p>
        </w:tc>
        <w:tc>
          <w:tcPr>
            <w:tcW w:w="7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(463 )</w:t>
            </w:r>
          </w:p>
        </w:tc>
      </w:tr>
      <w:tr>
        <w:trPr>
          <w:trHeight w:val="19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4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47,600</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18,200</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(24,900 )</w:t>
            </w:r>
          </w:p>
        </w:tc>
        <w:tc>
          <w:tcPr>
            <w:tcW w:w="7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(22,300 )</w:t>
            </w: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on long-term debt</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(1,469 )</w:t>
            </w:r>
          </w:p>
        </w:tc>
        <w:tc>
          <w:tcPr>
            <w:tcW w:w="7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(1,250 )</w:t>
            </w: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440" w:type="dxa"/>
            <w:vAlign w:val="bottom"/>
          </w:tcPr>
          <w:p>
            <w:pPr>
              <w:spacing w:after="0"/>
              <w:rPr>
                <w:sz w:val="17"/>
                <w:szCs w:val="17"/>
                <w:color w:val="auto"/>
              </w:rPr>
            </w:pPr>
          </w:p>
        </w:tc>
        <w:tc>
          <w:tcPr>
            <w:tcW w:w="16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(130 )</w:t>
            </w:r>
          </w:p>
        </w:tc>
        <w:tc>
          <w:tcPr>
            <w:tcW w:w="720" w:type="dxa"/>
            <w:vAlign w:val="bottom"/>
          </w:tcPr>
          <w:p>
            <w:pPr>
              <w:spacing w:after="0"/>
              <w:rPr>
                <w:sz w:val="17"/>
                <w:szCs w:val="17"/>
                <w:color w:val="auto"/>
              </w:rPr>
            </w:pP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4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(293 )</w:t>
            </w:r>
          </w:p>
        </w:tc>
        <w:tc>
          <w:tcPr>
            <w:tcW w:w="7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(271 )</w:t>
            </w: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Earnout payments</w:t>
            </w:r>
          </w:p>
        </w:tc>
        <w:tc>
          <w:tcPr>
            <w:tcW w:w="440" w:type="dxa"/>
            <w:vAlign w:val="bottom"/>
          </w:tcPr>
          <w:p>
            <w:pPr>
              <w:spacing w:after="0"/>
              <w:rPr>
                <w:sz w:val="17"/>
                <w:szCs w:val="17"/>
                <w:color w:val="auto"/>
              </w:rPr>
            </w:pPr>
          </w:p>
        </w:tc>
        <w:tc>
          <w:tcPr>
            <w:tcW w:w="16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(823 )</w:t>
            </w:r>
          </w:p>
        </w:tc>
      </w:tr>
      <w:tr>
        <w:trPr>
          <w:trHeight w:val="20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440" w:type="dxa"/>
            <w:vAlign w:val="bottom"/>
          </w:tcPr>
          <w:p>
            <w:pPr>
              <w:spacing w:after="0"/>
              <w:rPr>
                <w:sz w:val="17"/>
                <w:szCs w:val="17"/>
                <w:color w:val="auto"/>
              </w:rPr>
            </w:pPr>
          </w:p>
        </w:tc>
        <w:tc>
          <w:tcPr>
            <w:tcW w:w="16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(900 )</w:t>
            </w:r>
          </w:p>
        </w:tc>
        <w:tc>
          <w:tcPr>
            <w:tcW w:w="7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(107 )</w:t>
            </w:r>
          </w:p>
        </w:tc>
      </w:tr>
      <w:tr>
        <w:trPr>
          <w:trHeight w:val="202"/>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repurchase</w:t>
            </w:r>
          </w:p>
        </w:tc>
        <w:tc>
          <w:tcPr>
            <w:tcW w:w="4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(4,324 )</w:t>
            </w:r>
          </w:p>
        </w:tc>
        <w:tc>
          <w:tcPr>
            <w:tcW w:w="7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26,655</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(6,423 )</w:t>
            </w:r>
          </w:p>
        </w:tc>
      </w:tr>
      <w:tr>
        <w:trPr>
          <w:trHeight w:val="196"/>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(3,291 )</w:t>
            </w:r>
          </w:p>
        </w:tc>
      </w:tr>
      <w:tr>
        <w:trPr>
          <w:trHeight w:val="203"/>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31,995</w:t>
            </w:r>
          </w:p>
        </w:tc>
        <w:tc>
          <w:tcPr>
            <w:tcW w:w="2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35,453</w:t>
            </w:r>
          </w:p>
        </w:tc>
        <w:tc>
          <w:tcPr>
            <w:tcW w:w="260" w:type="dxa"/>
            <w:vAlign w:val="bottom"/>
          </w:tcPr>
          <w:p>
            <w:pPr>
              <w:spacing w:after="0"/>
              <w:rPr>
                <w:sz w:val="17"/>
                <w:szCs w:val="17"/>
                <w:color w:val="auto"/>
              </w:rPr>
            </w:pP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34,520</w:t>
            </w:r>
          </w:p>
        </w:tc>
        <w:tc>
          <w:tcPr>
            <w:tcW w:w="100" w:type="dxa"/>
            <w:vAlign w:val="bottom"/>
          </w:tcPr>
          <w:p>
            <w:pPr>
              <w:spacing w:after="0"/>
              <w:rPr>
                <w:sz w:val="17"/>
                <w:szCs w:val="17"/>
                <w:color w:val="auto"/>
              </w:rPr>
            </w:pPr>
          </w:p>
        </w:tc>
      </w:tr>
      <w:tr>
        <w:trPr>
          <w:trHeight w:val="20"/>
        </w:trPr>
        <w:tc>
          <w:tcPr>
            <w:tcW w:w="7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(received) during the period for:</w:t>
            </w:r>
          </w:p>
        </w:tc>
        <w:tc>
          <w:tcPr>
            <w:tcW w:w="4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260" w:type="dxa"/>
            <w:vAlign w:val="bottom"/>
          </w:tcPr>
          <w:p>
            <w:pPr>
              <w:spacing w:after="0"/>
              <w:rPr>
                <w:sz w:val="17"/>
                <w:szCs w:val="17"/>
                <w:color w:val="auto"/>
              </w:rPr>
            </w:pP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Pr>
          <w:p>
            <w:pPr>
              <w:spacing w:after="0"/>
              <w:rPr>
                <w:sz w:val="17"/>
                <w:szCs w:val="17"/>
                <w:color w:val="auto"/>
              </w:rPr>
            </w:pPr>
          </w:p>
        </w:tc>
      </w:tr>
      <w:tr>
        <w:trPr>
          <w:trHeight w:val="20"/>
        </w:trPr>
        <w:tc>
          <w:tcPr>
            <w:tcW w:w="7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2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-3230880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-2708275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-1148080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-873760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-607695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-316865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3452"/>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5" w:lineRule="exact"/>
        <w:rPr>
          <w:sz w:val="20"/>
          <w:szCs w:val="20"/>
          <w:color w:val="auto"/>
        </w:rPr>
      </w:pPr>
    </w:p>
    <w:p>
      <w:pPr>
        <w:ind w:left="2812"/>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w:t>
      </w:r>
    </w:p>
    <w:p>
      <w:pPr>
        <w:jc w:val="center"/>
        <w:ind w:right="-31"/>
        <w:spacing w:after="0"/>
        <w:rPr>
          <w:sz w:val="20"/>
          <w:szCs w:val="20"/>
          <w:color w:val="auto"/>
        </w:rPr>
      </w:pPr>
      <w:r>
        <w:rPr>
          <w:rFonts w:ascii="Times New Roman" w:cs="Times New Roman" w:eastAsia="Times New Roman" w:hAnsi="Times New Roman"/>
          <w:sz w:val="18"/>
          <w:szCs w:val="18"/>
          <w:u w:val="single" w:color="auto"/>
          <w:color w:val="auto"/>
        </w:rPr>
        <w:t>(unaudited)</w:t>
      </w:r>
    </w:p>
    <w:p>
      <w:pPr>
        <w:spacing w:after="0" w:line="188" w:lineRule="exact"/>
        <w:rPr>
          <w:sz w:val="20"/>
          <w:szCs w:val="20"/>
          <w:color w:val="auto"/>
        </w:rPr>
      </w:pPr>
    </w:p>
    <w:p>
      <w:pPr>
        <w:ind w:left="352" w:hanging="352"/>
        <w:spacing w:after="0"/>
        <w:tabs>
          <w:tab w:leader="none" w:pos="3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Reporting for Consolidated Financial Statements</w:t>
      </w:r>
    </w:p>
    <w:p>
      <w:pPr>
        <w:spacing w:after="0" w:line="229" w:lineRule="exact"/>
        <w:rPr>
          <w:sz w:val="20"/>
          <w:szCs w:val="20"/>
          <w:color w:val="auto"/>
        </w:rPr>
      </w:pPr>
    </w:p>
    <w:p>
      <w:pPr>
        <w:ind w:left="512" w:right="80"/>
        <w:spacing w:after="0" w:line="24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June 30, 2022 and the results of operations, cash flows and shareholders’ equity for the three-month and six-month periods ended June 30, 2022 and 2021. The results of operations for the three-month and six-month periods ended June 30, 2022 are not necessarily indicative of the results to be expected for the full year. The balance sheet as of December 31, 2021 has been derived from the audited consolidated financial statements included in the Company’s Annual Report on Form 10-K for the year ended December 31, 2021 as filed with the SEC on March 14, 2022 (the “Form 10-K”).</w:t>
      </w:r>
    </w:p>
    <w:p>
      <w:pPr>
        <w:spacing w:after="0" w:line="203" w:lineRule="exact"/>
        <w:rPr>
          <w:sz w:val="20"/>
          <w:szCs w:val="20"/>
          <w:color w:val="auto"/>
        </w:rPr>
      </w:pPr>
    </w:p>
    <w:p>
      <w:pPr>
        <w:jc w:val="both"/>
        <w:ind w:left="512" w:right="6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0" w:lineRule="exact"/>
        <w:rPr>
          <w:sz w:val="20"/>
          <w:szCs w:val="20"/>
          <w:color w:val="auto"/>
        </w:rPr>
      </w:pPr>
    </w:p>
    <w:p>
      <w:pPr>
        <w:ind w:left="512" w:right="580"/>
        <w:spacing w:after="0" w:line="266" w:lineRule="auto"/>
        <w:rPr>
          <w:sz w:val="20"/>
          <w:szCs w:val="20"/>
          <w:color w:val="auto"/>
        </w:rPr>
      </w:pPr>
      <w:r>
        <w:rPr>
          <w:rFonts w:ascii="Times New Roman" w:cs="Times New Roman" w:eastAsia="Times New Roman" w:hAnsi="Times New Roman"/>
          <w:sz w:val="18"/>
          <w:szCs w:val="18"/>
          <w:color w:val="auto"/>
        </w:rPr>
        <w:t>These financial statements and accompanying notes should be read in conjunction with the audited financial statements and the notes thereto included in the Form 10-K.</w:t>
      </w:r>
    </w:p>
    <w:p>
      <w:pPr>
        <w:spacing w:after="0" w:line="16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Unless otherwise indicated, all balances within tables are in thousands, except per share amounts.</w:t>
      </w:r>
    </w:p>
    <w:p>
      <w:pPr>
        <w:spacing w:after="0" w:line="22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214" w:lineRule="exact"/>
        <w:rPr>
          <w:sz w:val="20"/>
          <w:szCs w:val="20"/>
          <w:color w:val="auto"/>
        </w:rPr>
      </w:pPr>
    </w:p>
    <w:p>
      <w:pPr>
        <w:jc w:val="both"/>
        <w:ind w:left="512" w:right="60"/>
        <w:spacing w:after="0" w:line="280" w:lineRule="auto"/>
        <w:rPr>
          <w:sz w:val="20"/>
          <w:szCs w:val="20"/>
          <w:color w:val="auto"/>
        </w:rPr>
      </w:pPr>
      <w:r>
        <w:rPr>
          <w:rFonts w:ascii="Times New Roman" w:cs="Times New Roman" w:eastAsia="Times New Roman" w:hAnsi="Times New Roman"/>
          <w:sz w:val="17"/>
          <w:szCs w:val="17"/>
          <w:color w:val="auto"/>
        </w:rPr>
        <w:t>A novel strain of coronavirus (“COVID-19”) surfaced in late 2019 and has spread around the world, including to the United States. In March 2020, the World Health Organization characterized COVID-19 as a pandemic. As of June 30, 2022, the virus, including new emerging variants, continues to spread and has had a significant impact on worldwide economic activity, on macroeconomic conditions and the end markets of our business.</w:t>
      </w:r>
    </w:p>
    <w:p>
      <w:pPr>
        <w:spacing w:after="0" w:line="153" w:lineRule="exact"/>
        <w:rPr>
          <w:sz w:val="20"/>
          <w:szCs w:val="20"/>
          <w:color w:val="auto"/>
        </w:rPr>
      </w:pPr>
    </w:p>
    <w:p>
      <w:pPr>
        <w:ind w:left="512" w:right="160"/>
        <w:spacing w:after="0" w:line="261" w:lineRule="auto"/>
        <w:rPr>
          <w:sz w:val="20"/>
          <w:szCs w:val="20"/>
          <w:color w:val="auto"/>
        </w:rPr>
      </w:pPr>
      <w:r>
        <w:rPr>
          <w:rFonts w:ascii="Times New Roman" w:cs="Times New Roman" w:eastAsia="Times New Roman" w:hAnsi="Times New Roman"/>
          <w:sz w:val="17"/>
          <w:szCs w:val="17"/>
          <w:color w:val="auto"/>
        </w:rPr>
        <w:t>The outbreak and a continued spread of COVID-19 has resulted in a substantial curtailment of business activities worldwide and has caused weakened economic conditions, both in the United States and abroad. Although vaccines are available in various countries where we operate, it is possible the COVID-19 pandemic may continue to have a negative impact on the Company's ongoing operations and the end markets in which it serves. However, the full impact of the COVID-19 pandemic continues to evolve as of the date of this filing, and as such, it is uncertain as to the full magnitude or lasting impact that the pandemic will have on the Company’s financial condition, liquidity, and future results of operations. Management is actively monitoring the impact of the pandemic on its financial condition, liquidity, operations, suppliers, industry, and workforce.</w:t>
      </w:r>
    </w:p>
    <w:p>
      <w:pPr>
        <w:spacing w:after="0" w:line="178" w:lineRule="exact"/>
        <w:rPr>
          <w:sz w:val="20"/>
          <w:szCs w:val="20"/>
          <w:color w:val="auto"/>
        </w:rPr>
      </w:pPr>
    </w:p>
    <w:p>
      <w:pPr>
        <w:ind w:left="512" w:right="7220" w:hanging="512"/>
        <w:spacing w:after="0" w:line="490" w:lineRule="auto"/>
        <w:tabs>
          <w:tab w:leader="none" w:pos="36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Financial Accounting Pronouncements Accounting Standards adopted in Fiscal 2022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Accounting Standards to be Adopted</w:t>
      </w:r>
    </w:p>
    <w:p>
      <w:pPr>
        <w:spacing w:after="0" w:line="216" w:lineRule="exact"/>
        <w:rPr>
          <w:sz w:val="20"/>
          <w:szCs w:val="20"/>
          <w:color w:val="auto"/>
        </w:rPr>
      </w:pPr>
    </w:p>
    <w:p>
      <w:pPr>
        <w:ind w:left="512"/>
        <w:spacing w:after="0" w:line="250"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which addresses how an acquirer should recognize and measure revenue contracts acquired in a business combination. This ASU is effective for fiscal years beginning after December 15, 2022, including interim periods within those fiscal years. The Company is currently evaluating the impact the adoption of the standard will have on the Company’s financial position and/or results of operations.</w:t>
      </w:r>
    </w:p>
    <w:p>
      <w:pPr>
        <w:spacing w:after="0" w:line="17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24" w:right="359" w:bottom="1440" w:gutter="0" w:footer="0" w:header="0"/>
        </w:sectPr>
      </w:pPr>
    </w:p>
    <w:bookmarkStart w:id="8" w:name="page9"/>
    <w:bookmarkEnd w:id="8"/>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Accounts Receivable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80" w:type="dxa"/>
            <w:vAlign w:val="bottom"/>
          </w:tcPr>
          <w:p>
            <w:pPr>
              <w:spacing w:after="0"/>
              <w:rPr>
                <w:sz w:val="16"/>
                <w:szCs w:val="16"/>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receivables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75,841</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65,932</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(3,808 )</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(3,478 )</w:t>
            </w:r>
          </w:p>
        </w:tc>
      </w:tr>
      <w:tr>
        <w:trPr>
          <w:trHeight w:val="210"/>
        </w:trPr>
        <w:tc>
          <w:tcPr>
            <w:tcW w:w="73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95,318</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74,991</w:t>
            </w:r>
          </w:p>
        </w:tc>
        <w:tc>
          <w:tcPr>
            <w:tcW w:w="100" w:type="dxa"/>
            <w:vAlign w:val="bottom"/>
            <w:tcBorders>
              <w:top w:val="single" w:sz="8" w:color="CFF0FC"/>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180"/>
        <w:spacing w:after="0" w:line="250" w:lineRule="auto"/>
        <w:rPr>
          <w:sz w:val="20"/>
          <w:szCs w:val="20"/>
          <w:color w:val="auto"/>
        </w:rPr>
      </w:pPr>
      <w:r>
        <w:rPr>
          <w:rFonts w:ascii="Times New Roman" w:cs="Times New Roman" w:eastAsia="Times New Roman" w:hAnsi="Times New Roman"/>
          <w:sz w:val="18"/>
          <w:szCs w:val="18"/>
          <w:color w:val="auto"/>
        </w:rPr>
        <w:t>Balances billed but not paid by customers under retainage provisions in contracts within the Condensed Consolidated Balance Sheets amounted to approximately $1.6 million and $1.8 million at June 30, 2022 and December 31, 2021, respectively. Retainage receivables on contracts in progress are generally collected within a year or two subsequent to contract completion, and are recorded in either accounts receivable, net or deferred charges and other assets within the Condensed Consolidated Balance Sheets depending on timing of expected collection.</w:t>
      </w:r>
    </w:p>
    <w:p>
      <w:pPr>
        <w:spacing w:after="0" w:line="177" w:lineRule="exact"/>
        <w:rPr>
          <w:sz w:val="20"/>
          <w:szCs w:val="20"/>
          <w:color w:val="auto"/>
        </w:rPr>
      </w:pPr>
    </w:p>
    <w:p>
      <w:pPr>
        <w:ind w:left="520" w:right="340"/>
        <w:spacing w:after="0" w:line="266" w:lineRule="auto"/>
        <w:rPr>
          <w:sz w:val="20"/>
          <w:szCs w:val="20"/>
          <w:color w:val="auto"/>
        </w:rPr>
      </w:pPr>
      <w:r>
        <w:rPr>
          <w:rFonts w:ascii="Times New Roman" w:cs="Times New Roman" w:eastAsia="Times New Roman" w:hAnsi="Times New Roman"/>
          <w:sz w:val="18"/>
          <w:szCs w:val="18"/>
          <w:color w:val="auto"/>
        </w:rPr>
        <w:t>Bad debt expense was approximately $0.4 million and $0.1 million for the three-month periods ended June 30, 2022 and 2021, respectively, and $0.4 million and $0.1 million for the six-month periods ended June 30, 2022 and 2021, respectively.</w:t>
      </w:r>
    </w:p>
    <w:p>
      <w:pPr>
        <w:spacing w:after="0" w:line="17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80" w:type="dxa"/>
            <w:vAlign w:val="bottom"/>
          </w:tcPr>
          <w:p>
            <w:pPr>
              <w:spacing w:after="0"/>
              <w:rPr>
                <w:sz w:val="16"/>
                <w:szCs w:val="16"/>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Obsolescence allowance</w:t>
            </w:r>
          </w:p>
        </w:tc>
        <w:tc>
          <w:tcPr>
            <w:tcW w:w="28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(2,803 )</w:t>
            </w:r>
          </w:p>
        </w:tc>
        <w:tc>
          <w:tcPr>
            <w:tcW w:w="22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(2,174 )</w:t>
            </w:r>
          </w:p>
        </w:tc>
      </w:tr>
      <w:tr>
        <w:trPr>
          <w:trHeight w:val="249"/>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23,981</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360"/>
        <w:spacing w:after="0" w:line="250" w:lineRule="auto"/>
        <w:rPr>
          <w:sz w:val="20"/>
          <w:szCs w:val="20"/>
          <w:color w:val="auto"/>
        </w:rPr>
      </w:pPr>
      <w:r>
        <w:rPr>
          <w:rFonts w:ascii="Times New Roman" w:cs="Times New Roman" w:eastAsia="Times New Roman" w:hAnsi="Times New Roman"/>
          <w:sz w:val="18"/>
          <w:szCs w:val="18"/>
          <w:color w:val="auto"/>
        </w:rPr>
        <w:t>Amounts credited to the allowance for obsolete inventory and charged to cost of sales amounted to ($0.1) million and $0.1 million for the three-month periods ended June 30, 2022 and 2021, and $0.1 million and $0.2 million for the six-month periods ended June 30, 2022 and 2021, respectively.</w:t>
      </w:r>
    </w:p>
    <w:p>
      <w:pPr>
        <w:spacing w:after="0" w:line="186"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r>
      <w:tr>
        <w:trPr>
          <w:trHeight w:val="16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Goodwill / Tradename</w:t>
            </w: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Tradename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Tradename</w:t>
            </w:r>
          </w:p>
        </w:tc>
        <w:tc>
          <w:tcPr>
            <w:tcW w:w="100" w:type="dxa"/>
            <w:vAlign w:val="bottom"/>
          </w:tcPr>
          <w:p>
            <w:pPr>
              <w:spacing w:after="0"/>
              <w:rPr>
                <w:sz w:val="14"/>
                <w:szCs w:val="14"/>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161,183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161,820</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to finite life classification</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(3,150 )</w:t>
            </w: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(1,068 )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(637 )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(158 )</w:t>
            </w:r>
          </w:p>
        </w:tc>
      </w:tr>
      <w:tr>
        <w:trPr>
          <w:trHeight w:val="249"/>
        </w:trPr>
        <w:tc>
          <w:tcPr>
            <w:tcW w:w="5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185,795</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161,183</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75"/>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16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 – finite life</w:t>
            </w: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Accum. Amort.</w:t>
            </w:r>
          </w:p>
        </w:tc>
        <w:tc>
          <w:tcPr>
            <w:tcW w:w="220" w:type="dxa"/>
            <w:vAlign w:val="bottom"/>
            <w:gridSpan w:val="2"/>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Accum. Amort.</w:t>
            </w:r>
          </w:p>
        </w:tc>
        <w:tc>
          <w:tcPr>
            <w:tcW w:w="100" w:type="dxa"/>
            <w:vAlign w:val="bottom"/>
          </w:tcPr>
          <w:p>
            <w:pPr>
              <w:spacing w:after="0"/>
              <w:rPr>
                <w:sz w:val="14"/>
                <w:szCs w:val="14"/>
                <w:color w:val="auto"/>
              </w:rPr>
            </w:pP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85,289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53,970</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(1,895 )</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(2,149 )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(1,025 )</w:t>
            </w:r>
          </w:p>
        </w:tc>
      </w:tr>
      <w:tr>
        <w:trPr>
          <w:trHeight w:val="210"/>
        </w:trPr>
        <w:tc>
          <w:tcPr>
            <w:tcW w:w="51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108,769</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72,975</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95,235</w:t>
            </w: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69,394</w:t>
            </w:r>
          </w:p>
        </w:tc>
        <w:tc>
          <w:tcPr>
            <w:tcW w:w="100" w:type="dxa"/>
            <w:vAlign w:val="bottom"/>
            <w:tcBorders>
              <w:top w:val="single" w:sz="8" w:color="CFF0FC"/>
            </w:tcBorders>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-1250950</wp:posOffset>
            </wp:positionV>
            <wp:extent cx="76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-1233805</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-1250950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-1233805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-1250950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-1233805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-170815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for the six-months ended June 30, 2022 and 2021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 at beginning of period</w:t>
            </w:r>
          </w:p>
        </w:tc>
        <w:tc>
          <w:tcPr>
            <w:tcW w:w="25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25,841</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2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(2,789 )</w:t>
            </w:r>
          </w:p>
        </w:tc>
        <w:tc>
          <w:tcPr>
            <w:tcW w:w="4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(3,359 )</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Transfers from indefinite life classification</w:t>
            </w:r>
          </w:p>
        </w:tc>
        <w:tc>
          <w:tcPr>
            <w:tcW w:w="2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w:t>
            </w:r>
          </w:p>
        </w:tc>
        <w:tc>
          <w:tcPr>
            <w:tcW w:w="2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(538 )</w:t>
            </w:r>
          </w:p>
        </w:tc>
        <w:tc>
          <w:tcPr>
            <w:tcW w:w="4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9"/>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 at end of period</w:t>
            </w:r>
          </w:p>
        </w:tc>
        <w:tc>
          <w:tcPr>
            <w:tcW w:w="252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35,794</w:t>
            </w:r>
          </w:p>
        </w:tc>
        <w:tc>
          <w:tcPr>
            <w:tcW w:w="26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52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8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0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-641985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 w:name="page10"/>
    <w:bookmarkEnd w:id="9"/>
    <w:p>
      <w:pPr>
        <w:ind w:left="520" w:right="60"/>
        <w:spacing w:after="0" w:line="250" w:lineRule="auto"/>
        <w:rPr>
          <w:sz w:val="20"/>
          <w:szCs w:val="20"/>
          <w:color w:val="auto"/>
        </w:rPr>
      </w:pPr>
      <w:r>
        <w:rPr>
          <w:rFonts w:ascii="Times New Roman" w:cs="Times New Roman" w:eastAsia="Times New Roman" w:hAnsi="Times New Roman"/>
          <w:sz w:val="18"/>
          <w:szCs w:val="18"/>
          <w:color w:val="auto"/>
        </w:rPr>
        <w:t>Amortization expense of finite life intangible assets was $1.5 million and $1.7 million for the three-month periods ended June 30, 2022 and 2021, respectively and $2.8 million and $3.4 million for the six-month periods ended June 30, 2022 and 2021, respectively. Amortization over the next five years for finite life intangibles is expected to be $3.9 million for the remainder of 2022, $6.5 million in 2023, $5.6 million in 2024, $4.5 million in 2025, and $3.2 million in 2026.</w:t>
      </w:r>
    </w:p>
    <w:p>
      <w:pPr>
        <w:spacing w:after="0" w:line="191" w:lineRule="exact"/>
        <w:rPr>
          <w:sz w:val="20"/>
          <w:szCs w:val="20"/>
          <w:color w:val="auto"/>
        </w:rPr>
      </w:pPr>
    </w:p>
    <w:p>
      <w:pPr>
        <w:ind w:left="520" w:right="40"/>
        <w:spacing w:after="0" w:line="242" w:lineRule="auto"/>
        <w:rPr>
          <w:sz w:val="20"/>
          <w:szCs w:val="20"/>
          <w:color w:val="auto"/>
        </w:rPr>
      </w:pPr>
      <w:r>
        <w:rPr>
          <w:rFonts w:ascii="Times New Roman" w:cs="Times New Roman" w:eastAsia="Times New Roman" w:hAnsi="Times New Roman"/>
          <w:sz w:val="18"/>
          <w:szCs w:val="18"/>
          <w:color w:val="auto"/>
        </w:rPr>
        <w:t>The Company completes an annual (or more often if circumstances require) goodwill and indefinite life intangible asset impairment assessment on October 1.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the carrying value, the Company does not need to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spacing w:after="0" w:line="200" w:lineRule="exact"/>
        <w:rPr>
          <w:sz w:val="20"/>
          <w:szCs w:val="20"/>
          <w:color w:val="auto"/>
        </w:rPr>
      </w:pPr>
    </w:p>
    <w:p>
      <w:pPr>
        <w:ind w:left="520" w:right="80"/>
        <w:spacing w:after="0" w:line="250" w:lineRule="auto"/>
        <w:rPr>
          <w:sz w:val="20"/>
          <w:szCs w:val="20"/>
          <w:color w:val="auto"/>
        </w:rPr>
      </w:pPr>
      <w:r>
        <w:rPr>
          <w:rFonts w:ascii="Times New Roman" w:cs="Times New Roman" w:eastAsia="Times New Roman" w:hAnsi="Times New Roman"/>
          <w:sz w:val="18"/>
          <w:szCs w:val="18"/>
          <w:color w:val="auto"/>
        </w:rPr>
        <w:t>As of June 30, 2022, we reviewed our previous forecasts and assumptions based on our current projections, which are subject to various risks and uncertainties, including projected revenue, projected operational profit, terminal growth rates, and the cost of capital. The Company did not identify any triggering events during the three-month period ended June 30, 2022 that would require an interim impairment assessment of goodwill or intangible assets.</w:t>
      </w:r>
    </w:p>
    <w:p>
      <w:pPr>
        <w:spacing w:after="0" w:line="177"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The Company’s assumptions about future conditions important to its assessment of potential impairment of its goodwill and indefinite life intangible assets, including the impacts of the COVID-19 pandemic, are subject to uncertainty, and the Company will continue to monitor these conditions in future periods as new information becomes available, and will update its analysis accordingly.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Accounts Payable and Accrued Expenses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24"/>
                <w:szCs w:val="24"/>
                <w:color w:val="auto"/>
              </w:rPr>
            </w:pPr>
          </w:p>
        </w:tc>
      </w:tr>
      <w:tr>
        <w:trPr>
          <w:trHeight w:val="20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accounts payable, including amounts due to subcontractors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69,379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56,242</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liability</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tcPr>
          <w:p>
            <w:pPr>
              <w:spacing w:after="0"/>
              <w:rPr>
                <w:sz w:val="18"/>
                <w:szCs w:val="18"/>
                <w:color w:val="auto"/>
              </w:rPr>
            </w:pPr>
          </w:p>
        </w:tc>
      </w:tr>
      <w:tr>
        <w:trPr>
          <w:trHeight w:val="249"/>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101,233</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Senior Debt</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00" w:type="dxa"/>
            <w:vAlign w:val="bottom"/>
          </w:tcPr>
          <w:p>
            <w:pPr>
              <w:spacing w:after="0"/>
              <w:rPr>
                <w:sz w:val="16"/>
                <w:szCs w:val="16"/>
                <w:color w:val="auto"/>
              </w:rPr>
            </w:pP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4"/>
        </w:trPr>
        <w:tc>
          <w:tcPr>
            <w:tcW w:w="724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Outstanding borrowings under the Credit Facility (defined below).</w:t>
            </w:r>
          </w:p>
        </w:tc>
        <w:tc>
          <w:tcPr>
            <w:tcW w:w="300" w:type="dxa"/>
            <w:vAlign w:val="bottom"/>
            <w:tcBorders>
              <w:top w:val="single" w:sz="8" w:color="auto"/>
            </w:tcBorders>
            <w:shd w:val="clear" w:color="auto" w:fill="CFF0FC"/>
          </w:tcPr>
          <w:p>
            <w:pPr>
              <w:spacing w:after="0"/>
              <w:rPr>
                <w:sz w:val="14"/>
                <w:szCs w:val="14"/>
                <w:color w:val="auto"/>
              </w:rPr>
            </w:pPr>
          </w:p>
        </w:tc>
        <w:tc>
          <w:tcPr>
            <w:tcW w:w="152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24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Term loan payable in quarterly principal installments of $0.6 million through September 2023,</w:t>
            </w:r>
          </w:p>
        </w:tc>
        <w:tc>
          <w:tcPr>
            <w:tcW w:w="3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24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and $0.8 million through September 2025 and $1.1 million thereafter with balance due upon</w:t>
            </w:r>
          </w:p>
        </w:tc>
        <w:tc>
          <w:tcPr>
            <w:tcW w:w="3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maturity in September 2026.</w:t>
            </w:r>
          </w:p>
        </w:tc>
        <w:tc>
          <w:tcPr>
            <w:tcW w:w="30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Term loan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42,410</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43,511</w:t>
            </w:r>
          </w:p>
        </w:tc>
        <w:tc>
          <w:tcPr>
            <w:tcW w:w="100" w:type="dxa"/>
            <w:vAlign w:val="bottom"/>
          </w:tcPr>
          <w:p>
            <w:pPr>
              <w:spacing w:after="0"/>
              <w:rPr>
                <w:sz w:val="18"/>
                <w:szCs w:val="18"/>
                <w:color w:val="auto"/>
              </w:rPr>
            </w:pPr>
          </w:p>
        </w:tc>
      </w:tr>
      <w:tr>
        <w:trPr>
          <w:trHeight w:val="216"/>
        </w:trPr>
        <w:tc>
          <w:tcPr>
            <w:tcW w:w="72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 Revolving credit loan</w:t>
            </w:r>
          </w:p>
        </w:tc>
        <w:tc>
          <w:tcPr>
            <w:tcW w:w="3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44,700</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outstanding borrowing under the Credit Facility</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65,511</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borrowing under the joint venture term debt</w:t>
            </w: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0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(1,545 )</w:t>
            </w:r>
          </w:p>
        </w:tc>
        <w:tc>
          <w:tcPr>
            <w:tcW w:w="2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(1,731 )</w:t>
            </w:r>
          </w:p>
        </w:tc>
      </w:tr>
      <w:tr>
        <w:trPr>
          <w:trHeight w:val="209"/>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30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96,071</w:t>
            </w: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63,780</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(3,303 )</w:t>
            </w:r>
          </w:p>
        </w:tc>
        <w:tc>
          <w:tcPr>
            <w:tcW w:w="2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(2,203 )</w:t>
            </w:r>
          </w:p>
        </w:tc>
      </w:tr>
      <w:tr>
        <w:trPr>
          <w:trHeight w:val="250"/>
        </w:trPr>
        <w:tc>
          <w:tcPr>
            <w:tcW w:w="72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92,768</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-873760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Scheduled principal payments under our Credit Facility and joint venture term debt are $1.6 million remaining in 2022, $3.6 million in 2023, $4.9 million in 2024, $5.2 million in 2025, $78.4 million in 2026, and $3.9 million in 2027.</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As of June 30, 2022 and December 31, 2021, $20.7 million and $14.5 million of letters of credit were outstanding, respectively. Total unused credit availability under the Company’s senior secured term loan and senior secured revolver loan with sub-facilities for letters of credit, swing-line loans and senior secured multi-currency loans (the "Credit Facility") was $62.4 million and $45.9 million at June 30, 2022 and December 31, 2021, respectively. Revolving loans may be borrowed, repaid and reborrowed until December 17, 2026, at which time all outstanding balances of the Credit Facility must be repaid.</w:t>
      </w:r>
    </w:p>
    <w:p>
      <w:pPr>
        <w:spacing w:after="0" w:line="181"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At the Company’s option, revolving loans and the term loans accrue interest at a per annum rate based on either the highest of (a) the federal funds rate plus 0.5%, (b) the Agent’s prime lending rate, (c) Daily Simple SOFR plus the Daily Simple SOFR Adjustment of 0.11448% plus 1.0%, or (d) 1.0%, plus a margin ranging from 1.75% to 2.75% depending on the Company’s Consolidated Leverage Ratio (“Base Rate”), or (d) a one/three/six-month Term SOFR Rate (as defined in the Credit Agreement) plus the Term SOFR Adjustment ranging from 0.11% to 0.43% plus 1.75% to 2.75% depending on the Company’s Consolidated Leverage Ratio. Interest on swing line loans is the Base Rate.</w:t>
      </w:r>
    </w:p>
    <w:p>
      <w:pPr>
        <w:spacing w:after="0" w:line="39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Interest on Base Rate loans is payable quarterly in arrears on the last day of each calendar quarter and at maturity. Interest on Term SOFR rate loans is payable on the last date of each applicable Interest Period (as defined in the agreement), but in no event less than once every three months and at maturity. The weighted average stated interest rate on outstanding borrowings was 3.85% and 2.54% at June 30, 2022 and December 31, 2021, respectively. Under the terms of the Credit Facility, the Company is required to maintain certain financial covenants, including the maintenance of a Consolidated Net Leverage Ratio (as defined in the Credit Facility). Through September 30, 2023, the maximum Consolidated Net Leverage Ratio is 3.75, after which time it will decrease to 3.50 until the end of the term of the Credit Facility.</w:t>
      </w:r>
    </w:p>
    <w:p>
      <w:pPr>
        <w:spacing w:after="0" w:line="38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Company has granted a security interest in substantially all of its assets to secure its obligations pursuant to the Credit Facility. The Company’s obligations under the Credit Agreement are guaranteed by the Company’s U.S. subsidiaries and such guaranty obligations are secured by a security interest on substantially all the assets of such subsidiaries, including certain real property. The Company’s obligations under the Credit Agreement may also be guaranteed by the Company’s material foreign subsidiaries to the extent no adverse tax consequences would result to the Company.</w:t>
      </w:r>
    </w:p>
    <w:p>
      <w:pPr>
        <w:spacing w:after="0" w:line="3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the Company was in compliance with all related financial and other restrictive covenants under the Credit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Joint Venture Debt</w:t>
      </w:r>
    </w:p>
    <w:p>
      <w:pPr>
        <w:spacing w:after="0" w:line="2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March 7, 2022, our Effox-Flextor-Mader, Inc. joint venture ("EFM JV") entered into a loan agreement secured by the assets of the EFM JV in the aggregate principal amount of $11.0 million for the acquisition of General Rubber, LLC ("GRC"), as further described in Note 14. As of June 30, 2022, $10.5 million was outstanding under the loan. Principal will be paid back to the lender monthly with final installment due by February 27, 2027. Interest is accrued at the per annum rate based on EFM JV's choice of the 1/3/6 month Term SOFR rate plus 3.25%, with a floor rate of 3.75%. Interest is paid monthly on the last day of each month. The interest rate at June 30, 2022 was 3.90%. As of June 30, 2022, the EFM JV was in compliance with all related financial and other restrictive covenants under this loan agreement. This loan balance does not impact the Company’s borrowing capacity or the financial covenants under the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Debt</w:t>
      </w:r>
    </w:p>
    <w:p>
      <w:pPr>
        <w:spacing w:after="0" w:line="21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 As of June 30, 2022, $18.6 million in bank guarantees were outstanding. In addition, a subsidiary of the Company located in the Netherlands has a Euro-denominated bank guarantee agreement secured by local assets under which $0.7 million in bank guarantees were outstanding as of June 30, 2022. Additionally, a subsidiary of the Company in China recently entered into a renminbi ("RMB") denominated bank guarantee agreement secured primarily by local assets. As of June 30, 2022, the borrowers of these facilities and agreements were in compliance with all related financial and other restrictive covenants.</w:t>
      </w:r>
    </w:p>
    <w:p>
      <w:pPr>
        <w:spacing w:after="0" w:line="200" w:lineRule="exact"/>
        <w:rPr>
          <w:sz w:val="20"/>
          <w:szCs w:val="20"/>
          <w:color w:val="auto"/>
        </w:rPr>
      </w:pPr>
    </w:p>
    <w:p>
      <w:pPr>
        <w:spacing w:after="0" w:line="39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540" w:right="339" w:bottom="1440" w:gutter="0" w:footer="0" w:header="0"/>
        </w:sectPr>
      </w:pPr>
    </w:p>
    <w:bookmarkStart w:id="11" w:name="page12"/>
    <w:bookmarkEnd w:id="11"/>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computational components of basic and diluted earnings per share for the three-month periods ended June 30, are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32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1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180" w:type="dxa"/>
            <w:vAlign w:val="bottom"/>
            <w:tcBorders>
              <w:bottom w:val="single" w:sz="8" w:color="CCECFF"/>
            </w:tcBorders>
            <w:shd w:val="clear" w:color="auto" w:fill="CCECFF"/>
          </w:tcPr>
          <w:p>
            <w:pPr>
              <w:spacing w:after="0"/>
              <w:rPr>
                <w:sz w:val="22"/>
                <w:szCs w:val="22"/>
                <w:color w:val="auto"/>
              </w:rPr>
            </w:pPr>
          </w:p>
        </w:tc>
        <w:tc>
          <w:tcPr>
            <w:tcW w:w="440" w:type="dxa"/>
            <w:vAlign w:val="bottom"/>
            <w:tcBorders>
              <w:bottom w:val="single" w:sz="8" w:color="auto"/>
            </w:tcBorders>
            <w:shd w:val="clear" w:color="auto" w:fill="CCEC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280" w:type="dxa"/>
            <w:vAlign w:val="bottom"/>
            <w:tcBorders>
              <w:bottom w:val="single" w:sz="8" w:color="CCECFF"/>
            </w:tcBorders>
            <w:shd w:val="clear" w:color="auto" w:fill="CCECFF"/>
          </w:tcPr>
          <w:p>
            <w:pPr>
              <w:spacing w:after="0"/>
              <w:rPr>
                <w:sz w:val="22"/>
                <w:szCs w:val="22"/>
                <w:color w:val="auto"/>
              </w:rPr>
            </w:pPr>
          </w:p>
        </w:tc>
        <w:tc>
          <w:tcPr>
            <w:tcW w:w="420" w:type="dxa"/>
            <w:vAlign w:val="bottom"/>
            <w:tcBorders>
              <w:bottom w:val="single" w:sz="8" w:color="auto"/>
            </w:tcBorders>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3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shd w:val="clear" w:color="auto" w:fill="CCECFF"/>
          </w:tcPr>
          <w:p>
            <w:pPr>
              <w:spacing w:after="0"/>
              <w:rPr>
                <w:sz w:val="18"/>
                <w:szCs w:val="18"/>
                <w:color w:val="auto"/>
              </w:rPr>
            </w:pPr>
          </w:p>
        </w:tc>
        <w:tc>
          <w:tcPr>
            <w:tcW w:w="13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3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Common stock equivalents arising from stock options and restricted stock awards</w:t>
            </w:r>
          </w:p>
        </w:tc>
        <w:tc>
          <w:tcPr>
            <w:tcW w:w="440" w:type="dxa"/>
            <w:vAlign w:val="bottom"/>
            <w:tcBorders>
              <w:bottom w:val="single" w:sz="8" w:color="auto"/>
            </w:tcBorders>
            <w:shd w:val="clear" w:color="auto" w:fill="CCECFF"/>
          </w:tcPr>
          <w:p>
            <w:pPr>
              <w:spacing w:after="0"/>
              <w:rPr>
                <w:sz w:val="18"/>
                <w:szCs w:val="18"/>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Borders>
              <w:bottom w:val="single" w:sz="8" w:color="CCECFF"/>
            </w:tcBorders>
            <w:shd w:val="clear" w:color="auto" w:fill="CCECFF"/>
          </w:tcPr>
          <w:p>
            <w:pPr>
              <w:spacing w:after="0"/>
              <w:rPr>
                <w:sz w:val="18"/>
                <w:szCs w:val="18"/>
                <w:color w:val="auto"/>
              </w:rPr>
            </w:pPr>
          </w:p>
        </w:tc>
        <w:tc>
          <w:tcPr>
            <w:tcW w:w="420" w:type="dxa"/>
            <w:vAlign w:val="bottom"/>
            <w:tcBorders>
              <w:bottom w:val="single" w:sz="8" w:color="auto"/>
            </w:tcBorders>
            <w:shd w:val="clear" w:color="auto" w:fill="CCECFF"/>
          </w:tcPr>
          <w:p>
            <w:pPr>
              <w:spacing w:after="0"/>
              <w:rPr>
                <w:sz w:val="18"/>
                <w:szCs w:val="18"/>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35,041</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3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w w:val="99"/>
              </w:rPr>
              <w:t>The computational components of basic and diluted earnings per share for the six-month periods ended June 30, are below.</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32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1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180" w:type="dxa"/>
            <w:vAlign w:val="bottom"/>
            <w:tcBorders>
              <w:bottom w:val="single" w:sz="8" w:color="CCECFF"/>
            </w:tcBorders>
            <w:shd w:val="clear" w:color="auto" w:fill="CCECFF"/>
          </w:tcPr>
          <w:p>
            <w:pPr>
              <w:spacing w:after="0"/>
              <w:rPr>
                <w:sz w:val="22"/>
                <w:szCs w:val="22"/>
                <w:color w:val="auto"/>
              </w:rPr>
            </w:pPr>
          </w:p>
        </w:tc>
        <w:tc>
          <w:tcPr>
            <w:tcW w:w="440" w:type="dxa"/>
            <w:vAlign w:val="bottom"/>
            <w:tcBorders>
              <w:bottom w:val="single" w:sz="8" w:color="auto"/>
            </w:tcBorders>
            <w:shd w:val="clear" w:color="auto" w:fill="CCEC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280" w:type="dxa"/>
            <w:vAlign w:val="bottom"/>
            <w:tcBorders>
              <w:bottom w:val="single" w:sz="8" w:color="CCECFF"/>
            </w:tcBorders>
            <w:shd w:val="clear" w:color="auto" w:fill="CCECFF"/>
          </w:tcPr>
          <w:p>
            <w:pPr>
              <w:spacing w:after="0"/>
              <w:rPr>
                <w:sz w:val="22"/>
                <w:szCs w:val="22"/>
                <w:color w:val="auto"/>
              </w:rPr>
            </w:pPr>
          </w:p>
        </w:tc>
        <w:tc>
          <w:tcPr>
            <w:tcW w:w="420" w:type="dxa"/>
            <w:vAlign w:val="bottom"/>
            <w:tcBorders>
              <w:bottom w:val="single" w:sz="8" w:color="auto"/>
            </w:tcBorders>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3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shd w:val="clear" w:color="auto" w:fill="CCECFF"/>
          </w:tcPr>
          <w:p>
            <w:pPr>
              <w:spacing w:after="0"/>
              <w:rPr>
                <w:sz w:val="18"/>
                <w:szCs w:val="18"/>
                <w:color w:val="auto"/>
              </w:rPr>
            </w:pPr>
          </w:p>
        </w:tc>
        <w:tc>
          <w:tcPr>
            <w:tcW w:w="13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3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Common stock equivalents arising from stock options and restricted stock awards</w:t>
            </w:r>
          </w:p>
        </w:tc>
        <w:tc>
          <w:tcPr>
            <w:tcW w:w="440" w:type="dxa"/>
            <w:vAlign w:val="bottom"/>
            <w:tcBorders>
              <w:bottom w:val="single" w:sz="8" w:color="auto"/>
            </w:tcBorders>
            <w:shd w:val="clear" w:color="auto" w:fill="CCECFF"/>
          </w:tcPr>
          <w:p>
            <w:pPr>
              <w:spacing w:after="0"/>
              <w:rPr>
                <w:sz w:val="18"/>
                <w:szCs w:val="18"/>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tcBorders>
              <w:bottom w:val="single" w:sz="8" w:color="CCECFF"/>
            </w:tcBorders>
            <w:shd w:val="clear" w:color="auto" w:fill="CCECFF"/>
          </w:tcPr>
          <w:p>
            <w:pPr>
              <w:spacing w:after="0"/>
              <w:rPr>
                <w:sz w:val="18"/>
                <w:szCs w:val="18"/>
                <w:color w:val="auto"/>
              </w:rPr>
            </w:pPr>
          </w:p>
        </w:tc>
        <w:tc>
          <w:tcPr>
            <w:tcW w:w="420" w:type="dxa"/>
            <w:vAlign w:val="bottom"/>
            <w:tcBorders>
              <w:bottom w:val="single" w:sz="8" w:color="auto"/>
            </w:tcBorders>
            <w:shd w:val="clear" w:color="auto" w:fill="CCECFF"/>
          </w:tcPr>
          <w:p>
            <w:pPr>
              <w:spacing w:after="0"/>
              <w:rPr>
                <w:sz w:val="18"/>
                <w:szCs w:val="18"/>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35,120</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-2391410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-2373630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-2391410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-1816735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-744855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-728345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80"/>
        <w:spacing w:after="0" w:line="269" w:lineRule="auto"/>
        <w:rPr>
          <w:sz w:val="20"/>
          <w:szCs w:val="20"/>
          <w:color w:val="auto"/>
        </w:rPr>
      </w:pPr>
      <w:r>
        <w:rPr>
          <w:rFonts w:ascii="Times New Roman" w:cs="Times New Roman" w:eastAsia="Times New Roman" w:hAnsi="Times New Roman"/>
          <w:sz w:val="17"/>
          <w:szCs w:val="17"/>
          <w:color w:val="auto"/>
        </w:rPr>
        <w:t>Options and restricted stock units included in the computation of diluted earnings per share are calculated using the treasury stock method. For both the three-month periods ended June 30, 2022 and 2021, 1.9 million, and for the six-month periods ended June 30, 2022 and 2021, 2.0 million and</w:t>
      </w:r>
    </w:p>
    <w:p>
      <w:pPr>
        <w:ind w:left="520" w:right="180"/>
        <w:spacing w:after="0" w:line="243" w:lineRule="auto"/>
        <w:rPr>
          <w:sz w:val="20"/>
          <w:szCs w:val="20"/>
          <w:color w:val="auto"/>
        </w:rPr>
      </w:pPr>
      <w:r>
        <w:rPr>
          <w:rFonts w:ascii="Times New Roman" w:cs="Times New Roman" w:eastAsia="Times New Roman" w:hAnsi="Times New Roman"/>
          <w:sz w:val="18"/>
          <w:szCs w:val="18"/>
          <w:color w:val="auto"/>
        </w:rPr>
        <w:t>1.7 million, respectively, of outstanding options and restricted stock units were excluded from the computation of diluted earnings per share due to their having an anti-dilutive effect.</w:t>
      </w:r>
    </w:p>
    <w:p>
      <w:pPr>
        <w:spacing w:after="0" w:line="195"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Once a restricted stock unit vests, it is included in the computation of weighted average shares outstanding for purposes of basic and diluted earnings per share.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Common Stock Repurchase</w:t>
      </w:r>
    </w:p>
    <w:p>
      <w:pPr>
        <w:spacing w:after="0" w:line="212" w:lineRule="exact"/>
        <w:rPr>
          <w:sz w:val="20"/>
          <w:szCs w:val="20"/>
          <w:color w:val="auto"/>
        </w:rPr>
      </w:pPr>
    </w:p>
    <w:p>
      <w:pPr>
        <w:ind w:left="520" w:right="20"/>
        <w:spacing w:after="0" w:line="250" w:lineRule="auto"/>
        <w:rPr>
          <w:sz w:val="20"/>
          <w:szCs w:val="20"/>
          <w:color w:val="auto"/>
        </w:rPr>
      </w:pPr>
      <w:r>
        <w:rPr>
          <w:rFonts w:ascii="Times New Roman" w:cs="Times New Roman" w:eastAsia="Times New Roman" w:hAnsi="Times New Roman"/>
          <w:sz w:val="18"/>
          <w:szCs w:val="18"/>
          <w:color w:val="auto"/>
        </w:rPr>
        <w:t>On May 10, 2022, the Company's Board of Directors authorized a share repurchase program under which CECO may purchase up to $20.0 million of its outstanding shares of common stock through April 30, 2025. The authorization permits the Company to repurchase shares in the open market, through accelerated share repurchases, block trades, 10b5-1 plans or through privately negotiated transactions in accordance with applicable laws, rules and regulations. Through June 30, 2022, the Company has repurchased and retired approximately 725,000 shares of common stock at a cost of $4.3 million.</w:t>
      </w:r>
    </w:p>
    <w:p>
      <w:pPr>
        <w:spacing w:after="0" w:line="173"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16" w:lineRule="exact"/>
        <w:rPr>
          <w:sz w:val="20"/>
          <w:szCs w:val="20"/>
          <w:color w:val="auto"/>
        </w:rPr>
      </w:pPr>
    </w:p>
    <w:p>
      <w:pPr>
        <w:ind w:left="520" w:right="60"/>
        <w:spacing w:after="0" w:line="250" w:lineRule="auto"/>
        <w:rPr>
          <w:sz w:val="20"/>
          <w:szCs w:val="20"/>
          <w:color w:val="auto"/>
        </w:rPr>
      </w:pPr>
      <w:r>
        <w:rPr>
          <w:rFonts w:ascii="Times New Roman" w:cs="Times New Roman" w:eastAsia="Times New Roman" w:hAnsi="Times New Roman"/>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$0.9 million of share-based compensation related expense during the three-month periods ended June 30, 2022 and 2021, respectively, and $1.8 million and $1.6 million during the six-month periods ended June 30, 2022 and 2021, respectively.</w:t>
      </w:r>
    </w:p>
    <w:p>
      <w:pPr>
        <w:spacing w:after="0" w:line="191" w:lineRule="exact"/>
        <w:rPr>
          <w:sz w:val="20"/>
          <w:szCs w:val="20"/>
          <w:color w:val="auto"/>
        </w:rPr>
      </w:pPr>
    </w:p>
    <w:p>
      <w:pPr>
        <w:ind w:left="520" w:right="380"/>
        <w:spacing w:after="0" w:line="250" w:lineRule="auto"/>
        <w:rPr>
          <w:sz w:val="20"/>
          <w:szCs w:val="20"/>
          <w:color w:val="auto"/>
        </w:rPr>
      </w:pPr>
      <w:r>
        <w:rPr>
          <w:rFonts w:ascii="Times New Roman" w:cs="Times New Roman" w:eastAsia="Times New Roman" w:hAnsi="Times New Roman"/>
          <w:sz w:val="18"/>
          <w:szCs w:val="18"/>
          <w:color w:val="auto"/>
        </w:rPr>
        <w:t>The Company granted approximately 104,000 and 460,000 restricted stock units during the three-month periods ended June 30, 2022 and 2021, respectively, and approximately 688,000 and 460,000 restricted stock units during the six-month periods ended June 30, 2022 and 2021, respectively.</w:t>
      </w:r>
    </w:p>
    <w:p>
      <w:pPr>
        <w:spacing w:after="0" w:line="190" w:lineRule="exact"/>
        <w:rPr>
          <w:sz w:val="20"/>
          <w:szCs w:val="20"/>
          <w:color w:val="auto"/>
        </w:rPr>
      </w:pPr>
    </w:p>
    <w:p>
      <w:pPr>
        <w:ind w:left="520" w:right="120"/>
        <w:spacing w:after="0" w:line="250" w:lineRule="auto"/>
        <w:rPr>
          <w:sz w:val="20"/>
          <w:szCs w:val="20"/>
          <w:color w:val="auto"/>
        </w:rPr>
      </w:pPr>
      <w:r>
        <w:rPr>
          <w:rFonts w:ascii="Times New Roman" w:cs="Times New Roman" w:eastAsia="Times New Roman" w:hAnsi="Times New Roman"/>
          <w:sz w:val="18"/>
          <w:szCs w:val="18"/>
          <w:color w:val="auto"/>
        </w:rPr>
        <w:t>There were zero and 2,000 options exercised during the six-months ended June 30, 2022 and 2021, respectively. The Company received zero and $13,000 in cash from employees and a non-employee director exercising options during the six-months ended June 30, 2021. The intrinsic value of options exercised during the six-months ended June 30, 2022 and 2021 was zero and $3,000, respectively.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10.  Pension and Employee Benefit Plans</w:t>
      </w:r>
    </w:p>
    <w:p>
      <w:pPr>
        <w:spacing w:after="0" w:line="229" w:lineRule="exact"/>
        <w:rPr>
          <w:sz w:val="20"/>
          <w:szCs w:val="20"/>
          <w:color w:val="auto"/>
        </w:rPr>
      </w:pPr>
    </w:p>
    <w:p>
      <w:pPr>
        <w:ind w:left="520" w:right="640"/>
        <w:spacing w:after="0" w:line="266" w:lineRule="auto"/>
        <w:rPr>
          <w:sz w:val="20"/>
          <w:szCs w:val="20"/>
          <w:color w:val="auto"/>
        </w:rPr>
      </w:pPr>
      <w:r>
        <w:rPr>
          <w:rFonts w:ascii="Times New Roman" w:cs="Times New Roman" w:eastAsia="Times New Roman" w:hAnsi="Times New Roman"/>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162"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We present the components of net periodic benefit cost (gain) within “Other income (expense), net” on the Condensed Consolidated Statements of Income.</w:t>
      </w:r>
    </w:p>
    <w:p>
      <w:pPr>
        <w:spacing w:after="0" w:line="148"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Retirement plan expense is based on valuations performed by plan actuaries as of the beginning of each fiscal year. The components of the expense consisted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4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8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plan:</w:t>
            </w: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Pr>
          <w:p>
            <w:pPr>
              <w:spacing w:after="0"/>
              <w:rPr>
                <w:sz w:val="18"/>
                <w:szCs w:val="18"/>
                <w:color w:val="auto"/>
              </w:rPr>
            </w:pP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(390 )</w:t>
            </w: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(378 )</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(780 )</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(756 )</w:t>
            </w: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r>
      <w:tr>
        <w:trPr>
          <w:trHeight w:val="249"/>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periodic benefit (gain) cost</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-25400</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60"/>
        <w:spacing w:after="0" w:line="250" w:lineRule="auto"/>
        <w:rPr>
          <w:sz w:val="20"/>
          <w:szCs w:val="20"/>
          <w:color w:val="auto"/>
        </w:rPr>
      </w:pPr>
      <w:r>
        <w:rPr>
          <w:rFonts w:ascii="Times New Roman" w:cs="Times New Roman" w:eastAsia="Times New Roman" w:hAnsi="Times New Roman"/>
          <w:sz w:val="18"/>
          <w:szCs w:val="18"/>
          <w:color w:val="auto"/>
        </w:rPr>
        <w:t>We made no contributions to our defined benefit plan during the six-months ended June 30, 2022 and 2021, respectively. For the remainder of 2022, we do not expect to make any contributions to fund the pension plan. The unfunded liability of the plan of $5.4 million and $5.6 million as of June 30, 2022 and December 31, 2021, respectively, is included in “Other liabilities” on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520" w:right="320"/>
        <w:spacing w:after="0" w:line="266" w:lineRule="auto"/>
        <w:rPr>
          <w:sz w:val="20"/>
          <w:szCs w:val="20"/>
          <w:color w:val="auto"/>
        </w:rPr>
      </w:pPr>
      <w:r>
        <w:rPr>
          <w:rFonts w:ascii="Times New Roman" w:cs="Times New Roman" w:eastAsia="Times New Roman" w:hAnsi="Times New Roman"/>
          <w:sz w:val="18"/>
          <w:szCs w:val="18"/>
          <w:color w:val="auto"/>
        </w:rPr>
        <w:t>We file income tax returns in various federal, state and local jurisdictions. Tax years from 2018 forward remain open for examination by Federal authorities. Tax years from 2016 forward remain open for all significant state and foreign authorities.</w:t>
      </w:r>
    </w:p>
    <w:p>
      <w:pPr>
        <w:spacing w:after="0" w:line="162" w:lineRule="exact"/>
        <w:rPr>
          <w:sz w:val="20"/>
          <w:szCs w:val="20"/>
          <w:color w:val="auto"/>
        </w:rPr>
      </w:pPr>
    </w:p>
    <w:p>
      <w:pPr>
        <w:ind w:left="520" w:right="140"/>
        <w:spacing w:after="0" w:line="250" w:lineRule="auto"/>
        <w:rPr>
          <w:sz w:val="20"/>
          <w:szCs w:val="20"/>
          <w:color w:val="auto"/>
        </w:rPr>
      </w:pPr>
      <w:r>
        <w:rPr>
          <w:rFonts w:ascii="Times New Roman" w:cs="Times New Roman" w:eastAsia="Times New Roman" w:hAnsi="Times New Roman"/>
          <w:sz w:val="18"/>
          <w:szCs w:val="18"/>
          <w:color w:val="auto"/>
        </w:rPr>
        <w:t>We account for uncertain tax positions pursuant to ASC Topic 740, “Income Taxes.” As of June 30, 2022 and December 31, 2021, the liability for uncertain tax positions totaled approximately $0.1 million, which is included in “Other liabilities” on our Condensed Consolidated Balance Sheets. We recognize accrued interest related to uncertain tax positions and penalties, if any, in income tax expense within the Condensed Consolidated Statements of Operations.</w:t>
      </w:r>
    </w:p>
    <w:p>
      <w:pPr>
        <w:spacing w:after="0" w:line="191" w:lineRule="exact"/>
        <w:rPr>
          <w:sz w:val="20"/>
          <w:szCs w:val="20"/>
          <w:color w:val="auto"/>
        </w:rPr>
      </w:pPr>
    </w:p>
    <w:p>
      <w:pPr>
        <w:ind w:left="520" w:right="120"/>
        <w:spacing w:after="0" w:line="246" w:lineRule="auto"/>
        <w:rPr>
          <w:sz w:val="20"/>
          <w:szCs w:val="20"/>
          <w:color w:val="auto"/>
        </w:rPr>
      </w:pPr>
      <w:r>
        <w:rPr>
          <w:rFonts w:ascii="Times New Roman" w:cs="Times New Roman" w:eastAsia="Times New Roman" w:hAnsi="Times New Roman"/>
          <w:sz w:val="18"/>
          <w:szCs w:val="18"/>
          <w:color w:val="auto"/>
        </w:rPr>
        <w:t>Certain of the Company’s undistributed earnings of our foreign subsidiaries are not permanently reinvested. Since foreign earnings have already been subject to United States income tax in 2017 as a result of the 2017 Tax Cuts and Jobs Act, we intend to repatriate foreign-held cash as needed. We record deferred income tax attributable to foreign withholding taxes that would become payable should we decide to repatriate cash held in our foreign operations. As of June 30, 2022 and December 31, 2021, we have recorded deferred income taxes of approximately $1.5 million and $1.1 million, respectively, on the undistributed earnings of our foreign subsidiaries.</w:t>
      </w:r>
    </w:p>
    <w:p>
      <w:pPr>
        <w:spacing w:after="0" w:line="181" w:lineRule="exact"/>
        <w:rPr>
          <w:sz w:val="20"/>
          <w:szCs w:val="20"/>
          <w:color w:val="auto"/>
        </w:rPr>
      </w:pPr>
    </w:p>
    <w:p>
      <w:pPr>
        <w:ind w:left="520" w:right="40"/>
        <w:spacing w:after="0" w:line="247" w:lineRule="auto"/>
        <w:rPr>
          <w:sz w:val="20"/>
          <w:szCs w:val="20"/>
          <w:color w:val="auto"/>
        </w:rPr>
      </w:pPr>
      <w:r>
        <w:rPr>
          <w:rFonts w:ascii="Times New Roman" w:cs="Times New Roman" w:eastAsia="Times New Roman" w:hAnsi="Times New Roman"/>
          <w:sz w:val="18"/>
          <w:szCs w:val="18"/>
          <w:color w:val="auto"/>
        </w:rPr>
        <w:t>Income tax expense was $1.9 million for the second quarter of 2022 and $3.0 million for the first six months of 2022 compared with income tax expense of $0.2 million for the second quarter of 2021 and $0.8 million for the first six months of 2021. The effective income tax rate for the second quarter of 2022 was 28.3% compared with 34.3% for the second quarter of 2021. The effective income tax rate for the first six months of 2022 was 28.3% compared with 30.9% for the first six months of 2021. The effective income tax rate for the three and six months ended June 30, 2022 is higher than the United States federal statutory rate. Our effective rate is affected by certain other permanent differences, including state income taxes, non-deductible incentive stock-based compensation and differences in tax rates among jurisdictions in which we 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Instruments</w:t>
      </w:r>
    </w:p>
    <w:p>
      <w:pPr>
        <w:spacing w:after="0" w:line="216" w:lineRule="exact"/>
        <w:rPr>
          <w:sz w:val="20"/>
          <w:szCs w:val="20"/>
          <w:color w:val="auto"/>
        </w:rPr>
      </w:pPr>
    </w:p>
    <w:p>
      <w:pPr>
        <w:ind w:left="520" w:right="180"/>
        <w:spacing w:after="0" w:line="258" w:lineRule="auto"/>
        <w:rPr>
          <w:sz w:val="20"/>
          <w:szCs w:val="20"/>
          <w:color w:val="auto"/>
        </w:rPr>
      </w:pPr>
      <w:r>
        <w:rPr>
          <w:rFonts w:ascii="Times New Roman" w:cs="Times New Roman" w:eastAsia="Times New Roman" w:hAnsi="Times New Roman"/>
          <w:sz w:val="18"/>
          <w:szCs w:val="18"/>
          <w:color w:val="auto"/>
        </w:rPr>
        <w:t>Our financial instruments consist primarily of investments in cash and cash equivalents, receivables and certain other assets, foreign debt and accounts payable, which approximate fair value at June 30, 2022 and December 31, 2021, due to their short-term nature or variable, market-driven interest rates.</w:t>
      </w:r>
    </w:p>
    <w:p>
      <w:pPr>
        <w:spacing w:after="0" w:line="169" w:lineRule="exact"/>
        <w:rPr>
          <w:sz w:val="20"/>
          <w:szCs w:val="20"/>
          <w:color w:val="auto"/>
        </w:rPr>
      </w:pPr>
    </w:p>
    <w:p>
      <w:pPr>
        <w:ind w:left="520" w:right="200"/>
        <w:spacing w:after="0" w:line="258" w:lineRule="auto"/>
        <w:rPr>
          <w:sz w:val="20"/>
          <w:szCs w:val="20"/>
          <w:color w:val="auto"/>
        </w:rPr>
      </w:pPr>
      <w:r>
        <w:rPr>
          <w:rFonts w:ascii="Times New Roman" w:cs="Times New Roman" w:eastAsia="Times New Roman" w:hAnsi="Times New Roman"/>
          <w:sz w:val="18"/>
          <w:szCs w:val="18"/>
          <w:color w:val="auto"/>
        </w:rPr>
        <w:t>The fair value of the debt issued under the Credit Facility and joint venture term loan was $97.6 million and $65.5 million at June 30, 2022 and December 31, 2021, respectively. The fair value was determined considering market conditions, our credit worthiness and the current terms of our debt, which is considered Level 2 on the fair value hierarchy.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 w:name="page14"/>
    <w:bookmarkEnd w:id="13"/>
    <w:p>
      <w:pPr>
        <w:jc w:val="both"/>
        <w:ind w:left="520" w:right="280"/>
        <w:spacing w:after="0" w:line="258" w:lineRule="auto"/>
        <w:rPr>
          <w:sz w:val="20"/>
          <w:szCs w:val="20"/>
          <w:color w:val="auto"/>
        </w:rPr>
      </w:pPr>
      <w:r>
        <w:rPr>
          <w:rFonts w:ascii="Times New Roman" w:cs="Times New Roman" w:eastAsia="Times New Roman" w:hAnsi="Times New Roman"/>
          <w:sz w:val="18"/>
          <w:szCs w:val="18"/>
          <w:color w:val="auto"/>
        </w:rPr>
        <w:t>At June 30, 2022 and December 31, 2021, the Company had cash and cash equivalents of $34.4 million and $29.9 million, respectively, of which $26.5 million and $22.6 million, respectively, was held outside of the United States, principally in the Netherlands, United Kingdom, China, and Canada.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 – Legal Matters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Asbestos cases</w:t>
      </w:r>
    </w:p>
    <w:p>
      <w:pPr>
        <w:spacing w:after="0" w:line="214" w:lineRule="exact"/>
        <w:rPr>
          <w:sz w:val="20"/>
          <w:szCs w:val="20"/>
          <w:color w:val="auto"/>
        </w:rPr>
      </w:pPr>
    </w:p>
    <w:p>
      <w:pPr>
        <w:ind w:left="520" w:right="140"/>
        <w:spacing w:after="0" w:line="242" w:lineRule="auto"/>
        <w:rPr>
          <w:sz w:val="20"/>
          <w:szCs w:val="20"/>
          <w:color w:val="auto"/>
        </w:rPr>
      </w:pPr>
      <w:r>
        <w:rPr>
          <w:rFonts w:ascii="Times New Roman" w:cs="Times New Roman" w:eastAsia="Times New Roman" w:hAnsi="Times New Roman"/>
          <w:sz w:val="18"/>
          <w:szCs w:val="18"/>
          <w:color w:val="auto"/>
        </w:rPr>
        <w:t>Our subsidiary, Met-Pro Technologies LLC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June 30, 2022 for cases involving asbestos-related claims were $5.7 million, of which, together with all legal fees other than corporate counsel expenses, $5.6 million has been paid by the Company’s insurers. The average cost per settled claim, excluding legal fees, was approximately $44,000.</w:t>
      </w:r>
    </w:p>
    <w:p>
      <w:pPr>
        <w:spacing w:after="0" w:line="188" w:lineRule="exact"/>
        <w:rPr>
          <w:sz w:val="20"/>
          <w:szCs w:val="20"/>
          <w:color w:val="auto"/>
        </w:rPr>
      </w:pPr>
    </w:p>
    <w:p>
      <w:pPr>
        <w:ind w:left="520" w:right="40"/>
        <w:spacing w:after="0" w:line="244" w:lineRule="auto"/>
        <w:rPr>
          <w:sz w:val="20"/>
          <w:szCs w:val="20"/>
          <w:color w:val="auto"/>
        </w:rPr>
      </w:pPr>
      <w:r>
        <w:rPr>
          <w:rFonts w:ascii="Times New Roman" w:cs="Times New Roman" w:eastAsia="Times New Roman" w:hAnsi="Times New Roman"/>
          <w:sz w:val="18"/>
          <w:szCs w:val="18"/>
          <w:color w:val="auto"/>
        </w:rPr>
        <w:t>Based upon the most recent information available to the Company regarding such claims, there were a total of 256 cases pending against the Company as of June 30, 2022 (with Illinois, New York, Pennsylvania and West Virginia having the largest number of cases), as compared with 223 cases that were pending as of December 31, 2021. During the six-months ended June 30, 2022, 79 new cases were filed against the Company, and the Company was dismissed from 36 cases and settled 10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14"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48" w:lineRule="exact"/>
        <w:rPr>
          <w:sz w:val="20"/>
          <w:szCs w:val="20"/>
          <w:color w:val="auto"/>
        </w:rPr>
      </w:pPr>
    </w:p>
    <w:p>
      <w:pPr>
        <w:ind w:left="520"/>
        <w:spacing w:after="0" w:line="250" w:lineRule="auto"/>
        <w:rPr>
          <w:sz w:val="20"/>
          <w:szCs w:val="20"/>
          <w:color w:val="auto"/>
        </w:rPr>
      </w:pPr>
      <w:r>
        <w:rPr>
          <w:rFonts w:ascii="Times New Roman" w:cs="Times New Roman" w:eastAsia="Times New Roman" w:hAnsi="Times New Roman"/>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77"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We are not aware of any pending claims or assessments, other than as described above, which may have a material adverse impact on our liquidity, financial position, results of operations, or cash flows.</w:t>
      </w:r>
    </w:p>
    <w:p>
      <w:pPr>
        <w:spacing w:after="0" w:line="144" w:lineRule="exact"/>
        <w:rPr>
          <w:sz w:val="20"/>
          <w:szCs w:val="20"/>
          <w:color w:val="auto"/>
        </w:rPr>
      </w:pPr>
    </w:p>
    <w:p>
      <w:pPr>
        <w:ind w:left="520" w:right="8300" w:hanging="512"/>
        <w:spacing w:after="0" w:line="495" w:lineRule="auto"/>
        <w:tabs>
          <w:tab w:leader="none" w:pos="50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Acquisitions and Joint Ventures </w:t>
      </w:r>
      <w:r>
        <w:rPr>
          <w:rFonts w:ascii="Times New Roman" w:cs="Times New Roman" w:eastAsia="Times New Roman" w:hAnsi="Times New Roman"/>
          <w:sz w:val="18"/>
          <w:szCs w:val="18"/>
          <w:i w:val="1"/>
          <w:iCs w:val="1"/>
          <w:color w:val="auto"/>
        </w:rPr>
        <w:t>General Rubber LLC</w:t>
      </w:r>
    </w:p>
    <w:p>
      <w:pPr>
        <w:ind w:left="520" w:right="8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7, 2022, the Company, through the EFM JV, acquired 100% of the equity interests of General Rubber LLC ("GRC") for $19.7 million in cash, which was financed with a combination of a draw on the Company's revolving credit facility and issuance of term debt by the EFM JV (see Note 7). As additional consideration, the former owners were issued 10% of the equity interest in the EFM JV. The fair value ascribed to the equity interest was approximately $4.1 million. During the three-month period ended June 30, 2022, we recorded an adjustment of $0.9 million to the fair value of the equity interest, as reflected in the Condensed Consolidated Statement of Shareholders' Equity. As of June 30, 2022, there were $13.7 million in current assets, $28.5 million in long-lived assets, and $30.5 million in total liabilities related to the EFM JV included in our Condensed Consolidated Balance Sheets.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p>
      <w:pPr>
        <w:ind w:left="500" w:right="200"/>
        <w:spacing w:after="0" w:line="250" w:lineRule="auto"/>
        <w:rPr>
          <w:sz w:val="20"/>
          <w:szCs w:val="20"/>
          <w:color w:val="auto"/>
        </w:rPr>
      </w:pPr>
      <w:r>
        <w:rPr>
          <w:rFonts w:ascii="Times New Roman" w:cs="Times New Roman" w:eastAsia="Times New Roman" w:hAnsi="Times New Roman"/>
          <w:sz w:val="18"/>
          <w:szCs w:val="18"/>
          <w:color w:val="auto"/>
        </w:rPr>
        <w:t>GRC engineers and manufactures non-metallic expansion joints and flow control products including rubber expansion joints, ducting expansion joints, and industrial pinch and duck bill valves, serving the industrial water and wastewater markets. The acquisition diversifies and expands our EFM JV product offerings within our Engineered Systems segment. The following table summarizes the fair values of the assets acquired and liabilities assumed at the date of closing.</w:t>
      </w:r>
    </w:p>
    <w:p>
      <w:pPr>
        <w:sectPr>
          <w:pgSz w:w="11900" w:h="16838" w:orient="portrait"/>
          <w:cols w:equalWidth="0" w:num="1">
            <w:col w:w="11200"/>
          </w:cols>
          <w:pgMar w:left="340" w:top="540" w:right="359" w:bottom="1440" w:gutter="0" w:footer="0" w:header="0"/>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assets (including cash of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45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Intangible - finite life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Current liabilities assumed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4,963</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459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11,120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8,380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24,922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(714 )</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12598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23,820</w:t>
      </w:r>
    </w:p>
    <w:p>
      <w:pPr>
        <w:spacing w:after="0" w:line="235" w:lineRule="exact"/>
        <w:rPr>
          <w:sz w:val="20"/>
          <w:szCs w:val="20"/>
          <w:color w:val="auto"/>
        </w:rPr>
      </w:pPr>
    </w:p>
    <w:p>
      <w:pPr>
        <w:sectPr>
          <w:pgSz w:w="11900" w:h="16838" w:orient="portrait"/>
          <w:cols w:equalWidth="0" w:num="2">
            <w:col w:w="8420" w:space="720"/>
            <w:col w:w="2060"/>
          </w:cols>
          <w:pgMar w:left="340" w:top="540" w:right="359" w:bottom="1440" w:gutter="0" w:footer="0" w:header="0"/>
          <w:type w:val="continuous"/>
        </w:sectPr>
      </w:pPr>
    </w:p>
    <w:p>
      <w:pPr>
        <w:spacing w:after="0" w:line="25" w:lineRule="exact"/>
        <w:rPr>
          <w:sz w:val="20"/>
          <w:szCs w:val="20"/>
          <w:color w:val="auto"/>
        </w:rPr>
      </w:pPr>
    </w:p>
    <w:p>
      <w:pPr>
        <w:ind w:left="500" w:right="220"/>
        <w:spacing w:after="0" w:line="266" w:lineRule="auto"/>
        <w:rPr>
          <w:sz w:val="20"/>
          <w:szCs w:val="20"/>
          <w:color w:val="auto"/>
        </w:rPr>
      </w:pPr>
      <w:r>
        <w:rPr>
          <w:rFonts w:ascii="Times New Roman" w:cs="Times New Roman" w:eastAsia="Times New Roman" w:hAnsi="Times New Roman"/>
          <w:sz w:val="18"/>
          <w:szCs w:val="18"/>
          <w:color w:val="auto"/>
        </w:rPr>
        <w:t>During the three and six-months ended June 30, 2022, GRC accounted for $3.8 million and $4.5 million in revenue, respectively and $0.5 million and $0.8 million, respectively of net income included in the Company’s results.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Compass Water Solutions, Inc.</w:t>
      </w:r>
    </w:p>
    <w:p>
      <w:pPr>
        <w:spacing w:after="0" w:line="227" w:lineRule="exact"/>
        <w:rPr>
          <w:sz w:val="20"/>
          <w:szCs w:val="20"/>
          <w:color w:val="auto"/>
        </w:rPr>
      </w:pPr>
    </w:p>
    <w:p>
      <w:pPr>
        <w:ind w:left="500"/>
        <w:spacing w:after="0" w:line="246" w:lineRule="auto"/>
        <w:rPr>
          <w:sz w:val="20"/>
          <w:szCs w:val="20"/>
          <w:color w:val="auto"/>
        </w:rPr>
      </w:pPr>
      <w:r>
        <w:rPr>
          <w:rFonts w:ascii="Times New Roman" w:cs="Times New Roman" w:eastAsia="Times New Roman" w:hAnsi="Times New Roman"/>
          <w:sz w:val="18"/>
          <w:szCs w:val="18"/>
          <w:color w:val="auto"/>
        </w:rPr>
        <w:t>On May 3, 2022, the Company acquired 100% of the equity interests of Compass Water Solutions, Inc. ("Compass") for $9.0 million in cash, which was financed with a draw on the Company’s revolving credit facility, and $2.0 million in notes payable over two years. As additional consideration, the former owners are entitled to earn-out payments based upon a multiple of specified financial results through April 30, 2023. Based on projections at the acquisition date, the Company estimated the fair value of the earn-out to be $1.4 million. As of June 30, 2022, the earnout liability recorded in “Accounts payable and accrued expenses” on the Condensed Consolidated Balance Sheets is $1.4 million.</w:t>
      </w:r>
    </w:p>
    <w:p>
      <w:pPr>
        <w:spacing w:after="0" w:line="181" w:lineRule="exact"/>
        <w:rPr>
          <w:sz w:val="20"/>
          <w:szCs w:val="20"/>
          <w:color w:val="auto"/>
        </w:rPr>
      </w:pPr>
    </w:p>
    <w:p>
      <w:pPr>
        <w:jc w:val="both"/>
        <w:ind w:left="500" w:right="40"/>
        <w:spacing w:after="0" w:line="258" w:lineRule="auto"/>
        <w:rPr>
          <w:sz w:val="20"/>
          <w:szCs w:val="20"/>
          <w:color w:val="auto"/>
        </w:rPr>
      </w:pPr>
      <w:r>
        <w:rPr>
          <w:rFonts w:ascii="Times New Roman" w:cs="Times New Roman" w:eastAsia="Times New Roman" w:hAnsi="Times New Roman"/>
          <w:sz w:val="18"/>
          <w:szCs w:val="18"/>
          <w:color w:val="auto"/>
        </w:rPr>
        <w:t>Compass, is a leading global supplier of membrane-based industrial water and wastewater treatment systems that help customers achieve regulatory compliance of water discharge at the lowest lifecycle cost. The acquisition diversifies and expands our industrial water product offerings within our Engineered Systems segment. The following table summarizes the fair values of the assets acquired and liabilities assumed at the date of closing.</w:t>
      </w:r>
    </w:p>
    <w:p>
      <w:pPr>
        <w:sectPr>
          <w:pgSz w:w="11900" w:h="16838" w:orient="portrait"/>
          <w:cols w:equalWidth="0" w:num="1">
            <w:col w:w="11200"/>
          </w:cols>
          <w:pgMar w:left="340" w:top="540" w:right="359" w:bottom="1440" w:gutter="0" w:footer="0" w:header="0"/>
          <w:type w:val="continuous"/>
        </w:sect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assets (including cash of $334)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71323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45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Intangible - finite life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Current liabilities assumed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4,796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4,848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4,900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14,645</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(623 )</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(1,627 )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125984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12,395</w:t>
      </w:r>
    </w:p>
    <w:p>
      <w:pPr>
        <w:spacing w:after="0" w:line="235" w:lineRule="exact"/>
        <w:rPr>
          <w:sz w:val="20"/>
          <w:szCs w:val="20"/>
          <w:color w:val="auto"/>
        </w:rPr>
      </w:pPr>
    </w:p>
    <w:p>
      <w:pPr>
        <w:sectPr>
          <w:pgSz w:w="11900" w:h="16838" w:orient="portrait"/>
          <w:cols w:equalWidth="0" w:num="2">
            <w:col w:w="8420" w:space="720"/>
            <w:col w:w="2060"/>
          </w:cols>
          <w:pgMar w:left="340" w:top="540" w:right="359" w:bottom="1440" w:gutter="0" w:footer="0" w:header="0"/>
          <w:type w:val="continuous"/>
        </w:sectPr>
      </w:pPr>
    </w:p>
    <w:p>
      <w:pPr>
        <w:spacing w:after="0" w:line="25" w:lineRule="exact"/>
        <w:rPr>
          <w:sz w:val="20"/>
          <w:szCs w:val="20"/>
          <w:color w:val="auto"/>
        </w:rPr>
      </w:pPr>
    </w:p>
    <w:p>
      <w:pPr>
        <w:ind w:left="500" w:right="180"/>
        <w:spacing w:after="0" w:line="266" w:lineRule="auto"/>
        <w:rPr>
          <w:sz w:val="20"/>
          <w:szCs w:val="20"/>
          <w:color w:val="auto"/>
        </w:rPr>
      </w:pPr>
      <w:r>
        <w:rPr>
          <w:rFonts w:ascii="Times New Roman" w:cs="Times New Roman" w:eastAsia="Times New Roman" w:hAnsi="Times New Roman"/>
          <w:sz w:val="18"/>
          <w:szCs w:val="18"/>
          <w:color w:val="auto"/>
        </w:rPr>
        <w:t>During the three and six-months ended June 30, 2022, Compass accounted for $0.8 million in revenue, and $0.1 million of net loss included in the Company’s results.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Western Air Ducts Ltd.</w:t>
      </w:r>
    </w:p>
    <w:p>
      <w:pPr>
        <w:spacing w:after="0" w:line="214" w:lineRule="exact"/>
        <w:rPr>
          <w:sz w:val="20"/>
          <w:szCs w:val="20"/>
          <w:color w:val="auto"/>
        </w:rPr>
      </w:pPr>
    </w:p>
    <w:p>
      <w:pPr>
        <w:ind w:left="500" w:right="120"/>
        <w:spacing w:after="0" w:line="258" w:lineRule="auto"/>
        <w:rPr>
          <w:sz w:val="20"/>
          <w:szCs w:val="20"/>
          <w:color w:val="auto"/>
        </w:rPr>
      </w:pPr>
      <w:r>
        <w:rPr>
          <w:rFonts w:ascii="Times New Roman" w:cs="Times New Roman" w:eastAsia="Times New Roman" w:hAnsi="Times New Roman"/>
          <w:sz w:val="18"/>
          <w:szCs w:val="18"/>
          <w:color w:val="auto"/>
        </w:rPr>
        <w:t>On June 22, 2022, the Company acquired 100% of the equity interests of Western Air Ducts Limited for $10.7 million in cash, which was financed with a draw on the Company’s revolving credit facility, and deferred cash consideration of $0.8 million payable in one year. The deferred consideration is recorded in “Accounts payable and accrued expenses” on the Condensed Consolidated Balance Sheets.</w:t>
      </w:r>
    </w:p>
    <w:p>
      <w:pPr>
        <w:spacing w:after="0" w:line="169" w:lineRule="exact"/>
        <w:rPr>
          <w:sz w:val="20"/>
          <w:szCs w:val="20"/>
          <w:color w:val="auto"/>
        </w:rPr>
      </w:pPr>
    </w:p>
    <w:p>
      <w:pPr>
        <w:ind w:left="500" w:right="80"/>
        <w:spacing w:after="0" w:line="258" w:lineRule="auto"/>
        <w:rPr>
          <w:sz w:val="20"/>
          <w:szCs w:val="20"/>
          <w:color w:val="auto"/>
        </w:rPr>
      </w:pPr>
      <w:r>
        <w:rPr>
          <w:rFonts w:ascii="Times New Roman" w:cs="Times New Roman" w:eastAsia="Times New Roman" w:hAnsi="Times New Roman"/>
          <w:sz w:val="18"/>
          <w:szCs w:val="18"/>
          <w:color w:val="auto"/>
        </w:rPr>
        <w:t>Western Air Ducts is a leading European supplier of dust and fume extraction solutions, providing consultation, design, manufacturing, installation, and service. The acquisition diversifies and expands our industrial air product offerings within our Industrial Process Solutions segment. The following table summarizes the fair values of the assets acquired and liabilities assumed at the date of closing.</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40" w:right="359" w:bottom="1440" w:gutter="0" w:footer="0" w:header="0"/>
          <w:type w:val="continuous"/>
        </w:sectPr>
      </w:pPr>
    </w:p>
    <w:bookmarkStart w:id="15" w:name="page16"/>
    <w:bookmarkEnd w:id="15"/>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Current assets (including cash of $1,557)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2,711</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188</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9,712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5715</wp:posOffset>
            </wp:positionV>
            <wp:extent cx="12515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jc w:val="right"/>
        <w:ind w:right="120"/>
        <w:spacing w:after="0"/>
        <w:rPr>
          <w:sz w:val="20"/>
          <w:szCs w:val="20"/>
          <w:color w:val="auto"/>
        </w:rPr>
      </w:pPr>
      <w:r>
        <w:rPr>
          <w:rFonts w:ascii="Times New Roman" w:cs="Times New Roman" w:eastAsia="Times New Roman" w:hAnsi="Times New Roman"/>
          <w:sz w:val="18"/>
          <w:szCs w:val="18"/>
          <w:color w:val="auto"/>
        </w:rPr>
        <w:t>12,611</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(1,127 )</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(34 )</w:t>
      </w:r>
    </w:p>
    <w:p>
      <w:pPr>
        <w:spacing w:after="0" w:line="9"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2515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5158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31750</wp:posOffset>
            </wp:positionV>
            <wp:extent cx="12515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460" w:space="720"/>
            <w:col w:w="2060"/>
          </w:cols>
          <w:pgMar w:left="320" w:top="371" w:right="339" w:bottom="1440" w:gutter="0" w:footer="0" w:header="0"/>
        </w:sectPr>
      </w:pPr>
    </w:p>
    <w:p>
      <w:pPr>
        <w:spacing w:after="0" w:line="25" w:lineRule="exact"/>
        <w:rPr>
          <w:sz w:val="20"/>
          <w:szCs w:val="20"/>
          <w:color w:val="auto"/>
        </w:rPr>
      </w:pPr>
    </w:p>
    <w:p>
      <w:pPr>
        <w:ind w:left="520" w:right="80"/>
        <w:spacing w:after="0" w:line="250" w:lineRule="auto"/>
        <w:rPr>
          <w:sz w:val="20"/>
          <w:szCs w:val="20"/>
          <w:color w:val="auto"/>
        </w:rPr>
      </w:pPr>
      <w:r>
        <w:rPr>
          <w:rFonts w:ascii="Times New Roman" w:cs="Times New Roman" w:eastAsia="Times New Roman" w:hAnsi="Times New Roman"/>
          <w:sz w:val="18"/>
          <w:szCs w:val="18"/>
          <w:color w:val="auto"/>
        </w:rPr>
        <w:t>The approximate fair values of the assets acquired and liabilities assumed related to the acquisitions are based on preliminary estimates and assumptions. These preliminary estimates and assumptions could change significantly during the purchase price measurement period as we finalize the valuation of assets acquired and liabilities assumed. These changes could result in material variances between the Company's future financial results, including variances in the estimated purchase price, fair values recorded and expenses associated with these items.</w:t>
      </w:r>
    </w:p>
    <w:p>
      <w:pPr>
        <w:spacing w:after="0" w:line="191" w:lineRule="exact"/>
        <w:rPr>
          <w:sz w:val="20"/>
          <w:szCs w:val="20"/>
          <w:color w:val="auto"/>
        </w:rPr>
      </w:pPr>
    </w:p>
    <w:p>
      <w:pPr>
        <w:jc w:val="both"/>
        <w:ind w:left="520" w:right="120"/>
        <w:spacing w:after="0" w:line="250"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purposes.</w:t>
      </w:r>
    </w:p>
    <w:p>
      <w:pPr>
        <w:spacing w:after="0" w:line="190" w:lineRule="exact"/>
        <w:rPr>
          <w:sz w:val="20"/>
          <w:szCs w:val="20"/>
          <w:color w:val="auto"/>
        </w:rPr>
      </w:pPr>
    </w:p>
    <w:p>
      <w:pPr>
        <w:ind w:left="520" w:right="500"/>
        <w:spacing w:after="0" w:line="266" w:lineRule="auto"/>
        <w:rPr>
          <w:sz w:val="20"/>
          <w:szCs w:val="20"/>
          <w:color w:val="auto"/>
        </w:rPr>
      </w:pPr>
      <w:r>
        <w:rPr>
          <w:rFonts w:ascii="Times New Roman" w:cs="Times New Roman" w:eastAsia="Times New Roman" w:hAnsi="Times New Roman"/>
          <w:sz w:val="18"/>
          <w:szCs w:val="18"/>
          <w:color w:val="auto"/>
        </w:rPr>
        <w:t>Acquisition and integration expenses on the Condensed Consolidated Statements of Income are related to acquisition activities, which include retention, legal, accounting, banking, and other expenses.</w:t>
      </w:r>
    </w:p>
    <w:p>
      <w:pPr>
        <w:spacing w:after="0" w:line="162" w:lineRule="exact"/>
        <w:rPr>
          <w:sz w:val="20"/>
          <w:szCs w:val="20"/>
          <w:color w:val="auto"/>
        </w:rPr>
      </w:pPr>
    </w:p>
    <w:p>
      <w:pPr>
        <w:ind w:left="520" w:right="16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Company’s results of operations as if the GRC, Compass, and Western Air Ducts acquisitions had occurred on January 1,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in thousands, except per share data)</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106,995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85,828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204,280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164,979</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520" w:right="20"/>
        <w:spacing w:after="0" w:line="250" w:lineRule="auto"/>
        <w:rPr>
          <w:sz w:val="20"/>
          <w:szCs w:val="20"/>
          <w:color w:val="auto"/>
        </w:rPr>
      </w:pPr>
      <w:r>
        <w:rPr>
          <w:rFonts w:ascii="Times New Roman" w:cs="Times New Roman" w:eastAsia="Times New Roman" w:hAnsi="Times New Roman"/>
          <w:sz w:val="18"/>
          <w:szCs w:val="18"/>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Business Segment Information</w:t>
      </w:r>
    </w:p>
    <w:p>
      <w:pPr>
        <w:spacing w:after="0" w:line="216" w:lineRule="exact"/>
        <w:rPr>
          <w:sz w:val="20"/>
          <w:szCs w:val="20"/>
          <w:color w:val="auto"/>
        </w:rPr>
      </w:pPr>
    </w:p>
    <w:p>
      <w:pPr>
        <w:ind w:left="520" w:right="520"/>
        <w:spacing w:after="0" w:line="259"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with its solutions or end markets that the segment serves and presented in two reportable segments. The results of the segments are reviewed through the “Income from operations” line on the Condensed Consolidated Statements of Income</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reportable segments are organized as groups of similar products and services, as described as follows:</w:t>
      </w:r>
    </w:p>
    <w:p>
      <w:pPr>
        <w:spacing w:after="0" w:line="221" w:lineRule="exact"/>
        <w:rPr>
          <w:sz w:val="20"/>
          <w:szCs w:val="20"/>
          <w:color w:val="auto"/>
        </w:rPr>
      </w:pPr>
    </w:p>
    <w:p>
      <w:pPr>
        <w:ind w:left="520" w:right="1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Engineered Systems segment: </w:t>
      </w:r>
      <w:r>
        <w:rPr>
          <w:rFonts w:ascii="Times New Roman" w:cs="Times New Roman" w:eastAsia="Times New Roman" w:hAnsi="Times New Roman"/>
          <w:sz w:val="18"/>
          <w:szCs w:val="18"/>
          <w:color w:val="auto"/>
        </w:rPr>
        <w:t>Our Engineered Systems segment serves the general industrial, power generation, refinery, water/wastewater,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midstream oil &amp; gas, and other energy transition markets. We are a key part of helping meet the global demand for environmental and equipment protection through our highly engineered platforms including emissions management, fluid bed cyclones, thermal acoustics, separation &amp; filtration (gas &amp; water), and dampers &amp; expansion joints.</w:t>
      </w:r>
    </w:p>
    <w:p>
      <w:pPr>
        <w:spacing w:after="0" w:line="170" w:lineRule="exact"/>
        <w:rPr>
          <w:sz w:val="20"/>
          <w:szCs w:val="20"/>
          <w:color w:val="auto"/>
        </w:rPr>
      </w:pPr>
    </w:p>
    <w:p>
      <w:pPr>
        <w:ind w:left="520" w:right="28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Industrial Process Solutions segment: </w:t>
      </w:r>
      <w:r>
        <w:rPr>
          <w:rFonts w:ascii="Times New Roman" w:cs="Times New Roman" w:eastAsia="Times New Roman" w:hAnsi="Times New Roman"/>
          <w:sz w:val="18"/>
          <w:szCs w:val="18"/>
          <w:color w:val="auto"/>
        </w:rPr>
        <w:t>Our Industrial Process Solutions segment serves the broad industrial air pollution control, beverage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fluid handling, electric vehicle production, food and beverage, semi-conductor, process filtration, pharmaceutical, petrochemical, wastewater treatment, wood manufacturing, desalination, and aquaculture markets. We protect the air we collectively breathe, maintain clean and safe operations for employees, lower energy consumption, minimize waste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type w:val="continuous"/>
        </w:sectPr>
      </w:pPr>
    </w:p>
    <w:bookmarkStart w:id="16" w:name="page17"/>
    <w:bookmarkEnd w:id="16"/>
    <w:p>
      <w:pPr>
        <w:ind w:left="520" w:right="80"/>
        <w:spacing w:after="0" w:line="282" w:lineRule="auto"/>
        <w:rPr>
          <w:sz w:val="20"/>
          <w:szCs w:val="20"/>
          <w:color w:val="auto"/>
        </w:rPr>
      </w:pPr>
      <w:r>
        <w:rPr>
          <w:rFonts w:ascii="Times New Roman" w:cs="Times New Roman" w:eastAsia="Times New Roman" w:hAnsi="Times New Roman"/>
          <w:sz w:val="18"/>
          <w:szCs w:val="18"/>
          <w:color w:val="auto"/>
        </w:rPr>
        <w:t>for customers, and ensure they meet regulatory compliance standards for toxic emissions, fumes, volatile organic compounds and odors through our platforms including duct &amp; installation, industrial air, and fluid handling.</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segment information is presented in the following tables: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4"/>
                <w:szCs w:val="14"/>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(less intra-, inter-segment sales)</w:t>
            </w: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67,333</w:t>
            </w:r>
          </w:p>
        </w:tc>
        <w:tc>
          <w:tcPr>
            <w:tcW w:w="11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43,360</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124,308</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85,417</w:t>
            </w:r>
          </w:p>
        </w:tc>
        <w:tc>
          <w:tcPr>
            <w:tcW w:w="100" w:type="dxa"/>
            <w:vAlign w:val="bottom"/>
          </w:tcPr>
          <w:p>
            <w:pPr>
              <w:spacing w:after="0"/>
              <w:rPr>
                <w:sz w:val="18"/>
                <w:szCs w:val="18"/>
                <w:color w:val="auto"/>
              </w:rPr>
            </w:pPr>
          </w:p>
        </w:tc>
      </w:tr>
      <w:tr>
        <w:trPr>
          <w:trHeight w:val="216"/>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38,042</w:t>
            </w:r>
          </w:p>
        </w:tc>
        <w:tc>
          <w:tcPr>
            <w:tcW w:w="2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35,320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73,503</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105,375</w:t>
            </w:r>
          </w:p>
        </w:tc>
        <w:tc>
          <w:tcPr>
            <w:tcW w:w="11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78,680</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197,811</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150,572</w:t>
            </w: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-170815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768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7" w:lineRule="exact"/>
        <w:rPr>
          <w:sz w:val="20"/>
          <w:szCs w:val="20"/>
          <w:color w:val="auto"/>
        </w:rPr>
      </w:pPr>
    </w:p>
    <w:p>
      <w:pPr>
        <w:ind w:left="20" w:right="168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Engineered Systems segment Industrial Process Solutions segment Corporate and Other</w:t>
      </w:r>
      <w:r>
        <w:rPr>
          <w:rFonts w:ascii="Times New Roman" w:cs="Times New Roman" w:eastAsia="Times New Roman" w:hAnsi="Times New Roman"/>
          <w:sz w:val="24"/>
          <w:szCs w:val="24"/>
          <w:color w:val="auto"/>
          <w:vertAlign w:val="superscript"/>
        </w:rPr>
        <w:t>(1)</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Income from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407"/>
        </w:trPr>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260" w:type="dxa"/>
            <w:vAlign w:val="bottom"/>
          </w:tcPr>
          <w:p>
            <w:pPr>
              <w:spacing w:after="0"/>
              <w:rPr>
                <w:sz w:val="24"/>
                <w:szCs w:val="24"/>
                <w:color w:val="auto"/>
              </w:rPr>
            </w:pP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2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2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6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6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(8,742 )</w:t>
            </w:r>
          </w:p>
        </w:tc>
        <w:tc>
          <w:tcPr>
            <w:tcW w:w="8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(7,930 )</w:t>
            </w: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(14,147 )</w:t>
            </w: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(14,868 )</w:t>
            </w:r>
          </w:p>
        </w:tc>
      </w:tr>
      <w:tr>
        <w:trPr>
          <w:trHeight w:val="209"/>
        </w:trPr>
        <w:tc>
          <w:tcPr>
            <w:tcW w:w="8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2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60" w:type="dxa"/>
            <w:vAlign w:val="bottom"/>
          </w:tcPr>
          <w:p>
            <w:pPr>
              <w:spacing w:after="0"/>
              <w:rPr>
                <w:sz w:val="18"/>
                <w:szCs w:val="18"/>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-719455</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-445135</wp:posOffset>
            </wp:positionV>
            <wp:extent cx="713232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-162560</wp:posOffset>
            </wp:positionV>
            <wp:extent cx="713232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160"/>
          </w:cols>
          <w:pgMar w:left="320" w:top="540" w:right="339" w:bottom="1440" w:gutter="0" w:footer="0" w:header="0"/>
          <w:type w:val="continuous"/>
        </w:sectPr>
      </w:pPr>
    </w:p>
    <w:p>
      <w:pPr>
        <w:spacing w:after="0" w:line="38" w:lineRule="exact"/>
        <w:rPr>
          <w:sz w:val="20"/>
          <w:szCs w:val="20"/>
          <w:color w:val="auto"/>
        </w:rPr>
      </w:pPr>
    </w:p>
    <w:p>
      <w:pPr>
        <w:ind w:left="760" w:hanging="752"/>
        <w:spacing w:after="0"/>
        <w:tabs>
          <w:tab w:leader="none" w:pos="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corporate compensation, professional services, information technology, and other general and administrative corporate expenses.</w:t>
      </w:r>
    </w:p>
    <w:p>
      <w:pPr>
        <w:sectPr>
          <w:pgSz w:w="11900" w:h="16838" w:orient="portrait"/>
          <w:cols w:equalWidth="0" w:num="1">
            <w:col w:w="11240"/>
          </w:cols>
          <w:pgMar w:left="320" w:top="540" w:right="33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7" w:lineRule="exact"/>
        <w:rPr>
          <w:sz w:val="20"/>
          <w:szCs w:val="20"/>
          <w:color w:val="auto"/>
        </w:rPr>
      </w:pPr>
    </w:p>
    <w:p>
      <w:pPr>
        <w:ind w:left="20" w:right="17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additions </w:t>
      </w:r>
      <w:r>
        <w:rPr>
          <w:rFonts w:ascii="Times New Roman" w:cs="Times New Roman" w:eastAsia="Times New Roman" w:hAnsi="Times New Roman"/>
          <w:sz w:val="18"/>
          <w:szCs w:val="18"/>
          <w:color w:val="auto"/>
        </w:rPr>
        <w:t>Engineered Systems segment Industrial Process Solutions segment Corporate and Other</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Property and equipment additions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7" w:lineRule="exact"/>
        <w:rPr>
          <w:sz w:val="20"/>
          <w:szCs w:val="20"/>
          <w:color w:val="auto"/>
        </w:rPr>
      </w:pPr>
    </w:p>
    <w:p>
      <w:pPr>
        <w:ind w:left="20" w:right="17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w:t>
      </w:r>
      <w:r>
        <w:rPr>
          <w:rFonts w:ascii="Times New Roman" w:cs="Times New Roman" w:eastAsia="Times New Roman" w:hAnsi="Times New Roman"/>
          <w:sz w:val="18"/>
          <w:szCs w:val="18"/>
          <w:color w:val="auto"/>
        </w:rPr>
        <w:t>Engineered Systems segment Industrial Process Solutions segment Corporate and Other</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p>
      <w:pPr>
        <w:ind w:left="200"/>
        <w:spacing w:after="0" w:line="208" w:lineRule="auto"/>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(2)</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Identifiable assets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407"/>
        </w:trPr>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34"/>
        </w:trPr>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10"/>
        </w:trPr>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0"/>
        </w:trPr>
        <w:tc>
          <w:tcPr>
            <w:tcW w:w="13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575"/>
        </w:trPr>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407"/>
        </w:trPr>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14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r>
      <w:tr>
        <w:trPr>
          <w:trHeight w:val="216"/>
        </w:trPr>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34"/>
        </w:trPr>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10"/>
        </w:trPr>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-1945005</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-1671320</wp:posOffset>
            </wp:positionV>
            <wp:extent cx="71323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-1388110</wp:posOffset>
            </wp:positionV>
            <wp:extent cx="7132320"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-719455</wp:posOffset>
            </wp:positionV>
            <wp:extent cx="71323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-445135</wp:posOffset>
            </wp:positionV>
            <wp:extent cx="71323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-161925</wp:posOffset>
            </wp:positionV>
            <wp:extent cx="7132320" cy="162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87" w:lineRule="exact"/>
        <w:rPr>
          <w:sz w:val="20"/>
          <w:szCs w:val="20"/>
          <w:color w:val="auto"/>
        </w:rPr>
      </w:pPr>
    </w:p>
    <w:tbl>
      <w:tblPr>
        <w:tblLayout w:type="fixed"/>
        <w:tblInd w:w="2000" w:type="dxa"/>
        <w:tblCellMar>
          <w:top w:w="0" w:type="dxa"/>
          <w:left w:w="0" w:type="dxa"/>
          <w:bottom w:w="0" w:type="dxa"/>
          <w:right w:w="0" w:type="dxa"/>
        </w:tblCellMar>
      </w:tblPr>
      <w:tr>
        <w:trPr>
          <w:trHeight w:val="187"/>
        </w:trPr>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40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315,743</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262,558</w:t>
            </w:r>
          </w:p>
        </w:tc>
      </w:tr>
      <w:tr>
        <w:trPr>
          <w:trHeight w:val="216"/>
        </w:trPr>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141,975</w:t>
            </w:r>
          </w:p>
        </w:tc>
      </w:tr>
      <w:tr>
        <w:trPr>
          <w:trHeight w:val="234"/>
        </w:trPr>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11,664</w:t>
            </w:r>
          </w:p>
        </w:tc>
      </w:tr>
      <w:tr>
        <w:trPr>
          <w:trHeight w:val="209"/>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481,729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416,197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-719455</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-445135</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-162560</wp:posOffset>
            </wp:positionV>
            <wp:extent cx="7132320" cy="163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720"/>
            <w:col w:w="6120"/>
          </w:cols>
          <w:pgMar w:left="320" w:top="540" w:right="339" w:bottom="1440" w:gutter="0" w:footer="0" w:header="0"/>
          <w:type w:val="continuous"/>
        </w:sectPr>
      </w:pPr>
    </w:p>
    <w:p>
      <w:pPr>
        <w:spacing w:after="0" w:line="38" w:lineRule="exact"/>
        <w:rPr>
          <w:sz w:val="20"/>
          <w:szCs w:val="20"/>
          <w:color w:val="auto"/>
        </w:rPr>
      </w:pPr>
    </w:p>
    <w:p>
      <w:pPr>
        <w:ind w:left="760" w:hanging="752"/>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assets consist primarily of cash and income tax related assets.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3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114,797</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9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70,998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Goodwill</w:t>
            </w:r>
          </w:p>
        </w:tc>
        <w:tc>
          <w:tcPr>
            <w:tcW w:w="3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185,795</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92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2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-659130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color w:val="auto"/>
        </w:rPr>
        <w:t>Intra-segment and Inter-segment Revenues</w:t>
      </w:r>
    </w:p>
    <w:p>
      <w:pPr>
        <w:spacing w:after="0" w:line="121" w:lineRule="exact"/>
        <w:rPr>
          <w:sz w:val="20"/>
          <w:szCs w:val="20"/>
          <w:color w:val="auto"/>
        </w:rPr>
      </w:pPr>
    </w:p>
    <w:p>
      <w:pPr>
        <w:ind w:left="520" w:right="320"/>
        <w:spacing w:after="0" w:line="266" w:lineRule="auto"/>
        <w:rPr>
          <w:sz w:val="20"/>
          <w:szCs w:val="20"/>
          <w:color w:val="auto"/>
        </w:rPr>
      </w:pPr>
      <w:r>
        <w:rPr>
          <w:rFonts w:ascii="Times New Roman" w:cs="Times New Roman" w:eastAsia="Times New Roman" w:hAnsi="Times New Roman"/>
          <w:sz w:val="18"/>
          <w:szCs w:val="18"/>
          <w:color w:val="auto"/>
        </w:rPr>
        <w:t>The Company has multiple divisions that sell to each other within segments (intra-segment sales) and between segments (inter-segment sales) as indicated in the following tables: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20" w:type="dxa"/>
            <w:vAlign w:val="bottom"/>
          </w:tcPr>
          <w:p>
            <w:pPr>
              <w:spacing w:after="0"/>
              <w:rPr>
                <w:sz w:val="14"/>
                <w:szCs w:val="14"/>
                <w:color w:val="auto"/>
              </w:rPr>
            </w:pPr>
          </w:p>
        </w:tc>
        <w:tc>
          <w:tcPr>
            <w:tcW w:w="94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Intra-</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3"/>
                <w:szCs w:val="13"/>
                <w:color w:val="auto"/>
              </w:rPr>
            </w:pPr>
          </w:p>
        </w:tc>
        <w:tc>
          <w:tcPr>
            <w:tcW w:w="11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13"/>
                <w:szCs w:val="13"/>
                <w:color w:val="auto"/>
              </w:rPr>
            </w:pPr>
          </w:p>
        </w:tc>
        <w:tc>
          <w:tcPr>
            <w:tcW w:w="122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Engineered</w:t>
            </w:r>
          </w:p>
        </w:tc>
        <w:tc>
          <w:tcPr>
            <w:tcW w:w="120" w:type="dxa"/>
            <w:vAlign w:val="bottom"/>
          </w:tcPr>
          <w:p>
            <w:pPr>
              <w:spacing w:after="0"/>
              <w:rPr>
                <w:sz w:val="13"/>
                <w:szCs w:val="13"/>
                <w:color w:val="auto"/>
              </w:rPr>
            </w:pPr>
          </w:p>
        </w:tc>
        <w:tc>
          <w:tcPr>
            <w:tcW w:w="940" w:type="dxa"/>
            <w:vAlign w:val="bottom"/>
          </w:tcPr>
          <w:p>
            <w:pPr>
              <w:jc w:val="center"/>
              <w:ind w:right="59"/>
              <w:spacing w:after="0" w:line="160" w:lineRule="exact"/>
              <w:rPr>
                <w:sz w:val="20"/>
                <w:szCs w:val="20"/>
                <w:color w:val="auto"/>
              </w:rPr>
            </w:pPr>
            <w:r>
              <w:rPr>
                <w:rFonts w:ascii="Times New Roman" w:cs="Times New Roman" w:eastAsia="Times New Roman" w:hAnsi="Times New Roman"/>
                <w:sz w:val="14"/>
                <w:szCs w:val="14"/>
                <w:b w:val="1"/>
                <w:bCs w:val="1"/>
                <w:color w:val="auto"/>
              </w:rPr>
              <w:t>Outside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Process Solutions</w:t>
            </w:r>
          </w:p>
        </w:tc>
        <w:tc>
          <w:tcPr>
            <w:tcW w:w="1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20" w:type="dxa"/>
            <w:vAlign w:val="bottom"/>
          </w:tcPr>
          <w:p>
            <w:pPr>
              <w:spacing w:after="0"/>
              <w:rPr>
                <w:sz w:val="16"/>
                <w:szCs w:val="16"/>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(3,231 )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39,901</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(1,717 )</w:t>
            </w:r>
          </w:p>
        </w:tc>
        <w:tc>
          <w:tcPr>
            <w:tcW w:w="16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110,655</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(4,948 )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20" w:type="dxa"/>
            <w:vAlign w:val="bottom"/>
          </w:tcPr>
          <w:p>
            <w:pPr>
              <w:spacing w:after="0"/>
              <w:rPr>
                <w:sz w:val="14"/>
                <w:szCs w:val="14"/>
                <w:color w:val="auto"/>
              </w:rPr>
            </w:pPr>
          </w:p>
        </w:tc>
        <w:tc>
          <w:tcPr>
            <w:tcW w:w="94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Net Sales to</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Intra-</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3"/>
                <w:szCs w:val="13"/>
                <w:color w:val="auto"/>
              </w:rPr>
            </w:pPr>
          </w:p>
        </w:tc>
        <w:tc>
          <w:tcPr>
            <w:tcW w:w="11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13"/>
                <w:szCs w:val="13"/>
                <w:color w:val="auto"/>
              </w:rPr>
            </w:pPr>
          </w:p>
        </w:tc>
        <w:tc>
          <w:tcPr>
            <w:tcW w:w="122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Engineered</w:t>
            </w:r>
          </w:p>
        </w:tc>
        <w:tc>
          <w:tcPr>
            <w:tcW w:w="120" w:type="dxa"/>
            <w:vAlign w:val="bottom"/>
          </w:tcPr>
          <w:p>
            <w:pPr>
              <w:spacing w:after="0"/>
              <w:rPr>
                <w:sz w:val="13"/>
                <w:szCs w:val="13"/>
                <w:color w:val="auto"/>
              </w:rPr>
            </w:pPr>
          </w:p>
        </w:tc>
        <w:tc>
          <w:tcPr>
            <w:tcW w:w="940" w:type="dxa"/>
            <w:vAlign w:val="bottom"/>
          </w:tcPr>
          <w:p>
            <w:pPr>
              <w:jc w:val="center"/>
              <w:ind w:right="59"/>
              <w:spacing w:after="0" w:line="160" w:lineRule="exact"/>
              <w:rPr>
                <w:sz w:val="20"/>
                <w:szCs w:val="20"/>
                <w:color w:val="auto"/>
              </w:rPr>
            </w:pPr>
            <w:r>
              <w:rPr>
                <w:rFonts w:ascii="Times New Roman" w:cs="Times New Roman" w:eastAsia="Times New Roman" w:hAnsi="Times New Roman"/>
                <w:sz w:val="14"/>
                <w:szCs w:val="14"/>
                <w:b w:val="1"/>
                <w:bCs w:val="1"/>
                <w:color w:val="auto"/>
              </w:rPr>
              <w:t>Outside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Process Solutions</w:t>
            </w:r>
          </w:p>
        </w:tc>
        <w:tc>
          <w:tcPr>
            <w:tcW w:w="14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2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47,069</w:t>
            </w:r>
          </w:p>
        </w:tc>
        <w:tc>
          <w:tcPr>
            <w:tcW w:w="4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(3,513 )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(196 )</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41,245</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(5,281 )</w:t>
            </w:r>
          </w:p>
        </w:tc>
        <w:tc>
          <w:tcPr>
            <w:tcW w:w="16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(644 )</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88,314</w:t>
            </w:r>
          </w:p>
        </w:tc>
        <w:tc>
          <w:tcPr>
            <w:tcW w:w="260" w:type="dxa"/>
            <w:vAlign w:val="bottom"/>
          </w:tcPr>
          <w:p>
            <w:pPr>
              <w:spacing w:after="0"/>
              <w:rPr>
                <w:sz w:val="18"/>
                <w:szCs w:val="18"/>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(8,794 )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(196 )</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(644 )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20" w:type="dxa"/>
            <w:vAlign w:val="bottom"/>
          </w:tcPr>
          <w:p>
            <w:pPr>
              <w:spacing w:after="0"/>
              <w:rPr>
                <w:sz w:val="14"/>
                <w:szCs w:val="14"/>
                <w:color w:val="auto"/>
              </w:rPr>
            </w:pPr>
          </w:p>
        </w:tc>
        <w:tc>
          <w:tcPr>
            <w:tcW w:w="94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Intra-</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Engineered</w:t>
            </w:r>
          </w:p>
        </w:tc>
        <w:tc>
          <w:tcPr>
            <w:tcW w:w="120" w:type="dxa"/>
            <w:vAlign w:val="bottom"/>
          </w:tcPr>
          <w:p>
            <w:pPr>
              <w:spacing w:after="0"/>
              <w:rPr>
                <w:sz w:val="14"/>
                <w:szCs w:val="14"/>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Process Solutions</w:t>
            </w:r>
          </w:p>
        </w:tc>
        <w:tc>
          <w:tcPr>
            <w:tcW w:w="1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20" w:type="dxa"/>
            <w:vAlign w:val="bottom"/>
          </w:tcPr>
          <w:p>
            <w:pPr>
              <w:spacing w:after="0"/>
              <w:rPr>
                <w:sz w:val="16"/>
                <w:szCs w:val="16"/>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(7,789 )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77,043</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(3,342 )</w:t>
            </w:r>
          </w:p>
        </w:tc>
        <w:tc>
          <w:tcPr>
            <w:tcW w:w="16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209,397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(11,131 )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20" w:type="dxa"/>
            <w:vAlign w:val="bottom"/>
          </w:tcPr>
          <w:p>
            <w:pPr>
              <w:spacing w:after="0"/>
              <w:rPr>
                <w:sz w:val="14"/>
                <w:szCs w:val="14"/>
                <w:color w:val="auto"/>
              </w:rPr>
            </w:pPr>
          </w:p>
        </w:tc>
        <w:tc>
          <w:tcPr>
            <w:tcW w:w="94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Intra-</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3"/>
                <w:szCs w:val="13"/>
                <w:color w:val="auto"/>
              </w:rPr>
            </w:pPr>
          </w:p>
        </w:tc>
        <w:tc>
          <w:tcPr>
            <w:tcW w:w="11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13"/>
                <w:szCs w:val="13"/>
                <w:color w:val="auto"/>
              </w:rPr>
            </w:pPr>
          </w:p>
        </w:tc>
        <w:tc>
          <w:tcPr>
            <w:tcW w:w="122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Engineered</w:t>
            </w:r>
          </w:p>
        </w:tc>
        <w:tc>
          <w:tcPr>
            <w:tcW w:w="120" w:type="dxa"/>
            <w:vAlign w:val="bottom"/>
          </w:tcPr>
          <w:p>
            <w:pPr>
              <w:spacing w:after="0"/>
              <w:rPr>
                <w:sz w:val="13"/>
                <w:szCs w:val="13"/>
                <w:color w:val="auto"/>
              </w:rPr>
            </w:pPr>
          </w:p>
        </w:tc>
        <w:tc>
          <w:tcPr>
            <w:tcW w:w="940" w:type="dxa"/>
            <w:vAlign w:val="bottom"/>
          </w:tcPr>
          <w:p>
            <w:pPr>
              <w:jc w:val="center"/>
              <w:ind w:right="59"/>
              <w:spacing w:after="0" w:line="160" w:lineRule="exact"/>
              <w:rPr>
                <w:sz w:val="20"/>
                <w:szCs w:val="20"/>
                <w:color w:val="auto"/>
              </w:rPr>
            </w:pPr>
            <w:r>
              <w:rPr>
                <w:rFonts w:ascii="Times New Roman" w:cs="Times New Roman" w:eastAsia="Times New Roman" w:hAnsi="Times New Roman"/>
                <w:sz w:val="14"/>
                <w:szCs w:val="14"/>
                <w:b w:val="1"/>
                <w:bCs w:val="1"/>
                <w:color w:val="auto"/>
              </w:rPr>
              <w:t>Outside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Process Solutions</w:t>
            </w:r>
          </w:p>
        </w:tc>
        <w:tc>
          <w:tcPr>
            <w:tcW w:w="1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20" w:type="dxa"/>
            <w:vAlign w:val="bottom"/>
          </w:tcPr>
          <w:p>
            <w:pPr>
              <w:spacing w:after="0"/>
              <w:rPr>
                <w:sz w:val="16"/>
                <w:szCs w:val="16"/>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(5,887 )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74,178</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(8,055 )</w:t>
            </w:r>
          </w:p>
        </w:tc>
        <w:tc>
          <w:tcPr>
            <w:tcW w:w="16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(968 )</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165,723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(13,942 )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-4422775</wp:posOffset>
            </wp:positionV>
            <wp:extent cx="768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-4422775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-4422775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-4422775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-4422775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-3007995</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-3007995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-3007995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-3007995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-1593850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-1593850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-1593850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-1593850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-170815</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8" w:name="page19"/>
    <w:bookmarkEnd w:id="18"/>
    <w:p>
      <w:pPr>
        <w:ind w:left="3460"/>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w:t>
      </w: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Statements of Income for the three-month and six-month periods ended June 30, 2022 and 2021 reflect the consolidated operations of the Company and its subsidiaries.</w:t>
      </w:r>
    </w:p>
    <w:p>
      <w:pPr>
        <w:spacing w:after="0" w:line="14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CECO Environmental Corp. (“CECO,” “we,” “us,” or the “Company”) is a leading environmentally focused, diversified industrial company whose solutions protect people, the environment, and industrial equipment. We focus on engineering, designing, building, and installing systems that capture, clean and destroy air- and water-borne emissions from industrial facilities as well as fluid handling, gas and water separation, and filtration systems. CECO provides innovative technology and application expertise that helps companies grow their businesses with safe, clean, and more efficient solutions to protect our shared environment.</w:t>
      </w:r>
    </w:p>
    <w:p>
      <w:pPr>
        <w:spacing w:after="0" w:line="18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CECO serves diverse industries globally by working to improve air and water quality, protect customer’s equipment, and provide customized engineered solutions in our customers’ mission critical applications. The industries CECO serves include power generation, petrochemical processing, general industrial, refining, midstream oil &amp; gas, electric vehicle production, poly silicon fabrication, battery recycling, and wastewater treatment, along with a wide range of other industries.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16"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 novel strain of coronavirus (“COVID-19”) surfaced in late 2019 and has spread around the world, including to the United States. In March 2020, the World Health Organization characterized COVID-19 as a pandemic. The COVID-19 pandemic persists in geographic areas in which we have operations, suppliers, customers and employees, and has had a significant impact on worldwide economic activity and on macroeconomic conditions and the end markets of our business.</w:t>
      </w:r>
    </w:p>
    <w:p>
      <w:pPr>
        <w:spacing w:after="0" w:line="17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As a key supplier to critical infrastructure projects, CECO has worked to maintain ongoing operations. Within the United States, certain portions of our business have been designated an essential business, and we continue to operate our business in compliance with applicable state and local laws and are observing recommended Centers for Disease Control and Prevention guidelines to minimize the risk of spreading the COVID-19 virus including implementing, where possible, work-from-home procedures and additional sanitization efforts where facilities remain open to provide necessary services. This allows us to continue to serve our customers, however, the COVID-19 pandemic has also disrupted our international operations. Some of our facilities and our suppliers have experienced temporary disruptions as a result of the COVID-19 pandemic, and we continue to work closely with our global supply chain to proactively support customers during this critical time. We cannot predict whether our facilities will experience more significant disruptions in the future or the impact on our suppliers.</w:t>
      </w:r>
    </w:p>
    <w:p>
      <w:pPr>
        <w:spacing w:after="0" w:line="20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senior management team meets regularly to review and assess the status of the Company's operations and the health and safety of its employees. The senior management team continues to monitor and manage the Company’s ability to operate effectively. We are currently experiencing shortages of raw materials and inflationary pressures for certain materials and labor. We expect these supply chain challenges and cost impacts to continue for the foreseeable future as markets recover. Although we have secured additional raw materials from existing and alternate suppliers and have taken other mitigating actions to mitigate supply disruptions, we cannot guarantee that we can continue to do so in the future. In this event, our business, results and financial condition could be adversely affected. Although vaccines are available in various countries where we operate, health concern risks remain and notwithstanding the Company's continued efforts, it is possible the COVID-19 pandemic could further impact our operations and the operations of our suppliers and venders, particularly in light of newly emerging variant strains of the virus becoming more dominant and the potential resumption of high levels of infection and hospitalization. We cannot predict whether any of our manufacturing, operations or suppliers will be disrupted by these events, or how long such disruptions would last. COVID-19 has had and may have further negative impacts on our operations, customers and supply chain despite the preventative and precautionary measures being taken.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Regarding Use of Non-GAAP Financial Measures</w:t>
      </w:r>
    </w:p>
    <w:p>
      <w:pPr>
        <w:spacing w:after="0" w:line="22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90"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spacing w:after="0" w:line="177"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the acquisition and divestitures. While the Company cannot predict the exact timing or amounts of such charges, it does expect to treat the financial impact of these transactions as special items in its future presentation of non-GAAP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Statements of Income for the three-month and six-month periods ended June 30, 2022 and 2021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6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30.1 %</w:t>
            </w:r>
          </w:p>
        </w:tc>
        <w:tc>
          <w:tcPr>
            <w:tcW w:w="2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32.0 %</w:t>
            </w: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29.4 %</w:t>
            </w: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33.0 %</w:t>
            </w:r>
          </w:p>
        </w:tc>
      </w:tr>
      <w:tr>
        <w:trPr>
          <w:trHeight w:val="21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21.8 %</w:t>
            </w:r>
          </w:p>
        </w:tc>
        <w:tc>
          <w:tcPr>
            <w:tcW w:w="2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26.2 %</w:t>
            </w: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21.0 %</w:t>
            </w: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26.6 %</w:t>
            </w:r>
          </w:p>
        </w:tc>
      </w:tr>
      <w:tr>
        <w:trPr>
          <w:trHeight w:val="21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3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5.4 %</w:t>
            </w:r>
          </w:p>
        </w:tc>
        <w:tc>
          <w:tcPr>
            <w:tcW w:w="2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2.7 %</w:t>
            </w: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5.6 %</w:t>
            </w: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-281940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-281940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-281940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7"/>
          <w:szCs w:val="17"/>
          <w:color w:val="auto"/>
        </w:rPr>
        <w:t>To compare operating performance between the three-month and six-month periods ended June 30, 2022 and 2021, the Company has adjusted GAAP operating income to exclude (1) amortization of intangible assets, earnout and retention expenses, (2) restructuring expenses primarily relating to severance, facility exits, and associated legal expenses, and (3) acquisition and integration expenses, which include legal, accounting, and other expenses.</w:t>
      </w:r>
    </w:p>
    <w:p>
      <w:pPr>
        <w:spacing w:after="0" w:line="17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reconciliation of GAAP operating income and GAAP operating margin to non-GAAP operating income and non-GAAP operating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66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5.4 %</w:t>
            </w: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2.7 %</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5.6 %</w:t>
            </w:r>
          </w:p>
        </w:tc>
        <w:tc>
          <w:tcPr>
            <w:tcW w:w="300" w:type="dxa"/>
            <w:vAlign w:val="bottom"/>
          </w:tcPr>
          <w:p>
            <w:pPr>
              <w:spacing w:after="0"/>
              <w:rPr>
                <w:sz w:val="18"/>
                <w:szCs w:val="18"/>
                <w:color w:val="auto"/>
              </w:rPr>
            </w:pP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8"/>
                <w:szCs w:val="18"/>
                <w:i w:val="1"/>
                <w:iCs w:val="1"/>
                <w:color w:val="auto"/>
                <w:w w:val="90"/>
              </w:rPr>
              <w:t>3.5 %</w:t>
            </w:r>
          </w:p>
        </w:tc>
      </w:tr>
      <w:tr>
        <w:trPr>
          <w:trHeight w:val="216"/>
        </w:trPr>
        <w:tc>
          <w:tcPr>
            <w:tcW w:w="5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7"/>
              </w:rPr>
              <w:t>9.7</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8.3 %</w:t>
            </w: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6.0 %</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8.3 %</w:t>
            </w:r>
          </w:p>
        </w:tc>
        <w:tc>
          <w:tcPr>
            <w:tcW w:w="300" w:type="dxa"/>
            <w:vAlign w:val="bottom"/>
          </w:tcPr>
          <w:p>
            <w:pPr>
              <w:spacing w:after="0"/>
              <w:rPr>
                <w:sz w:val="18"/>
                <w:szCs w:val="18"/>
                <w:color w:val="auto"/>
              </w:rPr>
            </w:pP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8"/>
                <w:szCs w:val="18"/>
                <w:i w:val="1"/>
                <w:iCs w:val="1"/>
                <w:color w:val="auto"/>
                <w:w w:val="90"/>
              </w:rPr>
              <w:t>6.4 %</w:t>
            </w:r>
          </w:p>
        </w:tc>
      </w:tr>
      <w:tr>
        <w:trPr>
          <w:trHeight w:val="648"/>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5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-770890</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-770890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-770890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36" w:right="279" w:bottom="1440" w:gutter="0" w:footer="0" w:header="0"/>
        </w:sectPr>
      </w:pPr>
    </w:p>
    <w:bookmarkStart w:id="20" w:name="page21"/>
    <w:bookmarkEnd w:id="20"/>
    <w:p>
      <w:pPr>
        <w:spacing w:after="0" w:line="250" w:lineRule="auto"/>
        <w:rPr>
          <w:sz w:val="20"/>
          <w:szCs w:val="20"/>
          <w:color w:val="auto"/>
        </w:rPr>
      </w:pPr>
      <w:r>
        <w:rPr>
          <w:rFonts w:ascii="Times New Roman" w:cs="Times New Roman" w:eastAsia="Times New Roman" w:hAnsi="Times New Roman"/>
          <w:sz w:val="18"/>
          <w:szCs w:val="18"/>
          <w:color w:val="auto"/>
        </w:rPr>
        <w:t>Net sales for the second quarter of 2022 increased $26.7 million, or 33.9%, to $105.4 million compared with $78.7 million in the second quarter of 2021. The increase is primarily attributable to increases of $8.4 million in our thermal acoustics technologies, $5.2 million in our damper and expansion products, $4.2 million in our emissions management technologies, $2.7 million across our entire industrial process solutions platforms, $2.7 million in our engineered cyclone systems, and $2.6 million in our separation and filtration technologies. For the $26.7 million increase in net sales, $22.1 million is attributable to organic growth, while $4.6 million is attributable to current year acquisitions.</w:t>
      </w:r>
    </w:p>
    <w:p>
      <w:pPr>
        <w:spacing w:after="0" w:line="17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Net sales for the first six months of 2022 increased $47.2 million, or 31.4%, to $197.8 million compared with $150.6 million in the first six months of 2021. The increase is primarily attributable to increases of $13.1 million in our emissions management technologies, $11.6 million in our thermal acoustics technologies, $7.5 million in our damper and expansion products, $6.5 million in our engineered cyclone systems, $3.9 million in our industrial air control technologies, and $3.9 million in our duct fabrication products and services. For the $47.2 million increase in net sales, $41.9 million is attributable to organic growth, while $5.3 million is attributable to current year acquisitions.</w:t>
      </w:r>
    </w:p>
    <w:p>
      <w:pPr>
        <w:spacing w:after="0" w:line="18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Gross profit increased $6.5 million, or 25.8%, to $31.7 million in the second quarter of 2022 compared with $25.2 million in the second quarter of 2021. The increase in gross profit is primarily attributable to in the increase in sales volume as described above. Gross profit as a percentage of sales decreased 1.9% to 30.1% in the second quarter of 2022 compared with 32.0% in the second quarter of 2021 due to inflation, supply chain challenges, and lower project margin mix executed during the three-month period ended June 30, 2022, partially offset by price increases.</w:t>
      </w:r>
    </w:p>
    <w:p>
      <w:pPr>
        <w:spacing w:after="0" w:line="19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Gross profit increased $8.4 million, or 16.9%, to $58.1 million in the first six months of 2022 compared with $49.7 million in the first six months of 2021. The increase in gross profit is primarily attributable to in the increase in sales volume as describe above. Gross profit as a percentage of sales decreased to 29.4% in the first six months of 2022 compared with 33.0% in the first six months of 2021 due to inflation, supply chain challenges, and lower project margin mix executed during the six-month period ended June 30, 2022, partially offset by price increases. We continue to experience shortages of raw materials and inflationary pressures for certain materials and labor. We expect these supply chain challenges and cost impacts to continue for the foreseeable future as markets recover. Although we have secured additional raw materials from existing and alternate suppliers and have taken other mitigating actions to mitigate supply disruptions, such as implementing price increases and applying material surcharges. We cannot guarantee that we can continue to do so in the future. In this event, our business, results and financial condition could be adversely affected.</w:t>
      </w:r>
    </w:p>
    <w:p>
      <w:pPr>
        <w:spacing w:after="0" w:line="18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Orders booked increased $28.0 million, or 32.7%, to $113.5 million during the second quarter of 2022 compared with $85.5 million in the second quarter of 2021. The increase is primarily attributable to increases of $34.2 million in our separation and filtration technologies, $5.0 million in our thermal acoustics technologies, $4.9 million in our industrial air control technologies, and $4.2 million in our damper and expansion products partially offset by a decrease of $20.2 million in our emissions management technologies. For the $28.0 million increase in orders, $23.0 million is attributable to organic growth, while $5.0 million is attributable to current year acquisitions.</w:t>
      </w:r>
    </w:p>
    <w:p>
      <w:pPr>
        <w:spacing w:after="0" w:line="19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Orders booked were $274.4 million for the first six months of 2022 compared with $177.6 million during the first six months of 2021, an increase of $96.8 million, or 54.5%. The increase is primarily attributable to increases of $37.2 million in our separation and filtration technologies, $27.9 million in industrial air control technologies, and $27.4 million in our thermal acoustics technologies. For the $96.8 million increase in orders, $90.9 million is attributable to organic growth, while $5.9 million is attributable to current year acquisitions.</w:t>
      </w:r>
    </w:p>
    <w:p>
      <w:pPr>
        <w:spacing w:after="0" w:line="17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Selling and administrative expenses were $23.0 million for the second quarter of 2022 compared with $20.6 million for the second quarter of 2021. The increase is primarily attributable to acquisitions during 2022, as well as inflationary increases for wages and services. Selling and administrative expenses as a percentage of sales was 21.8% in the second quarter of 2022 compared with 26.2% in the second quarter of 2021. The decrease in percentage is primarily attributable to the increase in net sales.</w:t>
      </w:r>
    </w:p>
    <w:p>
      <w:pPr>
        <w:spacing w:after="0" w:line="17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Selling and administrative expenses were $41.6 million for the first six months of 2022 compared with $40.0 million for the first six months of 2021. The increase is primarily attributable to acquisitions during 2022, as well as inflationary increases for wages and services. Selling and administrative expenses decreased as a percentage of sales to 21.0% in the first six months of 2022 compared with 26.6% in the first six months of 2021. The decrease in percentage is primarily attributable to the increase in net sales.</w:t>
      </w:r>
    </w:p>
    <w:p>
      <w:pPr>
        <w:spacing w:after="0" w:line="191"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Amortization and earnout expense was $1.4 million for the second quarter of 2022 compared with $2.3 million for the second quarter of 2021. The decrease in expense is attributable to a decrease of $0.6 million in earnout expense and $0.3 million decrease in definite lived asset amortization.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1" w:name="page22"/>
    <w:bookmarkEnd w:id="21"/>
    <w:p>
      <w:pPr>
        <w:ind w:right="560"/>
        <w:spacing w:after="0" w:line="282" w:lineRule="auto"/>
        <w:rPr>
          <w:sz w:val="20"/>
          <w:szCs w:val="20"/>
          <w:color w:val="auto"/>
        </w:rPr>
      </w:pPr>
      <w:r>
        <w:rPr>
          <w:rFonts w:ascii="Times New Roman" w:cs="Times New Roman" w:eastAsia="Times New Roman" w:hAnsi="Times New Roman"/>
          <w:sz w:val="18"/>
          <w:szCs w:val="18"/>
          <w:color w:val="auto"/>
        </w:rPr>
        <w:t>Amortization expense was $2.9 million for the first six months of 2022 compared with $4.1 million for the first six months of 2021. The decrease in expense is attributable to a decrease of $0.7 million in earnout expense and $0.5 million decrease in definite lived asset amortization.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increased $3.6 million to $5.7 million in the second quarter of 2022 compared with $2.1 million during the second quarter of 2021.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increased $5.8 million to $11.0 million in the first six months of 2022 compared with $5.2 million during the first six months of 2021.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income for the three- and six-month periods ended June 30, 2022 are primarily attributable to increases in sales.</w:t>
      </w:r>
    </w:p>
    <w:p>
      <w:pPr>
        <w:spacing w:after="0" w:line="19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Non-GAAP operating income was $8.7 million for the second quarter of 2022 compared with $4.7 million for the second quarter of 2021. The increase of $4.0 million in non-GAAP operating income is primarily attributable to the increase in net sales. Non-GAAP operating income as a percentage of sales increased to 8.2% for the second quarter of 2022 from 6.0% for the second quarter of 2021.</w:t>
      </w:r>
    </w:p>
    <w:p>
      <w:pPr>
        <w:spacing w:after="0" w:line="16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Non-GAAP operating income was $16.5 million for the first six months of 2022 compared with $9.7 million for the first six months of 2021. The increase of $6.8 in non-GAAP operating income is primarily attributable to the increase in net sales. Non-GAAP operating income as a percentage of sales increased to 8.3% for the first six months of 2022 from 6.4% for the first six months of 2021.</w:t>
      </w:r>
    </w:p>
    <w:p>
      <w:pPr>
        <w:spacing w:after="0" w:line="19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Interest expense increased to $1.1 million in the second quarter of 2022 and $1.9 million for the first six months of 2022 compared with interest expense of $0.7 million in the second quarter of 2021 and $1.4 million for the first six months of 2021. The increase in interest expense is primarily due to increased debt balances for the three- and six-month periods in 2022 compared to 2021.</w:t>
      </w:r>
    </w:p>
    <w:p>
      <w:pPr>
        <w:spacing w:after="0" w:line="19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Income tax expense was $1.9 million for the second quarter of 2022 and $3.0 million for the first six months of 2022 compared with income tax expense of $0.2 million for the second quarter of 2021 and $0.8 million for the first six months of 2021. The effective income tax rate for the second quarter of 2022 was 28.3% compared with 34.3% for the second quarter of 2021. The effective income tax rate for the first six months of 2022 was 28.3% compared with 30.9% for the first six months of 2021. The effective income tax rate for the three- and six-months ended June 30, 2022 is different than the United States federal statutory rate. Our effective tax rate is affected by certain other permanent differences, including state income taxes, non-deductible incentive stock-based compensation, and differences in tax rates among the jurisdictions in which we operate.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1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 that the segment serves and are presented in two reportable segments. The results of the segments are reviewed through “Income from operations” on the unaudited Condensed Consolidated Statements of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(less intra-, inter-segment sales)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6"/>
              </w:rPr>
              <w:t>43,360</w:t>
            </w:r>
          </w:p>
        </w:tc>
        <w:tc>
          <w:tcPr>
            <w:tcW w:w="220" w:type="dxa"/>
            <w:vAlign w:val="bottom"/>
          </w:tcPr>
          <w:p>
            <w:pPr>
              <w:spacing w:after="0"/>
              <w:rPr>
                <w:sz w:val="18"/>
                <w:szCs w:val="18"/>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85,417</w:t>
            </w:r>
          </w:p>
        </w:tc>
        <w:tc>
          <w:tcPr>
            <w:tcW w:w="100" w:type="dxa"/>
            <w:vAlign w:val="bottom"/>
          </w:tcPr>
          <w:p>
            <w:pPr>
              <w:spacing w:after="0"/>
              <w:rPr>
                <w:sz w:val="18"/>
                <w:szCs w:val="18"/>
                <w:color w:val="auto"/>
              </w:rPr>
            </w:pPr>
          </w:p>
        </w:tc>
      </w:tr>
      <w:tr>
        <w:trPr>
          <w:trHeight w:val="216"/>
        </w:trPr>
        <w:tc>
          <w:tcPr>
            <w:tcW w:w="54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38,042</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6"/>
              </w:rPr>
              <w:t>35,320</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73,503</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105,375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w w:val="96"/>
              </w:rPr>
              <w:t>78,680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197,811</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150,572</w:t>
            </w: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5"/>
        </w:trPr>
        <w:tc>
          <w:tcPr>
            <w:tcW w:w="5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24"/>
                <w:szCs w:val="24"/>
                <w:color w:val="auto"/>
              </w:rPr>
            </w:pPr>
          </w:p>
        </w:tc>
      </w:tr>
      <w:tr>
        <w:trPr>
          <w:trHeight w:val="16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2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5,634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tcPr>
          <w:p>
            <w:pPr>
              <w:spacing w:after="0"/>
              <w:rPr>
                <w:sz w:val="18"/>
                <w:szCs w:val="18"/>
                <w:color w:val="auto"/>
              </w:rPr>
            </w:pPr>
          </w:p>
        </w:tc>
      </w:tr>
      <w:tr>
        <w:trPr>
          <w:trHeight w:val="216"/>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8"/>
              </w:rPr>
              <w:t>4,441</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(8,742 )</w:t>
            </w:r>
          </w:p>
        </w:tc>
        <w:tc>
          <w:tcPr>
            <w:tcW w:w="300" w:type="dxa"/>
            <w:vAlign w:val="bottom"/>
          </w:tcPr>
          <w:p>
            <w:pPr>
              <w:spacing w:after="0"/>
              <w:rPr>
                <w:sz w:val="18"/>
                <w:szCs w:val="18"/>
                <w:color w:val="auto"/>
              </w:rPr>
            </w:pPr>
          </w:p>
        </w:tc>
        <w:tc>
          <w:tcPr>
            <w:tcW w:w="12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(7,930 )</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(14,147 )</w:t>
            </w: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(14,868 )</w:t>
            </w:r>
          </w:p>
        </w:tc>
      </w:tr>
      <w:tr>
        <w:trPr>
          <w:trHeight w:val="250"/>
        </w:trPr>
        <w:tc>
          <w:tcPr>
            <w:tcW w:w="5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8"/>
              </w:rPr>
              <w:t>2,145</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-1396365</wp:posOffset>
            </wp:positionV>
            <wp:extent cx="768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-1396365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-1396365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compensation, professional services, information technology and other general and administrative corporate expenses.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Engineered Systems Segment</w:t>
      </w:r>
    </w:p>
    <w:p>
      <w:pPr>
        <w:spacing w:after="0" w:line="22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Our Engineered Systems segment net sales increased $23.9 million to $67.3 million for the second quarter of 2022 compared with $43.4 million in the second quarter of 2021. The increase is primarily attributable to increases of $8.4 million in our thermal acoustics technologies, $5.2 million in our damper and expansion products, $4.2 million in our emissions management technologies, $2.7 million in our engineered cyclone systems, and $2.6 million in our separation and filtration technologies. For the $23.9 million increase in net sales, $19.3 million is attributable to organic growth, while $4.6 million is attributable to current year acquisitions.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spacing w:after="0" w:line="250" w:lineRule="auto"/>
        <w:rPr>
          <w:sz w:val="20"/>
          <w:szCs w:val="20"/>
          <w:color w:val="auto"/>
        </w:rPr>
      </w:pPr>
      <w:r>
        <w:rPr>
          <w:rFonts w:ascii="Times New Roman" w:cs="Times New Roman" w:eastAsia="Times New Roman" w:hAnsi="Times New Roman"/>
          <w:sz w:val="18"/>
          <w:szCs w:val="18"/>
          <w:color w:val="auto"/>
        </w:rPr>
        <w:t>Our Engineered Systems segment net sales increased $38.9 million to $124.3 million in the first six months of 2022 compared with $85.4 million in the first six months of 2021. The increase is primarily attributable to increases of $13.1 million in our emissions management technologies, $11.6 million in our thermal acoustics technologies, $7.5 million in our damper and expansion products, and $6.5 million in our engineered cyclone systems. For the $38.9 million increase in net sales, $33.6 million is attributable to organic growth, while $5.3 million is attributable to current year acquisitions.</w:t>
      </w:r>
    </w:p>
    <w:p>
      <w:pPr>
        <w:spacing w:after="0" w:line="19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income for the Engineered Systems segment increased $3.4 million to $9.0 million in the second quarter of 2022 compared with $5.6 million in the second quarter of 2021. The operating income increase is primarily attributable to higher gross profit related to increased sales of $23.9 million.</w:t>
      </w:r>
    </w:p>
    <w:p>
      <w:pPr>
        <w:spacing w:after="0" w:line="16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Operating income for the Engineered Systems segment increased $3.7 million to $15.5 million in the first six months of 2022 compared with $11.8 million in the first six months of 2021. The operating income increase is primarily attributable to higher gross profit related to increased sales of $38.9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Industrial Process Solutions Segment</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Industrial Process Solutions segment net sales increased $2.7 million to $38.0 million in the second quarter of 2022 compared with $35.3 million in the second quarter of 2021. The increase is primarily attributable to increases across all products serving industrial air end markets. The total increase of $2.7 million in net sales is attributable to organic growth.</w:t>
      </w:r>
    </w:p>
    <w:p>
      <w:pPr>
        <w:spacing w:after="0" w:line="16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Industrial Process Solutions segment net sales increased $8.3 million to $73.5 million in the first six months of 2022 compared with $65.2 million in the first six months of 2021. The increase is primarily attributable to increases of $3.9 million in our industrial air control technologies, and $3.9 million in our duct fabrication products and services. The total increase of $8.3 million in net sales is attributable to organic growth.</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income for the Industrial Process Solutions segment increased $1.1 million to $5.5 million in the second quarter of 2022 compared with $4.4 million in the second quarter of 2021. The increase is primarily attributable to higher gross profit related to increased sales of $2.7 million, and $0.7 million in lower amortization and earnout expenses.</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income for the Industrial Process Solutions segment increased $1.3 million to $9.6 million in the first six months of 2022 compared with $8.3 million in the first six months of 2021. The increase is primarily attributable to higher gross profit related to increased sales of $8.3 million, offset by a $1.5 million increase in selling and administrative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and Other Segment</w:t>
      </w:r>
    </w:p>
    <w:p>
      <w:pPr>
        <w:spacing w:after="0" w:line="21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Operating expense for the Corporate and Other segment increased $0.8 million to $8.7 million for the second quarter of 2022 compared with $7.9 million for the second quarter of 2021. The increase is attributable to increases in acquisition and integration expenses of $0.9 million.</w:t>
      </w:r>
    </w:p>
    <w:p>
      <w:pPr>
        <w:spacing w:after="0" w:line="14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Operating expense for the Corporate and Other segment decreased $0.8 million to $14.1 million for the first six months of 2022 compared with $14.9 million for the first six months of 2021. The decrease is primarily attributed to a $2.5 million favorable insurance settlement received in the first quarter of 2022, partially offset by inflationary increases for wages and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1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Backlog increased to $288.7 million as of June 30, 2022 from $213.9 million as of December 31, 2021. Our customers may have the right to cancel a given order. Historically, cancellations have not been common. Backlog is adjusted on a quarterly basis for adjustments in foreign currency exchange rates. Substantially all backlog is expected to be delivered within 12 to 18 months. Backlog is not defined by GAAP and our methodology for calculating backlog may not be consistent with methodologies used by other companies.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1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2 to the unaudited condensed consolidated financial statements within Item 1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 w:name="page24"/>
    <w:bookmarkEnd w:id="23"/>
    <w:p>
      <w:pPr>
        <w:ind w:right="120"/>
        <w:spacing w:after="0" w:line="250" w:lineRule="auto"/>
        <w:rPr>
          <w:sz w:val="20"/>
          <w:szCs w:val="20"/>
          <w:color w:val="auto"/>
        </w:rPr>
      </w:pPr>
      <w:r>
        <w:rPr>
          <w:rFonts w:ascii="Times New Roman" w:cs="Times New Roman" w:eastAsia="Times New Roman" w:hAnsi="Times New Roman"/>
          <w:sz w:val="18"/>
          <w:szCs w:val="18"/>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 under our Credit Facility (as defined below).</w:t>
      </w:r>
    </w:p>
    <w:p>
      <w:pPr>
        <w:spacing w:after="0" w:line="19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At June 30, 2022, the Company had working capital of $74.7 million, compared with $72.3 million at December 31, 2021. The ratio of current assets to current liabilities was 1.52 to 1.00 on June 30, 2022, as compared with a ratio of 1.62 to 1.00 at December 31, 2021.</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June 30, 2022 and December 31, 2021, cash and cash equivalents totaled $34.4 million and $29.9 million, respectively. As of June 30, 2022 and December 31, 2021, $26.5 million and $22.6 million, respectively, of our cash and cash equivalents were held by certain non-United States subsidiaries, as well as being denominated in foreign currencies.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80" w:type="dxa"/>
            <w:vAlign w:val="bottom"/>
          </w:tcPr>
          <w:p>
            <w:pPr>
              <w:spacing w:after="0"/>
              <w:rPr>
                <w:sz w:val="16"/>
                <w:szCs w:val="16"/>
                <w:color w:val="auto"/>
              </w:rPr>
            </w:pP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4"/>
        </w:trPr>
        <w:tc>
          <w:tcPr>
            <w:tcW w:w="726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Outstanding borrowings under the Credit Facility (defined below).</w:t>
            </w:r>
          </w:p>
        </w:tc>
        <w:tc>
          <w:tcPr>
            <w:tcW w:w="280" w:type="dxa"/>
            <w:vAlign w:val="bottom"/>
            <w:tcBorders>
              <w:top w:val="single" w:sz="8" w:color="auto"/>
            </w:tcBorders>
            <w:shd w:val="clear" w:color="auto" w:fill="CFF0FC"/>
          </w:tcPr>
          <w:p>
            <w:pPr>
              <w:spacing w:after="0"/>
              <w:rPr>
                <w:sz w:val="14"/>
                <w:szCs w:val="14"/>
                <w:color w:val="auto"/>
              </w:rPr>
            </w:pPr>
          </w:p>
        </w:tc>
        <w:tc>
          <w:tcPr>
            <w:tcW w:w="152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26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Term loan payable in quarterly principal installments of $0.6 million through September 2023,</w:t>
            </w: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26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and $0.8 million through September 2025 and $1.1 million thereafter with balance due upon</w:t>
            </w: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maturity in September 2026.</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Term loan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42,410</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43,511</w:t>
            </w:r>
          </w:p>
        </w:tc>
        <w:tc>
          <w:tcPr>
            <w:tcW w:w="100" w:type="dxa"/>
            <w:vAlign w:val="bottom"/>
          </w:tcPr>
          <w:p>
            <w:pPr>
              <w:spacing w:after="0"/>
              <w:rPr>
                <w:sz w:val="18"/>
                <w:szCs w:val="18"/>
                <w:color w:val="auto"/>
              </w:rPr>
            </w:pPr>
          </w:p>
        </w:tc>
      </w:tr>
      <w:tr>
        <w:trPr>
          <w:trHeight w:val="216"/>
        </w:trPr>
        <w:tc>
          <w:tcPr>
            <w:tcW w:w="7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 Revolving Credit Loan</w:t>
            </w:r>
          </w:p>
        </w:tc>
        <w:tc>
          <w:tcPr>
            <w:tcW w:w="2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44,700</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65,511</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8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(1,545 )</w:t>
            </w:r>
          </w:p>
        </w:tc>
        <w:tc>
          <w:tcPr>
            <w:tcW w:w="2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(1,731 )</w:t>
            </w:r>
          </w:p>
        </w:tc>
      </w:tr>
      <w:tr>
        <w:trPr>
          <w:trHeight w:val="209"/>
        </w:trPr>
        <w:tc>
          <w:tcPr>
            <w:tcW w:w="7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96,071</w:t>
            </w: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63,780</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(3,303 )</w:t>
            </w:r>
          </w:p>
        </w:tc>
        <w:tc>
          <w:tcPr>
            <w:tcW w:w="2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(2,203 )</w:t>
            </w:r>
          </w:p>
        </w:tc>
      </w:tr>
      <w:tr>
        <w:trPr>
          <w:trHeight w:val="249"/>
        </w:trPr>
        <w:tc>
          <w:tcPr>
            <w:tcW w:w="72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92,768</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-873760</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774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The Company’s outstanding borrowings in the United States consist of a senior secured term loan and a senior secured revolver loan with sub-facilities for letters of credit, swing-line loans and multi-currency loans (collectively, the “Credit Facility”). As of June 30, 2022 and December 31, 2021, the Company was in compliance with all related financial and other restrictive covenants under the Credit Facility.</w:t>
      </w:r>
    </w:p>
    <w:p>
      <w:pPr>
        <w:spacing w:after="0" w:line="19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See Note 7 to the unaudited condensed consolidated financial statements within Item 1 of this Quarterly Report on Form 10-Q for further information on the Company’s debt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unused credit availability under our existing Credit Facility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Facility, revolving loans</w:t>
            </w:r>
          </w:p>
        </w:tc>
        <w:tc>
          <w:tcPr>
            <w:tcW w:w="300" w:type="dxa"/>
            <w:vAlign w:val="bottom"/>
            <w:tcBorders>
              <w:top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Draw down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(44.7 )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16"/>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Letters of credit open</w:t>
            </w: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(20.7 )</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10"/>
        </w:trPr>
        <w:tc>
          <w:tcPr>
            <w:tcW w:w="7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unused credit availability</w:t>
            </w: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4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top w:val="single" w:sz="8" w:color="CFF0FC"/>
            </w:tcBorders>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2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Amount available based on borrowing limitations</w:t>
            </w:r>
          </w:p>
        </w:tc>
        <w:tc>
          <w:tcPr>
            <w:tcW w:w="300" w:type="dxa"/>
            <w:vAlign w:val="bottom"/>
            <w:tcBorders>
              <w:bottom w:val="single" w:sz="8" w:color="auto"/>
            </w:tcBorders>
            <w:gridSpan w:val="2"/>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62.4</w:t>
            </w: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gridSpan w:val="2"/>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05"/>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Overview of Cash Flows and Liquidity</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7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60" w:type="dxa"/>
            <w:vAlign w:val="bottom"/>
            <w:gridSpan w:val="7"/>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18,691</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(38,797 )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(463 )</w:t>
            </w:r>
          </w:p>
        </w:tc>
      </w:tr>
      <w:tr>
        <w:trPr>
          <w:trHeight w:val="21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26,655</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(6,423 )</w:t>
            </w: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(3,091 )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(514 )</w:t>
            </w:r>
          </w:p>
        </w:tc>
      </w:tr>
      <w:tr>
        <w:trPr>
          <w:trHeight w:val="249"/>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3,458</w:t>
            </w:r>
          </w:p>
        </w:tc>
        <w:tc>
          <w:tcPr>
            <w:tcW w:w="2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-1559560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-1250950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-1233805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ind w:right="160"/>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2022, $18.7 million of cash was provided by operating activities compared with $4.1 million provided by operations in the prior year period, a $14.6 million increase. Cash flow from operating activities in the first six months of 2022 had a favorable impact year-over-year primarily due increase in net income and certain improvements in net working capital.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8"/>
          <w:szCs w:val="18"/>
          <w:color w:val="auto"/>
        </w:rPr>
        <w:t>For the six months ended June 30, 2022, net cash used in investing activities was $38.8 million compared with $0.5 million used in investing activities in the prior year period. For the six months ended June 30, 2022, the $38.8 million cash used in investing activities was the result of $37.4 million cash used for the acquisitions, see Note 14, and $1.4 million for the acquisition of property and equipment. In the prior year period, cash flow of $0.5 million used in investing activities was the result of $1.0 million used for the acquisition of property and equipment, offset by proceeds from the disposal of assets held for sale of $0.5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For the six months ended June 30, 2022, $26.7 million was provided by financing activities compared with $6.4 million used in financing activities in the prior year period, an increase of $33.1 million. For the six months ended June 30, 2022, the Company used $4.3 million to repurchase common stock, $0.9 million in non-controlling interest distributions, and received $0.1 million from proceeds from employee stock purchase plan and exercise of stock options. Additionally, for the first six months ended June 30, 2022, the Company used $22.7 million for net borrowings on the Company’s revolving credit lines, primarily used to finance current year acquisitions, and $1.5 million in repayment on long-term debt. In the prior year period, the Company used $4.1 million for repayments on the Company's revolving credit line, $1.3 million in repayments on long-term debt, and $0.8 million to make earnout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203" w:lineRule="exact"/>
        <w:rPr>
          <w:sz w:val="20"/>
          <w:szCs w:val="20"/>
          <w:color w:val="auto"/>
        </w:rPr>
      </w:pPr>
    </w:p>
    <w:p>
      <w:pPr>
        <w:jc w:val="both"/>
        <w:ind w:right="260"/>
        <w:spacing w:after="0" w:line="250" w:lineRule="auto"/>
        <w:rPr>
          <w:sz w:val="20"/>
          <w:szCs w:val="20"/>
          <w:color w:val="auto"/>
        </w:rPr>
      </w:pPr>
      <w:r>
        <w:rPr>
          <w:rFonts w:ascii="Times New Roman" w:cs="Times New Roman" w:eastAsia="Times New Roman" w:hAnsi="Times New Roman"/>
          <w:sz w:val="18"/>
          <w:szCs w:val="18"/>
          <w:color w:val="auto"/>
        </w:rPr>
        <w:t>Management believes there have been no changes during the six-month period ended June 30, 2022, other than as disclosed in Note 2 to the condensed consolidated financial statements within Item 1 of this quarterly Report on Form 10-Q, to the items that the Company disclosed as its critical accounting policies and estimates in Management’s Discussion and Analysis of Financial Condition and Results of Operations in the Company’s Annual Report on Form 10-K for the year ended December 31,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and Section 21E of the Securities Exchange Act of 1934, both as amended,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2021, and include, but are not limited to:</w:t>
      </w:r>
    </w:p>
    <w:p>
      <w:pPr>
        <w:spacing w:after="0" w:line="186"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our business to economic and financial market conditions generally and economic conditions in CECO’s service areas;</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 w:name="page26"/>
    <w:bookmarkEnd w:id="25"/>
    <w:p>
      <w:pPr>
        <w:ind w:left="760" w:right="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fixed price contracts and the risks associated therewith, including actual costs exceeding estimates and method of accounting for revenue;</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growth on CECO’s infrastructure, resources, and existing sales;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operations in both new and existing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 as a result of on-going or worsening supply chain challenges;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employee-related cost inflation and labor shortages;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faulty services or products that could result in significant professional or product liability, warranty, or other claims;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developments with respect to any litigation or investigation;</w:t>
      </w:r>
    </w:p>
    <w:p>
      <w:pPr>
        <w:spacing w:after="0" w:line="103" w:lineRule="exact"/>
        <w:rPr>
          <w:rFonts w:ascii="Times New Roman" w:cs="Times New Roman" w:eastAsia="Times New Roman" w:hAnsi="Times New Roman"/>
          <w:sz w:val="18"/>
          <w:szCs w:val="18"/>
          <w:color w:val="auto"/>
        </w:rPr>
      </w:pPr>
    </w:p>
    <w:p>
      <w:pPr>
        <w:ind w:left="760" w:right="46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timely completion or performance standards that could result in higher cost and reduced profits or, in some cases, losses on projects;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prices for manufactured components and raw materials, including as a result of tariffs and surcharges;</w:t>
      </w:r>
    </w:p>
    <w:p>
      <w:pPr>
        <w:spacing w:after="0" w:line="117" w:lineRule="exact"/>
        <w:rPr>
          <w:rFonts w:ascii="Times New Roman" w:cs="Times New Roman" w:eastAsia="Times New Roman" w:hAnsi="Times New Roman"/>
          <w:sz w:val="18"/>
          <w:szCs w:val="18"/>
          <w:color w:val="auto"/>
        </w:rPr>
      </w:pPr>
    </w:p>
    <w:p>
      <w:pPr>
        <w:ind w:left="760" w:right="24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debt incurred in connection with our strategic transactions and our ability to repay or refinance it or incur additional debt in the future;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or local government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shares of our common stock and the amounts and timing of repurchases, if any;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generally;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the expected benefits of our restructuring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and realize the synergies from strategic transactions; and</w:t>
      </w:r>
    </w:p>
    <w:p>
      <w:pPr>
        <w:spacing w:after="0" w:line="103" w:lineRule="exact"/>
        <w:rPr>
          <w:rFonts w:ascii="Times New Roman" w:cs="Times New Roman" w:eastAsia="Times New Roman" w:hAnsi="Times New Roman"/>
          <w:sz w:val="18"/>
          <w:szCs w:val="18"/>
          <w:color w:val="auto"/>
        </w:rPr>
      </w:pPr>
    </w:p>
    <w:p>
      <w:pPr>
        <w:jc w:val="both"/>
        <w:ind w:left="760" w:right="80" w:hanging="378"/>
        <w:spacing w:after="0" w:line="25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cyber security threats, acts of terrorism or outbreak of war or hostilities or public health crises, such as uncertainties regarding the extent and duration of impacts of matters associated with COVID-19, as well as management’s response to any of the aforementioned factors.</w:t>
      </w:r>
    </w:p>
    <w:p>
      <w:pPr>
        <w:spacing w:after="0" w:line="16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6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carrying value of the Company’s total long-term debt and current maturities of long-term debt at June 30, 2022 was $97.6 million. Market risk was estimated as the potential decrease (increase) in future earnings and cash flows resulting from a hypothetical 10% increase (decrease) in the Company’s estimated weighted average borrowing rate at June 30, 2022. Most of the interest on the Company’s debt is indexed to SOFR market rates. The estimated annual impact of a hypothetical 10% change in the estimated weighted average borrowing rate at June 30, 2022 is $0.4 million.</w:t>
      </w:r>
    </w:p>
    <w:p>
      <w:pPr>
        <w:spacing w:after="0" w:line="17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has wholly-owned subsidiaries in several countries, including in the Netherlands, Canada, the People’s Republic of China, Mexico, United Kingdom, Singapore, Shanghai, Pune India, Dubai and Chile. In the past, we have not hedged our foreign currency exposure, and fluctuations in exchange rates have not materially affected our operating results. Future changes in exchange rates may positively or negatively impact our revenues, operating expenses and earnings. Since most of our foreign sales are denominated in the local currency, we do not anticipate that exposure to foreign currency rate fluctuations will be material in 2022.</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26" w:name="page27"/>
    <w:bookmarkEnd w:id="26"/>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9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June 30, 2022. Management believes that the condensed consolidated financial statements included in this report fairly present in all material respects the Company’s financial condition, results of operations and cash flows for each of the periods presented in this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There were no changes in the Company’s internal control over financial reporting (as defined in Rule 13a-15(f) of the Exchange Act) during the first six months ended June 30, 2022 that materially affected, or are reasonably likely to materially affect,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1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See Note 13 to the unaudited Condensed Consolidated Financial Statements contained in Part I, Item 1 of this Quarterly Report on Form 10-Q for information regarding legal proceedings in which we are involved.</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the Company’s risk factors that we disclosed in “Part I – Item 1A. Risk Factors” of our Annual Report on Form 10-K for the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purchases of our equity securities for the quarter ended June 30,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Issuer's Purchases of Equity Securities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5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20" w:type="dxa"/>
            <w:vAlign w:val="bottom"/>
          </w:tcPr>
          <w:p>
            <w:pPr>
              <w:spacing w:after="0"/>
              <w:rPr>
                <w:sz w:val="12"/>
                <w:szCs w:val="12"/>
                <w:color w:val="auto"/>
              </w:rPr>
            </w:pPr>
          </w:p>
        </w:tc>
        <w:tc>
          <w:tcPr>
            <w:tcW w:w="13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 Shares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40" w:type="dxa"/>
            <w:vAlign w:val="bottom"/>
          </w:tcPr>
          <w:p>
            <w:pPr>
              <w:spacing w:after="0"/>
              <w:rPr>
                <w:sz w:val="16"/>
                <w:szCs w:val="16"/>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32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528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Shares Purchased</w:t>
            </w:r>
            <w:r>
              <w:rPr>
                <w:rFonts w:ascii="Times New Roman" w:cs="Times New Roman" w:eastAsia="Times New Roman" w:hAnsi="Times New Roman"/>
                <w:sz w:val="19"/>
                <w:szCs w:val="19"/>
                <w:b w:val="1"/>
                <w:bCs w:val="1"/>
                <w:color w:val="auto"/>
                <w:w w:val="97"/>
                <w:vertAlign w:val="subscript"/>
              </w:rPr>
              <w:t>1</w:t>
            </w:r>
          </w:p>
        </w:tc>
        <w:tc>
          <w:tcPr>
            <w:tcW w:w="3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Announced Plans</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right="62"/>
              <w:spacing w:after="0" w:line="110" w:lineRule="exact"/>
              <w:rPr>
                <w:sz w:val="20"/>
                <w:szCs w:val="20"/>
                <w:color w:val="auto"/>
              </w:rPr>
            </w:pPr>
            <w:r>
              <w:rPr>
                <w:rFonts w:ascii="Times New Roman" w:cs="Times New Roman" w:eastAsia="Times New Roman" w:hAnsi="Times New Roman"/>
                <w:sz w:val="12"/>
                <w:szCs w:val="12"/>
                <w:b w:val="1"/>
                <w:bCs w:val="1"/>
                <w:color w:val="auto"/>
              </w:rPr>
              <w:t>the Plans or</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 (amounts in thousands, except per share data)</w:t>
            </w:r>
          </w:p>
        </w:tc>
        <w:tc>
          <w:tcPr>
            <w:tcW w:w="1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5280" w:type="dxa"/>
            <w:vAlign w:val="bottom"/>
            <w:vMerge w:val="continue"/>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vMerge w:val="continue"/>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Borders>
              <w:bottom w:val="single" w:sz="8" w:color="auto"/>
            </w:tcBorders>
            <w:vMerge w:val="continue"/>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1, 2022 - April 30, 2022</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2022 - May 31,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575,066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575,066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1, 2022 - June 30, 2022</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149,838</w:t>
            </w: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149,838</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724,904</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724,904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-170815</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 w:firstLine="8"/>
        <w:spacing w:after="0" w:line="282" w:lineRule="auto"/>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the Company publicly announced that its Board of Directors has authorized a $20.0 million share repurchase program. The program expires on April 30, 2025. See Note 8 for additional information.</w:t>
      </w:r>
    </w:p>
    <w:p>
      <w:pPr>
        <w:spacing w:after="0" w:line="14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7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Rule 13(a)/15d-14(a) Certification by Chief Executive Officer</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Rule 13(a)/15d-14(a) Certification by Chief Financial Officer</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(18 U.S. Section 1350)</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(18 U.S. Section 1350)</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5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5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Inline XBRL Taxonomy Extension Calculation Linkbase Document</w:t>
            </w:r>
          </w:p>
        </w:tc>
      </w:tr>
      <w:tr>
        <w:trPr>
          <w:trHeight w:val="35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5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117" w:lineRule="exact"/>
        <w:rPr>
          <w:sz w:val="20"/>
          <w:szCs w:val="20"/>
          <w:color w:val="auto"/>
        </w:rPr>
      </w:pPr>
    </w:p>
    <w:p>
      <w:pPr>
        <w:ind w:left="1220" w:hanging="1022"/>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0" w:right="1440"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6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M. Gohr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Paul M. Gohr</w:t>
      </w:r>
    </w:p>
    <w:p>
      <w:pPr>
        <w:spacing w:after="0" w:line="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ind w:left="6680"/>
        <w:spacing w:after="0"/>
        <w:rPr>
          <w:sz w:val="20"/>
          <w:szCs w:val="20"/>
          <w:color w:val="auto"/>
        </w:rPr>
      </w:pPr>
      <w:r>
        <w:rPr>
          <w:rFonts w:ascii="Times New Roman" w:cs="Times New Roman" w:eastAsia="Times New Roman" w:hAnsi="Times New Roman"/>
          <w:sz w:val="17"/>
          <w:szCs w:val="17"/>
          <w:b w:val="1"/>
          <w:bCs w:val="1"/>
          <w:color w:val="auto"/>
        </w:rPr>
        <w:t>(principal accounting officer and duly authorized officer)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Gleason, certify that:</w:t>
      </w:r>
    </w:p>
    <w:p>
      <w:pPr>
        <w:spacing w:after="0" w:line="117"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03" w:lineRule="exact"/>
        <w:rPr>
          <w:rFonts w:ascii="Times New Roman" w:cs="Times New Roman" w:eastAsia="Times New Roman" w:hAnsi="Times New Roman"/>
          <w:sz w:val="18"/>
          <w:szCs w:val="18"/>
          <w:color w:val="auto"/>
        </w:rPr>
      </w:pPr>
    </w:p>
    <w:p>
      <w:pPr>
        <w:ind w:left="520" w:right="280" w:hanging="512"/>
        <w:spacing w:after="0" w:line="258" w:lineRule="auto"/>
        <w:tabs>
          <w:tab w:leader="none" w:pos="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020" w:right="120" w:hanging="479"/>
        <w:spacing w:after="0" w:line="258" w:lineRule="auto"/>
        <w:tabs>
          <w:tab w:leader="none" w:pos="8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Eckl, certify that:</w:t>
      </w:r>
    </w:p>
    <w:p>
      <w:pPr>
        <w:spacing w:after="0" w:line="117"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03" w:lineRule="exact"/>
        <w:rPr>
          <w:rFonts w:ascii="Times New Roman" w:cs="Times New Roman" w:eastAsia="Times New Roman" w:hAnsi="Times New Roman"/>
          <w:sz w:val="18"/>
          <w:szCs w:val="18"/>
          <w:color w:val="auto"/>
        </w:rPr>
      </w:pPr>
    </w:p>
    <w:p>
      <w:pPr>
        <w:ind w:left="520" w:right="280" w:hanging="512"/>
        <w:spacing w:after="0" w:line="258"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020" w:right="120" w:hanging="479"/>
        <w:spacing w:after="0" w:line="258"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Matthew Eckl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3"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CECO Environmental Corp. (the “Company”) on Form 10-Q for the six-month period ended June 30, 2022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spacing w:after="0" w:line="61" w:lineRule="exact"/>
        <w:rPr>
          <w:sz w:val="20"/>
          <w:szCs w:val="20"/>
          <w:color w:val="auto"/>
        </w:rPr>
      </w:pPr>
    </w:p>
    <w:p>
      <w:pPr>
        <w:ind w:left="900" w:hanging="35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1020" w:right="680" w:hanging="479"/>
        <w:spacing w:after="0" w:line="266"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CECO Environmental Corp. (the “Company”) on Form 10-Q for the six-month period ended June 30, 2022 as filed with the Securities and Exchange Commission on the date hereof (the “Report”), I, Matthew Eckl, Chief Financial Officer of the Company, certify, pursuant to 18 U.S.C. § 1350, as adopted pursuant to § 906 of the Sarbanes-Oxley Act of 2002, to the best of my knowledge and belief, that:</w:t>
      </w:r>
    </w:p>
    <w:p>
      <w:pPr>
        <w:spacing w:after="0" w:line="61" w:lineRule="exact"/>
        <w:rPr>
          <w:sz w:val="20"/>
          <w:szCs w:val="20"/>
          <w:color w:val="auto"/>
        </w:rPr>
      </w:pPr>
    </w:p>
    <w:p>
      <w:pPr>
        <w:ind w:left="900" w:hanging="35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1020" w:right="680" w:hanging="479"/>
        <w:spacing w:after="0" w:line="266" w:lineRule="auto"/>
        <w:tabs>
          <w:tab w:leader="none" w:pos="8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Matthew Eckl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5"/>
    </w:lvl>
  </w:abstractNum>
  <w:abstractNum w:abstractNumId="5">
    <w:nsid w:val="140E0F76"/>
    <w:multiLevelType w:val="hybridMultilevel"/>
    <w:lvl w:ilvl="0">
      <w:lvlJc w:val="left"/>
      <w:lvlText w:val="%1."/>
      <w:numFmt w:val="decimal"/>
      <w:start w:val="8"/>
    </w:lvl>
  </w:abstractNum>
  <w:abstractNum w:abstractNumId="6">
    <w:nsid w:val="3352255A"/>
    <w:multiLevelType w:val="hybridMultilevel"/>
    <w:lvl w:ilvl="0">
      <w:lvlJc w:val="left"/>
      <w:lvlText w:val="%1."/>
      <w:numFmt w:val="decimal"/>
      <w:start w:val="9"/>
    </w:lvl>
  </w:abstractNum>
  <w:abstractNum w:abstractNumId="7">
    <w:nsid w:val="109CF92E"/>
    <w:multiLevelType w:val="hybridMultilevel"/>
    <w:lvl w:ilvl="0">
      <w:lvlJc w:val="left"/>
      <w:lvlText w:val="%1."/>
      <w:numFmt w:val="decimal"/>
      <w:start w:val="14"/>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2022-08-08T06:20:53Z</dcterms:created>
  <dcterms:modified xsi:type="dcterms:W3CDTF">2022-08-08T06:20:53Z</dcterms:modified>
</cp:coreProperties>
</file>