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151765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March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147320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91"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91"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91"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91"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40" w:right="2760" w:hanging="3632"/>
        <w:spacing w:after="0" w:line="428" w:lineRule="auto"/>
        <w:tabs>
          <w:tab w:leader="none" w:pos="60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3120" w:type="dxa"/>
            <w:vAlign w:val="bottom"/>
          </w:tcPr>
          <w:p>
            <w:pPr>
              <w:jc w:val="center"/>
              <w:ind w:right="608"/>
              <w:spacing w:after="0"/>
              <w:rPr>
                <w:sz w:val="20"/>
                <w:szCs w:val="20"/>
                <w:color w:val="auto"/>
              </w:rPr>
            </w:pPr>
            <w:r>
              <w:rPr>
                <w:rFonts w:ascii="Arial" w:cs="Arial" w:eastAsia="Arial" w:hAnsi="Arial"/>
                <w:sz w:val="14"/>
                <w:szCs w:val="14"/>
                <w:color w:val="auto"/>
                <w:w w:val="92"/>
              </w:rPr>
              <w:t>Title of each class</w:t>
            </w:r>
          </w:p>
        </w:tc>
        <w:tc>
          <w:tcPr>
            <w:tcW w:w="2440" w:type="dxa"/>
            <w:vAlign w:val="bottom"/>
          </w:tcPr>
          <w:p>
            <w:pPr>
              <w:jc w:val="center"/>
              <w:ind w:right="68"/>
              <w:spacing w:after="0"/>
              <w:rPr>
                <w:sz w:val="20"/>
                <w:szCs w:val="20"/>
                <w:color w:val="auto"/>
              </w:rPr>
            </w:pPr>
            <w:r>
              <w:rPr>
                <w:rFonts w:ascii="Arial" w:cs="Arial" w:eastAsia="Arial" w:hAnsi="Arial"/>
                <w:sz w:val="14"/>
                <w:szCs w:val="14"/>
                <w:color w:val="auto"/>
                <w:w w:val="95"/>
              </w:rPr>
              <w:t>Trading Symbol</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20" w:type="dxa"/>
            <w:vAlign w:val="bottom"/>
          </w:tcPr>
          <w:p>
            <w:pPr>
              <w:jc w:val="center"/>
              <w:ind w:right="628"/>
              <w:spacing w:after="0"/>
              <w:rPr>
                <w:sz w:val="20"/>
                <w:szCs w:val="20"/>
                <w:color w:val="auto"/>
              </w:rPr>
            </w:pPr>
            <w:r>
              <w:rPr>
                <w:rFonts w:ascii="Arial" w:cs="Arial" w:eastAsia="Arial" w:hAnsi="Arial"/>
                <w:sz w:val="14"/>
                <w:szCs w:val="14"/>
                <w:color w:val="auto"/>
                <w:w w:val="91"/>
              </w:rPr>
              <w:t>Common Stock, par value $0.01 per share</w:t>
            </w:r>
          </w:p>
        </w:tc>
        <w:tc>
          <w:tcPr>
            <w:tcW w:w="2440" w:type="dxa"/>
            <w:vAlign w:val="bottom"/>
          </w:tcPr>
          <w:p>
            <w:pPr>
              <w:jc w:val="center"/>
              <w:ind w:right="48"/>
              <w:spacing w:after="0"/>
              <w:rPr>
                <w:sz w:val="20"/>
                <w:szCs w:val="20"/>
                <w:color w:val="auto"/>
              </w:rPr>
            </w:pPr>
            <w:r>
              <w:rPr>
                <w:rFonts w:ascii="Arial" w:cs="Arial" w:eastAsia="Arial" w:hAnsi="Arial"/>
                <w:sz w:val="14"/>
                <w:szCs w:val="14"/>
                <w:color w:val="auto"/>
                <w:w w:val="92"/>
              </w:rPr>
              <w:t>CECE</w:t>
            </w:r>
          </w:p>
        </w:tc>
        <w:tc>
          <w:tcPr>
            <w:tcW w:w="3360" w:type="dxa"/>
            <w:vAlign w:val="bottom"/>
          </w:tcPr>
          <w:p>
            <w:pPr>
              <w:jc w:val="center"/>
              <w:ind w:left="74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-240665</wp:posOffset>
            </wp:positionV>
            <wp:extent cx="68351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266065"/>
                    </a:xfrm>
                    <a:prstGeom prst="rect">
                      <a:avLst/>
                    </a:prstGeom>
                    <a:noFill/>
                  </pic:spPr>
                </pic:pic>
              </a:graphicData>
            </a:graphic>
          </wp:anchor>
        </w:drawing>
      </w:r>
    </w:p>
    <w:p>
      <w:pPr>
        <w:spacing w:after="0" w:line="1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On March 4, 2020, CECO Environmental Corp., (“CECO”) issued a press release announcing its financial results for the year ended December 31, 2019. A copy of the press release is furnished as Exhibit 99.1 to this report and is incorporated herein by reference.</w:t>
      </w:r>
    </w:p>
    <w:p>
      <w:pPr>
        <w:spacing w:after="0" w:line="17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4, 2020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top w:val="single" w:sz="8" w:color="0000EE"/>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March 4, 2020</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9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Announces 2019 Fourth Quarter and Full Year Results;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Solid Fourth Quarter and Second Half Results Demonstrate Progress in 2019</w:t>
      </w:r>
    </w:p>
    <w:p>
      <w:pPr>
        <w:spacing w:after="0" w:line="243" w:lineRule="exact"/>
        <w:rPr>
          <w:sz w:val="20"/>
          <w:szCs w:val="20"/>
          <w:color w:val="auto"/>
        </w:rPr>
      </w:pPr>
    </w:p>
    <w:p>
      <w:pPr>
        <w:jc w:val="both"/>
        <w:ind w:left="120" w:right="60"/>
        <w:spacing w:after="0" w:line="284" w:lineRule="auto"/>
        <w:rPr>
          <w:sz w:val="20"/>
          <w:szCs w:val="20"/>
          <w:color w:val="auto"/>
        </w:rPr>
      </w:pPr>
      <w:r>
        <w:rPr>
          <w:rFonts w:ascii="Arial" w:cs="Arial" w:eastAsia="Arial" w:hAnsi="Arial"/>
          <w:sz w:val="19"/>
          <w:szCs w:val="19"/>
          <w:b w:val="1"/>
          <w:bCs w:val="1"/>
          <w:color w:val="auto"/>
        </w:rPr>
        <w:t xml:space="preserve">DALLAS, Texas, March 4, 2020 -- CECO Environmental Corp. (Nasdaq: CECE), </w:t>
      </w:r>
      <w:r>
        <w:rPr>
          <w:rFonts w:ascii="Arial" w:cs="Arial" w:eastAsia="Arial" w:hAnsi="Arial"/>
          <w:sz w:val="19"/>
          <w:szCs w:val="19"/>
          <w:color w:val="auto"/>
        </w:rPr>
        <w:t>a leading global air quality and fluid handling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serving the energy and industrial markets, today reported its financial results for the fourth quarter and full year of 2019.</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Fourth Quarter 2019*</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Bookings of $67.7 million, compared with $72.8 million, adjusted for divestitures</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Backlog of $216.6 million, compared with $182.1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$89.4 million, compared with $93.9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of $30.0 million (33.6% margin), compared with $29.8 million (31.7% margin)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$7.0 million, compared with $5.7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operating income of $9.6 million, compared with $8.4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of $8.4 million, compared with $0.9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$10.1 million, compared with $10.0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income of $9.6 million, compared with $3.0 million</w:t>
      </w:r>
    </w:p>
    <w:p>
      <w:pPr>
        <w:ind w:left="760" w:hanging="374"/>
        <w:spacing w:after="0" w:line="225"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Earnings per diluted share was $0.24, compared with $0.03</w:t>
      </w:r>
    </w:p>
    <w:p>
      <w:pPr>
        <w:ind w:left="760" w:hanging="374"/>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earnings per diluted share of $0.27, compared with $0.08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Full Year 2019*</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Bookings of $383.7 million, compared with $359.1 million, adjusted for divestitures</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Revenue of $341.9 million, compared with $337.3 million, and $328.0 million organic</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Gross profit of $114.1 million (33.4% margin), compared with $111.5 million (33.1% margin)</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income of $18.0 million, compared with $10.0 million</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Non-GAAP operating income of $28.2 million, compared with $24.1 million</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Net income of $17.7 million, compared with net loss of $(7.1) million</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Adjusted EBITDA of $33.0 million, compared with $30.7 million</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Non-GAAP net income of $20.9 million, compared with $10.2 million</w:t>
      </w:r>
    </w:p>
    <w:p>
      <w:pPr>
        <w:ind w:left="760" w:hanging="374"/>
        <w:spacing w:after="0" w:line="225" w:lineRule="auto"/>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Net income per diluted share was $0.50, compared with net loss per diluted share of $(0.21)</w:t>
      </w:r>
    </w:p>
    <w:p>
      <w:pPr>
        <w:ind w:left="760" w:hanging="374"/>
        <w:spacing w:after="0"/>
        <w:tabs>
          <w:tab w:leader="none" w:pos="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Non-GAAP earnings per diluted share of $0.59, compared with $0.29</w:t>
      </w:r>
    </w:p>
    <w:p>
      <w:pPr>
        <w:spacing w:after="0" w:line="209"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16"/>
          <w:szCs w:val="16"/>
          <w:color w:val="auto"/>
        </w:rPr>
        <w:t>* All comparisons are versus the comparable prior-year period, which include results from divestitures, unless otherwise stated.</w:t>
      </w:r>
    </w:p>
    <w:p>
      <w:pPr>
        <w:spacing w:after="0" w:line="241" w:lineRule="exact"/>
        <w:rPr>
          <w:sz w:val="20"/>
          <w:szCs w:val="20"/>
          <w:color w:val="auto"/>
        </w:rPr>
      </w:pPr>
    </w:p>
    <w:p>
      <w:pPr>
        <w:jc w:val="both"/>
        <w:ind w:left="120" w:right="120"/>
        <w:spacing w:after="0" w:line="231" w:lineRule="auto"/>
        <w:rPr>
          <w:sz w:val="20"/>
          <w:szCs w:val="20"/>
          <w:color w:val="auto"/>
        </w:rPr>
      </w:pPr>
      <w:r>
        <w:rPr>
          <w:rFonts w:ascii="Arial" w:cs="Arial" w:eastAsia="Arial" w:hAnsi="Arial"/>
          <w:sz w:val="20"/>
          <w:szCs w:val="20"/>
          <w:color w:val="auto"/>
        </w:rPr>
        <w:t>CECO’s Chief Executive Officer Dennis Sadlowski commented, “Our fourth quarter profitability was a testament to the continued progress we are making. We delivered 11.3% EBITDA margins on $89 million revenue as we accelerated out of the second half of 2019. New orders of $68 million in the quarter were below our strong 2019 trend but we continued to see a growing pipeline of opportunities across our served market segments.”</w:t>
      </w:r>
    </w:p>
    <w:p>
      <w:pPr>
        <w:spacing w:after="0" w:line="209" w:lineRule="exact"/>
        <w:rPr>
          <w:sz w:val="20"/>
          <w:szCs w:val="20"/>
          <w:color w:val="auto"/>
        </w:rPr>
      </w:pPr>
    </w:p>
    <w:p>
      <w:pPr>
        <w:ind w:left="120" w:right="180"/>
        <w:spacing w:after="0" w:line="229" w:lineRule="auto"/>
        <w:rPr>
          <w:sz w:val="20"/>
          <w:szCs w:val="20"/>
          <w:color w:val="auto"/>
        </w:rPr>
      </w:pPr>
      <w:r>
        <w:rPr>
          <w:rFonts w:ascii="Arial" w:cs="Arial" w:eastAsia="Arial" w:hAnsi="Arial"/>
          <w:sz w:val="20"/>
          <w:szCs w:val="20"/>
          <w:color w:val="auto"/>
        </w:rPr>
        <w:t>Mr. Sadlowski added, “We are confident that the execution of our 4-3-3 strategic blueprint over the past two years has put CECO on the right path to accelerate growth. Over that period, our investment of $15 million in people and technology have helped to generate 29% growth in organic orders</w:t>
      </w:r>
      <w:r>
        <w:rPr>
          <w:rFonts w:ascii="Arial" w:cs="Arial" w:eastAsia="Arial" w:hAnsi="Arial"/>
          <w:sz w:val="18"/>
          <w:szCs w:val="18"/>
          <w:color w:val="auto"/>
        </w:rPr>
        <w:t>,</w:t>
      </w:r>
      <w:r>
        <w:rPr>
          <w:rFonts w:ascii="Arial" w:cs="Arial" w:eastAsia="Arial" w:hAnsi="Arial"/>
          <w:sz w:val="20"/>
          <w:szCs w:val="20"/>
          <w:color w:val="auto"/>
        </w:rPr>
        <w:t xml:space="preserve"> an increase of $86 million, with revenue tracking up 10%. We will continue to make ongoing investments to generate above market growth that drives top tier returns for our shareholders while addressing earth’s sustainability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FOURTH QUARTER RESULTS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fourth quarter of 2019 was $89.4 million, down 4.7% from $93.9 million in the prior-year period.</w:t>
      </w:r>
    </w:p>
    <w:p>
      <w:pPr>
        <w:spacing w:after="0" w:line="21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$7.0 million (margin) for the fourth quarter of 2019, up $1.3 million or 22.6%, from $5.7 (margin) million in the prior-year period. Non-GAAP operating income was $9.6 million for the fourth quarter of 2019 (10.8% margin), compared with $8.4 million in the prior-year period (9.0% margin).</w:t>
      </w:r>
    </w:p>
    <w:p>
      <w:pPr>
        <w:spacing w:after="0" w:line="211" w:lineRule="exact"/>
        <w:rPr>
          <w:sz w:val="20"/>
          <w:szCs w:val="20"/>
          <w:color w:val="auto"/>
        </w:rPr>
      </w:pPr>
    </w:p>
    <w:p>
      <w:pPr>
        <w:jc w:val="both"/>
        <w:ind w:left="120" w:right="80"/>
        <w:spacing w:after="0" w:line="229" w:lineRule="auto"/>
        <w:rPr>
          <w:sz w:val="20"/>
          <w:szCs w:val="20"/>
          <w:color w:val="auto"/>
        </w:rPr>
      </w:pPr>
      <w:r>
        <w:rPr>
          <w:rFonts w:ascii="Arial" w:cs="Arial" w:eastAsia="Arial" w:hAnsi="Arial"/>
          <w:sz w:val="20"/>
          <w:szCs w:val="20"/>
          <w:color w:val="auto"/>
        </w:rPr>
        <w:t>Net income was $8.4 million for the fourth quarter of 2019, compared with $0.9 million in the prior-year period. Net income on a non-GAAP basis was $9.6 million for the fourth quarter of 2019, compared with $3.0 million in the prior-year period. In the fourth quarter of 2019, both net income and net income on a Non-GAAP basis were favorably impacted by the following tax related items: $1.2 million in research and development credits, $1.1 million tax benefit for additional corporate expense deductions, and $0.7 million for yearend finalization of state apportionment.</w:t>
      </w:r>
    </w:p>
    <w:p>
      <w:pPr>
        <w:spacing w:after="0" w:line="213"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earnings per diluted share was $0.24 for the fourth quarter of 2019, compared with $0.03 in the prior-year period. Non-GAAP earnings per diluted share was $0.27 for the fourth quarter of 2019, compared with $0.08 for the prior-year period.</w:t>
      </w:r>
    </w:p>
    <w:p>
      <w:pPr>
        <w:spacing w:after="0" w:line="196"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Cash and cash equivalents were $35.6 million and bank debt was $67.3 million as of December 31, 2019, compared with $43.7 million and $76.1 million, respectively, as of December 31, 2018.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Total backlog at December 31, 2019 was $216.6 million, up $34.5 million or 19.0%, from $182.1 million on December 31, 2018.</w:t>
      </w:r>
    </w:p>
    <w:p>
      <w:pPr>
        <w:spacing w:after="0" w:line="21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Bookings were $67.7 million for the fourth quarter of 2019, compared with $72.8 million in the prior-year period, adjusted for divestitures. Bookings were $383.7 million for the year of 2019, up $24.6 million or 6.9%, from $359.1 million for the prior-year period, adjusted for divestitures.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YEAR-TO-DATE RESULTS</w:t>
      </w:r>
    </w:p>
    <w:p>
      <w:pPr>
        <w:spacing w:after="0" w:line="240" w:lineRule="exact"/>
        <w:rPr>
          <w:sz w:val="20"/>
          <w:szCs w:val="20"/>
          <w:color w:val="auto"/>
        </w:rPr>
      </w:pPr>
    </w:p>
    <w:p>
      <w:pPr>
        <w:jc w:val="both"/>
        <w:ind w:left="100" w:right="80"/>
        <w:spacing w:after="0" w:line="236" w:lineRule="auto"/>
        <w:rPr>
          <w:sz w:val="20"/>
          <w:szCs w:val="20"/>
          <w:color w:val="auto"/>
        </w:rPr>
      </w:pPr>
      <w:r>
        <w:rPr>
          <w:rFonts w:ascii="Arial" w:cs="Arial" w:eastAsia="Arial" w:hAnsi="Arial"/>
          <w:sz w:val="20"/>
          <w:szCs w:val="20"/>
          <w:color w:val="auto"/>
        </w:rPr>
        <w:t>Revenue was $ 341.9 million, up 1.4% from $337.3 million in the prior-year period. Excluding revenue of $9.3 million attributable to the business divested in 2018, organic revenues increased 4.2%.</w:t>
      </w:r>
    </w:p>
    <w:p>
      <w:pPr>
        <w:spacing w:after="0" w:line="196" w:lineRule="exact"/>
        <w:rPr>
          <w:sz w:val="20"/>
          <w:szCs w:val="20"/>
          <w:color w:val="auto"/>
        </w:rPr>
      </w:pPr>
    </w:p>
    <w:p>
      <w:pPr>
        <w:jc w:val="both"/>
        <w:ind w:left="100" w:right="60"/>
        <w:spacing w:after="0" w:line="232" w:lineRule="auto"/>
        <w:rPr>
          <w:sz w:val="20"/>
          <w:szCs w:val="20"/>
          <w:color w:val="auto"/>
        </w:rPr>
      </w:pPr>
      <w:r>
        <w:rPr>
          <w:rFonts w:ascii="Arial" w:cs="Arial" w:eastAsia="Arial" w:hAnsi="Arial"/>
          <w:sz w:val="20"/>
          <w:szCs w:val="20"/>
          <w:color w:val="auto"/>
        </w:rPr>
        <w:t>Operating income was $18.0 million in 2019 (5.3% margin), compared with $10.0 million in the prior-year period (3.0% margin). Operating income on a non-GAAP basis was $28.2 million in 2019 (8.2% margin), compared with $24.1 million in the prior-year period (7.1% margin).</w:t>
      </w:r>
    </w:p>
    <w:p>
      <w:pPr>
        <w:spacing w:after="0" w:line="211" w:lineRule="exact"/>
        <w:rPr>
          <w:sz w:val="20"/>
          <w:szCs w:val="20"/>
          <w:color w:val="auto"/>
        </w:rPr>
      </w:pPr>
    </w:p>
    <w:p>
      <w:pPr>
        <w:jc w:val="both"/>
        <w:ind w:left="100" w:right="60"/>
        <w:spacing w:after="0" w:line="229" w:lineRule="auto"/>
        <w:rPr>
          <w:sz w:val="20"/>
          <w:szCs w:val="20"/>
          <w:color w:val="auto"/>
        </w:rPr>
      </w:pPr>
      <w:r>
        <w:rPr>
          <w:rFonts w:ascii="Arial" w:cs="Arial" w:eastAsia="Arial" w:hAnsi="Arial"/>
          <w:sz w:val="20"/>
          <w:szCs w:val="20"/>
          <w:color w:val="auto"/>
        </w:rPr>
        <w:t>Net income was $17.7 million in 2019, compared with net loss of $(7.1) million in the prior-year period. Net income on a non-GAAP basis was $20.9 million for the year of 2019, compared with $10.2 million in the prior-year period. In 2019, both net income and net income on a Non-GAAP basis were favorably impacted by the following tax related items: $2.1 million in research and development credits, $1.1 million tax benefit for additional corporate expense deductions, and $0.7 million for yearend finalization of state apportionment. In 2019, net income was also impacted favorably by $4.4 million by finalization of a tax position related to the 2018 divestiture of Zhongli.</w:t>
      </w:r>
    </w:p>
    <w:p>
      <w:pPr>
        <w:spacing w:after="0" w:line="196" w:lineRule="exact"/>
        <w:rPr>
          <w:sz w:val="20"/>
          <w:szCs w:val="20"/>
          <w:color w:val="auto"/>
        </w:rPr>
      </w:pPr>
    </w:p>
    <w:p>
      <w:pPr>
        <w:ind w:left="100" w:right="320"/>
        <w:spacing w:after="0" w:line="257" w:lineRule="auto"/>
        <w:rPr>
          <w:sz w:val="20"/>
          <w:szCs w:val="20"/>
          <w:color w:val="auto"/>
        </w:rPr>
      </w:pPr>
      <w:r>
        <w:rPr>
          <w:rFonts w:ascii="Arial" w:cs="Arial" w:eastAsia="Arial" w:hAnsi="Arial"/>
          <w:sz w:val="19"/>
          <w:szCs w:val="19"/>
          <w:color w:val="auto"/>
        </w:rPr>
        <w:t>Net earnings per diluted share was $0.50 for the year of 2019, compared with net loss per diluted share of $(0.21) in the prior-year period. Non-GAAP net income per diluted share was $0.59 for the year of 2019, compared with $0.29 for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CONFERENCE CALL</w:t>
      </w:r>
    </w:p>
    <w:p>
      <w:pPr>
        <w:spacing w:after="0" w:line="216"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 conference call is scheduled for today at 8:30 a.m. ET to discuss the fourth quarter and fiscal 2019 financial results.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1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toll free (877) 344-7529 within North America or Toll/International (412) 317-0088 and entering passcode 10138481.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540" w:firstLine="8"/>
        <w:spacing w:after="0" w:line="257" w:lineRule="auto"/>
        <w:tabs>
          <w:tab w:leader="none" w:pos="517"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5511165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5665470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100" w:type="dxa"/>
            <w:vAlign w:val="bottom"/>
            <w:gridSpan w:val="3"/>
            <w:vMerge w:val="restart"/>
          </w:tcPr>
          <w:p>
            <w:pPr>
              <w:ind w:left="3460"/>
              <w:spacing w:after="0"/>
              <w:rPr>
                <w:sz w:val="20"/>
                <w:szCs w:val="20"/>
                <w:color w:val="auto"/>
              </w:rPr>
            </w:pPr>
            <w:r>
              <w:rPr>
                <w:rFonts w:ascii="Arial" w:cs="Arial" w:eastAsia="Arial" w:hAnsi="Arial"/>
                <w:sz w:val="18"/>
                <w:szCs w:val="18"/>
                <w:b w:val="1"/>
                <w:bCs w:val="1"/>
                <w:color w:val="auto"/>
              </w:rPr>
              <w:t>CECO ENVIRONMENTAL CORP. AND SUBSIDIARIES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10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8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share data)</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8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2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and refundable income taxes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72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Note payable</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35,275,465 and</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34,953,825 shares issued and outstanding at December 31, 2019</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2018, respectively</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253,869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(46,344)</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(14,505)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December 31, 2019 and 2018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8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600" w:type="dxa"/>
            <w:vAlign w:val="bottom"/>
            <w:tcBorders>
              <w:bottom w:val="single" w:sz="8" w:color="D9D9D9"/>
            </w:tcBorders>
          </w:tcPr>
          <w:p>
            <w:pPr>
              <w:spacing w:after="0"/>
              <w:rPr>
                <w:sz w:val="17"/>
                <w:szCs w:val="17"/>
                <w:color w:val="auto"/>
              </w:rPr>
            </w:pPr>
          </w:p>
        </w:tc>
        <w:tc>
          <w:tcPr>
            <w:tcW w:w="116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500" w:type="dxa"/>
            <w:vAlign w:val="bottom"/>
            <w:tcBorders>
              <w:bottom w:val="single" w:sz="8" w:color="D9D9D9"/>
            </w:tcBorders>
          </w:tcPr>
          <w:p>
            <w:pPr>
              <w:spacing w:after="0"/>
              <w:rPr>
                <w:sz w:val="17"/>
                <w:szCs w:val="17"/>
                <w:color w:val="auto"/>
              </w:rPr>
            </w:pPr>
          </w:p>
        </w:tc>
        <w:tc>
          <w:tcPr>
            <w:tcW w:w="126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600" w:type="dxa"/>
            <w:vAlign w:val="bottom"/>
            <w:tcBorders>
              <w:bottom w:val="single" w:sz="8" w:color="D9D9D9"/>
            </w:tcBorders>
          </w:tcPr>
          <w:p>
            <w:pPr>
              <w:spacing w:after="0"/>
              <w:rPr>
                <w:sz w:val="19"/>
                <w:szCs w:val="19"/>
                <w:color w:val="auto"/>
              </w:rPr>
            </w:pPr>
          </w:p>
        </w:tc>
        <w:tc>
          <w:tcPr>
            <w:tcW w:w="116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12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10540"/>
        <w:spacing w:after="0"/>
        <w:rPr>
          <w:sz w:val="20"/>
          <w:szCs w:val="20"/>
          <w:color w:val="auto"/>
        </w:rPr>
      </w:pPr>
      <w:r>
        <w:rPr>
          <w:rFonts w:ascii="Arial" w:cs="Arial" w:eastAsia="Arial" w:hAnsi="Arial"/>
          <w:sz w:val="16"/>
          <w:szCs w:val="16"/>
          <w:color w:val="auto"/>
        </w:rPr>
        <w:t>Exhibit 99.1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share and per share data)</w:t>
            </w:r>
          </w:p>
        </w:tc>
        <w:tc>
          <w:tcPr>
            <w:tcW w:w="240" w:type="dxa"/>
            <w:vAlign w:val="bottom"/>
          </w:tcPr>
          <w:p>
            <w:pPr>
              <w:spacing w:after="0"/>
              <w:rPr>
                <w:sz w:val="14"/>
                <w:szCs w:val="14"/>
                <w:color w:val="auto"/>
              </w:rPr>
            </w:pPr>
          </w:p>
        </w:tc>
        <w:tc>
          <w:tcPr>
            <w:tcW w:w="2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06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227,770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 net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23"/>
        </w:trPr>
        <w:tc>
          <w:tcPr>
            <w:tcW w:w="506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3"/>
                <w:szCs w:val="23"/>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3"/>
                <w:szCs w:val="23"/>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23"/>
                <w:szCs w:val="23"/>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35,117,916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34,812,714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34,987,878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34,714,395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35,352,957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35,298,212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35,484,273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34,714,395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3"/>
              </w:rPr>
              <w:t>Three Months Ended 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w w:val="97"/>
              </w:rPr>
              <w:t>For the Year Ended December 31,</w:t>
            </w: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as reported in accordance with GAAP</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341.9</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Less revenue attributable to divestitures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Organic revenue</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341.9</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11"/>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expenses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Restructuring expenses,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Acquisition and integration expenses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Loss on divestitures, net of selling costs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income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10.8%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9.0%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7.1%</w:t>
            </w:r>
          </w:p>
        </w:tc>
        <w:tc>
          <w:tcPr>
            <w:tcW w:w="0" w:type="dxa"/>
            <w:vAlign w:val="bottom"/>
          </w:tcPr>
          <w:p>
            <w:pPr>
              <w:spacing w:after="0"/>
              <w:rPr>
                <w:sz w:val="1"/>
                <w:szCs w:val="1"/>
                <w:color w:val="auto"/>
              </w:rPr>
            </w:pPr>
          </w:p>
        </w:tc>
      </w:tr>
      <w:tr>
        <w:trPr>
          <w:trHeight w:val="634"/>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3"/>
              </w:rPr>
              <w:t>Three Months Ended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1"/>
          </w:tcPr>
          <w:p>
            <w:pPr>
              <w:ind w:left="1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 as reported in accordance with GAAP</w:t>
            </w:r>
          </w:p>
        </w:tc>
        <w:tc>
          <w:tcPr>
            <w:tcW w:w="240" w:type="dxa"/>
            <w:vAlign w:val="bottom"/>
            <w:gridSpan w:val="2"/>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gridSpan w:val="3"/>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gridSpan w:val="2"/>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gridSpan w:val="3"/>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vMerge w:val="continue"/>
            <w:shd w:val="clear" w:color="auto" w:fill="CFF0FC"/>
          </w:tcPr>
          <w:p>
            <w:pPr>
              <w:spacing w:after="0"/>
              <w:rPr>
                <w:sz w:val="19"/>
                <w:szCs w:val="19"/>
                <w:color w:val="auto"/>
              </w:rPr>
            </w:pPr>
          </w:p>
        </w:tc>
        <w:tc>
          <w:tcPr>
            <w:tcW w:w="2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180" w:type="dxa"/>
            <w:vAlign w:val="bottom"/>
            <w:gridSpan w:val="3"/>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1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c>
          <w:tcPr>
            <w:tcW w:w="120" w:type="dxa"/>
            <w:vAlign w:val="bottom"/>
            <w:gridSpan w:val="3"/>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Amortization and earnout expenses,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expenses,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Acquisition and integration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financing fee adjustment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Loss on divestiture, net of selling costs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remeasurement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Tax (benefit) expense of adjustments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Zhongli tax benefit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24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9.6</w:t>
            </w:r>
          </w:p>
        </w:tc>
        <w:tc>
          <w:tcPr>
            <w:tcW w:w="180" w:type="dxa"/>
            <w:vAlign w:val="bottom"/>
            <w:gridSpan w:val="3"/>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3.0</w:t>
            </w:r>
          </w:p>
        </w:tc>
        <w:tc>
          <w:tcPr>
            <w:tcW w:w="18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Non-cash stock compensation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Adjusted EBITDA</w:t>
            </w:r>
          </w:p>
        </w:tc>
        <w:tc>
          <w:tcPr>
            <w:tcW w:w="24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gridSpan w:val="2"/>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0.24</w:t>
            </w:r>
          </w:p>
        </w:tc>
        <w:tc>
          <w:tcPr>
            <w:tcW w:w="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0.03</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FF0FC"/>
          </w:tcPr>
          <w:p>
            <w:pPr>
              <w:spacing w:after="0"/>
              <w:rPr>
                <w:sz w:val="19"/>
                <w:szCs w:val="19"/>
                <w:color w:val="auto"/>
              </w:rPr>
            </w:pPr>
          </w:p>
        </w:tc>
        <w:tc>
          <w:tcPr>
            <w:tcW w:w="340" w:type="dxa"/>
            <w:vAlign w:val="bottom"/>
            <w:gridSpan w:val="4"/>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0.24</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0.03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34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Non-GAAP earnings per share: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0.27</w:t>
            </w:r>
          </w:p>
        </w:tc>
        <w:tc>
          <w:tcPr>
            <w:tcW w:w="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FF0FC"/>
          </w:tcPr>
          <w:p>
            <w:pPr>
              <w:spacing w:after="0"/>
              <w:rPr>
                <w:sz w:val="19"/>
                <w:szCs w:val="19"/>
                <w:color w:val="auto"/>
              </w:rPr>
            </w:pPr>
          </w:p>
        </w:tc>
        <w:tc>
          <w:tcPr>
            <w:tcW w:w="340" w:type="dxa"/>
            <w:vAlign w:val="bottom"/>
            <w:gridSpan w:val="4"/>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0.27</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20"/>
                <w:szCs w:val="20"/>
                <w:color w:val="auto"/>
              </w:rPr>
            </w:pPr>
          </w:p>
        </w:tc>
        <w:tc>
          <w:tcPr>
            <w:tcW w:w="340" w:type="dxa"/>
            <w:vAlign w:val="bottom"/>
            <w:gridSpan w:val="4"/>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88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86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86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CECO is providing organic revenue for comparability purposes given the impact of divestitures.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3"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loss on divestitures, net of selling costs, acquisition and integration expense activities including retention, legal, accounting, banking, amortization and contingent earnout expenses, foreign currency re-measurement, restructuring expenses, other nonrecurring or infrequent items and the associated tax impact of these items. Organic revenue, as we present them in the financial data included in this press release, excludes revenue attributable to divested</w:t>
      </w:r>
    </w:p>
    <w:p>
      <w:pPr>
        <w:spacing w:after="0" w:line="2"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businesses.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3" w:lineRule="exact"/>
        <w:rPr>
          <w:sz w:val="20"/>
          <w:szCs w:val="20"/>
          <w:color w:val="auto"/>
        </w:rPr>
      </w:pPr>
    </w:p>
    <w:p>
      <w:pPr>
        <w:ind w:right="300"/>
        <w:spacing w:after="0" w:line="228" w:lineRule="auto"/>
        <w:rPr>
          <w:sz w:val="20"/>
          <w:szCs w:val="20"/>
          <w:color w:val="auto"/>
        </w:rPr>
      </w:pPr>
      <w:r>
        <w:rPr>
          <w:rFonts w:ascii="Arial" w:cs="Arial" w:eastAsia="Arial" w:hAnsi="Arial"/>
          <w:sz w:val="20"/>
          <w:szCs w:val="20"/>
          <w:color w:val="auto"/>
        </w:rPr>
        <w:t>Organic revenue, 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3"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organic revenue,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6" w:lineRule="exact"/>
        <w:rPr>
          <w:sz w:val="20"/>
          <w:szCs w:val="20"/>
          <w:color w:val="auto"/>
        </w:rPr>
      </w:pPr>
    </w:p>
    <w:p>
      <w:pPr>
        <w:ind w:right="20" w:firstLine="518"/>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2020-03-04T06:32:06Z</dcterms:created>
  <dcterms:modified xsi:type="dcterms:W3CDTF">2020-03-04T06:32:06Z</dcterms:modified>
</cp:coreProperties>
</file>