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September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139700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600" w:type="dxa"/>
            <w:vAlign w:val="bottom"/>
          </w:tcPr>
          <w:p>
            <w:pPr>
              <w:jc w:val="center"/>
              <w:ind w:right="1863"/>
              <w:spacing w:after="0"/>
              <w:rPr>
                <w:sz w:val="20"/>
                <w:szCs w:val="20"/>
                <w:color w:val="auto"/>
              </w:rPr>
            </w:pPr>
            <w:r>
              <w:rPr>
                <w:rFonts w:ascii="Arial" w:cs="Arial" w:eastAsia="Arial" w:hAnsi="Arial"/>
                <w:sz w:val="16"/>
                <w:szCs w:val="16"/>
                <w:b w:val="1"/>
                <w:bCs w:val="1"/>
                <w:color w:val="auto"/>
                <w:w w:val="93"/>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00" w:type="dxa"/>
            <w:vAlign w:val="bottom"/>
          </w:tcPr>
          <w:p>
            <w:pPr>
              <w:jc w:val="center"/>
              <w:ind w:left="1724"/>
              <w:spacing w:after="0"/>
              <w:rPr>
                <w:sz w:val="20"/>
                <w:szCs w:val="20"/>
                <w:color w:val="auto"/>
              </w:rPr>
            </w:pPr>
            <w:r>
              <w:rPr>
                <w:rFonts w:ascii="Arial" w:cs="Arial" w:eastAsia="Arial" w:hAnsi="Arial"/>
                <w:sz w:val="16"/>
                <w:szCs w:val="16"/>
                <w:b w:val="1"/>
                <w:bCs w:val="1"/>
                <w:color w:val="auto"/>
                <w:w w:val="91"/>
              </w:rPr>
              <w:t>13-2566064</w:t>
            </w:r>
          </w:p>
        </w:tc>
      </w:tr>
      <w:tr>
        <w:trPr>
          <w:trHeight w:val="159"/>
        </w:trPr>
        <w:tc>
          <w:tcPr>
            <w:tcW w:w="3600" w:type="dxa"/>
            <w:vAlign w:val="bottom"/>
          </w:tcPr>
          <w:p>
            <w:pPr>
              <w:jc w:val="center"/>
              <w:ind w:right="1863"/>
              <w:spacing w:after="0" w:line="159" w:lineRule="exact"/>
              <w:rPr>
                <w:sz w:val="20"/>
                <w:szCs w:val="20"/>
                <w:color w:val="auto"/>
              </w:rPr>
            </w:pPr>
            <w:r>
              <w:rPr>
                <w:rFonts w:ascii="Arial" w:cs="Arial" w:eastAsia="Arial" w:hAnsi="Arial"/>
                <w:sz w:val="14"/>
                <w:szCs w:val="14"/>
                <w:b w:val="1"/>
                <w:bCs w:val="1"/>
                <w:color w:val="auto"/>
                <w:w w:val="94"/>
              </w:rPr>
              <w:t>(State or other jurisdiction</w:t>
            </w:r>
          </w:p>
        </w:tc>
        <w:tc>
          <w:tcPr>
            <w:tcW w:w="2520" w:type="dxa"/>
            <w:vAlign w:val="bottom"/>
          </w:tcPr>
          <w:p>
            <w:pPr>
              <w:jc w:val="center"/>
              <w:ind w:right="325"/>
              <w:spacing w:after="0" w:line="159" w:lineRule="exact"/>
              <w:rPr>
                <w:sz w:val="20"/>
                <w:szCs w:val="20"/>
                <w:color w:val="auto"/>
              </w:rPr>
            </w:pPr>
            <w:r>
              <w:rPr>
                <w:rFonts w:ascii="Arial" w:cs="Arial" w:eastAsia="Arial" w:hAnsi="Arial"/>
                <w:sz w:val="14"/>
                <w:szCs w:val="14"/>
                <w:b w:val="1"/>
                <w:bCs w:val="1"/>
                <w:color w:val="auto"/>
                <w:w w:val="90"/>
              </w:rPr>
              <w:t>(Commission</w:t>
            </w:r>
          </w:p>
        </w:tc>
        <w:tc>
          <w:tcPr>
            <w:tcW w:w="2900" w:type="dxa"/>
            <w:vAlign w:val="bottom"/>
          </w:tcPr>
          <w:p>
            <w:pPr>
              <w:jc w:val="center"/>
              <w:ind w:left="172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00" w:type="dxa"/>
            <w:vAlign w:val="bottom"/>
          </w:tcPr>
          <w:p>
            <w:pPr>
              <w:jc w:val="center"/>
              <w:ind w:right="1863"/>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325"/>
              <w:spacing w:after="0"/>
              <w:rPr>
                <w:sz w:val="20"/>
                <w:szCs w:val="20"/>
                <w:color w:val="auto"/>
              </w:rPr>
            </w:pPr>
            <w:r>
              <w:rPr>
                <w:rFonts w:ascii="Arial" w:cs="Arial" w:eastAsia="Arial" w:hAnsi="Arial"/>
                <w:sz w:val="14"/>
                <w:szCs w:val="14"/>
                <w:b w:val="1"/>
                <w:bCs w:val="1"/>
                <w:color w:val="auto"/>
                <w:w w:val="98"/>
              </w:rPr>
              <w:t>File Number)</w:t>
            </w:r>
          </w:p>
        </w:tc>
        <w:tc>
          <w:tcPr>
            <w:tcW w:w="2900" w:type="dxa"/>
            <w:vAlign w:val="bottom"/>
          </w:tcPr>
          <w:p>
            <w:pPr>
              <w:jc w:val="center"/>
              <w:ind w:left="1704"/>
              <w:spacing w:after="0"/>
              <w:rPr>
                <w:sz w:val="20"/>
                <w:szCs w:val="20"/>
                <w:color w:val="auto"/>
              </w:rPr>
            </w:pPr>
            <w:r>
              <w:rPr>
                <w:rFonts w:ascii="Arial" w:cs="Arial" w:eastAsia="Arial" w:hAnsi="Arial"/>
                <w:sz w:val="14"/>
                <w:szCs w:val="14"/>
                <w:b w:val="1"/>
                <w:bCs w:val="1"/>
                <w:color w:val="auto"/>
                <w:w w:val="94"/>
              </w:rPr>
              <w:t>Identification No.)</w:t>
            </w:r>
          </w:p>
        </w:tc>
      </w:tr>
      <w:tr>
        <w:trPr>
          <w:trHeight w:val="417"/>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Arial" w:cs="Arial" w:eastAsia="Arial" w:hAnsi="Arial"/>
                <w:sz w:val="16"/>
                <w:szCs w:val="16"/>
                <w:b w:val="1"/>
                <w:bCs w:val="1"/>
                <w:color w:val="auto"/>
              </w:rPr>
              <w:t>75254</w:t>
            </w:r>
          </w:p>
        </w:tc>
      </w:tr>
      <w:tr>
        <w:trPr>
          <w:trHeight w:val="19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6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ind w:right="5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September 6, 2023, CECO Environmental Corp. (the “Company”) increased the size of the Board of Directors of the Company (the “Board”) from seven to eight directors and appointed Laurie Siegel to serve as a director of the Company. In connection with Ms. Siegel's appointment to the Board, the Board also appointed her to the Compensation Committee of the Board. Ms. Siegel’s term will expire on the date of the Company’s 2024 Annual Meeting of Stockholders. The Board has determined that Ms. Siegel qualifies as an independent director under the applicable rules of the Nasdaq Stock Market LLC.</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no arrangement or understanding between Ms. Siegel or any other person pursuant to which she was elected as a director. There are no transactions in which Ms. Siegel has an interest requiring disclosure under Item 404(a) of Regulation S-K. For her service on the Board, Ms. Siegel will participate in the same compensation arrangements as the Company’s other non-employee directors, as described in the Company’s Definitive Proxy Statement filed with the Securities and Exchange Commission on April 24,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September 11, 2023, the Company issued a press release announcing the appointment of Ms. Siegel as a director. A copy of the press release is attached hereto as Exhibit 99.1.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10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0000FF"/>
              </w:rPr>
              <w:t>Press Release, CECO Environmental Corp. dated September 11, 2023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40" w:type="dxa"/>
            <w:vAlign w:val="bottom"/>
            <w:tcBorders>
              <w:right w:val="single" w:sz="8" w:color="0000EE"/>
            </w:tcBorders>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8"/>
          <w:szCs w:val="18"/>
          <w:color w:val="auto"/>
        </w:rPr>
        <w:t>Date: September 11,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Joycelynn Watkins-Asiyanbi</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7700"/>
        <w:spacing w:after="0"/>
        <w:rPr>
          <w:sz w:val="20"/>
          <w:szCs w:val="20"/>
          <w:color w:val="auto"/>
        </w:rPr>
      </w:pPr>
      <w:r>
        <w:rPr>
          <w:rFonts w:ascii="Arial" w:cs="Arial" w:eastAsia="Arial" w:hAnsi="Arial"/>
          <w:sz w:val="21"/>
          <w:szCs w:val="21"/>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CECO Environmental Announces Appointment of Laurie A. Siegel to its Board of Directors</w:t>
      </w:r>
    </w:p>
    <w:p>
      <w:pPr>
        <w:spacing w:after="0" w:line="292" w:lineRule="exact"/>
        <w:rPr>
          <w:sz w:val="20"/>
          <w:szCs w:val="20"/>
          <w:color w:val="auto"/>
        </w:rPr>
      </w:pPr>
    </w:p>
    <w:p>
      <w:pPr>
        <w:ind w:right="440"/>
        <w:spacing w:after="0" w:line="237" w:lineRule="auto"/>
        <w:rPr>
          <w:sz w:val="20"/>
          <w:szCs w:val="20"/>
          <w:color w:val="auto"/>
        </w:rPr>
      </w:pPr>
      <w:r>
        <w:rPr>
          <w:rFonts w:ascii="Arial" w:cs="Arial" w:eastAsia="Arial" w:hAnsi="Arial"/>
          <w:sz w:val="20"/>
          <w:szCs w:val="20"/>
          <w:b w:val="1"/>
          <w:bCs w:val="1"/>
          <w:color w:val="auto"/>
        </w:rPr>
        <w:t>DALLAS (September 11, 2023) -- CECO Environmental Corp. (Nasdaq: CECO)</w:t>
      </w:r>
      <w:r>
        <w:rPr>
          <w:rFonts w:ascii="Arial" w:cs="Arial" w:eastAsia="Arial" w:hAnsi="Arial"/>
          <w:sz w:val="20"/>
          <w:szCs w:val="20"/>
          <w:color w:val="auto"/>
        </w:rPr>
        <w:t>, a leading environmentally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diversified industrial company whose solutions protect people, the environment, and industrial equipment, today announced Laurie A. Siegel has joined its board of directors. In connection with Ms. Siegel's appointment to the Board, the Board also appointed her to the Compensation Committee of the Board</w:t>
      </w:r>
      <w:r>
        <w:rPr>
          <w:rFonts w:ascii="Arial" w:cs="Arial" w:eastAsia="Arial" w:hAnsi="Arial"/>
          <w:sz w:val="17"/>
          <w:szCs w:val="17"/>
          <w:color w:val="auto"/>
        </w:rPr>
        <w:t>.</w:t>
      </w:r>
    </w:p>
    <w:p>
      <w:pPr>
        <w:spacing w:after="0" w:line="195"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Siegel brings more than 30 years of experience across diversified industrial companies, as well as leading consulting and advisory firms. Prior to founding LAS Advisory Services, she was the Chief Human Resource Officer at Tyco International during a decade of profound cultural and operational progress. Earlier in her career she held senior executive positions at Honeywell. She currently serves on the boards of Lumen Technologies and FactSet, where she chairs the Human Resource and Compensation Committee at both companies. She also serves on three not-for-profit boards, Direct Relief, Understood for All and KCLU public radio.</w:t>
      </w:r>
    </w:p>
    <w:p>
      <w:pPr>
        <w:spacing w:after="0" w:line="184" w:lineRule="exact"/>
        <w:rPr>
          <w:sz w:val="20"/>
          <w:szCs w:val="20"/>
          <w:color w:val="auto"/>
        </w:rPr>
      </w:pPr>
    </w:p>
    <w:p>
      <w:pPr>
        <w:ind w:right="420"/>
        <w:spacing w:after="0" w:line="234" w:lineRule="auto"/>
        <w:rPr>
          <w:sz w:val="20"/>
          <w:szCs w:val="20"/>
          <w:color w:val="auto"/>
        </w:rPr>
      </w:pPr>
      <w:r>
        <w:rPr>
          <w:rFonts w:ascii="Arial" w:cs="Arial" w:eastAsia="Arial" w:hAnsi="Arial"/>
          <w:sz w:val="20"/>
          <w:szCs w:val="20"/>
          <w:color w:val="auto"/>
        </w:rPr>
        <w:t>“We are pleased to welcome Laurie to the CECO organization, as her extensive background and broad industry experience makes her a tremendous asset to the company,” said Jason DeZwirek, chairman, CECO Environmental. “I look forward to working closely with her to help advance the CECO agenda to drive ongoing progress toward our growth and value creation goals.”</w:t>
      </w:r>
    </w:p>
    <w:p>
      <w:pPr>
        <w:spacing w:after="0" w:line="183"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Added CECO Chief Executive Officer Todd Gleason, “Laurie brings a tremendous breadth of relevant industry experience as well as a deep understanding of how to develop and sustain high performance cultures. We are proud of the execution on our strategic programs over the past few years and by adding seasoned talent to our board of directors, such as Laurie, we are even more optimistic about our future.”</w:t>
      </w:r>
    </w:p>
    <w:p>
      <w:pPr>
        <w:spacing w:after="0" w:line="183"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Siegel earned a Bachelor of Arts from the University of Michigan and a Master of City and Regional Planning from Harvard, as well as an MBA from Harvard Business School.</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CECO ENVIRONMENTAL</w:t>
      </w:r>
    </w:p>
    <w:p>
      <w:pPr>
        <w:spacing w:after="0" w:line="10"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auto"/>
        </w:rPr>
        <w:t>CECO Environmental is a leading environmentally focused, diversified industrial company, serving a broad landscape of industrial air, industrial water and energy transition markets across the globe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including power generation, petrochemical processing, general industrial, refining, midstream oil and gas, electric vehicle production, poly silicon fabrication, battery recycling, beverage can, and water/wastewater treatment along with a wide range of other applications. CECO is listed on Nasdaq under the ticker symbol "CECO." Incorporated in 1966, CECO’s global headquarters is in Dallas, Texas. For more information, please visit www.cecoenviro.com.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Contact:</w:t>
      </w:r>
    </w:p>
    <w:p>
      <w:pPr>
        <w:spacing w:after="0" w:line="235" w:lineRule="auto"/>
        <w:rPr>
          <w:sz w:val="20"/>
          <w:szCs w:val="20"/>
          <w:color w:val="auto"/>
        </w:rPr>
      </w:pPr>
      <w:r>
        <w:rPr>
          <w:rFonts w:ascii="Arial" w:cs="Arial" w:eastAsia="Arial" w:hAnsi="Arial"/>
          <w:sz w:val="20"/>
          <w:szCs w:val="20"/>
          <w:color w:val="auto"/>
        </w:rPr>
        <w:t>Peter K. Johansson, Chief Financial and Strategy Officer</w:t>
      </w:r>
    </w:p>
    <w:p>
      <w:pPr>
        <w:spacing w:after="0" w:line="1" w:lineRule="exact"/>
        <w:rPr>
          <w:sz w:val="20"/>
          <w:szCs w:val="20"/>
          <w:color w:val="auto"/>
        </w:rPr>
      </w:pPr>
    </w:p>
    <w:p>
      <w:pPr>
        <w:ind w:right="8360" w:firstLine="8"/>
        <w:spacing w:after="0" w:line="257"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990-6670 investor.relations@onececo.com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235" w:lineRule="auto"/>
        <w:rPr>
          <w:sz w:val="20"/>
          <w:szCs w:val="20"/>
          <w:color w:val="auto"/>
        </w:rPr>
      </w:pPr>
      <w:r>
        <w:rPr>
          <w:rFonts w:ascii="Arial" w:cs="Arial" w:eastAsia="Arial" w:hAnsi="Arial"/>
          <w:sz w:val="20"/>
          <w:szCs w:val="20"/>
          <w:color w:val="auto"/>
        </w:rPr>
        <w:t>Steven Hooser or Jean Marie Young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Three Part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type w:val="continuous"/>
        </w:sectPr>
      </w:pPr>
    </w:p>
    <w:bookmarkStart w:id="4" w:name="page5"/>
    <w:bookmarkEnd w:id="4"/>
    <w:p>
      <w:pPr>
        <w:jc w:val="right"/>
        <w:ind w:right="559"/>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214-872-2710</w:t>
      </w:r>
    </w:p>
    <w:p>
      <w:pPr>
        <w:spacing w:after="0"/>
        <w:rPr>
          <w:sz w:val="20"/>
          <w:szCs w:val="20"/>
          <w:color w:val="auto"/>
        </w:rPr>
      </w:pPr>
      <w:r>
        <w:rPr>
          <w:rFonts w:ascii="Arial" w:cs="Arial" w:eastAsia="Arial" w:hAnsi="Arial"/>
          <w:sz w:val="20"/>
          <w:szCs w:val="20"/>
          <w:color w:val="auto"/>
        </w:rPr>
        <w:t>Investor_Relations@OneCECO.com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News Media</w:t>
      </w:r>
      <w:r>
        <w:rPr>
          <w:rFonts w:ascii="Arial" w:cs="Arial" w:eastAsia="Arial" w:hAnsi="Arial"/>
          <w:sz w:val="20"/>
          <w:szCs w:val="20"/>
          <w:color w:val="auto"/>
        </w:rPr>
        <w:t>:</w:t>
      </w:r>
    </w:p>
    <w:p>
      <w:pPr>
        <w:spacing w:after="0" w:line="235" w:lineRule="auto"/>
        <w:rPr>
          <w:sz w:val="20"/>
          <w:szCs w:val="20"/>
          <w:color w:val="auto"/>
        </w:rPr>
      </w:pPr>
      <w:r>
        <w:rPr>
          <w:rFonts w:ascii="Arial" w:cs="Arial" w:eastAsia="Arial" w:hAnsi="Arial"/>
          <w:sz w:val="20"/>
          <w:szCs w:val="20"/>
          <w:color w:val="auto"/>
        </w:rPr>
        <w:t>Kimberly Plaskett, Corporate Communications Director</w:t>
      </w:r>
    </w:p>
    <w:p>
      <w:pPr>
        <w:spacing w:after="0" w:line="226" w:lineRule="auto"/>
        <w:rPr>
          <w:sz w:val="20"/>
          <w:szCs w:val="20"/>
          <w:color w:val="auto"/>
        </w:rPr>
      </w:pPr>
      <w:r>
        <w:rPr>
          <w:rFonts w:ascii="Arial" w:cs="Arial" w:eastAsia="Arial" w:hAnsi="Arial"/>
          <w:sz w:val="20"/>
          <w:szCs w:val="20"/>
          <w:color w:val="auto"/>
        </w:rPr>
        <w:t>CECO-Communications@onececo.com</w:t>
      </w:r>
    </w:p>
    <w:p>
      <w:pPr>
        <w:ind w:left="5400"/>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23"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8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2023-09-11T06:13:33Z</dcterms:created>
  <dcterms:modified xsi:type="dcterms:W3CDTF">2023-09-11T06:13:33Z</dcterms:modified>
</cp:coreProperties>
</file>