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532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5324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1"/>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ICARUS INVESTMENT CORP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CECE</w:t>
            </w:r>
          </w:p>
        </w:tc>
        <w:tc>
          <w:tcPr>
            <w:tcW w:w="1520" w:type="dxa"/>
            <w:vAlign w:val="bottom"/>
            <w:gridSpan w:val="6"/>
            <w:vMerge w:val="restart"/>
          </w:tcPr>
          <w:p>
            <w:pPr>
              <w:spacing w:after="0"/>
              <w:rPr>
                <w:sz w:val="20"/>
                <w:szCs w:val="20"/>
                <w:color w:val="auto"/>
              </w:rPr>
            </w:pPr>
            <w:r>
              <w:rPr>
                <w:rFonts w:ascii="Arial" w:cs="Arial" w:eastAsia="Arial" w:hAnsi="Arial"/>
                <w:sz w:val="14"/>
                <w:szCs w:val="14"/>
                <w:color w:val="auto"/>
              </w:rPr>
              <w:t>(Check all applicable)</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260" w:type="dxa"/>
            <w:vAlign w:val="bottom"/>
          </w:tcPr>
          <w:p>
            <w:pPr>
              <w:spacing w:after="0"/>
              <w:rPr>
                <w:sz w:val="2"/>
                <w:szCs w:val="2"/>
                <w:color w:val="auto"/>
              </w:rPr>
            </w:pPr>
          </w:p>
        </w:tc>
        <w:tc>
          <w:tcPr>
            <w:tcW w:w="380" w:type="dxa"/>
            <w:vAlign w:val="bottom"/>
            <w:vMerge w:val="restart"/>
          </w:tcPr>
          <w:p>
            <w:pPr>
              <w:ind w:left="60"/>
              <w:spacing w:after="0" w:line="162" w:lineRule="exact"/>
              <w:rPr>
                <w:sz w:val="20"/>
                <w:szCs w:val="20"/>
                <w:color w:val="auto"/>
              </w:rPr>
            </w:pPr>
            <w:r>
              <w:rPr>
                <w:rFonts w:ascii="Arial" w:cs="Arial" w:eastAsia="Arial" w:hAnsi="Arial"/>
                <w:sz w:val="18"/>
                <w:szCs w:val="18"/>
                <w:color w:val="0000FF"/>
              </w:rPr>
              <w:t>X</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420" w:type="dxa"/>
            <w:vAlign w:val="bottom"/>
            <w:gridSpan w:val="3"/>
            <w:vMerge w:val="restart"/>
          </w:tcPr>
          <w:p>
            <w:pPr>
              <w:ind w:left="160"/>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rPr>
              <w:t>below)</w:t>
            </w: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2300 YONGE STREET, SUITE 1710</w:t>
            </w:r>
          </w:p>
        </w:tc>
        <w:tc>
          <w:tcPr>
            <w:tcW w:w="1600" w:type="dxa"/>
            <w:vAlign w:val="bottom"/>
            <w:gridSpan w:val="8"/>
          </w:tcPr>
          <w:p>
            <w:pPr>
              <w:ind w:left="160"/>
              <w:spacing w:after="0"/>
              <w:rPr>
                <w:sz w:val="20"/>
                <w:szCs w:val="20"/>
                <w:color w:val="auto"/>
              </w:rPr>
            </w:pPr>
            <w:r>
              <w:rPr>
                <w:rFonts w:ascii="Arial" w:cs="Arial" w:eastAsia="Arial" w:hAnsi="Arial"/>
                <w:sz w:val="18"/>
                <w:szCs w:val="18"/>
                <w:color w:val="0000FF"/>
              </w:rPr>
              <w:t>08/10/2015</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gridSpan w:val="2"/>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gridSpan w:val="5"/>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3040" w:type="dxa"/>
            <w:vAlign w:val="bottom"/>
            <w:tcBorders>
              <w:bottom w:val="single" w:sz="8" w:color="2C2C2C"/>
            </w:tcBorders>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32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3360" w:type="dxa"/>
            <w:vAlign w:val="bottom"/>
            <w:gridSpan w:val="11"/>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10"/>
            <w:vMerge w:val="continue"/>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4"/>
          </w:tcPr>
          <w:p>
            <w:pPr>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A6</w:t>
            </w:r>
          </w:p>
        </w:tc>
        <w:tc>
          <w:tcPr>
            <w:tcW w:w="1260" w:type="dxa"/>
            <w:vAlign w:val="bottom"/>
            <w:gridSpan w:val="3"/>
          </w:tcPr>
          <w:p>
            <w:pPr>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20" w:type="dxa"/>
            <w:vAlign w:val="bottom"/>
            <w:gridSpan w:val="7"/>
          </w:tcPr>
          <w:p>
            <w:pPr>
              <w:ind w:left="2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X</w:t>
            </w:r>
          </w:p>
        </w:tc>
        <w:tc>
          <w:tcPr>
            <w:tcW w:w="3020" w:type="dxa"/>
            <w:vAlign w:val="bottom"/>
            <w:gridSpan w:val="7"/>
          </w:tcPr>
          <w:p>
            <w:pPr>
              <w:ind w:left="22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180" w:type="dxa"/>
            <w:vAlign w:val="bottom"/>
            <w:gridSpan w:val="2"/>
            <w:vMerge w:val="restart"/>
          </w:tcPr>
          <w:p>
            <w:pPr>
              <w:ind w:left="220"/>
              <w:spacing w:after="0" w:line="148" w:lineRule="exact"/>
              <w:rPr>
                <w:sz w:val="20"/>
                <w:szCs w:val="20"/>
                <w:color w:val="auto"/>
              </w:rPr>
            </w:pPr>
            <w:r>
              <w:rPr>
                <w:rFonts w:ascii="Arial" w:cs="Arial" w:eastAsia="Arial" w:hAnsi="Arial"/>
                <w:sz w:val="14"/>
                <w:szCs w:val="14"/>
                <w:color w:val="auto"/>
              </w:rPr>
              <w:t>Person</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24"/>
          </w:tcPr>
          <w:p>
            <w:pPr>
              <w:jc w:val="center"/>
              <w:ind w:right="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20" w:type="dxa"/>
            <w:vAlign w:val="bottom"/>
          </w:tcPr>
          <w:p>
            <w:pPr>
              <w:spacing w:after="0"/>
              <w:rPr>
                <w:sz w:val="15"/>
                <w:szCs w:val="15"/>
                <w:color w:val="auto"/>
              </w:rPr>
            </w:pPr>
          </w:p>
        </w:tc>
        <w:tc>
          <w:tcPr>
            <w:tcW w:w="1360" w:type="dxa"/>
            <w:vAlign w:val="bottom"/>
            <w:gridSpan w:val="5"/>
          </w:tcPr>
          <w:p>
            <w:pPr>
              <w:ind w:left="3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5"/>
          </w:tcPr>
          <w:p>
            <w:pPr>
              <w:ind w:left="3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(I) (Instr. 4)</w:t>
            </w:r>
          </w:p>
        </w:tc>
        <w:tc>
          <w:tcPr>
            <w:tcW w:w="34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6"/>
          </w:tcPr>
          <w:p>
            <w:pPr>
              <w:ind w:left="760"/>
              <w:spacing w:after="0"/>
              <w:rPr>
                <w:sz w:val="20"/>
                <w:szCs w:val="20"/>
                <w:color w:val="auto"/>
              </w:rPr>
            </w:pPr>
            <w:r>
              <w:rPr>
                <w:rFonts w:ascii="Arial" w:cs="Arial" w:eastAsia="Arial" w:hAnsi="Arial"/>
                <w:sz w:val="18"/>
                <w:szCs w:val="18"/>
                <w:color w:val="0000FF"/>
                <w:w w:val="99"/>
              </w:rPr>
              <w:t>08/10/2015</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8"/>
              </w:rPr>
              <w:t>35,170</w:t>
            </w: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5"/>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8.95</w:t>
            </w:r>
            <w:r>
              <w:rPr>
                <w:rFonts w:ascii="Arial" w:cs="Arial" w:eastAsia="Arial" w:hAnsi="Arial"/>
                <w:sz w:val="22"/>
                <w:szCs w:val="22"/>
                <w:color w:val="008000"/>
                <w:w w:val="95"/>
                <w:vertAlign w:val="superscript"/>
              </w:rPr>
              <w:t>(1)</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39"/>
              <w:spacing w:after="0"/>
              <w:rPr>
                <w:sz w:val="20"/>
                <w:szCs w:val="20"/>
                <w:color w:val="auto"/>
              </w:rPr>
            </w:pPr>
            <w:r>
              <w:rPr>
                <w:rFonts w:ascii="Arial" w:cs="Arial" w:eastAsia="Arial" w:hAnsi="Arial"/>
                <w:sz w:val="18"/>
                <w:szCs w:val="18"/>
                <w:color w:val="0000FF"/>
                <w:w w:val="95"/>
              </w:rPr>
              <w:t>2,609,906</w:t>
            </w:r>
            <w:r>
              <w:rPr>
                <w:rFonts w:ascii="Arial" w:cs="Arial" w:eastAsia="Arial" w:hAnsi="Arial"/>
                <w:sz w:val="22"/>
                <w:szCs w:val="22"/>
                <w:color w:val="008000"/>
                <w:w w:val="95"/>
                <w:vertAlign w:val="superscript"/>
              </w:rPr>
              <w:t>(2)</w:t>
            </w:r>
          </w:p>
        </w:tc>
        <w:tc>
          <w:tcPr>
            <w:tcW w:w="2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 Icarus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80" w:type="dxa"/>
            <w:vAlign w:val="bottom"/>
            <w:gridSpan w:val="6"/>
          </w:tcPr>
          <w:p>
            <w:pPr>
              <w:ind w:left="760"/>
              <w:spacing w:after="0"/>
              <w:rPr>
                <w:sz w:val="20"/>
                <w:szCs w:val="20"/>
                <w:color w:val="auto"/>
              </w:rPr>
            </w:pPr>
            <w:r>
              <w:rPr>
                <w:rFonts w:ascii="Arial" w:cs="Arial" w:eastAsia="Arial" w:hAnsi="Arial"/>
                <w:sz w:val="18"/>
                <w:szCs w:val="18"/>
                <w:color w:val="0000FF"/>
                <w:w w:val="99"/>
              </w:rPr>
              <w:t>08/10/2015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Pr>
          <w:p>
            <w:pPr>
              <w:ind w:left="180"/>
              <w:spacing w:after="0"/>
              <w:rPr>
                <w:sz w:val="20"/>
                <w:szCs w:val="20"/>
                <w:color w:val="auto"/>
              </w:rPr>
            </w:pPr>
            <w:r>
              <w:rPr>
                <w:rFonts w:ascii="Arial" w:cs="Arial" w:eastAsia="Arial" w:hAnsi="Arial"/>
                <w:sz w:val="18"/>
                <w:szCs w:val="18"/>
                <w:color w:val="0000FF"/>
                <w:w w:val="98"/>
              </w:rPr>
              <w:t>35,170</w:t>
            </w:r>
          </w:p>
        </w:tc>
        <w:tc>
          <w:tcPr>
            <w:tcW w:w="12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Arial" w:cs="Arial" w:eastAsia="Arial" w:hAnsi="Arial"/>
                <w:sz w:val="18"/>
                <w:szCs w:val="18"/>
                <w:color w:val="0000FF"/>
              </w:rPr>
              <w:t>A</w:t>
            </w:r>
          </w:p>
        </w:tc>
        <w:tc>
          <w:tcPr>
            <w:tcW w:w="780" w:type="dxa"/>
            <w:vAlign w:val="bottom"/>
            <w:gridSpan w:val="5"/>
          </w:tcPr>
          <w:p>
            <w:pPr>
              <w:ind w:left="160"/>
              <w:spacing w:after="0" w:line="217" w:lineRule="exact"/>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8.95</w:t>
            </w:r>
            <w:r>
              <w:rPr>
                <w:rFonts w:ascii="Arial" w:cs="Arial" w:eastAsia="Arial" w:hAnsi="Arial"/>
                <w:sz w:val="22"/>
                <w:szCs w:val="22"/>
                <w:color w:val="008000"/>
                <w:w w:val="95"/>
                <w:vertAlign w:val="superscript"/>
              </w:rPr>
              <w:t>(1)</w:t>
            </w:r>
          </w:p>
        </w:tc>
        <w:tc>
          <w:tcPr>
            <w:tcW w:w="40" w:type="dxa"/>
            <w:vAlign w:val="bottom"/>
          </w:tcPr>
          <w:p>
            <w:pPr>
              <w:spacing w:after="0"/>
              <w:rPr>
                <w:sz w:val="18"/>
                <w:szCs w:val="18"/>
                <w:color w:val="auto"/>
              </w:rPr>
            </w:pPr>
          </w:p>
        </w:tc>
        <w:tc>
          <w:tcPr>
            <w:tcW w:w="1180" w:type="dxa"/>
            <w:vAlign w:val="bottom"/>
            <w:gridSpan w:val="2"/>
          </w:tcPr>
          <w:p>
            <w:pPr>
              <w:jc w:val="right"/>
              <w:ind w:right="219"/>
              <w:spacing w:after="0"/>
              <w:rPr>
                <w:sz w:val="20"/>
                <w:szCs w:val="20"/>
                <w:color w:val="auto"/>
              </w:rPr>
            </w:pPr>
            <w:r>
              <w:rPr>
                <w:rFonts w:ascii="Arial" w:cs="Arial" w:eastAsia="Arial" w:hAnsi="Arial"/>
                <w:sz w:val="18"/>
                <w:szCs w:val="18"/>
                <w:color w:val="0000FF"/>
              </w:rPr>
              <w:t>2,609,906</w:t>
            </w:r>
          </w:p>
        </w:tc>
        <w:tc>
          <w:tcPr>
            <w:tcW w:w="26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0000FF"/>
              </w:rPr>
              <w:t>I</w:t>
            </w:r>
          </w:p>
        </w:tc>
        <w:tc>
          <w:tcPr>
            <w:tcW w:w="34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w w:val="95"/>
              </w:rPr>
              <w:t>Investment</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Corp.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23"/>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20" w:type="dxa"/>
            <w:vAlign w:val="bottom"/>
            <w:gridSpan w:val="18"/>
          </w:tcPr>
          <w:p>
            <w:pPr>
              <w:ind w:left="32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ICARUS INVESTMENT CORP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2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2300 YONGE STREET, SUITE 1710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A6</w:t>
            </w:r>
          </w:p>
        </w:tc>
        <w:tc>
          <w:tcPr>
            <w:tcW w:w="32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2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9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DEZWIREK JASON</w:t>
              </w:r>
            </w:hyperlink>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2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2300 YONGE STREET, SUITE 1710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A6</w:t>
            </w:r>
          </w:p>
        </w:tc>
        <w:tc>
          <w:tcPr>
            <w:tcW w:w="32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2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Price reflects a weighted average price for multiple transactions that ranged from $8.65 to $9.31 per share. The Reporting Person undertakes to provide, upon request by the Commission Staff, the Issuer or a security holder of the Issuer, full information regarding the number of shares sold at each separate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directly by Icarus Investment Corp. ("Icarus")</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directly by Icarus, and indirectly by Jason DeZwirek, the Chairman of the Board and a Director and 10% or greater owner of the Issuer. Jason DeZwirek is deemed to control Icarus because he has sole voting and dispositive power of the shares of common stock of the Issuer owned directly by Icarus.</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Jason DeZwirek,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341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of himself and as President of</w:t>
      </w:r>
      <w:r>
        <w:rPr>
          <w:sz w:val="20"/>
          <w:szCs w:val="20"/>
          <w:color w:val="auto"/>
        </w:rPr>
        <w:tab/>
      </w:r>
      <w:r>
        <w:rPr>
          <w:rFonts w:ascii="Arial" w:cs="Arial" w:eastAsia="Arial" w:hAnsi="Arial"/>
          <w:sz w:val="15"/>
          <w:szCs w:val="15"/>
          <w:color w:val="0000FF"/>
        </w:rPr>
        <w:t>08/10/2015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Icarus Investment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74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www.sec.gov/cgi-bin/browse-edgar?action=getcompany&amp;CIK=0000946590" TargetMode="External"/><Relationship Id="rId13" Type="http://schemas.openxmlformats.org/officeDocument/2006/relationships/hyperlink" Target="http://www.sec.gov/cgi-bin/browse-edgar?action=getcompany&amp;CIK=0000003197" TargetMode="External"/><Relationship Id="rId14" Type="http://schemas.openxmlformats.org/officeDocument/2006/relationships/hyperlink" Target="http://www.sec.gov/cgi-bin/browse-edgar?action=getcompany&amp;CIK=0000946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2020-01-22T09:58:19Z</dcterms:created>
  <dcterms:modified xsi:type="dcterms:W3CDTF">2020-01-22T09:58:19Z</dcterms:modified>
</cp:coreProperties>
</file>