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224155</wp:posOffset>
            </wp:positionH>
            <wp:positionV relativeFrom="paragraph">
              <wp:posOffset>217170</wp:posOffset>
            </wp:positionV>
            <wp:extent cx="67024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2425" cy="8255"/>
                    </a:xfrm>
                    <a:prstGeom prst="rect">
                      <a:avLst/>
                    </a:prstGeom>
                    <a:noFill/>
                  </pic:spPr>
                </pic:pic>
              </a:graphicData>
            </a:graphic>
          </wp:anchor>
        </w:drawing>
        <w:drawing>
          <wp:anchor simplePos="0" relativeHeight="251657728" behindDoc="1" locked="0" layoutInCell="0" allowOverlap="1">
            <wp:simplePos x="0" y="0"/>
            <wp:positionH relativeFrom="column">
              <wp:posOffset>224155</wp:posOffset>
            </wp:positionH>
            <wp:positionV relativeFrom="paragraph">
              <wp:posOffset>257810</wp:posOffset>
            </wp:positionV>
            <wp:extent cx="67024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ind w:left="460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210185</wp:posOffset>
            </wp:positionV>
            <wp:extent cx="14046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SCHEDULE 14A</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(RULE 14a-101)</w:t>
      </w:r>
    </w:p>
    <w:p>
      <w:pPr>
        <w:jc w:val="center"/>
        <w:ind w:right="-1100"/>
        <w:spacing w:after="0" w:line="231" w:lineRule="auto"/>
        <w:rPr>
          <w:sz w:val="20"/>
          <w:szCs w:val="20"/>
          <w:color w:val="auto"/>
        </w:rPr>
      </w:pPr>
      <w:r>
        <w:rPr>
          <w:rFonts w:ascii="Times New Roman" w:cs="Times New Roman" w:eastAsia="Times New Roman" w:hAnsi="Times New Roman"/>
          <w:sz w:val="21"/>
          <w:szCs w:val="21"/>
          <w:b w:val="1"/>
          <w:bCs w:val="1"/>
          <w:color w:val="auto"/>
        </w:rPr>
        <w:t>PROXY STATEMENT PURSUANT TO SECTION 14(A) OF THE</w:t>
      </w: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210185</wp:posOffset>
            </wp:positionV>
            <wp:extent cx="14046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340"/>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218" w:lineRule="exact"/>
        <w:rPr>
          <w:sz w:val="24"/>
          <w:szCs w:val="24"/>
          <w:color w:val="auto"/>
        </w:rPr>
      </w:pPr>
    </w:p>
    <w:p>
      <w:pPr>
        <w:ind w:left="340"/>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4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128" w:lineRule="exact"/>
        <w:rPr>
          <w:sz w:val="24"/>
          <w:szCs w:val="24"/>
          <w:color w:val="auto"/>
        </w:rPr>
      </w:pPr>
    </w:p>
    <w:p>
      <w:pPr>
        <w:ind w:left="760" w:hanging="414"/>
        <w:spacing w:after="0"/>
        <w:tabs>
          <w:tab w:leader="none" w:pos="7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125" w:lineRule="exact"/>
        <w:rPr>
          <w:rFonts w:ascii="MS PGothic" w:cs="MS PGothic" w:eastAsia="MS PGothic" w:hAnsi="MS PGothic"/>
          <w:sz w:val="17"/>
          <w:szCs w:val="17"/>
          <w:color w:val="auto"/>
        </w:rPr>
      </w:pPr>
    </w:p>
    <w:p>
      <w:pPr>
        <w:ind w:left="760" w:hanging="414"/>
        <w:spacing w:after="0"/>
        <w:tabs>
          <w:tab w:leader="none" w:pos="7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130" w:lineRule="exact"/>
        <w:rPr>
          <w:sz w:val="24"/>
          <w:szCs w:val="24"/>
          <w:color w:val="auto"/>
        </w:rPr>
      </w:pPr>
    </w:p>
    <w:p>
      <w:pPr>
        <w:ind w:left="760" w:hanging="414"/>
        <w:spacing w:after="0"/>
        <w:tabs>
          <w:tab w:leader="none" w:pos="7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128" w:lineRule="exact"/>
        <w:rPr>
          <w:sz w:val="24"/>
          <w:szCs w:val="24"/>
          <w:color w:val="auto"/>
        </w:rPr>
      </w:pPr>
    </w:p>
    <w:p>
      <w:pPr>
        <w:ind w:left="760" w:hanging="414"/>
        <w:spacing w:after="0"/>
        <w:tabs>
          <w:tab w:leader="none" w:pos="76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127" w:lineRule="exact"/>
        <w:rPr>
          <w:rFonts w:ascii="MS PGothic" w:cs="MS PGothic" w:eastAsia="MS PGothic" w:hAnsi="MS PGothic"/>
          <w:sz w:val="17"/>
          <w:szCs w:val="17"/>
          <w:color w:val="auto"/>
        </w:rPr>
      </w:pPr>
    </w:p>
    <w:p>
      <w:pPr>
        <w:ind w:left="760" w:hanging="414"/>
        <w:spacing w:after="0"/>
        <w:tabs>
          <w:tab w:leader="none" w:pos="76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Sec.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3188970</wp:posOffset>
            </wp:positionH>
            <wp:positionV relativeFrom="paragraph">
              <wp:posOffset>167005</wp:posOffset>
            </wp:positionV>
            <wp:extent cx="763905" cy="361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3905" cy="361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CECO ENVIRONMENTAL CORP.</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196"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Registrant)</w:t>
      </w:r>
    </w:p>
    <w:p>
      <w:pPr>
        <w:spacing w:after="0" w:line="22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244" w:lineRule="exact"/>
        <w:rPr>
          <w:sz w:val="24"/>
          <w:szCs w:val="24"/>
          <w:color w:val="auto"/>
        </w:rPr>
      </w:pPr>
    </w:p>
    <w:p>
      <w:pPr>
        <w:ind w:left="760" w:hanging="414"/>
        <w:spacing w:after="0"/>
        <w:tabs>
          <w:tab w:leader="none" w:pos="76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44" w:lineRule="exact"/>
        <w:rPr>
          <w:sz w:val="24"/>
          <w:szCs w:val="24"/>
          <w:color w:val="auto"/>
        </w:rPr>
      </w:pPr>
    </w:p>
    <w:p>
      <w:pPr>
        <w:ind w:left="760" w:hanging="414"/>
        <w:spacing w:after="0"/>
        <w:tabs>
          <w:tab w:leader="none" w:pos="76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44" w:lineRule="exact"/>
        <w:rPr>
          <w:rFonts w:ascii="MS PGothic" w:cs="MS PGothic" w:eastAsia="MS PGothic" w:hAnsi="MS PGothic"/>
          <w:sz w:val="17"/>
          <w:szCs w:val="17"/>
          <w:color w:val="auto"/>
        </w:rPr>
      </w:pPr>
    </w:p>
    <w:p>
      <w:pPr>
        <w:ind w:left="760" w:hanging="414"/>
        <w:spacing w:after="0"/>
        <w:tabs>
          <w:tab w:leader="none" w:pos="76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224155</wp:posOffset>
            </wp:positionH>
            <wp:positionV relativeFrom="paragraph">
              <wp:posOffset>175260</wp:posOffset>
            </wp:positionV>
            <wp:extent cx="67024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2425" cy="8255"/>
                    </a:xfrm>
                    <a:prstGeom prst="rect">
                      <a:avLst/>
                    </a:prstGeom>
                    <a:noFill/>
                  </pic:spPr>
                </pic:pic>
              </a:graphicData>
            </a:graphic>
          </wp:anchor>
        </w:drawing>
        <w:drawing>
          <wp:anchor simplePos="0" relativeHeight="251657728" behindDoc="1" locked="0" layoutInCell="0" allowOverlap="1">
            <wp:simplePos x="0" y="0"/>
            <wp:positionH relativeFrom="column">
              <wp:posOffset>224155</wp:posOffset>
            </wp:positionH>
            <wp:positionV relativeFrom="paragraph">
              <wp:posOffset>215900</wp:posOffset>
            </wp:positionV>
            <wp:extent cx="6702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ectPr>
          <w:pgSz w:w="11900" w:h="16838" w:orient="portrait"/>
          <w:cols w:equalWidth="0" w:num="1">
            <w:col w:w="10139"/>
          </w:cols>
          <w:pgMar w:left="32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798830</wp:posOffset>
            </wp:positionH>
            <wp:positionV relativeFrom="paragraph">
              <wp:posOffset>200660</wp:posOffset>
            </wp:positionV>
            <wp:extent cx="5544820" cy="7228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4820" cy="7228205"/>
                    </a:xfrm>
                    <a:prstGeom prst="rect">
                      <a:avLst/>
                    </a:prstGeom>
                    <a:noFill/>
                  </pic:spPr>
                </pic:pic>
              </a:graphicData>
            </a:graphic>
          </wp:anchor>
        </w:drawing>
      </w:r>
    </w:p>
    <w:p>
      <w:pPr>
        <w:sectPr>
          <w:pgSz w:w="11900" w:h="16838" w:orient="portrait"/>
          <w:cols w:equalWidth="0" w:num="1">
            <w:col w:w="10139"/>
          </w:cols>
          <w:pgMar w:left="320" w:top="443"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200660</wp:posOffset>
            </wp:positionV>
            <wp:extent cx="1199515" cy="44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99515" cy="44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5BD50"/>
        </w:rPr>
        <w:t>April 29, 2022</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Dear Stockholder:</w:t>
      </w:r>
    </w:p>
    <w:p>
      <w:pPr>
        <w:spacing w:after="0" w:line="204" w:lineRule="exact"/>
        <w:rPr>
          <w:sz w:val="20"/>
          <w:szCs w:val="20"/>
          <w:color w:val="auto"/>
        </w:rPr>
      </w:pPr>
    </w:p>
    <w:p>
      <w:pPr>
        <w:ind w:left="340" w:right="120"/>
        <w:spacing w:after="0" w:line="282" w:lineRule="auto"/>
        <w:rPr>
          <w:sz w:val="20"/>
          <w:szCs w:val="20"/>
          <w:color w:val="auto"/>
        </w:rPr>
      </w:pPr>
      <w:r>
        <w:rPr>
          <w:rFonts w:ascii="Arial" w:cs="Arial" w:eastAsia="Arial" w:hAnsi="Arial"/>
          <w:sz w:val="14"/>
          <w:szCs w:val="14"/>
          <w:color w:val="auto"/>
        </w:rPr>
        <w:t xml:space="preserve">We are pleased to invite you to attend CECO Environmental Corp.’s (“CECO” or the “Company”) Annual Meeting of Stockholders at 8:00 a.m. Central Time on Wednesday, June 8, 2022 to be held solely through virtual participation via webcast at </w:t>
      </w:r>
      <w:r>
        <w:rPr>
          <w:rFonts w:ascii="Arial" w:cs="Arial" w:eastAsia="Arial" w:hAnsi="Arial"/>
          <w:sz w:val="14"/>
          <w:szCs w:val="14"/>
          <w:i w:val="1"/>
          <w:iCs w:val="1"/>
          <w:color w:val="auto"/>
        </w:rPr>
        <w:t>www.virtualshareholdermeeting.com/CECE2022</w:t>
      </w:r>
      <w:r>
        <w:rPr>
          <w:rFonts w:ascii="Arial" w:cs="Arial" w:eastAsia="Arial" w:hAnsi="Arial"/>
          <w:sz w:val="14"/>
          <w:szCs w:val="14"/>
          <w:color w:val="auto"/>
        </w:rPr>
        <w:t xml:space="preserve"> (the “Annual Meeting”). We continue to embrace the latest technology to provide expanded access, improved communication, and cost savings. We believe hosting a virtual meeting enables increased stockholder attendance and participation from locations around the world. Stockholders attending the virtual meeting will be afforded the same rights and opportunities to participate as they would at an in-person meeting. Further information on attending, voting, and submitting questions at the Annual Meeting are included in the accompanying Notice of Annual Meeting and Proxy Statement.</w:t>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17"/>
          <w:szCs w:val="17"/>
          <w:b w:val="1"/>
          <w:bCs w:val="1"/>
          <w:u w:val="single" w:color="auto"/>
          <w:color w:val="auto"/>
        </w:rPr>
        <w:t>Our Board successfully navigated opportunities and challenges of 2021</w:t>
      </w:r>
    </w:p>
    <w:p>
      <w:pPr>
        <w:spacing w:after="0" w:line="109" w:lineRule="exact"/>
        <w:rPr>
          <w:sz w:val="20"/>
          <w:szCs w:val="20"/>
          <w:color w:val="auto"/>
        </w:rPr>
      </w:pPr>
    </w:p>
    <w:p>
      <w:pPr>
        <w:ind w:left="340" w:right="120"/>
        <w:spacing w:after="0" w:line="286" w:lineRule="auto"/>
        <w:rPr>
          <w:sz w:val="20"/>
          <w:szCs w:val="20"/>
          <w:color w:val="auto"/>
        </w:rPr>
      </w:pPr>
      <w:r>
        <w:rPr>
          <w:rFonts w:ascii="Arial" w:cs="Arial" w:eastAsia="Arial" w:hAnsi="Arial"/>
          <w:sz w:val="14"/>
          <w:szCs w:val="14"/>
          <w:color w:val="auto"/>
        </w:rPr>
        <w:t>The past few years have presented unique challenges and opportunities to CECO and all our constituents. The COVID-19 pandemic remained a worldwide challenge and the Company continued to prioritize the health and safety of our employees as well as our global customers and partners while ensuring we had stable operations. New challenges emerged in 2021 such as supply chain shortages, higher-than-average inflation, and employee retention. The Board supported important management actions to reorganize the business structure, add more experience and diversity to the senior leadership ranks, and maintain investment in strategic growth. The Company grew bookings almost 30 percent and increased its backlog significantly.</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7"/>
          <w:szCs w:val="17"/>
          <w:b w:val="1"/>
          <w:bCs w:val="1"/>
          <w:u w:val="single" w:color="auto"/>
          <w:color w:val="auto"/>
        </w:rPr>
        <w:t>Our Board is leading our focus on a new enterprise strategy and a commitment to ESG</w:t>
      </w:r>
    </w:p>
    <w:p>
      <w:pPr>
        <w:spacing w:after="0" w:line="109" w:lineRule="exact"/>
        <w:rPr>
          <w:sz w:val="20"/>
          <w:szCs w:val="20"/>
          <w:color w:val="auto"/>
        </w:rPr>
      </w:pPr>
    </w:p>
    <w:p>
      <w:pPr>
        <w:ind w:left="340"/>
        <w:spacing w:after="0" w:line="242" w:lineRule="auto"/>
        <w:rPr>
          <w:sz w:val="20"/>
          <w:szCs w:val="20"/>
          <w:color w:val="auto"/>
        </w:rPr>
      </w:pPr>
      <w:r>
        <w:rPr>
          <w:rFonts w:ascii="Arial" w:cs="Arial" w:eastAsia="Arial" w:hAnsi="Arial"/>
          <w:sz w:val="16"/>
          <w:szCs w:val="16"/>
          <w:color w:val="auto"/>
        </w:rPr>
        <w:t>CECO has a focused growth strategy to advance in Industrial Air, Industrial Water and Energy Transition. To maximize the Company’s leadership, the Board established an M&amp;A Subcommittee to work closely with management and develop a robust pipeline of strategic transactions. Already in early 2022, through a joint venture, the Company announced and closed on one acquisition in the Industrial Water arena. Additionally, the Board has maintained a regular review of the progress toward publication of the Company’s inaugural Environmental, Social and Governance Report, which will be published in the first half of 2022.</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7"/>
          <w:szCs w:val="17"/>
          <w:b w:val="1"/>
          <w:bCs w:val="1"/>
          <w:u w:val="single" w:color="auto"/>
          <w:color w:val="auto"/>
        </w:rPr>
        <w:t>Our Board is adding more expertise</w:t>
      </w:r>
    </w:p>
    <w:p>
      <w:pPr>
        <w:spacing w:after="0" w:line="109" w:lineRule="exact"/>
        <w:rPr>
          <w:sz w:val="20"/>
          <w:szCs w:val="20"/>
          <w:color w:val="auto"/>
        </w:rPr>
      </w:pPr>
    </w:p>
    <w:p>
      <w:pPr>
        <w:ind w:left="340" w:right="180"/>
        <w:spacing w:after="0" w:line="249" w:lineRule="auto"/>
        <w:rPr>
          <w:sz w:val="20"/>
          <w:szCs w:val="20"/>
          <w:color w:val="auto"/>
        </w:rPr>
      </w:pPr>
      <w:r>
        <w:rPr>
          <w:rFonts w:ascii="Arial" w:cs="Arial" w:eastAsia="Arial" w:hAnsi="Arial"/>
          <w:sz w:val="16"/>
          <w:szCs w:val="16"/>
          <w:color w:val="auto"/>
        </w:rPr>
        <w:t>We believe our directors bring a well-rounded variety of diversity, skills, qualifications, and experiences, and represent an effective mix of company knowledge and fresh perspectives. In November 2021, we announced the appointment of Richard F. Wallman to the CECO Board of Directors. Richard brings to the Company significant operational, financial, and board experience from a broad range of global businesses and industries.</w:t>
      </w:r>
    </w:p>
    <w:p>
      <w:pPr>
        <w:spacing w:after="0" w:line="178" w:lineRule="exact"/>
        <w:rPr>
          <w:sz w:val="20"/>
          <w:szCs w:val="20"/>
          <w:color w:val="auto"/>
        </w:rPr>
      </w:pPr>
    </w:p>
    <w:p>
      <w:pPr>
        <w:ind w:left="340" w:right="60"/>
        <w:spacing w:after="0" w:line="262" w:lineRule="auto"/>
        <w:rPr>
          <w:sz w:val="20"/>
          <w:szCs w:val="20"/>
          <w:color w:val="auto"/>
        </w:rPr>
      </w:pPr>
      <w:r>
        <w:rPr>
          <w:rFonts w:ascii="Arial" w:cs="Arial" w:eastAsia="Arial" w:hAnsi="Arial"/>
          <w:sz w:val="16"/>
          <w:szCs w:val="16"/>
          <w:color w:val="auto"/>
        </w:rPr>
        <w:t>Your vote is important to us, regardless of whether you plan to participate virtually during the Annual Meeting. We have included voting instructions within these materials and request that you vote as soon as possible.</w:t>
      </w:r>
    </w:p>
    <w:p>
      <w:pPr>
        <w:spacing w:after="0" w:line="167" w:lineRule="exact"/>
        <w:rPr>
          <w:sz w:val="20"/>
          <w:szCs w:val="20"/>
          <w:color w:val="auto"/>
        </w:rPr>
      </w:pPr>
    </w:p>
    <w:p>
      <w:pPr>
        <w:ind w:left="340" w:right="360"/>
        <w:spacing w:after="0" w:line="262" w:lineRule="auto"/>
        <w:rPr>
          <w:sz w:val="20"/>
          <w:szCs w:val="20"/>
          <w:color w:val="auto"/>
        </w:rPr>
      </w:pPr>
      <w:r>
        <w:rPr>
          <w:rFonts w:ascii="Arial" w:cs="Arial" w:eastAsia="Arial" w:hAnsi="Arial"/>
          <w:sz w:val="16"/>
          <w:szCs w:val="16"/>
          <w:color w:val="auto"/>
        </w:rPr>
        <w:t>On behalf of our entire Board of Directors, we thank you for your continued ownership and support of CECO Environmental Corp. and our mission to protect people, the environment and industrial equipment.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153670</wp:posOffset>
            </wp:positionV>
            <wp:extent cx="1183005" cy="1183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83005" cy="1183005"/>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153670</wp:posOffset>
            </wp:positionV>
            <wp:extent cx="1183005" cy="1183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83005" cy="1183005"/>
                    </a:xfrm>
                    <a:prstGeom prst="rect">
                      <a:avLst/>
                    </a:prstGeom>
                    <a:noFill/>
                  </pic:spPr>
                </pic:pic>
              </a:graphicData>
            </a:graphic>
          </wp:anchor>
        </w:drawing>
      </w:r>
    </w:p>
    <w:p>
      <w:pPr>
        <w:sectPr>
          <w:pgSz w:w="11900" w:h="16838" w:orient="portrait"/>
          <w:cols w:equalWidth="0" w:num="1">
            <w:col w:w="10880"/>
          </w:cols>
          <w:pgMar w:left="320" w:top="443"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160" w:right="2620"/>
        <w:spacing w:after="0" w:line="334" w:lineRule="auto"/>
        <w:rPr>
          <w:sz w:val="20"/>
          <w:szCs w:val="20"/>
          <w:color w:val="auto"/>
        </w:rPr>
      </w:pPr>
      <w:r>
        <w:rPr>
          <w:rFonts w:ascii="Arial" w:cs="Arial" w:eastAsia="Arial" w:hAnsi="Arial"/>
          <w:sz w:val="14"/>
          <w:szCs w:val="14"/>
          <w:color w:val="auto"/>
        </w:rPr>
        <w:t>Jason DeZwirek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1776730</wp:posOffset>
            </wp:positionH>
            <wp:positionV relativeFrom="paragraph">
              <wp:posOffset>-21590</wp:posOffset>
            </wp:positionV>
            <wp:extent cx="1363345" cy="44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63345" cy="4438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Todd Gleason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36195</wp:posOffset>
            </wp:positionV>
            <wp:extent cx="1815465"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15465" cy="394335"/>
                    </a:xfrm>
                    <a:prstGeom prst="rect">
                      <a:avLst/>
                    </a:prstGeom>
                    <a:noFill/>
                  </pic:spPr>
                </pic:pic>
              </a:graphicData>
            </a:graphic>
          </wp:anchor>
        </w:drawing>
      </w:r>
    </w:p>
    <w:p>
      <w:pPr>
        <w:spacing w:after="0" w:line="292" w:lineRule="exact"/>
        <w:rPr>
          <w:sz w:val="20"/>
          <w:szCs w:val="20"/>
          <w:color w:val="auto"/>
        </w:rPr>
      </w:pPr>
    </w:p>
    <w:p>
      <w:pPr>
        <w:sectPr>
          <w:pgSz w:w="11900" w:h="16838" w:orient="portrait"/>
          <w:cols w:equalWidth="0" w:num="2">
            <w:col w:w="7340" w:space="720"/>
            <w:col w:w="2820"/>
          </w:cols>
          <w:pgMar w:left="320" w:top="443"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right="60"/>
        <w:spacing w:after="0" w:line="256" w:lineRule="auto"/>
        <w:rPr>
          <w:sz w:val="20"/>
          <w:szCs w:val="20"/>
          <w:color w:val="auto"/>
        </w:rPr>
      </w:pPr>
      <w:r>
        <w:rPr>
          <w:rFonts w:ascii="Arial" w:cs="Arial" w:eastAsia="Arial" w:hAnsi="Arial"/>
          <w:sz w:val="16"/>
          <w:szCs w:val="16"/>
          <w:b w:val="1"/>
          <w:bCs w:val="1"/>
          <w:color w:val="auto"/>
        </w:rPr>
        <w:t>THESE PROXY SOLICITATION MATERIALS AND CECO ENVIRONMENTAL CORP.’S ANNUAL REPORT TO STOCKHOLDERS FOR THE YEAR ENDED DECEMBER 31, 2021, INCLUDING THE RELATED FINANCIAL STATEMENTS, WERE FIRST MADE AVAILABLE TO STOCKHOLDERS ON OR ABOUT APRIL 29, 2022</w:t>
      </w:r>
      <w:r>
        <w:rPr>
          <w:rFonts w:ascii="Arial" w:cs="Arial" w:eastAsia="Arial" w:hAnsi="Arial"/>
          <w:sz w:val="16"/>
          <w:szCs w:val="16"/>
          <w:color w:val="auto"/>
        </w:rPr>
        <w:t>.</w:t>
      </w:r>
    </w:p>
    <w:p>
      <w:pPr>
        <w:spacing w:after="0" w:line="99" w:lineRule="exact"/>
        <w:rPr>
          <w:sz w:val="20"/>
          <w:szCs w:val="20"/>
          <w:color w:val="auto"/>
        </w:rPr>
      </w:pPr>
    </w:p>
    <w:p>
      <w:pPr>
        <w:ind w:left="9140"/>
        <w:spacing w:after="0"/>
        <w:rPr>
          <w:sz w:val="20"/>
          <w:szCs w:val="20"/>
          <w:color w:val="auto"/>
        </w:rPr>
      </w:pPr>
      <w:r>
        <w:rPr>
          <w:rFonts w:ascii="Arial" w:cs="Arial" w:eastAsia="Arial" w:hAnsi="Arial"/>
          <w:sz w:val="14"/>
          <w:szCs w:val="14"/>
          <w:color w:val="262626"/>
        </w:rPr>
        <w:t>2022 Proxy Statement •</w:t>
      </w:r>
    </w:p>
    <w:p>
      <w:pPr>
        <w:sectPr>
          <w:pgSz w:w="11900" w:h="16838" w:orient="portrait"/>
          <w:cols w:equalWidth="0" w:num="1">
            <w:col w:w="10880"/>
          </w:cols>
          <w:pgMar w:left="320" w:top="443" w:right="6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90" w:lineRule="exact"/>
        <w:rPr>
          <w:sz w:val="20"/>
          <w:szCs w:val="20"/>
          <w:color w:val="auto"/>
        </w:rPr>
      </w:pPr>
    </w:p>
    <w:p>
      <w:pPr>
        <w:ind w:left="340"/>
        <w:spacing w:after="0"/>
        <w:rPr>
          <w:sz w:val="20"/>
          <w:szCs w:val="20"/>
          <w:color w:val="auto"/>
        </w:rPr>
      </w:pPr>
      <w:r>
        <w:rPr>
          <w:rFonts w:ascii="Arial" w:cs="Arial" w:eastAsia="Arial" w:hAnsi="Arial"/>
          <w:sz w:val="21"/>
          <w:szCs w:val="21"/>
          <w:color w:val="A5BD50"/>
        </w:rPr>
        <w:t>CECO Environmental Corp.</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41659C"/>
        </w:rPr>
        <w:t>NOTICE OF ANNUAL MEETING OF STOCKHOLDERS</w:t>
      </w:r>
    </w:p>
    <w:p>
      <w:pPr>
        <w:spacing w:after="0" w:line="264" w:lineRule="exact"/>
        <w:rPr>
          <w:sz w:val="20"/>
          <w:szCs w:val="20"/>
          <w:color w:val="auto"/>
        </w:rPr>
      </w:pPr>
    </w:p>
    <w:tbl>
      <w:tblPr>
        <w:tblLayout w:type="fixed"/>
        <w:tblInd w:w="360" w:type="dxa"/>
        <w:tblCellMar>
          <w:top w:w="0" w:type="dxa"/>
          <w:left w:w="0" w:type="dxa"/>
          <w:bottom w:w="0" w:type="dxa"/>
          <w:right w:w="0" w:type="dxa"/>
        </w:tblCellMar>
      </w:tblPr>
      <w:tr>
        <w:trPr>
          <w:trHeight w:val="265"/>
        </w:trPr>
        <w:tc>
          <w:tcPr>
            <w:tcW w:w="5380" w:type="dxa"/>
            <w:vAlign w:val="bottom"/>
            <w:tcBorders>
              <w:bottom w:val="single" w:sz="8" w:color="E8EED3"/>
            </w:tcBorders>
            <w:shd w:val="clear" w:color="auto" w:fill="E8EED3"/>
          </w:tcPr>
          <w:p>
            <w:pPr>
              <w:ind w:left="60"/>
              <w:spacing w:after="0"/>
              <w:rPr>
                <w:sz w:val="20"/>
                <w:szCs w:val="20"/>
                <w:color w:val="auto"/>
              </w:rPr>
            </w:pPr>
            <w:r>
              <w:rPr>
                <w:rFonts w:ascii="Arial" w:cs="Arial" w:eastAsia="Arial" w:hAnsi="Arial"/>
                <w:sz w:val="16"/>
                <w:szCs w:val="16"/>
                <w:b w:val="1"/>
                <w:bCs w:val="1"/>
                <w:color w:val="auto"/>
              </w:rPr>
              <w:t>Date:</w:t>
            </w:r>
          </w:p>
        </w:tc>
        <w:tc>
          <w:tcPr>
            <w:tcW w:w="5160" w:type="dxa"/>
            <w:vAlign w:val="bottom"/>
            <w:tcBorders>
              <w:bottom w:val="single" w:sz="8" w:color="E8EED3"/>
            </w:tcBorders>
            <w:shd w:val="clear" w:color="auto" w:fill="E8EED3"/>
          </w:tcPr>
          <w:p>
            <w:pPr>
              <w:ind w:left="100"/>
              <w:spacing w:after="0"/>
              <w:rPr>
                <w:sz w:val="20"/>
                <w:szCs w:val="20"/>
                <w:color w:val="auto"/>
              </w:rPr>
            </w:pPr>
            <w:r>
              <w:rPr>
                <w:rFonts w:ascii="Arial" w:cs="Arial" w:eastAsia="Arial" w:hAnsi="Arial"/>
                <w:sz w:val="16"/>
                <w:szCs w:val="16"/>
                <w:color w:val="auto"/>
              </w:rPr>
              <w:t>Wednesday, June 8, 2022</w:t>
            </w:r>
          </w:p>
        </w:tc>
      </w:tr>
      <w:tr>
        <w:trPr>
          <w:trHeight w:val="265"/>
        </w:trPr>
        <w:tc>
          <w:tcPr>
            <w:tcW w:w="5380" w:type="dxa"/>
            <w:vAlign w:val="bottom"/>
            <w:tcBorders>
              <w:bottom w:val="single" w:sz="8" w:color="D2DEA7"/>
            </w:tcBorders>
            <w:shd w:val="clear" w:color="auto" w:fill="D2DEA7"/>
          </w:tcPr>
          <w:p>
            <w:pPr>
              <w:ind w:left="60"/>
              <w:spacing w:after="0"/>
              <w:rPr>
                <w:sz w:val="20"/>
                <w:szCs w:val="20"/>
                <w:color w:val="auto"/>
              </w:rPr>
            </w:pPr>
            <w:r>
              <w:rPr>
                <w:rFonts w:ascii="Arial" w:cs="Arial" w:eastAsia="Arial" w:hAnsi="Arial"/>
                <w:sz w:val="16"/>
                <w:szCs w:val="16"/>
                <w:b w:val="1"/>
                <w:bCs w:val="1"/>
                <w:color w:val="auto"/>
              </w:rPr>
              <w:t>Time:</w:t>
            </w:r>
          </w:p>
        </w:tc>
        <w:tc>
          <w:tcPr>
            <w:tcW w:w="5160" w:type="dxa"/>
            <w:vAlign w:val="bottom"/>
            <w:tcBorders>
              <w:bottom w:val="single" w:sz="8" w:color="D2DEA7"/>
            </w:tcBorders>
            <w:shd w:val="clear" w:color="auto" w:fill="D2DEA7"/>
          </w:tcPr>
          <w:p>
            <w:pPr>
              <w:ind w:left="100"/>
              <w:spacing w:after="0"/>
              <w:rPr>
                <w:sz w:val="20"/>
                <w:szCs w:val="20"/>
                <w:color w:val="auto"/>
              </w:rPr>
            </w:pPr>
            <w:r>
              <w:rPr>
                <w:rFonts w:ascii="Arial" w:cs="Arial" w:eastAsia="Arial" w:hAnsi="Arial"/>
                <w:sz w:val="16"/>
                <w:szCs w:val="16"/>
                <w:color w:val="auto"/>
              </w:rPr>
              <w:t>8:00 a.m., Central Time</w:t>
            </w:r>
          </w:p>
        </w:tc>
      </w:tr>
      <w:tr>
        <w:trPr>
          <w:trHeight w:val="265"/>
        </w:trPr>
        <w:tc>
          <w:tcPr>
            <w:tcW w:w="5380" w:type="dxa"/>
            <w:vAlign w:val="bottom"/>
            <w:tcBorders>
              <w:bottom w:val="single" w:sz="8" w:color="E8EED3"/>
            </w:tcBorders>
            <w:shd w:val="clear" w:color="auto" w:fill="E8EED3"/>
          </w:tcPr>
          <w:p>
            <w:pPr>
              <w:ind w:left="60"/>
              <w:spacing w:after="0"/>
              <w:rPr>
                <w:sz w:val="20"/>
                <w:szCs w:val="20"/>
                <w:color w:val="auto"/>
              </w:rPr>
            </w:pPr>
            <w:r>
              <w:rPr>
                <w:rFonts w:ascii="Arial" w:cs="Arial" w:eastAsia="Arial" w:hAnsi="Arial"/>
                <w:sz w:val="16"/>
                <w:szCs w:val="16"/>
                <w:b w:val="1"/>
                <w:bCs w:val="1"/>
                <w:color w:val="auto"/>
              </w:rPr>
              <w:t>Place:</w:t>
            </w:r>
          </w:p>
        </w:tc>
        <w:tc>
          <w:tcPr>
            <w:tcW w:w="5160" w:type="dxa"/>
            <w:vAlign w:val="bottom"/>
            <w:tcBorders>
              <w:bottom w:val="single" w:sz="8" w:color="E8EED3"/>
            </w:tcBorders>
            <w:shd w:val="clear" w:color="auto" w:fill="E8EED3"/>
          </w:tcPr>
          <w:p>
            <w:pPr>
              <w:ind w:left="100"/>
              <w:spacing w:after="0"/>
              <w:rPr>
                <w:sz w:val="20"/>
                <w:szCs w:val="20"/>
                <w:color w:val="auto"/>
              </w:rPr>
            </w:pPr>
            <w:r>
              <w:rPr>
                <w:rFonts w:ascii="Arial" w:cs="Arial" w:eastAsia="Arial" w:hAnsi="Arial"/>
                <w:sz w:val="16"/>
                <w:szCs w:val="16"/>
                <w:i w:val="1"/>
                <w:iCs w:val="1"/>
                <w:color w:val="auto"/>
              </w:rPr>
              <w:t>www.virtualshareholdermeeting.com/CECE2022</w:t>
            </w:r>
          </w:p>
        </w:tc>
      </w:tr>
      <w:tr>
        <w:trPr>
          <w:trHeight w:val="221"/>
        </w:trPr>
        <w:tc>
          <w:tcPr>
            <w:tcW w:w="5380" w:type="dxa"/>
            <w:vAlign w:val="bottom"/>
            <w:shd w:val="clear" w:color="auto" w:fill="D2DEA7"/>
          </w:tcPr>
          <w:p>
            <w:pPr>
              <w:ind w:left="60"/>
              <w:spacing w:after="0"/>
              <w:rPr>
                <w:sz w:val="20"/>
                <w:szCs w:val="20"/>
                <w:color w:val="auto"/>
              </w:rPr>
            </w:pPr>
            <w:r>
              <w:rPr>
                <w:rFonts w:ascii="Arial" w:cs="Arial" w:eastAsia="Arial" w:hAnsi="Arial"/>
                <w:sz w:val="16"/>
                <w:szCs w:val="16"/>
                <w:b w:val="1"/>
                <w:bCs w:val="1"/>
                <w:color w:val="auto"/>
              </w:rPr>
              <w:t>Record Date:</w:t>
            </w:r>
          </w:p>
        </w:tc>
        <w:tc>
          <w:tcPr>
            <w:tcW w:w="5160" w:type="dxa"/>
            <w:vAlign w:val="bottom"/>
            <w:shd w:val="clear" w:color="auto" w:fill="D2DEA7"/>
          </w:tcPr>
          <w:p>
            <w:pPr>
              <w:ind w:left="100"/>
              <w:spacing w:after="0"/>
              <w:rPr>
                <w:sz w:val="20"/>
                <w:szCs w:val="20"/>
                <w:color w:val="auto"/>
              </w:rPr>
            </w:pPr>
            <w:r>
              <w:rPr>
                <w:rFonts w:ascii="Arial" w:cs="Arial" w:eastAsia="Arial" w:hAnsi="Arial"/>
                <w:sz w:val="16"/>
                <w:szCs w:val="16"/>
                <w:color w:val="auto"/>
              </w:rPr>
              <w:t>Stockholders of record at the close of business on April 11, 2022, are</w:t>
            </w:r>
          </w:p>
        </w:tc>
      </w:tr>
      <w:tr>
        <w:trPr>
          <w:trHeight w:val="181"/>
        </w:trPr>
        <w:tc>
          <w:tcPr>
            <w:tcW w:w="5380" w:type="dxa"/>
            <w:vAlign w:val="bottom"/>
            <w:shd w:val="clear" w:color="auto" w:fill="D2DEA7"/>
          </w:tcPr>
          <w:p>
            <w:pPr>
              <w:spacing w:after="0"/>
              <w:rPr>
                <w:sz w:val="15"/>
                <w:szCs w:val="15"/>
                <w:color w:val="auto"/>
              </w:rPr>
            </w:pPr>
          </w:p>
        </w:tc>
        <w:tc>
          <w:tcPr>
            <w:tcW w:w="5160" w:type="dxa"/>
            <w:vAlign w:val="bottom"/>
            <w:shd w:val="clear" w:color="auto" w:fill="D2DEA7"/>
          </w:tcPr>
          <w:p>
            <w:pPr>
              <w:ind w:left="100"/>
              <w:spacing w:after="0" w:line="181" w:lineRule="exact"/>
              <w:rPr>
                <w:sz w:val="20"/>
                <w:szCs w:val="20"/>
                <w:color w:val="auto"/>
              </w:rPr>
            </w:pPr>
            <w:r>
              <w:rPr>
                <w:rFonts w:ascii="Arial" w:cs="Arial" w:eastAsia="Arial" w:hAnsi="Arial"/>
                <w:sz w:val="16"/>
                <w:szCs w:val="16"/>
                <w:color w:val="auto"/>
                <w:w w:val="97"/>
              </w:rPr>
              <w:t>entitled to vote at the annual meeting of stockholders or any adjournment</w:t>
            </w:r>
          </w:p>
        </w:tc>
      </w:tr>
      <w:tr>
        <w:trPr>
          <w:trHeight w:val="225"/>
        </w:trPr>
        <w:tc>
          <w:tcPr>
            <w:tcW w:w="5380" w:type="dxa"/>
            <w:vAlign w:val="bottom"/>
            <w:tcBorders>
              <w:bottom w:val="single" w:sz="8" w:color="D2DEA7"/>
            </w:tcBorders>
            <w:shd w:val="clear" w:color="auto" w:fill="D2DEA7"/>
          </w:tcPr>
          <w:p>
            <w:pPr>
              <w:spacing w:after="0"/>
              <w:rPr>
                <w:sz w:val="19"/>
                <w:szCs w:val="19"/>
                <w:color w:val="auto"/>
              </w:rPr>
            </w:pPr>
          </w:p>
        </w:tc>
        <w:tc>
          <w:tcPr>
            <w:tcW w:w="5160" w:type="dxa"/>
            <w:vAlign w:val="bottom"/>
            <w:tcBorders>
              <w:bottom w:val="single" w:sz="8" w:color="D2DEA7"/>
            </w:tcBorders>
            <w:shd w:val="clear" w:color="auto" w:fill="D2DEA7"/>
          </w:tcPr>
          <w:p>
            <w:pPr>
              <w:ind w:left="100"/>
              <w:spacing w:after="0"/>
              <w:rPr>
                <w:sz w:val="20"/>
                <w:szCs w:val="20"/>
                <w:color w:val="auto"/>
              </w:rPr>
            </w:pPr>
            <w:r>
              <w:rPr>
                <w:rFonts w:ascii="Arial" w:cs="Arial" w:eastAsia="Arial" w:hAnsi="Arial"/>
                <w:sz w:val="16"/>
                <w:szCs w:val="16"/>
                <w:color w:val="auto"/>
              </w:rPr>
              <w:t>or postponement of the meeting (the “Annual Meeting”).</w:t>
            </w:r>
          </w:p>
        </w:tc>
      </w:tr>
      <w:tr>
        <w:trPr>
          <w:trHeight w:val="194"/>
        </w:trPr>
        <w:tc>
          <w:tcPr>
            <w:tcW w:w="5380" w:type="dxa"/>
            <w:vAlign w:val="bottom"/>
          </w:tcPr>
          <w:p>
            <w:pPr>
              <w:spacing w:after="0"/>
              <w:rPr>
                <w:sz w:val="16"/>
                <w:szCs w:val="16"/>
                <w:color w:val="auto"/>
              </w:rPr>
            </w:pPr>
          </w:p>
        </w:tc>
        <w:tc>
          <w:tcPr>
            <w:tcW w:w="5160" w:type="dxa"/>
            <w:vAlign w:val="bottom"/>
          </w:tcPr>
          <w:p>
            <w:pPr>
              <w:spacing w:after="0"/>
              <w:rPr>
                <w:sz w:val="16"/>
                <w:szCs w:val="16"/>
                <w:color w:val="auto"/>
              </w:rPr>
            </w:pPr>
          </w:p>
        </w:tc>
      </w:tr>
      <w:tr>
        <w:trPr>
          <w:trHeight w:val="265"/>
        </w:trPr>
        <w:tc>
          <w:tcPr>
            <w:tcW w:w="5380" w:type="dxa"/>
            <w:vAlign w:val="bottom"/>
            <w:tcBorders>
              <w:bottom w:val="single" w:sz="8" w:color="E8EED3"/>
            </w:tcBorders>
            <w:shd w:val="clear" w:color="auto" w:fill="E8EED3"/>
          </w:tcPr>
          <w:p>
            <w:pPr>
              <w:ind w:left="60"/>
              <w:spacing w:after="0"/>
              <w:rPr>
                <w:sz w:val="20"/>
                <w:szCs w:val="20"/>
                <w:color w:val="auto"/>
              </w:rPr>
            </w:pPr>
            <w:r>
              <w:rPr>
                <w:rFonts w:ascii="Arial" w:cs="Arial" w:eastAsia="Arial" w:hAnsi="Arial"/>
                <w:sz w:val="16"/>
                <w:szCs w:val="16"/>
                <w:b w:val="1"/>
                <w:bCs w:val="1"/>
                <w:color w:val="auto"/>
              </w:rPr>
              <w:t>Agenda:</w:t>
            </w:r>
          </w:p>
        </w:tc>
        <w:tc>
          <w:tcPr>
            <w:tcW w:w="5160" w:type="dxa"/>
            <w:vAlign w:val="bottom"/>
            <w:tcBorders>
              <w:bottom w:val="single" w:sz="8" w:color="E8EED3"/>
            </w:tcBorders>
            <w:shd w:val="clear" w:color="auto" w:fill="E8EED3"/>
          </w:tcPr>
          <w:p>
            <w:pPr>
              <w:ind w:left="100"/>
              <w:spacing w:after="0"/>
              <w:rPr>
                <w:sz w:val="20"/>
                <w:szCs w:val="20"/>
                <w:color w:val="auto"/>
              </w:rPr>
            </w:pPr>
            <w:r>
              <w:rPr>
                <w:rFonts w:ascii="Arial" w:cs="Arial" w:eastAsia="Arial" w:hAnsi="Arial"/>
                <w:sz w:val="16"/>
                <w:szCs w:val="16"/>
                <w:color w:val="auto"/>
              </w:rPr>
              <w:t xml:space="preserve">The Company </w:t>
            </w:r>
            <w:r>
              <w:rPr>
                <w:rFonts w:ascii="Arial" w:cs="Arial" w:eastAsia="Arial" w:hAnsi="Arial"/>
                <w:sz w:val="16"/>
                <w:szCs w:val="16"/>
                <w:b w:val="1"/>
                <w:bCs w:val="1"/>
                <w:color w:val="auto"/>
              </w:rPr>
              <w:t>recommends</w:t>
            </w:r>
            <w:r>
              <w:rPr>
                <w:rFonts w:ascii="Arial" w:cs="Arial" w:eastAsia="Arial" w:hAnsi="Arial"/>
                <w:sz w:val="16"/>
                <w:szCs w:val="16"/>
                <w:color w:val="auto"/>
              </w:rPr>
              <w:t xml:space="preserve"> that you vote as follows</w:t>
            </w:r>
          </w:p>
        </w:tc>
      </w:tr>
      <w:tr>
        <w:trPr>
          <w:trHeight w:val="265"/>
        </w:trPr>
        <w:tc>
          <w:tcPr>
            <w:tcW w:w="5380" w:type="dxa"/>
            <w:vAlign w:val="bottom"/>
            <w:tcBorders>
              <w:bottom w:val="single" w:sz="8" w:color="D2DEA7"/>
            </w:tcBorders>
            <w:shd w:val="clear" w:color="auto" w:fill="D2DEA7"/>
          </w:tcPr>
          <w:p>
            <w:pPr>
              <w:ind w:left="60"/>
              <w:spacing w:after="0"/>
              <w:rPr>
                <w:sz w:val="20"/>
                <w:szCs w:val="20"/>
                <w:color w:val="auto"/>
              </w:rPr>
            </w:pPr>
            <w:r>
              <w:rPr>
                <w:rFonts w:ascii="Arial" w:cs="Arial" w:eastAsia="Arial" w:hAnsi="Arial"/>
                <w:sz w:val="16"/>
                <w:szCs w:val="16"/>
                <w:b w:val="1"/>
                <w:bCs w:val="1"/>
                <w:color w:val="auto"/>
              </w:rPr>
              <w:t>Proposal 1</w:t>
            </w:r>
            <w:r>
              <w:rPr>
                <w:rFonts w:ascii="Arial" w:cs="Arial" w:eastAsia="Arial" w:hAnsi="Arial"/>
                <w:sz w:val="16"/>
                <w:szCs w:val="16"/>
                <w:color w:val="auto"/>
              </w:rPr>
              <w:t>: To elect seven directors for a one-year term.</w:t>
            </w:r>
          </w:p>
        </w:tc>
        <w:tc>
          <w:tcPr>
            <w:tcW w:w="5160" w:type="dxa"/>
            <w:vAlign w:val="bottom"/>
            <w:tcBorders>
              <w:bottom w:val="single" w:sz="8" w:color="D2DEA7"/>
            </w:tcBorders>
            <w:shd w:val="clear" w:color="auto" w:fill="D2DEA7"/>
          </w:tcPr>
          <w:p>
            <w:pPr>
              <w:ind w:left="10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each director nominee.</w:t>
            </w:r>
          </w:p>
        </w:tc>
      </w:tr>
      <w:tr>
        <w:trPr>
          <w:trHeight w:val="221"/>
        </w:trPr>
        <w:tc>
          <w:tcPr>
            <w:tcW w:w="5380" w:type="dxa"/>
            <w:vAlign w:val="bottom"/>
            <w:shd w:val="clear" w:color="auto" w:fill="E8EED3"/>
          </w:tcPr>
          <w:p>
            <w:pPr>
              <w:ind w:left="60"/>
              <w:spacing w:after="0"/>
              <w:rPr>
                <w:sz w:val="20"/>
                <w:szCs w:val="20"/>
                <w:color w:val="auto"/>
              </w:rPr>
            </w:pPr>
            <w:r>
              <w:rPr>
                <w:rFonts w:ascii="Arial" w:cs="Arial" w:eastAsia="Arial" w:hAnsi="Arial"/>
                <w:sz w:val="16"/>
                <w:szCs w:val="16"/>
                <w:b w:val="1"/>
                <w:bCs w:val="1"/>
                <w:color w:val="auto"/>
              </w:rPr>
              <w:t>Proposal 2</w:t>
            </w:r>
            <w:r>
              <w:rPr>
                <w:rFonts w:ascii="Arial" w:cs="Arial" w:eastAsia="Arial" w:hAnsi="Arial"/>
                <w:sz w:val="16"/>
                <w:szCs w:val="16"/>
                <w:color w:val="auto"/>
              </w:rPr>
              <w:t>: To approve, on an advisory basis, the compensation of our</w:t>
            </w:r>
          </w:p>
        </w:tc>
        <w:tc>
          <w:tcPr>
            <w:tcW w:w="5160" w:type="dxa"/>
            <w:vAlign w:val="bottom"/>
            <w:shd w:val="clear" w:color="auto" w:fill="E8EED3"/>
          </w:tcPr>
          <w:p>
            <w:pPr>
              <w:ind w:left="10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an advisory basis, of the compensation of our</w:t>
            </w:r>
          </w:p>
        </w:tc>
      </w:tr>
      <w:tr>
        <w:trPr>
          <w:trHeight w:val="225"/>
        </w:trPr>
        <w:tc>
          <w:tcPr>
            <w:tcW w:w="5380" w:type="dxa"/>
            <w:vAlign w:val="bottom"/>
            <w:tcBorders>
              <w:bottom w:val="single" w:sz="8" w:color="E8EED3"/>
            </w:tcBorders>
            <w:shd w:val="clear" w:color="auto" w:fill="E8EED3"/>
          </w:tcPr>
          <w:p>
            <w:pPr>
              <w:ind w:left="60"/>
              <w:spacing w:after="0"/>
              <w:rPr>
                <w:sz w:val="20"/>
                <w:szCs w:val="20"/>
                <w:color w:val="auto"/>
              </w:rPr>
            </w:pPr>
            <w:r>
              <w:rPr>
                <w:rFonts w:ascii="Arial" w:cs="Arial" w:eastAsia="Arial" w:hAnsi="Arial"/>
                <w:sz w:val="16"/>
                <w:szCs w:val="16"/>
                <w:color w:val="auto"/>
              </w:rPr>
              <w:t>named executive officers.</w:t>
            </w:r>
          </w:p>
        </w:tc>
        <w:tc>
          <w:tcPr>
            <w:tcW w:w="5160" w:type="dxa"/>
            <w:vAlign w:val="bottom"/>
            <w:tcBorders>
              <w:bottom w:val="single" w:sz="8" w:color="E8EED3"/>
            </w:tcBorders>
            <w:shd w:val="clear" w:color="auto" w:fill="E8EED3"/>
          </w:tcPr>
          <w:p>
            <w:pPr>
              <w:ind w:left="100"/>
              <w:spacing w:after="0"/>
              <w:rPr>
                <w:sz w:val="20"/>
                <w:szCs w:val="20"/>
                <w:color w:val="auto"/>
              </w:rPr>
            </w:pPr>
            <w:r>
              <w:rPr>
                <w:rFonts w:ascii="Arial" w:cs="Arial" w:eastAsia="Arial" w:hAnsi="Arial"/>
                <w:sz w:val="16"/>
                <w:szCs w:val="16"/>
                <w:color w:val="auto"/>
              </w:rPr>
              <w:t>named executive officers.</w:t>
            </w:r>
          </w:p>
        </w:tc>
      </w:tr>
      <w:tr>
        <w:trPr>
          <w:trHeight w:val="221"/>
        </w:trPr>
        <w:tc>
          <w:tcPr>
            <w:tcW w:w="5380" w:type="dxa"/>
            <w:vAlign w:val="bottom"/>
            <w:shd w:val="clear" w:color="auto" w:fill="D2DEA7"/>
          </w:tcPr>
          <w:p>
            <w:pPr>
              <w:ind w:left="60"/>
              <w:spacing w:after="0"/>
              <w:rPr>
                <w:sz w:val="20"/>
                <w:szCs w:val="20"/>
                <w:color w:val="auto"/>
              </w:rPr>
            </w:pPr>
            <w:r>
              <w:rPr>
                <w:rFonts w:ascii="Arial" w:cs="Arial" w:eastAsia="Arial" w:hAnsi="Arial"/>
                <w:sz w:val="16"/>
                <w:szCs w:val="16"/>
                <w:b w:val="1"/>
                <w:bCs w:val="1"/>
                <w:color w:val="auto"/>
                <w:w w:val="98"/>
              </w:rPr>
              <w:t>Proposal 3</w:t>
            </w:r>
            <w:r>
              <w:rPr>
                <w:rFonts w:ascii="Arial" w:cs="Arial" w:eastAsia="Arial" w:hAnsi="Arial"/>
                <w:sz w:val="16"/>
                <w:szCs w:val="16"/>
                <w:color w:val="auto"/>
                <w:w w:val="98"/>
              </w:rPr>
              <w:t>: To ratify the appointment of BDO USA, LLP as our independent</w:t>
            </w:r>
          </w:p>
        </w:tc>
        <w:tc>
          <w:tcPr>
            <w:tcW w:w="5160" w:type="dxa"/>
            <w:vAlign w:val="bottom"/>
            <w:shd w:val="clear" w:color="auto" w:fill="D2DEA7"/>
          </w:tcPr>
          <w:p>
            <w:pPr>
              <w:ind w:left="10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BDO USA, LLP as our</w:t>
            </w:r>
          </w:p>
        </w:tc>
      </w:tr>
      <w:tr>
        <w:trPr>
          <w:trHeight w:val="204"/>
        </w:trPr>
        <w:tc>
          <w:tcPr>
            <w:tcW w:w="5380" w:type="dxa"/>
            <w:vAlign w:val="bottom"/>
            <w:shd w:val="clear" w:color="auto" w:fill="D2DEA7"/>
          </w:tcPr>
          <w:p>
            <w:pPr>
              <w:ind w:left="60"/>
              <w:spacing w:after="0"/>
              <w:rPr>
                <w:sz w:val="20"/>
                <w:szCs w:val="20"/>
                <w:color w:val="auto"/>
              </w:rPr>
            </w:pPr>
            <w:r>
              <w:rPr>
                <w:rFonts w:ascii="Arial" w:cs="Arial" w:eastAsia="Arial" w:hAnsi="Arial"/>
                <w:sz w:val="16"/>
                <w:szCs w:val="16"/>
                <w:color w:val="auto"/>
              </w:rPr>
              <w:t>registered public accounting firm for 2022.</w:t>
            </w:r>
          </w:p>
        </w:tc>
        <w:tc>
          <w:tcPr>
            <w:tcW w:w="5160" w:type="dxa"/>
            <w:vAlign w:val="bottom"/>
            <w:shd w:val="clear" w:color="auto" w:fill="D2DEA7"/>
          </w:tcPr>
          <w:p>
            <w:pPr>
              <w:ind w:left="100"/>
              <w:spacing w:after="0"/>
              <w:rPr>
                <w:sz w:val="20"/>
                <w:szCs w:val="20"/>
                <w:color w:val="auto"/>
              </w:rPr>
            </w:pPr>
            <w:r>
              <w:rPr>
                <w:rFonts w:ascii="Arial" w:cs="Arial" w:eastAsia="Arial" w:hAnsi="Arial"/>
                <w:sz w:val="16"/>
                <w:szCs w:val="16"/>
                <w:color w:val="auto"/>
              </w:rPr>
              <w:t>independent registered public accounting firm for 2022.</w:t>
            </w:r>
          </w:p>
        </w:tc>
      </w:tr>
      <w:tr>
        <w:trPr>
          <w:trHeight w:val="41"/>
        </w:trPr>
        <w:tc>
          <w:tcPr>
            <w:tcW w:w="5380" w:type="dxa"/>
            <w:vAlign w:val="bottom"/>
            <w:shd w:val="clear" w:color="auto" w:fill="D2DEA7"/>
          </w:tcPr>
          <w:p>
            <w:pPr>
              <w:spacing w:after="0"/>
              <w:rPr>
                <w:sz w:val="3"/>
                <w:szCs w:val="3"/>
                <w:color w:val="auto"/>
              </w:rPr>
            </w:pPr>
          </w:p>
        </w:tc>
        <w:tc>
          <w:tcPr>
            <w:tcW w:w="5160" w:type="dxa"/>
            <w:vAlign w:val="bottom"/>
            <w:shd w:val="clear" w:color="auto" w:fill="D2DEA7"/>
          </w:tcPr>
          <w:p>
            <w:pPr>
              <w:spacing w:after="0"/>
              <w:rPr>
                <w:sz w:val="3"/>
                <w:szCs w:val="3"/>
                <w:color w:val="auto"/>
              </w:rPr>
            </w:pPr>
          </w:p>
        </w:tc>
      </w:tr>
    </w:tbl>
    <w:p>
      <w:pPr>
        <w:spacing w:after="0" w:line="19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will also transact such other business as may properly come before the Annual Meeting.</w:t>
      </w:r>
    </w:p>
    <w:p>
      <w:pPr>
        <w:spacing w:after="0" w:line="204" w:lineRule="exact"/>
        <w:rPr>
          <w:sz w:val="20"/>
          <w:szCs w:val="20"/>
          <w:color w:val="auto"/>
        </w:rPr>
      </w:pPr>
    </w:p>
    <w:p>
      <w:pPr>
        <w:ind w:left="340" w:right="20"/>
        <w:spacing w:after="0" w:line="282" w:lineRule="auto"/>
        <w:rPr>
          <w:sz w:val="20"/>
          <w:szCs w:val="20"/>
          <w:color w:val="auto"/>
        </w:rPr>
      </w:pPr>
      <w:r>
        <w:rPr>
          <w:rFonts w:ascii="Arial" w:cs="Arial" w:eastAsia="Arial" w:hAnsi="Arial"/>
          <w:sz w:val="14"/>
          <w:szCs w:val="14"/>
          <w:color w:val="auto"/>
        </w:rPr>
        <w:t>We are taking advantage of the Securities and Exchange Commission (“SEC”) rules allowing us to furnish proxy materials to stockholders on the internet. We believe that this method of delivery is more efficient and reduces the environmental impact of our Annual Meeting. Accordingly, we are mailing to stockholders a Notice of Internet Availability of Proxy Materials containing instructions on how to access and review our proxy materials, and to vote online. The proxy materials consist of: (1) this Notice of 2022 Annual Meeting of Stockholders; (2) the Proxy Statement for the Annual Meeting (the “Proxy Statement”); and (3) the CECO Environmental Corp. 2021 Annual Report to Stockholders. If you would like to receive a paper copy of our proxy materials, please follow the instructions for requesting these materials in the Notice of Internet Availability of Proxy Materials or in the Proxy Statement.</w:t>
      </w:r>
    </w:p>
    <w:p>
      <w:pPr>
        <w:spacing w:after="0" w:line="159" w:lineRule="exact"/>
        <w:rPr>
          <w:sz w:val="20"/>
          <w:szCs w:val="20"/>
          <w:color w:val="auto"/>
        </w:rPr>
      </w:pPr>
    </w:p>
    <w:p>
      <w:pPr>
        <w:ind w:left="340" w:right="140"/>
        <w:spacing w:after="0" w:line="249" w:lineRule="auto"/>
        <w:rPr>
          <w:sz w:val="20"/>
          <w:szCs w:val="20"/>
          <w:color w:val="auto"/>
        </w:rPr>
      </w:pPr>
      <w:r>
        <w:rPr>
          <w:rFonts w:ascii="Arial" w:cs="Arial" w:eastAsia="Arial" w:hAnsi="Arial"/>
          <w:sz w:val="16"/>
          <w:szCs w:val="16"/>
          <w:color w:val="auto"/>
        </w:rPr>
        <w:t>This Proxy Statement is furnished in connection with the solicitation by the Board of Directors of CECO Environmental Corp., a Delaware corporation (“we,” “us,” “our,” or the “Company”), of proxies to be voted at the Annual Meeting to be held via webcast at 8:00 a.m., Central Time, on June 8, 2022, or any postponement or adjournment thereof.</w:t>
      </w:r>
    </w:p>
    <w:p>
      <w:pPr>
        <w:spacing w:after="0" w:line="178" w:lineRule="exact"/>
        <w:rPr>
          <w:sz w:val="20"/>
          <w:szCs w:val="20"/>
          <w:color w:val="auto"/>
        </w:rPr>
      </w:pPr>
    </w:p>
    <w:p>
      <w:pPr>
        <w:ind w:left="340" w:right="360"/>
        <w:spacing w:after="0" w:line="262" w:lineRule="auto"/>
        <w:rPr>
          <w:sz w:val="20"/>
          <w:szCs w:val="20"/>
          <w:color w:val="auto"/>
        </w:rPr>
      </w:pPr>
      <w:r>
        <w:rPr>
          <w:rFonts w:ascii="Arial" w:cs="Arial" w:eastAsia="Arial" w:hAnsi="Arial"/>
          <w:sz w:val="16"/>
          <w:szCs w:val="16"/>
          <w:color w:val="auto"/>
        </w:rPr>
        <w:t>For more information about the Annual Meeting, please refer to the “Additional Information About the Annual Meeting” section on the first page of the proxy statement.</w:t>
      </w:r>
    </w:p>
    <w:p>
      <w:pPr>
        <w:spacing w:after="0" w:line="189"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140970</wp:posOffset>
            </wp:positionV>
            <wp:extent cx="1363345" cy="44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63345" cy="44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Jason DeZwirek</w:t>
      </w:r>
    </w:p>
    <w:p>
      <w:pPr>
        <w:spacing w:after="0" w:line="15"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Chairman of the Board of Directors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April 29, 2022</w:t>
      </w:r>
    </w:p>
    <w:p>
      <w:pPr>
        <w:spacing w:after="0" w:line="200" w:lineRule="exact"/>
        <w:rPr>
          <w:sz w:val="20"/>
          <w:szCs w:val="20"/>
          <w:color w:val="auto"/>
        </w:rPr>
      </w:pPr>
    </w:p>
    <w:p>
      <w:pPr>
        <w:spacing w:after="0" w:line="295" w:lineRule="exact"/>
        <w:rPr>
          <w:sz w:val="20"/>
          <w:szCs w:val="20"/>
          <w:color w:val="auto"/>
        </w:rPr>
      </w:pPr>
    </w:p>
    <w:p>
      <w:pPr>
        <w:ind w:left="9140"/>
        <w:spacing w:after="0"/>
        <w:rPr>
          <w:sz w:val="20"/>
          <w:szCs w:val="20"/>
          <w:color w:val="auto"/>
        </w:rPr>
      </w:pPr>
      <w:r>
        <w:rPr>
          <w:rFonts w:ascii="Arial" w:cs="Arial" w:eastAsia="Arial" w:hAnsi="Arial"/>
          <w:sz w:val="16"/>
          <w:szCs w:val="16"/>
          <w:color w:val="262626"/>
        </w:rPr>
        <w:t>2022 Proxy Statement •</w:t>
      </w:r>
    </w:p>
    <w:p>
      <w:pPr>
        <w:sectPr>
          <w:pgSz w:w="11900" w:h="16838" w:orient="portrait"/>
          <w:cols w:equalWidth="0" w:num="1">
            <w:col w:w="10900"/>
          </w:cols>
          <w:pgMar w:left="320" w:top="443" w:right="6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41659C"/>
        </w:rPr>
        <w:t>Table of Contents</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14"/>
        </w:trPr>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408"/>
        </w:trPr>
        <w:tc>
          <w:tcPr>
            <w:tcW w:w="9320" w:type="dxa"/>
            <w:vAlign w:val="bottom"/>
            <w:gridSpan w:val="26"/>
          </w:tcPr>
          <w:p>
            <w:pPr>
              <w:spacing w:after="0"/>
              <w:rPr>
                <w:sz w:val="20"/>
                <w:szCs w:val="20"/>
                <w:color w:val="auto"/>
              </w:rPr>
            </w:pPr>
            <w:r>
              <w:rPr>
                <w:rFonts w:ascii="Arial" w:cs="Arial" w:eastAsia="Arial" w:hAnsi="Arial"/>
                <w:sz w:val="16"/>
                <w:szCs w:val="16"/>
                <w:b w:val="1"/>
                <w:bCs w:val="1"/>
                <w:color w:val="0000EE"/>
              </w:rPr>
              <w:t>INFORMATION ABOUT THE ANNUAL MEETING</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41659C"/>
              </w:rPr>
              <w:t>1</w:t>
            </w:r>
          </w:p>
        </w:tc>
        <w:tc>
          <w:tcPr>
            <w:tcW w:w="0" w:type="dxa"/>
            <w:vAlign w:val="bottom"/>
          </w:tcPr>
          <w:p>
            <w:pPr>
              <w:spacing w:after="0"/>
              <w:rPr>
                <w:sz w:val="1"/>
                <w:szCs w:val="1"/>
                <w:color w:val="auto"/>
              </w:rPr>
            </w:pPr>
          </w:p>
        </w:tc>
      </w:tr>
      <w:tr>
        <w:trPr>
          <w:trHeight w:val="433"/>
        </w:trPr>
        <w:tc>
          <w:tcPr>
            <w:tcW w:w="3480" w:type="dxa"/>
            <w:vAlign w:val="bottom"/>
            <w:tcBorders>
              <w:top w:val="single" w:sz="8" w:color="0000EE"/>
            </w:tcBorders>
            <w:gridSpan w:val="18"/>
          </w:tcPr>
          <w:p>
            <w:pPr>
              <w:spacing w:after="0"/>
              <w:rPr>
                <w:sz w:val="20"/>
                <w:szCs w:val="20"/>
                <w:color w:val="auto"/>
              </w:rPr>
            </w:pPr>
            <w:r>
              <w:rPr>
                <w:rFonts w:ascii="Arial" w:cs="Arial" w:eastAsia="Arial" w:hAnsi="Arial"/>
                <w:sz w:val="16"/>
                <w:szCs w:val="16"/>
                <w:b w:val="1"/>
                <w:bCs w:val="1"/>
                <w:color w:val="0000EE"/>
              </w:rPr>
              <w:t>PROPOSAL 1 ELECTION OF DIRECTORS</w:t>
            </w:r>
          </w:p>
        </w:tc>
        <w:tc>
          <w:tcPr>
            <w:tcW w:w="5840" w:type="dxa"/>
            <w:vAlign w:val="bottom"/>
            <w:gridSpan w:val="8"/>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41659C"/>
              </w:rPr>
              <w:t>2</w:t>
            </w:r>
          </w:p>
        </w:tc>
        <w:tc>
          <w:tcPr>
            <w:tcW w:w="0" w:type="dxa"/>
            <w:vAlign w:val="bottom"/>
          </w:tcPr>
          <w:p>
            <w:pPr>
              <w:spacing w:after="0"/>
              <w:rPr>
                <w:sz w:val="1"/>
                <w:szCs w:val="1"/>
                <w:color w:val="auto"/>
              </w:rPr>
            </w:pPr>
          </w:p>
        </w:tc>
      </w:tr>
      <w:tr>
        <w:trPr>
          <w:trHeight w:val="161"/>
        </w:trPr>
        <w:tc>
          <w:tcPr>
            <w:tcW w:w="320" w:type="dxa"/>
            <w:vAlign w:val="bottom"/>
            <w:tcBorders>
              <w:top w:val="single" w:sz="8" w:color="0000EE"/>
            </w:tcBorders>
          </w:tcPr>
          <w:p>
            <w:pPr>
              <w:spacing w:after="0"/>
              <w:rPr>
                <w:sz w:val="14"/>
                <w:szCs w:val="14"/>
                <w:color w:val="auto"/>
              </w:rPr>
            </w:pPr>
          </w:p>
        </w:tc>
        <w:tc>
          <w:tcPr>
            <w:tcW w:w="1680" w:type="dxa"/>
            <w:vAlign w:val="bottom"/>
            <w:tcBorders>
              <w:top w:val="single" w:sz="8" w:color="0000EE"/>
              <w:bottom w:val="single" w:sz="8" w:color="0000EE"/>
            </w:tcBorders>
            <w:gridSpan w:val="5"/>
          </w:tcPr>
          <w:p>
            <w:pPr>
              <w:spacing w:after="0" w:line="161" w:lineRule="exact"/>
              <w:rPr>
                <w:sz w:val="20"/>
                <w:szCs w:val="20"/>
                <w:color w:val="auto"/>
              </w:rPr>
            </w:pPr>
            <w:r>
              <w:rPr>
                <w:rFonts w:ascii="Arial" w:cs="Arial" w:eastAsia="Arial" w:hAnsi="Arial"/>
                <w:sz w:val="16"/>
                <w:szCs w:val="16"/>
                <w:color w:val="0000EE"/>
                <w:w w:val="96"/>
              </w:rPr>
              <w:t>Directors and Nominees</w:t>
            </w:r>
          </w:p>
        </w:tc>
        <w:tc>
          <w:tcPr>
            <w:tcW w:w="1040" w:type="dxa"/>
            <w:vAlign w:val="bottom"/>
            <w:tcBorders>
              <w:top w:val="single" w:sz="8" w:color="0000EE"/>
            </w:tcBorders>
            <w:gridSpan w:val="10"/>
          </w:tcPr>
          <w:p>
            <w:pPr>
              <w:spacing w:after="0"/>
              <w:rPr>
                <w:sz w:val="14"/>
                <w:szCs w:val="14"/>
                <w:color w:val="auto"/>
              </w:rPr>
            </w:pPr>
          </w:p>
        </w:tc>
        <w:tc>
          <w:tcPr>
            <w:tcW w:w="6280" w:type="dxa"/>
            <w:vAlign w:val="bottom"/>
            <w:gridSpan w:val="10"/>
          </w:tcPr>
          <w:p>
            <w:pPr>
              <w:spacing w:after="0"/>
              <w:rPr>
                <w:sz w:val="14"/>
                <w:szCs w:val="14"/>
                <w:color w:val="auto"/>
              </w:rPr>
            </w:pPr>
          </w:p>
        </w:tc>
        <w:tc>
          <w:tcPr>
            <w:tcW w:w="1200" w:type="dxa"/>
            <w:vAlign w:val="bottom"/>
          </w:tcPr>
          <w:p>
            <w:pPr>
              <w:jc w:val="right"/>
              <w:spacing w:after="0" w:line="161"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1"/>
        </w:trPr>
        <w:tc>
          <w:tcPr>
            <w:tcW w:w="320" w:type="dxa"/>
            <w:vAlign w:val="bottom"/>
          </w:tcPr>
          <w:p>
            <w:pPr>
              <w:spacing w:after="0"/>
              <w:rPr>
                <w:sz w:val="14"/>
                <w:szCs w:val="14"/>
                <w:color w:val="auto"/>
              </w:rPr>
            </w:pPr>
          </w:p>
        </w:tc>
        <w:tc>
          <w:tcPr>
            <w:tcW w:w="2100" w:type="dxa"/>
            <w:vAlign w:val="bottom"/>
            <w:tcBorders>
              <w:bottom w:val="single" w:sz="8" w:color="0000EE"/>
            </w:tcBorders>
            <w:gridSpan w:val="9"/>
          </w:tcPr>
          <w:p>
            <w:pPr>
              <w:spacing w:after="0" w:line="161" w:lineRule="exact"/>
              <w:rPr>
                <w:sz w:val="20"/>
                <w:szCs w:val="20"/>
                <w:color w:val="auto"/>
              </w:rPr>
            </w:pPr>
            <w:r>
              <w:rPr>
                <w:rFonts w:ascii="Arial" w:cs="Arial" w:eastAsia="Arial" w:hAnsi="Arial"/>
                <w:sz w:val="16"/>
                <w:szCs w:val="16"/>
                <w:color w:val="0000EE"/>
                <w:w w:val="96"/>
              </w:rPr>
              <w:t>Our Board and Its Committees</w:t>
            </w:r>
          </w:p>
        </w:tc>
        <w:tc>
          <w:tcPr>
            <w:tcW w:w="6900" w:type="dxa"/>
            <w:vAlign w:val="bottom"/>
            <w:gridSpan w:val="16"/>
          </w:tcPr>
          <w:p>
            <w:pPr>
              <w:spacing w:after="0"/>
              <w:rPr>
                <w:sz w:val="14"/>
                <w:szCs w:val="14"/>
                <w:color w:val="auto"/>
              </w:rPr>
            </w:pPr>
          </w:p>
        </w:tc>
        <w:tc>
          <w:tcPr>
            <w:tcW w:w="1200" w:type="dxa"/>
            <w:vAlign w:val="bottom"/>
          </w:tcPr>
          <w:p>
            <w:pPr>
              <w:jc w:val="right"/>
              <w:spacing w:after="0" w:line="161"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1"/>
        </w:trPr>
        <w:tc>
          <w:tcPr>
            <w:tcW w:w="320" w:type="dxa"/>
            <w:vAlign w:val="bottom"/>
          </w:tcPr>
          <w:p>
            <w:pPr>
              <w:spacing w:after="0"/>
              <w:rPr>
                <w:sz w:val="14"/>
                <w:szCs w:val="14"/>
                <w:color w:val="auto"/>
              </w:rPr>
            </w:pPr>
          </w:p>
        </w:tc>
        <w:tc>
          <w:tcPr>
            <w:tcW w:w="1980" w:type="dxa"/>
            <w:vAlign w:val="bottom"/>
            <w:tcBorders>
              <w:bottom w:val="single" w:sz="8" w:color="0000EE"/>
            </w:tcBorders>
            <w:gridSpan w:val="8"/>
          </w:tcPr>
          <w:p>
            <w:pPr>
              <w:spacing w:after="0" w:line="161" w:lineRule="exact"/>
              <w:rPr>
                <w:sz w:val="20"/>
                <w:szCs w:val="20"/>
                <w:color w:val="auto"/>
              </w:rPr>
            </w:pPr>
            <w:r>
              <w:rPr>
                <w:rFonts w:ascii="Arial" w:cs="Arial" w:eastAsia="Arial" w:hAnsi="Arial"/>
                <w:sz w:val="16"/>
                <w:szCs w:val="16"/>
                <w:color w:val="0000EE"/>
                <w:w w:val="96"/>
              </w:rPr>
              <w:t>2021 Director Compensation</w:t>
            </w:r>
          </w:p>
        </w:tc>
        <w:tc>
          <w:tcPr>
            <w:tcW w:w="7020" w:type="dxa"/>
            <w:vAlign w:val="bottom"/>
            <w:gridSpan w:val="17"/>
          </w:tcPr>
          <w:p>
            <w:pPr>
              <w:spacing w:after="0"/>
              <w:rPr>
                <w:sz w:val="14"/>
                <w:szCs w:val="14"/>
                <w:color w:val="auto"/>
              </w:rPr>
            </w:pPr>
          </w:p>
        </w:tc>
        <w:tc>
          <w:tcPr>
            <w:tcW w:w="1200" w:type="dxa"/>
            <w:vAlign w:val="bottom"/>
          </w:tcPr>
          <w:p>
            <w:pPr>
              <w:jc w:val="right"/>
              <w:spacing w:after="0" w:line="161"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61"/>
        </w:trPr>
        <w:tc>
          <w:tcPr>
            <w:tcW w:w="320" w:type="dxa"/>
            <w:vAlign w:val="bottom"/>
          </w:tcPr>
          <w:p>
            <w:pPr>
              <w:spacing w:after="0"/>
              <w:rPr>
                <w:sz w:val="14"/>
                <w:szCs w:val="14"/>
                <w:color w:val="auto"/>
              </w:rPr>
            </w:pPr>
          </w:p>
        </w:tc>
        <w:tc>
          <w:tcPr>
            <w:tcW w:w="9000" w:type="dxa"/>
            <w:vAlign w:val="bottom"/>
            <w:gridSpan w:val="25"/>
          </w:tcPr>
          <w:p>
            <w:pPr>
              <w:spacing w:after="0" w:line="161" w:lineRule="exact"/>
              <w:rPr>
                <w:sz w:val="20"/>
                <w:szCs w:val="20"/>
                <w:color w:val="auto"/>
              </w:rPr>
            </w:pPr>
            <w:r>
              <w:rPr>
                <w:rFonts w:ascii="Arial" w:cs="Arial" w:eastAsia="Arial" w:hAnsi="Arial"/>
                <w:sz w:val="16"/>
                <w:szCs w:val="16"/>
                <w:color w:val="0000EE"/>
              </w:rPr>
              <w:t>Certain Transactions</w:t>
            </w:r>
          </w:p>
        </w:tc>
        <w:tc>
          <w:tcPr>
            <w:tcW w:w="1200" w:type="dxa"/>
            <w:vAlign w:val="bottom"/>
          </w:tcPr>
          <w:p>
            <w:pPr>
              <w:jc w:val="right"/>
              <w:spacing w:after="0" w:line="161"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vMerge w:val="restart"/>
          </w:tcPr>
          <w:p>
            <w:pPr>
              <w:jc w:val="right"/>
              <w:spacing w:after="0" w:line="181" w:lineRule="exact"/>
              <w:rPr>
                <w:sz w:val="20"/>
                <w:szCs w:val="20"/>
                <w:color w:val="auto"/>
              </w:rPr>
            </w:pPr>
            <w:r>
              <w:rPr>
                <w:rFonts w:ascii="Arial" w:cs="Arial" w:eastAsia="Arial" w:hAnsi="Arial"/>
                <w:sz w:val="16"/>
                <w:szCs w:val="16"/>
                <w:color w:val="auto"/>
              </w:rPr>
              <w:t>14</w:t>
            </w:r>
          </w:p>
        </w:tc>
        <w:tc>
          <w:tcPr>
            <w:tcW w:w="0" w:type="dxa"/>
            <w:vAlign w:val="bottom"/>
          </w:tcPr>
          <w:p>
            <w:pPr>
              <w:spacing w:after="0" w:line="20" w:lineRule="exact"/>
              <w:rPr>
                <w:sz w:val="1"/>
                <w:szCs w:val="1"/>
                <w:color w:val="auto"/>
              </w:rPr>
            </w:pPr>
          </w:p>
        </w:tc>
      </w:tr>
      <w:tr>
        <w:trPr>
          <w:trHeight w:val="161"/>
        </w:trPr>
        <w:tc>
          <w:tcPr>
            <w:tcW w:w="320" w:type="dxa"/>
            <w:vAlign w:val="bottom"/>
          </w:tcPr>
          <w:p>
            <w:pPr>
              <w:spacing w:after="0"/>
              <w:rPr>
                <w:sz w:val="14"/>
                <w:szCs w:val="14"/>
                <w:color w:val="auto"/>
              </w:rPr>
            </w:pPr>
          </w:p>
        </w:tc>
        <w:tc>
          <w:tcPr>
            <w:tcW w:w="2980" w:type="dxa"/>
            <w:vAlign w:val="bottom"/>
            <w:tcBorders>
              <w:bottom w:val="single" w:sz="8" w:color="0000EE"/>
            </w:tcBorders>
            <w:gridSpan w:val="16"/>
          </w:tcPr>
          <w:p>
            <w:pPr>
              <w:spacing w:after="0" w:line="161" w:lineRule="exact"/>
              <w:rPr>
                <w:sz w:val="20"/>
                <w:szCs w:val="20"/>
                <w:color w:val="auto"/>
              </w:rPr>
            </w:pPr>
            <w:r>
              <w:rPr>
                <w:rFonts w:ascii="Arial" w:cs="Arial" w:eastAsia="Arial" w:hAnsi="Arial"/>
                <w:sz w:val="16"/>
                <w:szCs w:val="16"/>
                <w:color w:val="0000EE"/>
                <w:w w:val="96"/>
              </w:rPr>
              <w:t>COVID-19 Response and Employee Safety</w:t>
            </w:r>
          </w:p>
        </w:tc>
        <w:tc>
          <w:tcPr>
            <w:tcW w:w="6020" w:type="dxa"/>
            <w:vAlign w:val="bottom"/>
            <w:gridSpan w:val="9"/>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9320" w:type="dxa"/>
            <w:vAlign w:val="bottom"/>
            <w:gridSpan w:val="26"/>
          </w:tcPr>
          <w:p>
            <w:pPr>
              <w:spacing w:after="0"/>
              <w:rPr>
                <w:sz w:val="20"/>
                <w:szCs w:val="20"/>
                <w:color w:val="auto"/>
              </w:rPr>
            </w:pPr>
            <w:r>
              <w:rPr>
                <w:rFonts w:ascii="Arial" w:cs="Arial" w:eastAsia="Arial" w:hAnsi="Arial"/>
                <w:sz w:val="16"/>
                <w:szCs w:val="16"/>
                <w:b w:val="1"/>
                <w:bCs w:val="1"/>
                <w:color w:val="0000EE"/>
              </w:rPr>
              <w:t>EXECUTIVE COMPENSATION</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41659C"/>
              </w:rPr>
              <w:t>15</w:t>
            </w:r>
          </w:p>
        </w:tc>
        <w:tc>
          <w:tcPr>
            <w:tcW w:w="0" w:type="dxa"/>
            <w:vAlign w:val="bottom"/>
          </w:tcPr>
          <w:p>
            <w:pPr>
              <w:spacing w:after="0"/>
              <w:rPr>
                <w:sz w:val="1"/>
                <w:szCs w:val="1"/>
                <w:color w:val="auto"/>
              </w:rPr>
            </w:pPr>
          </w:p>
        </w:tc>
      </w:tr>
      <w:tr>
        <w:trPr>
          <w:trHeight w:val="161"/>
        </w:trPr>
        <w:tc>
          <w:tcPr>
            <w:tcW w:w="320" w:type="dxa"/>
            <w:vAlign w:val="bottom"/>
            <w:tcBorders>
              <w:top w:val="single" w:sz="8" w:color="0000EE"/>
            </w:tcBorders>
          </w:tcPr>
          <w:p>
            <w:pPr>
              <w:spacing w:after="0"/>
              <w:rPr>
                <w:sz w:val="14"/>
                <w:szCs w:val="14"/>
                <w:color w:val="auto"/>
              </w:rPr>
            </w:pPr>
          </w:p>
        </w:tc>
        <w:tc>
          <w:tcPr>
            <w:tcW w:w="1800" w:type="dxa"/>
            <w:vAlign w:val="bottom"/>
            <w:tcBorders>
              <w:top w:val="single" w:sz="8" w:color="0000EE"/>
              <w:bottom w:val="single" w:sz="8" w:color="0000EE"/>
            </w:tcBorders>
            <w:gridSpan w:val="6"/>
          </w:tcPr>
          <w:p>
            <w:pPr>
              <w:spacing w:after="0" w:line="161" w:lineRule="exact"/>
              <w:rPr>
                <w:sz w:val="20"/>
                <w:szCs w:val="20"/>
                <w:color w:val="auto"/>
              </w:rPr>
            </w:pPr>
            <w:r>
              <w:rPr>
                <w:rFonts w:ascii="Arial" w:cs="Arial" w:eastAsia="Arial" w:hAnsi="Arial"/>
                <w:sz w:val="16"/>
                <w:szCs w:val="16"/>
                <w:color w:val="0000EE"/>
                <w:w w:val="96"/>
              </w:rPr>
              <w:t>Compensation Discussion</w:t>
            </w:r>
          </w:p>
        </w:tc>
        <w:tc>
          <w:tcPr>
            <w:tcW w:w="60" w:type="dxa"/>
            <w:vAlign w:val="bottom"/>
            <w:tcBorders>
              <w:top w:val="single" w:sz="8" w:color="0000EE"/>
            </w:tcBorders>
          </w:tcPr>
          <w:p>
            <w:pPr>
              <w:spacing w:after="0"/>
              <w:rPr>
                <w:sz w:val="14"/>
                <w:szCs w:val="14"/>
                <w:color w:val="auto"/>
              </w:rPr>
            </w:pPr>
          </w:p>
        </w:tc>
        <w:tc>
          <w:tcPr>
            <w:tcW w:w="7140" w:type="dxa"/>
            <w:vAlign w:val="bottom"/>
            <w:gridSpan w:val="18"/>
          </w:tcPr>
          <w:p>
            <w:pPr>
              <w:spacing w:after="0"/>
              <w:rPr>
                <w:sz w:val="14"/>
                <w:szCs w:val="14"/>
                <w:color w:val="auto"/>
              </w:rPr>
            </w:pPr>
          </w:p>
        </w:tc>
        <w:tc>
          <w:tcPr>
            <w:tcW w:w="1200" w:type="dxa"/>
            <w:vAlign w:val="bottom"/>
          </w:tcPr>
          <w:p>
            <w:pPr>
              <w:jc w:val="right"/>
              <w:spacing w:after="0" w:line="161"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61"/>
        </w:trPr>
        <w:tc>
          <w:tcPr>
            <w:tcW w:w="320" w:type="dxa"/>
            <w:vAlign w:val="bottom"/>
          </w:tcPr>
          <w:p>
            <w:pPr>
              <w:spacing w:after="0"/>
              <w:rPr>
                <w:sz w:val="14"/>
                <w:szCs w:val="14"/>
                <w:color w:val="auto"/>
              </w:rPr>
            </w:pPr>
          </w:p>
        </w:tc>
        <w:tc>
          <w:tcPr>
            <w:tcW w:w="2300" w:type="dxa"/>
            <w:vAlign w:val="bottom"/>
            <w:tcBorders>
              <w:bottom w:val="single" w:sz="8" w:color="0000EE"/>
            </w:tcBorders>
            <w:gridSpan w:val="11"/>
          </w:tcPr>
          <w:p>
            <w:pPr>
              <w:spacing w:after="0" w:line="161" w:lineRule="exact"/>
              <w:rPr>
                <w:sz w:val="20"/>
                <w:szCs w:val="20"/>
                <w:color w:val="auto"/>
              </w:rPr>
            </w:pPr>
            <w:r>
              <w:rPr>
                <w:rFonts w:ascii="Arial" w:cs="Arial" w:eastAsia="Arial" w:hAnsi="Arial"/>
                <w:sz w:val="16"/>
                <w:szCs w:val="16"/>
                <w:color w:val="0000EE"/>
                <w:w w:val="96"/>
              </w:rPr>
              <w:t>Compensation Committee Report</w:t>
            </w:r>
          </w:p>
        </w:tc>
        <w:tc>
          <w:tcPr>
            <w:tcW w:w="6700" w:type="dxa"/>
            <w:vAlign w:val="bottom"/>
            <w:gridSpan w:val="14"/>
          </w:tcPr>
          <w:p>
            <w:pPr>
              <w:spacing w:after="0"/>
              <w:rPr>
                <w:sz w:val="14"/>
                <w:szCs w:val="14"/>
                <w:color w:val="auto"/>
              </w:rPr>
            </w:pPr>
          </w:p>
        </w:tc>
        <w:tc>
          <w:tcPr>
            <w:tcW w:w="1200" w:type="dxa"/>
            <w:vAlign w:val="bottom"/>
          </w:tcPr>
          <w:p>
            <w:pPr>
              <w:jc w:val="right"/>
              <w:spacing w:after="0" w:line="161"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61"/>
        </w:trPr>
        <w:tc>
          <w:tcPr>
            <w:tcW w:w="320" w:type="dxa"/>
            <w:vAlign w:val="bottom"/>
          </w:tcPr>
          <w:p>
            <w:pPr>
              <w:spacing w:after="0"/>
              <w:rPr>
                <w:sz w:val="14"/>
                <w:szCs w:val="14"/>
                <w:color w:val="auto"/>
              </w:rPr>
            </w:pPr>
          </w:p>
        </w:tc>
        <w:tc>
          <w:tcPr>
            <w:tcW w:w="9000" w:type="dxa"/>
            <w:vAlign w:val="bottom"/>
            <w:gridSpan w:val="25"/>
          </w:tcPr>
          <w:p>
            <w:pPr>
              <w:spacing w:after="0" w:line="161" w:lineRule="exact"/>
              <w:rPr>
                <w:sz w:val="20"/>
                <w:szCs w:val="20"/>
                <w:color w:val="auto"/>
              </w:rPr>
            </w:pPr>
            <w:r>
              <w:rPr>
                <w:rFonts w:ascii="Arial" w:cs="Arial" w:eastAsia="Arial" w:hAnsi="Arial"/>
                <w:sz w:val="16"/>
                <w:szCs w:val="16"/>
                <w:color w:val="0000EE"/>
              </w:rPr>
              <w:t>2021 Summary Compensation Table</w:t>
            </w:r>
          </w:p>
        </w:tc>
        <w:tc>
          <w:tcPr>
            <w:tcW w:w="1200" w:type="dxa"/>
            <w:vAlign w:val="bottom"/>
          </w:tcPr>
          <w:p>
            <w:pPr>
              <w:jc w:val="right"/>
              <w:spacing w:after="0" w:line="161"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61"/>
        </w:trPr>
        <w:tc>
          <w:tcPr>
            <w:tcW w:w="320" w:type="dxa"/>
            <w:vAlign w:val="bottom"/>
          </w:tcPr>
          <w:p>
            <w:pPr>
              <w:spacing w:after="0"/>
              <w:rPr>
                <w:sz w:val="14"/>
                <w:szCs w:val="14"/>
                <w:color w:val="auto"/>
              </w:rPr>
            </w:pPr>
          </w:p>
        </w:tc>
        <w:tc>
          <w:tcPr>
            <w:tcW w:w="2500" w:type="dxa"/>
            <w:vAlign w:val="bottom"/>
            <w:tcBorders>
              <w:top w:val="single" w:sz="8" w:color="0000EE"/>
            </w:tcBorders>
            <w:gridSpan w:val="13"/>
          </w:tcPr>
          <w:p>
            <w:pPr>
              <w:spacing w:after="0" w:line="161" w:lineRule="exact"/>
              <w:rPr>
                <w:sz w:val="20"/>
                <w:szCs w:val="20"/>
                <w:color w:val="auto"/>
              </w:rPr>
            </w:pPr>
            <w:r>
              <w:rPr>
                <w:rFonts w:ascii="Arial" w:cs="Arial" w:eastAsia="Arial" w:hAnsi="Arial"/>
                <w:sz w:val="16"/>
                <w:szCs w:val="16"/>
                <w:color w:val="0000EE"/>
                <w:w w:val="98"/>
              </w:rPr>
              <w:t>2021 Grants of Plan-Based Awards</w:t>
            </w:r>
          </w:p>
        </w:tc>
        <w:tc>
          <w:tcPr>
            <w:tcW w:w="6500" w:type="dxa"/>
            <w:vAlign w:val="bottom"/>
            <w:gridSpan w:val="12"/>
          </w:tcPr>
          <w:p>
            <w:pPr>
              <w:spacing w:after="0"/>
              <w:rPr>
                <w:sz w:val="14"/>
                <w:szCs w:val="14"/>
                <w:color w:val="auto"/>
              </w:rPr>
            </w:pPr>
          </w:p>
        </w:tc>
        <w:tc>
          <w:tcPr>
            <w:tcW w:w="1200" w:type="dxa"/>
            <w:vAlign w:val="bottom"/>
          </w:tcPr>
          <w:p>
            <w:pPr>
              <w:jc w:val="right"/>
              <w:spacing w:after="0" w:line="161"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vMerge w:val="restart"/>
          </w:tcPr>
          <w:p>
            <w:pPr>
              <w:jc w:val="right"/>
              <w:spacing w:after="0" w:line="181" w:lineRule="exact"/>
              <w:rPr>
                <w:sz w:val="20"/>
                <w:szCs w:val="20"/>
                <w:color w:val="auto"/>
              </w:rPr>
            </w:pPr>
            <w:r>
              <w:rPr>
                <w:rFonts w:ascii="Arial" w:cs="Arial" w:eastAsia="Arial" w:hAnsi="Arial"/>
                <w:sz w:val="16"/>
                <w:szCs w:val="16"/>
                <w:color w:val="auto"/>
              </w:rPr>
              <w:t>27</w:t>
            </w:r>
          </w:p>
        </w:tc>
        <w:tc>
          <w:tcPr>
            <w:tcW w:w="0" w:type="dxa"/>
            <w:vAlign w:val="bottom"/>
          </w:tcPr>
          <w:p>
            <w:pPr>
              <w:spacing w:after="0" w:line="20" w:lineRule="exact"/>
              <w:rPr>
                <w:sz w:val="1"/>
                <w:szCs w:val="1"/>
                <w:color w:val="auto"/>
              </w:rPr>
            </w:pPr>
          </w:p>
        </w:tc>
      </w:tr>
      <w:tr>
        <w:trPr>
          <w:trHeight w:val="161"/>
        </w:trPr>
        <w:tc>
          <w:tcPr>
            <w:tcW w:w="320" w:type="dxa"/>
            <w:vAlign w:val="bottom"/>
          </w:tcPr>
          <w:p>
            <w:pPr>
              <w:spacing w:after="0"/>
              <w:rPr>
                <w:sz w:val="14"/>
                <w:szCs w:val="14"/>
                <w:color w:val="auto"/>
              </w:rPr>
            </w:pPr>
          </w:p>
        </w:tc>
        <w:tc>
          <w:tcPr>
            <w:tcW w:w="3980" w:type="dxa"/>
            <w:vAlign w:val="bottom"/>
            <w:tcBorders>
              <w:bottom w:val="single" w:sz="8" w:color="0000EE"/>
            </w:tcBorders>
            <w:gridSpan w:val="21"/>
          </w:tcPr>
          <w:p>
            <w:pPr>
              <w:spacing w:after="0" w:line="161" w:lineRule="exact"/>
              <w:rPr>
                <w:sz w:val="20"/>
                <w:szCs w:val="20"/>
                <w:color w:val="auto"/>
              </w:rPr>
            </w:pPr>
            <w:r>
              <w:rPr>
                <w:rFonts w:ascii="Arial" w:cs="Arial" w:eastAsia="Arial" w:hAnsi="Arial"/>
                <w:sz w:val="16"/>
                <w:szCs w:val="16"/>
                <w:color w:val="0000EE"/>
                <w:w w:val="95"/>
              </w:rPr>
              <w:t>2021 Outstanding Equity Awards at Fiscal Year-End Table</w:t>
            </w:r>
          </w:p>
        </w:tc>
        <w:tc>
          <w:tcPr>
            <w:tcW w:w="5020" w:type="dxa"/>
            <w:vAlign w:val="bottom"/>
            <w:gridSpan w:val="4"/>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0" w:type="dxa"/>
            <w:vAlign w:val="bottom"/>
          </w:tcPr>
          <w:p>
            <w:pPr>
              <w:spacing w:after="0"/>
              <w:rPr>
                <w:sz w:val="14"/>
                <w:szCs w:val="14"/>
                <w:color w:val="auto"/>
              </w:rPr>
            </w:pPr>
          </w:p>
        </w:tc>
        <w:tc>
          <w:tcPr>
            <w:tcW w:w="9000" w:type="dxa"/>
            <w:vAlign w:val="bottom"/>
            <w:gridSpan w:val="25"/>
          </w:tcPr>
          <w:p>
            <w:pPr>
              <w:spacing w:after="0" w:line="161" w:lineRule="exact"/>
              <w:rPr>
                <w:sz w:val="20"/>
                <w:szCs w:val="20"/>
                <w:color w:val="auto"/>
              </w:rPr>
            </w:pPr>
            <w:r>
              <w:rPr>
                <w:rFonts w:ascii="Arial" w:cs="Arial" w:eastAsia="Arial" w:hAnsi="Arial"/>
                <w:sz w:val="16"/>
                <w:szCs w:val="16"/>
                <w:color w:val="0000EE"/>
              </w:rPr>
              <w:t>2021 Option Exercises and Stock Vested Table</w:t>
            </w:r>
          </w:p>
        </w:tc>
        <w:tc>
          <w:tcPr>
            <w:tcW w:w="1200" w:type="dxa"/>
            <w:vAlign w:val="bottom"/>
          </w:tcPr>
          <w:p>
            <w:pPr>
              <w:jc w:val="right"/>
              <w:spacing w:after="0" w:line="161"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vMerge w:val="restart"/>
          </w:tcPr>
          <w:p>
            <w:pPr>
              <w:jc w:val="right"/>
              <w:spacing w:after="0" w:line="181" w:lineRule="exact"/>
              <w:rPr>
                <w:sz w:val="20"/>
                <w:szCs w:val="20"/>
                <w:color w:val="auto"/>
              </w:rPr>
            </w:pPr>
            <w:r>
              <w:rPr>
                <w:rFonts w:ascii="Arial" w:cs="Arial" w:eastAsia="Arial" w:hAnsi="Arial"/>
                <w:sz w:val="16"/>
                <w:szCs w:val="16"/>
                <w:color w:val="auto"/>
              </w:rPr>
              <w:t>28</w:t>
            </w:r>
          </w:p>
        </w:tc>
        <w:tc>
          <w:tcPr>
            <w:tcW w:w="0" w:type="dxa"/>
            <w:vAlign w:val="bottom"/>
          </w:tcPr>
          <w:p>
            <w:pPr>
              <w:spacing w:after="0" w:line="20" w:lineRule="exact"/>
              <w:rPr>
                <w:sz w:val="1"/>
                <w:szCs w:val="1"/>
                <w:color w:val="auto"/>
              </w:rPr>
            </w:pPr>
          </w:p>
        </w:tc>
      </w:tr>
      <w:tr>
        <w:trPr>
          <w:trHeight w:val="161"/>
        </w:trPr>
        <w:tc>
          <w:tcPr>
            <w:tcW w:w="320" w:type="dxa"/>
            <w:vAlign w:val="bottom"/>
          </w:tcPr>
          <w:p>
            <w:pPr>
              <w:spacing w:after="0"/>
              <w:rPr>
                <w:sz w:val="14"/>
                <w:szCs w:val="14"/>
                <w:color w:val="auto"/>
              </w:rPr>
            </w:pPr>
          </w:p>
        </w:tc>
        <w:tc>
          <w:tcPr>
            <w:tcW w:w="9000" w:type="dxa"/>
            <w:vAlign w:val="bottom"/>
            <w:gridSpan w:val="25"/>
          </w:tcPr>
          <w:p>
            <w:pPr>
              <w:spacing w:after="0" w:line="161" w:lineRule="exact"/>
              <w:rPr>
                <w:sz w:val="20"/>
                <w:szCs w:val="20"/>
                <w:color w:val="auto"/>
              </w:rPr>
            </w:pPr>
            <w:r>
              <w:rPr>
                <w:rFonts w:ascii="Arial" w:cs="Arial" w:eastAsia="Arial" w:hAnsi="Arial"/>
                <w:sz w:val="16"/>
                <w:szCs w:val="16"/>
                <w:color w:val="0000EE"/>
              </w:rPr>
              <w:t>Potential Payments Upon Termination or Change in Control</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0" w:type="dxa"/>
            <w:vAlign w:val="bottom"/>
          </w:tcPr>
          <w:p>
            <w:pPr>
              <w:spacing w:after="0"/>
              <w:rPr>
                <w:sz w:val="14"/>
                <w:szCs w:val="14"/>
                <w:color w:val="auto"/>
              </w:rPr>
            </w:pPr>
          </w:p>
        </w:tc>
        <w:tc>
          <w:tcPr>
            <w:tcW w:w="4060" w:type="dxa"/>
            <w:vAlign w:val="bottom"/>
            <w:tcBorders>
              <w:top w:val="single" w:sz="8" w:color="0000EE"/>
            </w:tcBorders>
            <w:gridSpan w:val="22"/>
          </w:tcPr>
          <w:p>
            <w:pPr>
              <w:spacing w:after="0" w:line="161" w:lineRule="exact"/>
              <w:rPr>
                <w:sz w:val="20"/>
                <w:szCs w:val="20"/>
                <w:color w:val="auto"/>
              </w:rPr>
            </w:pPr>
            <w:r>
              <w:rPr>
                <w:rFonts w:ascii="Arial" w:cs="Arial" w:eastAsia="Arial" w:hAnsi="Arial"/>
                <w:sz w:val="16"/>
                <w:szCs w:val="16"/>
                <w:color w:val="0000EE"/>
              </w:rPr>
              <w:t>Chief Executive Officer Pay Ratio</w:t>
            </w:r>
          </w:p>
        </w:tc>
        <w:tc>
          <w:tcPr>
            <w:tcW w:w="4940" w:type="dxa"/>
            <w:vAlign w:val="bottom"/>
            <w:gridSpan w:val="3"/>
          </w:tcPr>
          <w:p>
            <w:pPr>
              <w:spacing w:after="0"/>
              <w:rPr>
                <w:sz w:val="14"/>
                <w:szCs w:val="14"/>
                <w:color w:val="auto"/>
              </w:rPr>
            </w:pPr>
          </w:p>
        </w:tc>
        <w:tc>
          <w:tcPr>
            <w:tcW w:w="1200" w:type="dxa"/>
            <w:vAlign w:val="bottom"/>
          </w:tcPr>
          <w:p>
            <w:pPr>
              <w:jc w:val="right"/>
              <w:spacing w:after="0" w:line="161"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9320" w:type="dxa"/>
            <w:vAlign w:val="bottom"/>
            <w:gridSpan w:val="26"/>
          </w:tcPr>
          <w:p>
            <w:pPr>
              <w:spacing w:after="0"/>
              <w:rPr>
                <w:sz w:val="20"/>
                <w:szCs w:val="20"/>
                <w:color w:val="auto"/>
              </w:rPr>
            </w:pPr>
            <w:r>
              <w:rPr>
                <w:rFonts w:ascii="Arial" w:cs="Arial" w:eastAsia="Arial" w:hAnsi="Arial"/>
                <w:sz w:val="16"/>
                <w:szCs w:val="16"/>
                <w:b w:val="1"/>
                <w:bCs w:val="1"/>
                <w:color w:val="0000EE"/>
              </w:rPr>
              <w:t>PROPOSAL 2 ADVISORY VOTE TO APPROVE THE COMPENSATION OF OUR NAMED EXECUTIVE OFFICERS</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41659C"/>
              </w:rPr>
              <w:t>33</w:t>
            </w:r>
          </w:p>
        </w:tc>
        <w:tc>
          <w:tcPr>
            <w:tcW w:w="0" w:type="dxa"/>
            <w:vAlign w:val="bottom"/>
          </w:tcPr>
          <w:p>
            <w:pPr>
              <w:spacing w:after="0"/>
              <w:rPr>
                <w:sz w:val="1"/>
                <w:szCs w:val="1"/>
                <w:color w:val="auto"/>
              </w:rPr>
            </w:pPr>
          </w:p>
        </w:tc>
      </w:tr>
      <w:tr>
        <w:trPr>
          <w:trHeight w:val="161"/>
        </w:trPr>
        <w:tc>
          <w:tcPr>
            <w:tcW w:w="8040" w:type="dxa"/>
            <w:vAlign w:val="bottom"/>
            <w:tcBorders>
              <w:top w:val="single" w:sz="8" w:color="0000EE"/>
            </w:tcBorders>
            <w:gridSpan w:val="24"/>
          </w:tcPr>
          <w:p>
            <w:pPr>
              <w:spacing w:after="0" w:line="161" w:lineRule="exact"/>
              <w:rPr>
                <w:sz w:val="20"/>
                <w:szCs w:val="20"/>
                <w:color w:val="auto"/>
              </w:rPr>
            </w:pPr>
            <w:r>
              <w:rPr>
                <w:rFonts w:ascii="Arial" w:cs="Arial" w:eastAsia="Arial" w:hAnsi="Arial"/>
                <w:sz w:val="16"/>
                <w:szCs w:val="16"/>
                <w:b w:val="1"/>
                <w:bCs w:val="1"/>
                <w:color w:val="0000EE"/>
              </w:rPr>
              <w:t>AUDIT MATTERS</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jc w:val="right"/>
              <w:spacing w:after="0" w:line="161" w:lineRule="exact"/>
              <w:rPr>
                <w:sz w:val="20"/>
                <w:szCs w:val="20"/>
                <w:color w:val="auto"/>
              </w:rPr>
            </w:pPr>
            <w:r>
              <w:rPr>
                <w:rFonts w:ascii="Arial" w:cs="Arial" w:eastAsia="Arial" w:hAnsi="Arial"/>
                <w:sz w:val="16"/>
                <w:szCs w:val="16"/>
                <w:b w:val="1"/>
                <w:bCs w:val="1"/>
                <w:color w:val="41659C"/>
              </w:rPr>
              <w:t>34</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1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vMerge w:val="restart"/>
          </w:tcPr>
          <w:p>
            <w:pPr>
              <w:jc w:val="right"/>
              <w:spacing w:after="0" w:line="181" w:lineRule="exact"/>
              <w:rPr>
                <w:sz w:val="20"/>
                <w:szCs w:val="20"/>
                <w:color w:val="auto"/>
              </w:rPr>
            </w:pPr>
            <w:r>
              <w:rPr>
                <w:rFonts w:ascii="Arial" w:cs="Arial" w:eastAsia="Arial" w:hAnsi="Arial"/>
                <w:sz w:val="16"/>
                <w:szCs w:val="16"/>
                <w:color w:val="auto"/>
              </w:rPr>
              <w:t>34</w:t>
            </w:r>
          </w:p>
        </w:tc>
        <w:tc>
          <w:tcPr>
            <w:tcW w:w="0" w:type="dxa"/>
            <w:vAlign w:val="bottom"/>
          </w:tcPr>
          <w:p>
            <w:pPr>
              <w:spacing w:after="0" w:line="20" w:lineRule="exact"/>
              <w:rPr>
                <w:sz w:val="1"/>
                <w:szCs w:val="1"/>
                <w:color w:val="auto"/>
              </w:rPr>
            </w:pPr>
          </w:p>
        </w:tc>
      </w:tr>
      <w:tr>
        <w:trPr>
          <w:trHeight w:val="161"/>
        </w:trPr>
        <w:tc>
          <w:tcPr>
            <w:tcW w:w="320" w:type="dxa"/>
            <w:vAlign w:val="bottom"/>
          </w:tcPr>
          <w:p>
            <w:pPr>
              <w:spacing w:after="0"/>
              <w:rPr>
                <w:sz w:val="14"/>
                <w:szCs w:val="14"/>
                <w:color w:val="auto"/>
              </w:rPr>
            </w:pPr>
          </w:p>
        </w:tc>
        <w:tc>
          <w:tcPr>
            <w:tcW w:w="1660" w:type="dxa"/>
            <w:vAlign w:val="bottom"/>
            <w:tcBorders>
              <w:bottom w:val="single" w:sz="8" w:color="0000EE"/>
            </w:tcBorders>
            <w:gridSpan w:val="4"/>
          </w:tcPr>
          <w:p>
            <w:pPr>
              <w:spacing w:after="0" w:line="161" w:lineRule="exact"/>
              <w:rPr>
                <w:sz w:val="20"/>
                <w:szCs w:val="20"/>
                <w:color w:val="auto"/>
              </w:rPr>
            </w:pPr>
            <w:r>
              <w:rPr>
                <w:rFonts w:ascii="Arial" w:cs="Arial" w:eastAsia="Arial" w:hAnsi="Arial"/>
                <w:sz w:val="16"/>
                <w:szCs w:val="16"/>
                <w:color w:val="0000EE"/>
                <w:w w:val="96"/>
              </w:rPr>
              <w:t>Audit Committee Report</w:t>
            </w:r>
          </w:p>
        </w:tc>
        <w:tc>
          <w:tcPr>
            <w:tcW w:w="7340" w:type="dxa"/>
            <w:vAlign w:val="bottom"/>
            <w:gridSpan w:val="21"/>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0" w:type="dxa"/>
            <w:vAlign w:val="bottom"/>
          </w:tcPr>
          <w:p>
            <w:pPr>
              <w:spacing w:after="0"/>
              <w:rPr>
                <w:sz w:val="14"/>
                <w:szCs w:val="14"/>
                <w:color w:val="auto"/>
              </w:rPr>
            </w:pPr>
          </w:p>
        </w:tc>
        <w:tc>
          <w:tcPr>
            <w:tcW w:w="3680" w:type="dxa"/>
            <w:vAlign w:val="bottom"/>
            <w:tcBorders>
              <w:bottom w:val="single" w:sz="8" w:color="0000EE"/>
            </w:tcBorders>
            <w:gridSpan w:val="20"/>
          </w:tcPr>
          <w:p>
            <w:pPr>
              <w:spacing w:after="0" w:line="161" w:lineRule="exact"/>
              <w:rPr>
                <w:sz w:val="20"/>
                <w:szCs w:val="20"/>
                <w:color w:val="auto"/>
              </w:rPr>
            </w:pPr>
            <w:r>
              <w:rPr>
                <w:rFonts w:ascii="Arial" w:cs="Arial" w:eastAsia="Arial" w:hAnsi="Arial"/>
                <w:sz w:val="16"/>
                <w:szCs w:val="16"/>
                <w:color w:val="0000EE"/>
                <w:w w:val="96"/>
              </w:rPr>
              <w:t>Independent Registered Public Accounting Firm Fees</w:t>
            </w:r>
          </w:p>
        </w:tc>
        <w:tc>
          <w:tcPr>
            <w:tcW w:w="5320" w:type="dxa"/>
            <w:vAlign w:val="bottom"/>
            <w:gridSpan w:val="5"/>
          </w:tcPr>
          <w:p>
            <w:pPr>
              <w:spacing w:after="0"/>
              <w:rPr>
                <w:sz w:val="14"/>
                <w:szCs w:val="14"/>
                <w:color w:val="auto"/>
              </w:rPr>
            </w:pPr>
          </w:p>
        </w:tc>
        <w:tc>
          <w:tcPr>
            <w:tcW w:w="1200" w:type="dxa"/>
            <w:vAlign w:val="bottom"/>
          </w:tcPr>
          <w:p>
            <w:pPr>
              <w:jc w:val="right"/>
              <w:spacing w:after="0" w:line="161"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433"/>
        </w:trPr>
        <w:tc>
          <w:tcPr>
            <w:tcW w:w="8520" w:type="dxa"/>
            <w:vAlign w:val="bottom"/>
            <w:tcBorders>
              <w:bottom w:val="single" w:sz="8" w:color="0000EE"/>
            </w:tcBorders>
            <w:gridSpan w:val="25"/>
          </w:tcPr>
          <w:p>
            <w:pPr>
              <w:spacing w:after="0"/>
              <w:rPr>
                <w:sz w:val="20"/>
                <w:szCs w:val="20"/>
                <w:color w:val="auto"/>
              </w:rPr>
            </w:pPr>
            <w:r>
              <w:rPr>
                <w:rFonts w:ascii="Arial" w:cs="Arial" w:eastAsia="Arial" w:hAnsi="Arial"/>
                <w:sz w:val="16"/>
                <w:szCs w:val="16"/>
                <w:b w:val="1"/>
                <w:bCs w:val="1"/>
                <w:color w:val="0000EE"/>
                <w:w w:val="96"/>
              </w:rPr>
              <w:t>PROPOSAL 3 RATIFICATION OF THE APPOINTMENT OF INDEPENDENT REGISTERED PUBLIC ACCOUNTING FIRM</w:t>
            </w:r>
          </w:p>
        </w:tc>
        <w:tc>
          <w:tcPr>
            <w:tcW w:w="8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41659C"/>
              </w:rPr>
              <w:t>36</w:t>
            </w:r>
          </w:p>
        </w:tc>
        <w:tc>
          <w:tcPr>
            <w:tcW w:w="0" w:type="dxa"/>
            <w:vAlign w:val="bottom"/>
          </w:tcPr>
          <w:p>
            <w:pPr>
              <w:spacing w:after="0"/>
              <w:rPr>
                <w:sz w:val="1"/>
                <w:szCs w:val="1"/>
                <w:color w:val="auto"/>
              </w:rPr>
            </w:pPr>
          </w:p>
        </w:tc>
      </w:tr>
      <w:tr>
        <w:trPr>
          <w:trHeight w:val="433"/>
        </w:trPr>
        <w:tc>
          <w:tcPr>
            <w:tcW w:w="174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b w:val="1"/>
                <w:bCs w:val="1"/>
                <w:color w:val="0000EE"/>
                <w:w w:val="98"/>
              </w:rPr>
              <w:t>OTHER INFORMATION</w:t>
            </w:r>
          </w:p>
        </w:tc>
        <w:tc>
          <w:tcPr>
            <w:tcW w:w="7580" w:type="dxa"/>
            <w:vAlign w:val="bottom"/>
            <w:gridSpan w:val="22"/>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41659C"/>
              </w:rPr>
              <w:t>37</w:t>
            </w:r>
          </w:p>
        </w:tc>
        <w:tc>
          <w:tcPr>
            <w:tcW w:w="0" w:type="dxa"/>
            <w:vAlign w:val="bottom"/>
          </w:tcPr>
          <w:p>
            <w:pPr>
              <w:spacing w:after="0"/>
              <w:rPr>
                <w:sz w:val="1"/>
                <w:szCs w:val="1"/>
                <w:color w:val="auto"/>
              </w:rPr>
            </w:pPr>
          </w:p>
        </w:tc>
      </w:tr>
      <w:tr>
        <w:trPr>
          <w:trHeight w:val="161"/>
        </w:trPr>
        <w:tc>
          <w:tcPr>
            <w:tcW w:w="320" w:type="dxa"/>
            <w:vAlign w:val="bottom"/>
          </w:tcPr>
          <w:p>
            <w:pPr>
              <w:spacing w:after="0"/>
              <w:rPr>
                <w:sz w:val="14"/>
                <w:szCs w:val="14"/>
                <w:color w:val="auto"/>
              </w:rPr>
            </w:pPr>
          </w:p>
        </w:tc>
        <w:tc>
          <w:tcPr>
            <w:tcW w:w="3360" w:type="dxa"/>
            <w:vAlign w:val="bottom"/>
            <w:tcBorders>
              <w:bottom w:val="single" w:sz="8" w:color="0000EE"/>
            </w:tcBorders>
            <w:gridSpan w:val="19"/>
          </w:tcPr>
          <w:p>
            <w:pPr>
              <w:spacing w:after="0" w:line="161" w:lineRule="exact"/>
              <w:rPr>
                <w:sz w:val="20"/>
                <w:szCs w:val="20"/>
                <w:color w:val="auto"/>
              </w:rPr>
            </w:pPr>
            <w:r>
              <w:rPr>
                <w:rFonts w:ascii="Arial" w:cs="Arial" w:eastAsia="Arial" w:hAnsi="Arial"/>
                <w:sz w:val="16"/>
                <w:szCs w:val="16"/>
                <w:color w:val="0000EE"/>
                <w:w w:val="96"/>
              </w:rPr>
              <w:t>Security Ownership of Certain Beneficial Owners</w:t>
            </w:r>
          </w:p>
        </w:tc>
        <w:tc>
          <w:tcPr>
            <w:tcW w:w="5640" w:type="dxa"/>
            <w:vAlign w:val="bottom"/>
            <w:gridSpan w:val="6"/>
          </w:tcPr>
          <w:p>
            <w:pPr>
              <w:spacing w:after="0"/>
              <w:rPr>
                <w:sz w:val="14"/>
                <w:szCs w:val="14"/>
                <w:color w:val="auto"/>
              </w:rPr>
            </w:pPr>
          </w:p>
        </w:tc>
        <w:tc>
          <w:tcPr>
            <w:tcW w:w="1200" w:type="dxa"/>
            <w:vAlign w:val="bottom"/>
          </w:tcPr>
          <w:p>
            <w:pPr>
              <w:jc w:val="right"/>
              <w:spacing w:after="0" w:line="161"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433"/>
        </w:trPr>
        <w:tc>
          <w:tcPr>
            <w:tcW w:w="9320" w:type="dxa"/>
            <w:vAlign w:val="bottom"/>
            <w:gridSpan w:val="26"/>
          </w:tcPr>
          <w:p>
            <w:pPr>
              <w:spacing w:after="0"/>
              <w:rPr>
                <w:sz w:val="20"/>
                <w:szCs w:val="20"/>
                <w:color w:val="auto"/>
              </w:rPr>
            </w:pPr>
            <w:r>
              <w:rPr>
                <w:rFonts w:ascii="Arial" w:cs="Arial" w:eastAsia="Arial" w:hAnsi="Arial"/>
                <w:sz w:val="16"/>
                <w:szCs w:val="16"/>
                <w:b w:val="1"/>
                <w:bCs w:val="1"/>
                <w:color w:val="0000EE"/>
              </w:rPr>
              <w:t>INFORMATION FOR THIS ANNUAL MEETING</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41659C"/>
              </w:rPr>
              <w:t>39</w:t>
            </w:r>
          </w:p>
        </w:tc>
        <w:tc>
          <w:tcPr>
            <w:tcW w:w="0" w:type="dxa"/>
            <w:vAlign w:val="bottom"/>
          </w:tcPr>
          <w:p>
            <w:pPr>
              <w:spacing w:after="0"/>
              <w:rPr>
                <w:sz w:val="1"/>
                <w:szCs w:val="1"/>
                <w:color w:val="auto"/>
              </w:rPr>
            </w:pPr>
          </w:p>
        </w:tc>
      </w:tr>
      <w:tr>
        <w:trPr>
          <w:trHeight w:val="20"/>
        </w:trPr>
        <w:tc>
          <w:tcPr>
            <w:tcW w:w="1340" w:type="dxa"/>
            <w:vAlign w:val="bottom"/>
            <w:gridSpan w:val="3"/>
            <w:shd w:val="clear" w:color="auto" w:fill="0000EE"/>
          </w:tcPr>
          <w:p>
            <w:pPr>
              <w:spacing w:after="0" w:line="20" w:lineRule="exact"/>
              <w:rPr>
                <w:sz w:val="1"/>
                <w:szCs w:val="1"/>
                <w:color w:val="auto"/>
              </w:rPr>
            </w:pPr>
          </w:p>
        </w:tc>
        <w:tc>
          <w:tcPr>
            <w:tcW w:w="1500" w:type="dxa"/>
            <w:vAlign w:val="bottom"/>
            <w:gridSpan w:val="1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640" w:type="dxa"/>
            <w:vAlign w:val="bottom"/>
            <w:gridSpan w:val="6"/>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9320" w:type="dxa"/>
            <w:vAlign w:val="bottom"/>
            <w:gridSpan w:val="26"/>
          </w:tcPr>
          <w:p>
            <w:pPr>
              <w:spacing w:after="0"/>
              <w:rPr>
                <w:sz w:val="20"/>
                <w:szCs w:val="20"/>
                <w:color w:val="auto"/>
              </w:rPr>
            </w:pPr>
            <w:r>
              <w:rPr>
                <w:rFonts w:ascii="Arial" w:cs="Arial" w:eastAsia="Arial" w:hAnsi="Arial"/>
                <w:sz w:val="16"/>
                <w:szCs w:val="16"/>
                <w:b w:val="1"/>
                <w:bCs w:val="1"/>
                <w:color w:val="0000EE"/>
              </w:rPr>
              <w:t>INFORMATION FOR OUR 2023 ANNUAL MEETING</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41659C"/>
              </w:rPr>
              <w:t>43</w:t>
            </w:r>
          </w:p>
        </w:tc>
        <w:tc>
          <w:tcPr>
            <w:tcW w:w="0" w:type="dxa"/>
            <w:vAlign w:val="bottom"/>
          </w:tcPr>
          <w:p>
            <w:pPr>
              <w:spacing w:after="0"/>
              <w:rPr>
                <w:sz w:val="1"/>
                <w:szCs w:val="1"/>
                <w:color w:val="auto"/>
              </w:rPr>
            </w:pPr>
          </w:p>
        </w:tc>
      </w:tr>
      <w:tr>
        <w:trPr>
          <w:trHeight w:val="433"/>
        </w:trPr>
        <w:tc>
          <w:tcPr>
            <w:tcW w:w="13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6"/>
                <w:szCs w:val="16"/>
                <w:b w:val="1"/>
                <w:bCs w:val="1"/>
                <w:color w:val="0000EE"/>
                <w:w w:val="95"/>
              </w:rPr>
              <w:t>OTHER MATTERS</w:t>
            </w:r>
          </w:p>
        </w:tc>
        <w:tc>
          <w:tcPr>
            <w:tcW w:w="2340" w:type="dxa"/>
            <w:vAlign w:val="bottom"/>
            <w:tcBorders>
              <w:top w:val="single" w:sz="8" w:color="0000EE"/>
            </w:tcBorders>
            <w:gridSpan w:val="17"/>
          </w:tcPr>
          <w:p>
            <w:pPr>
              <w:spacing w:after="0"/>
              <w:rPr>
                <w:sz w:val="24"/>
                <w:szCs w:val="24"/>
                <w:color w:val="auto"/>
              </w:rPr>
            </w:pPr>
          </w:p>
        </w:tc>
        <w:tc>
          <w:tcPr>
            <w:tcW w:w="5640" w:type="dxa"/>
            <w:vAlign w:val="bottom"/>
            <w:gridSpan w:val="6"/>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41659C"/>
              </w:rPr>
              <w:t>45</w:t>
            </w:r>
          </w:p>
        </w:tc>
        <w:tc>
          <w:tcPr>
            <w:tcW w:w="0" w:type="dxa"/>
            <w:vAlign w:val="bottom"/>
          </w:tcPr>
          <w:p>
            <w:pPr>
              <w:spacing w:after="0"/>
              <w:rPr>
                <w:sz w:val="1"/>
                <w:szCs w:val="1"/>
                <w:color w:val="auto"/>
              </w:rPr>
            </w:pPr>
          </w:p>
        </w:tc>
      </w:tr>
      <w:tr>
        <w:trPr>
          <w:trHeight w:val="446"/>
        </w:trPr>
        <w:tc>
          <w:tcPr>
            <w:tcW w:w="9320" w:type="dxa"/>
            <w:vAlign w:val="bottom"/>
            <w:gridSpan w:val="26"/>
          </w:tcPr>
          <w:p>
            <w:pPr>
              <w:spacing w:after="0"/>
              <w:rPr>
                <w:sz w:val="20"/>
                <w:szCs w:val="20"/>
                <w:color w:val="auto"/>
              </w:rPr>
            </w:pPr>
            <w:r>
              <w:rPr>
                <w:rFonts w:ascii="Arial" w:cs="Arial" w:eastAsia="Arial" w:hAnsi="Arial"/>
                <w:sz w:val="16"/>
                <w:szCs w:val="16"/>
                <w:b w:val="1"/>
                <w:bCs w:val="1"/>
                <w:color w:val="41659C"/>
              </w:rPr>
              <w:t>Appendices</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2520" w:type="dxa"/>
            <w:vAlign w:val="bottom"/>
            <w:tcBorders>
              <w:bottom w:val="single" w:sz="8" w:color="0000EE"/>
            </w:tcBorders>
            <w:gridSpan w:val="14"/>
          </w:tcPr>
          <w:p>
            <w:pPr>
              <w:spacing w:after="0" w:line="168" w:lineRule="exact"/>
              <w:rPr>
                <w:sz w:val="20"/>
                <w:szCs w:val="20"/>
                <w:color w:val="auto"/>
              </w:rPr>
            </w:pPr>
            <w:r>
              <w:rPr>
                <w:rFonts w:ascii="Arial" w:cs="Arial" w:eastAsia="Arial" w:hAnsi="Arial"/>
                <w:sz w:val="16"/>
                <w:szCs w:val="16"/>
                <w:color w:val="0000EE"/>
                <w:w w:val="95"/>
              </w:rPr>
              <w:t>RELATIVE TSR PEER COMPANIES</w:t>
            </w:r>
          </w:p>
        </w:tc>
        <w:tc>
          <w:tcPr>
            <w:tcW w:w="6480" w:type="dxa"/>
            <w:vAlign w:val="bottom"/>
            <w:gridSpan w:val="11"/>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Arial" w:cs="Arial" w:eastAsia="Arial" w:hAnsi="Arial"/>
                <w:sz w:val="16"/>
                <w:szCs w:val="16"/>
                <w:color w:val="auto"/>
              </w:rPr>
              <w:t>I-1</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9140"/>
        <w:spacing w:after="0"/>
        <w:rPr>
          <w:sz w:val="20"/>
          <w:szCs w:val="20"/>
          <w:color w:val="auto"/>
        </w:rPr>
      </w:pPr>
      <w:r>
        <w:rPr>
          <w:rFonts w:ascii="Arial" w:cs="Arial" w:eastAsia="Arial" w:hAnsi="Arial"/>
          <w:sz w:val="16"/>
          <w:szCs w:val="16"/>
          <w:color w:val="262626"/>
        </w:rPr>
        <w:t>2022 Proxy Statement •</w:t>
      </w:r>
    </w:p>
    <w:p>
      <w:pPr>
        <w:sectPr>
          <w:pgSz w:w="11900" w:h="16838" w:orient="portrait"/>
          <w:cols w:equalWidth="0" w:num="1">
            <w:col w:w="10860"/>
          </w:cols>
          <w:pgMar w:left="320" w:top="443" w:right="7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90"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41659C"/>
        </w:rPr>
        <w:t>Information About the Annual Meeting</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Attendance and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89" w:lineRule="exact"/>
        <w:rPr>
          <w:sz w:val="20"/>
          <w:szCs w:val="20"/>
          <w:color w:val="auto"/>
        </w:rPr>
      </w:pPr>
    </w:p>
    <w:p>
      <w:pPr>
        <w:ind w:left="340" w:right="140"/>
        <w:spacing w:after="0" w:line="242" w:lineRule="auto"/>
        <w:rPr>
          <w:sz w:val="20"/>
          <w:szCs w:val="20"/>
          <w:color w:val="auto"/>
        </w:rPr>
      </w:pPr>
      <w:r>
        <w:rPr>
          <w:rFonts w:ascii="Arial" w:cs="Arial" w:eastAsia="Arial" w:hAnsi="Arial"/>
          <w:sz w:val="16"/>
          <w:szCs w:val="16"/>
          <w:color w:val="auto"/>
        </w:rPr>
        <w:t xml:space="preserve">Our Annual Meeting will be conducted on the internet via webcast only. Stockholders attending the Annual Meeting will be afforded the same rights and opportunities to attend and participate as they would at an in-person meeting, and will be able to submit questions during the Annual Meeting by visiting </w:t>
      </w:r>
      <w:r>
        <w:rPr>
          <w:rFonts w:ascii="Arial" w:cs="Arial" w:eastAsia="Arial" w:hAnsi="Arial"/>
          <w:sz w:val="16"/>
          <w:szCs w:val="16"/>
          <w:i w:val="1"/>
          <w:iCs w:val="1"/>
          <w:u w:val="single" w:color="auto"/>
          <w:color w:val="auto"/>
        </w:rPr>
        <w:t>www.virtualshareholdermeeting.com/CECE2022</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who would like to attend and participate in the Annual Meeting will need the 16-digit</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number included on their proxy card or voting instruction form. The Annual Meeting will begin promptly at 8:00 a.m. Central Time. We encourage you to access the Annual Meeting prior to the start time. Online access will begin at 7:45 a.m. Central Time.</w:t>
      </w:r>
    </w:p>
    <w:p>
      <w:pPr>
        <w:spacing w:after="0" w:line="185" w:lineRule="exact"/>
        <w:rPr>
          <w:sz w:val="20"/>
          <w:szCs w:val="20"/>
          <w:color w:val="auto"/>
        </w:rPr>
      </w:pPr>
    </w:p>
    <w:p>
      <w:pPr>
        <w:ind w:left="340" w:right="100"/>
        <w:spacing w:after="0" w:line="245" w:lineRule="auto"/>
        <w:rPr>
          <w:sz w:val="20"/>
          <w:szCs w:val="20"/>
          <w:color w:val="auto"/>
        </w:rPr>
      </w:pPr>
      <w:r>
        <w:rPr>
          <w:rFonts w:ascii="Arial" w:cs="Arial" w:eastAsia="Arial" w:hAnsi="Arial"/>
          <w:sz w:val="16"/>
          <w:szCs w:val="16"/>
          <w:color w:val="auto"/>
        </w:rPr>
        <w:t>The Annual Meeting platform is fully supported across browsers (Internet Explorer, Firefox, Chrome, and Safari) and devices (desktops, laptops, tablets, and cell phones) running the most updated version of applicable software and plugins. Stockholders should ensure that they have a strong internet connection if they intend to attend and/or participate in the Annual Meeting. Attendees should allow plenty of time to log in and ensure that they can hear streaming audio prior to the start of the Annual Meeting.</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Questions and Information Accessibility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89" w:lineRule="exact"/>
        <w:rPr>
          <w:sz w:val="20"/>
          <w:szCs w:val="20"/>
          <w:color w:val="auto"/>
        </w:rPr>
      </w:pPr>
    </w:p>
    <w:p>
      <w:pPr>
        <w:ind w:left="340" w:right="560"/>
        <w:spacing w:after="0" w:line="334" w:lineRule="auto"/>
        <w:rPr>
          <w:sz w:val="20"/>
          <w:szCs w:val="20"/>
          <w:color w:val="auto"/>
        </w:rPr>
      </w:pPr>
      <w:r>
        <w:rPr>
          <w:rFonts w:ascii="Arial" w:cs="Arial" w:eastAsia="Arial" w:hAnsi="Arial"/>
          <w:sz w:val="14"/>
          <w:szCs w:val="14"/>
          <w:color w:val="auto"/>
        </w:rPr>
        <w:t xml:space="preserve">Stockholders may submit questions during the Annual Meeting. If you wish to submit a question, you may do so by logging into the virtual meeting platform at </w:t>
      </w:r>
      <w:r>
        <w:rPr>
          <w:rFonts w:ascii="Arial" w:cs="Arial" w:eastAsia="Arial" w:hAnsi="Arial"/>
          <w:sz w:val="14"/>
          <w:szCs w:val="14"/>
          <w:i w:val="1"/>
          <w:iCs w:val="1"/>
          <w:u w:val="single" w:color="auto"/>
          <w:color w:val="auto"/>
        </w:rPr>
        <w:t>www.virtualshareholdermeeting.com/CECE2022</w:t>
      </w:r>
      <w:r>
        <w:rPr>
          <w:rFonts w:ascii="Arial" w:cs="Arial" w:eastAsia="Arial" w:hAnsi="Arial"/>
          <w:sz w:val="14"/>
          <w:szCs w:val="14"/>
          <w:i w:val="1"/>
          <w:iCs w:val="1"/>
          <w:color w:val="auto"/>
        </w:rPr>
        <w:t>,</w:t>
      </w:r>
      <w:r>
        <w:rPr>
          <w:rFonts w:ascii="Arial" w:cs="Arial" w:eastAsia="Arial" w:hAnsi="Arial"/>
          <w:sz w:val="14"/>
          <w:szCs w:val="14"/>
          <w:color w:val="auto"/>
        </w:rPr>
        <w:t xml:space="preserve"> typing your question into the “Ask a Question” field, and clicking “Submit.”</w:t>
      </w:r>
    </w:p>
    <w:p>
      <w:pPr>
        <w:spacing w:after="0" w:line="121" w:lineRule="exact"/>
        <w:rPr>
          <w:sz w:val="20"/>
          <w:szCs w:val="20"/>
          <w:color w:val="auto"/>
        </w:rPr>
      </w:pPr>
    </w:p>
    <w:p>
      <w:pPr>
        <w:ind w:left="340" w:right="260"/>
        <w:spacing w:after="0" w:line="249" w:lineRule="auto"/>
        <w:rPr>
          <w:sz w:val="20"/>
          <w:szCs w:val="20"/>
          <w:color w:val="auto"/>
        </w:rPr>
      </w:pPr>
      <w:r>
        <w:rPr>
          <w:rFonts w:ascii="Arial" w:cs="Arial" w:eastAsia="Arial" w:hAnsi="Arial"/>
          <w:sz w:val="16"/>
          <w:szCs w:val="16"/>
          <w:color w:val="auto"/>
        </w:rPr>
        <w:t>Questions pertinent to the Annual Meeting will be answered during the Annual Meeting, subject to time constraints. Any such questions that cannot be answered during the Annual Meeting due to time constraints will be posted and answered on our Investor Relations website, https://investor.cecoenviro.com/, as soon as practicable after the Annual Meeting.</w:t>
      </w:r>
    </w:p>
    <w:p>
      <w:pPr>
        <w:spacing w:after="0" w:line="178" w:lineRule="exact"/>
        <w:rPr>
          <w:sz w:val="20"/>
          <w:szCs w:val="20"/>
          <w:color w:val="auto"/>
        </w:rPr>
      </w:pPr>
    </w:p>
    <w:p>
      <w:pPr>
        <w:jc w:val="both"/>
        <w:ind w:left="340"/>
        <w:spacing w:after="0" w:line="242" w:lineRule="auto"/>
        <w:rPr>
          <w:sz w:val="20"/>
          <w:szCs w:val="20"/>
          <w:color w:val="auto"/>
        </w:rPr>
      </w:pPr>
      <w:r>
        <w:rPr>
          <w:rFonts w:ascii="Arial" w:cs="Arial" w:eastAsia="Arial" w:hAnsi="Arial"/>
          <w:sz w:val="16"/>
          <w:szCs w:val="16"/>
          <w:color w:val="auto"/>
        </w:rPr>
        <w:t xml:space="preserve">Additional information regarding the ability of stockholders to ask questions during the Annual Meeting, related rules of conduct and other materials for the Annual Meeting, including the list of our stockholders of record, will be available at </w:t>
      </w:r>
      <w:r>
        <w:rPr>
          <w:rFonts w:ascii="Arial" w:cs="Arial" w:eastAsia="Arial" w:hAnsi="Arial"/>
          <w:sz w:val="16"/>
          <w:szCs w:val="16"/>
          <w:i w:val="1"/>
          <w:iCs w:val="1"/>
          <w:u w:val="single" w:color="auto"/>
          <w:color w:val="auto"/>
        </w:rPr>
        <w:t>www.virtualshareholdermeeting.com/CECE2022</w:t>
      </w:r>
      <w:r>
        <w:rPr>
          <w:rFonts w:ascii="Arial" w:cs="Arial" w:eastAsia="Arial" w:hAnsi="Arial"/>
          <w:sz w:val="16"/>
          <w:szCs w:val="16"/>
          <w:i w:val="1"/>
          <w:iCs w:val="1"/>
          <w:color w:val="auto"/>
        </w:rPr>
        <w:t>.</w:t>
      </w:r>
      <w:r>
        <w:rPr>
          <w:rFonts w:ascii="Arial" w:cs="Arial" w:eastAsia="Arial" w:hAnsi="Arial"/>
          <w:sz w:val="16"/>
          <w:szCs w:val="16"/>
          <w:color w:val="auto"/>
        </w:rPr>
        <w:t xml:space="preserve"> In addition, the list of stockholders entitled to vote at the meeting will be available during the Annual Meeting for inspection by stockholders for any legally valid purpose related to the Annual Meeting at </w:t>
      </w:r>
      <w:r>
        <w:rPr>
          <w:rFonts w:ascii="Arial" w:cs="Arial" w:eastAsia="Arial" w:hAnsi="Arial"/>
          <w:sz w:val="16"/>
          <w:szCs w:val="16"/>
          <w:i w:val="1"/>
          <w:iCs w:val="1"/>
          <w:u w:val="single" w:color="auto"/>
          <w:color w:val="auto"/>
        </w:rPr>
        <w:t>www.virtualshareholdermeeting.com/CECE2022</w:t>
      </w:r>
      <w:r>
        <w:rPr>
          <w:rFonts w:ascii="Arial" w:cs="Arial" w:eastAsia="Arial" w:hAnsi="Arial"/>
          <w:sz w:val="16"/>
          <w:szCs w:val="16"/>
          <w:color w:val="auto"/>
        </w:rPr>
        <w:t xml:space="preserve"> using your control number. Stockholders may view the list for such purposes 10 days prior to the meeting by contacting Investor.Relations@OneCECO.com.</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Technical Difficulties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76" w:lineRule="exact"/>
        <w:rPr>
          <w:sz w:val="20"/>
          <w:szCs w:val="20"/>
          <w:color w:val="auto"/>
        </w:rPr>
      </w:pPr>
    </w:p>
    <w:p>
      <w:pPr>
        <w:jc w:val="both"/>
        <w:ind w:left="340" w:right="500"/>
        <w:spacing w:after="0" w:line="334" w:lineRule="auto"/>
        <w:rPr>
          <w:sz w:val="20"/>
          <w:szCs w:val="20"/>
          <w:color w:val="auto"/>
        </w:rPr>
      </w:pPr>
      <w:r>
        <w:rPr>
          <w:rFonts w:ascii="Arial" w:cs="Arial" w:eastAsia="Arial" w:hAnsi="Arial"/>
          <w:sz w:val="14"/>
          <w:szCs w:val="14"/>
          <w:color w:val="auto"/>
        </w:rPr>
        <w:t xml:space="preserve">Information regarding matters addressing technical and logistical issues, including technical support during the Annual Meeting, will be available at </w:t>
      </w:r>
      <w:r>
        <w:rPr>
          <w:rFonts w:ascii="Arial" w:cs="Arial" w:eastAsia="Arial" w:hAnsi="Arial"/>
          <w:sz w:val="14"/>
          <w:szCs w:val="14"/>
          <w:i w:val="1"/>
          <w:iCs w:val="1"/>
          <w:u w:val="single" w:color="auto"/>
          <w:color w:val="auto"/>
        </w:rPr>
        <w:t>www.virtualshareholdermeeting.com/CECE2022</w:t>
      </w:r>
      <w:r>
        <w:rPr>
          <w:rFonts w:ascii="Arial" w:cs="Arial" w:eastAsia="Arial" w:hAnsi="Arial"/>
          <w:sz w:val="14"/>
          <w:szCs w:val="14"/>
          <w:i w:val="1"/>
          <w:iCs w:val="1"/>
          <w:color w:val="auto"/>
        </w:rPr>
        <w:t xml:space="preserve"> </w:t>
      </w:r>
      <w:r>
        <w:rPr>
          <w:rFonts w:ascii="Arial" w:cs="Arial" w:eastAsia="Arial" w:hAnsi="Arial"/>
          <w:sz w:val="14"/>
          <w:szCs w:val="14"/>
          <w:color w:val="auto"/>
        </w:rPr>
        <w:t>starting at 7:45 a.m. Central Time on June 8, 2022, through the conclusion of the Annual Meeting.</w:t>
      </w:r>
    </w:p>
    <w:p>
      <w:pPr>
        <w:spacing w:after="0" w:line="121"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Important Notice Regarding the Availability of Proxy Materials for the Stockholder Meeting to Be Held on June 8, 2022</w:t>
      </w:r>
    </w:p>
    <w:p>
      <w:pPr>
        <w:spacing w:after="0" w:line="202" w:lineRule="exact"/>
        <w:rPr>
          <w:sz w:val="20"/>
          <w:szCs w:val="20"/>
          <w:color w:val="auto"/>
        </w:rPr>
      </w:pPr>
    </w:p>
    <w:p>
      <w:pPr>
        <w:ind w:left="340" w:right="160"/>
        <w:spacing w:after="0" w:line="256" w:lineRule="auto"/>
        <w:rPr>
          <w:sz w:val="20"/>
          <w:szCs w:val="20"/>
          <w:color w:val="auto"/>
        </w:rPr>
      </w:pPr>
      <w:r>
        <w:rPr>
          <w:rFonts w:ascii="Arial" w:cs="Arial" w:eastAsia="Arial" w:hAnsi="Arial"/>
          <w:sz w:val="16"/>
          <w:szCs w:val="16"/>
          <w:b w:val="1"/>
          <w:bCs w:val="1"/>
          <w:color w:val="auto"/>
        </w:rPr>
        <w:t>This Proxy Statement and the CECO Environmental Corp. 2021 Annual Report to Stockholders, which includes our Annual Report on Form 10-K, are available at https://investors.cecoenviro.com. The content on any website referred to in this Proxy Statement is not incorporated by reference into this Proxy Statement.</w:t>
      </w:r>
    </w:p>
    <w:p>
      <w:pPr>
        <w:spacing w:after="0" w:line="162" w:lineRule="exact"/>
        <w:rPr>
          <w:sz w:val="20"/>
          <w:szCs w:val="20"/>
          <w:color w:val="auto"/>
        </w:rPr>
      </w:pPr>
    </w:p>
    <w:p>
      <w:pPr>
        <w:ind w:left="340" w:right="40"/>
        <w:spacing w:after="0" w:line="281" w:lineRule="auto"/>
        <w:rPr>
          <w:sz w:val="20"/>
          <w:szCs w:val="20"/>
          <w:color w:val="auto"/>
        </w:rPr>
      </w:pPr>
      <w:r>
        <w:rPr>
          <w:rFonts w:ascii="Arial" w:cs="Arial" w:eastAsia="Arial" w:hAnsi="Arial"/>
          <w:sz w:val="14"/>
          <w:szCs w:val="14"/>
          <w:b w:val="1"/>
          <w:bCs w:val="1"/>
          <w:color w:val="auto"/>
        </w:rPr>
        <w:t>We will provide a copy of our proxy materials for the Annual Meeting to any stockholder without charge upon written request addressed to CECO Environmental Corp., to the attention of the Corporate Secretary, 14651 N. Dallas Parkway, Suite 500, Dallas, Texas 75254 or by phone at</w:t>
      </w:r>
    </w:p>
    <w:p>
      <w:pPr>
        <w:spacing w:after="0" w:line="1" w:lineRule="exact"/>
        <w:rPr>
          <w:sz w:val="20"/>
          <w:szCs w:val="20"/>
          <w:color w:val="auto"/>
        </w:rPr>
      </w:pPr>
    </w:p>
    <w:p>
      <w:pPr>
        <w:ind w:left="340" w:right="280" w:firstLine="6"/>
        <w:spacing w:after="0" w:line="255" w:lineRule="auto"/>
        <w:tabs>
          <w:tab w:leader="none" w:pos="746"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357-6181. Any stockholder may also receive a copy of our Annual Report on Form 10-K for the year ended December 31, 2021, as filed with the SEC, without exhibits, upon written request to the address above</w:t>
      </w: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2022 Proxy Statement • 1</w:t>
      </w:r>
    </w:p>
    <w:p>
      <w:pPr>
        <w:sectPr>
          <w:pgSz w:w="11900" w:h="16838" w:orient="portrait"/>
          <w:cols w:equalWidth="0" w:num="1">
            <w:col w:w="10900"/>
          </w:cols>
          <w:pgMar w:left="320" w:top="443" w:right="6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41659C"/>
        </w:rPr>
        <w:t>PROPOSAL 1</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21"/>
          <w:szCs w:val="21"/>
          <w:color w:val="A5BD50"/>
        </w:rPr>
        <w:t>ELECTION OF DIRECTORS</w:t>
      </w:r>
    </w:p>
    <w:p>
      <w:pPr>
        <w:spacing w:after="0" w:line="302"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41659C"/>
        </w:rPr>
        <w:t>Directors and Nominees</w:t>
      </w:r>
    </w:p>
    <w:p>
      <w:pPr>
        <w:spacing w:after="0" w:line="212" w:lineRule="exact"/>
        <w:rPr>
          <w:sz w:val="20"/>
          <w:szCs w:val="20"/>
          <w:color w:val="auto"/>
        </w:rPr>
      </w:pPr>
    </w:p>
    <w:p>
      <w:pPr>
        <w:ind w:left="340" w:right="40"/>
        <w:spacing w:after="0" w:line="280" w:lineRule="auto"/>
        <w:rPr>
          <w:sz w:val="20"/>
          <w:szCs w:val="20"/>
          <w:color w:val="auto"/>
        </w:rPr>
      </w:pPr>
      <w:r>
        <w:rPr>
          <w:rFonts w:ascii="Arial" w:cs="Arial" w:eastAsia="Arial" w:hAnsi="Arial"/>
          <w:sz w:val="14"/>
          <w:szCs w:val="14"/>
          <w:color w:val="auto"/>
        </w:rPr>
        <w:t>Our Board of Directors (“Board”) consists of nine directors, each serving a one-year term. Jonathan Pollack and Eric M. Goldberg will not stand for re-election at the Annual Meeting due to other professional commitments and demands on their time and each of their terms as a director will end at the Annual Meeting. Messrs. Pollack and Goldberg’s decision did not result from any disagreements with us on any matter relating to our operations, policies, or practices. Upon the recommendation of the Nominations and Governance Committee of the Board, our Board has proposed the re-election of each of the existing directors, except for Messrs. Pollack and Goldberg, to serve as directors until the next annual meeting or until their successors have been duly elected and qualified. If, for any reason, any nominee should become unable or unwilling to serve as a director, our Board may either reduce the number of directors to be elected or select a substitute nominee. If a substitute nominee is selected, the persons named in the proxy card may exercise their discretion to vote your shares for the substitute nominee. The following table lists all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5990590</wp:posOffset>
            </wp:positionH>
            <wp:positionV relativeFrom="paragraph">
              <wp:posOffset>240665</wp:posOffset>
            </wp:positionV>
            <wp:extent cx="8255" cy="18561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185610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240665</wp:posOffset>
            </wp:positionV>
            <wp:extent cx="8255" cy="18561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1856105"/>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240665</wp:posOffset>
            </wp:positionV>
            <wp:extent cx="8255" cy="18561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185610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240665</wp:posOffset>
            </wp:positionV>
            <wp:extent cx="8255" cy="18561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1856105"/>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240665</wp:posOffset>
            </wp:positionV>
            <wp:extent cx="8255" cy="18561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1856105"/>
                    </a:xfrm>
                    <a:prstGeom prst="rect">
                      <a:avLst/>
                    </a:prstGeom>
                    <a:noFill/>
                  </pic:spPr>
                </pic:pic>
              </a:graphicData>
            </a:graphic>
          </wp:anchor>
        </w:drawing>
      </w:r>
    </w:p>
    <w:p>
      <w:pPr>
        <w:spacing w:after="0" w:line="359"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4140" w:type="dxa"/>
            <w:vAlign w:val="bottom"/>
            <w:shd w:val="clear" w:color="auto" w:fill="41659C"/>
          </w:tcPr>
          <w:p>
            <w:pPr>
              <w:spacing w:after="0"/>
              <w:rPr>
                <w:sz w:val="17"/>
                <w:szCs w:val="17"/>
                <w:color w:val="auto"/>
              </w:rPr>
            </w:pPr>
          </w:p>
        </w:tc>
        <w:tc>
          <w:tcPr>
            <w:tcW w:w="1120" w:type="dxa"/>
            <w:vAlign w:val="bottom"/>
            <w:vMerge w:val="restart"/>
            <w:shd w:val="clear" w:color="auto" w:fill="41659C"/>
          </w:tcPr>
          <w:p>
            <w:pPr>
              <w:jc w:val="center"/>
              <w:ind w:left="47"/>
              <w:spacing w:after="0"/>
              <w:rPr>
                <w:sz w:val="20"/>
                <w:szCs w:val="20"/>
                <w:color w:val="auto"/>
              </w:rPr>
            </w:pPr>
            <w:r>
              <w:rPr>
                <w:rFonts w:ascii="Arial" w:cs="Arial" w:eastAsia="Arial" w:hAnsi="Arial"/>
                <w:sz w:val="15"/>
                <w:szCs w:val="15"/>
                <w:b w:val="1"/>
                <w:bCs w:val="1"/>
                <w:color w:val="FFFFFF"/>
                <w:w w:val="97"/>
              </w:rPr>
              <w:t>Director</w:t>
            </w:r>
          </w:p>
        </w:tc>
        <w:tc>
          <w:tcPr>
            <w:tcW w:w="1300" w:type="dxa"/>
            <w:vAlign w:val="bottom"/>
            <w:shd w:val="clear" w:color="auto" w:fill="41659C"/>
          </w:tcPr>
          <w:p>
            <w:pPr>
              <w:spacing w:after="0"/>
              <w:rPr>
                <w:sz w:val="17"/>
                <w:szCs w:val="17"/>
                <w:color w:val="auto"/>
              </w:rPr>
            </w:pPr>
          </w:p>
        </w:tc>
        <w:tc>
          <w:tcPr>
            <w:tcW w:w="1180" w:type="dxa"/>
            <w:vAlign w:val="bottom"/>
            <w:vMerge w:val="restart"/>
            <w:shd w:val="clear" w:color="auto" w:fill="41659C"/>
          </w:tcPr>
          <w:p>
            <w:pPr>
              <w:jc w:val="center"/>
              <w:spacing w:after="0"/>
              <w:rPr>
                <w:sz w:val="20"/>
                <w:szCs w:val="20"/>
                <w:color w:val="auto"/>
              </w:rPr>
            </w:pPr>
            <w:r>
              <w:rPr>
                <w:rFonts w:ascii="Arial" w:cs="Arial" w:eastAsia="Arial" w:hAnsi="Arial"/>
                <w:sz w:val="15"/>
                <w:szCs w:val="15"/>
                <w:b w:val="1"/>
                <w:bCs w:val="1"/>
                <w:color w:val="FFFFFF"/>
                <w:w w:val="99"/>
              </w:rPr>
              <w:t>Audit</w:t>
            </w:r>
          </w:p>
        </w:tc>
        <w:tc>
          <w:tcPr>
            <w:tcW w:w="1460" w:type="dxa"/>
            <w:vAlign w:val="bottom"/>
            <w:vMerge w:val="restart"/>
            <w:shd w:val="clear" w:color="auto" w:fill="41659C"/>
          </w:tcPr>
          <w:p>
            <w:pPr>
              <w:jc w:val="center"/>
              <w:spacing w:after="0"/>
              <w:rPr>
                <w:sz w:val="20"/>
                <w:szCs w:val="20"/>
                <w:color w:val="auto"/>
              </w:rPr>
            </w:pPr>
            <w:r>
              <w:rPr>
                <w:rFonts w:ascii="Arial" w:cs="Arial" w:eastAsia="Arial" w:hAnsi="Arial"/>
                <w:sz w:val="15"/>
                <w:szCs w:val="15"/>
                <w:b w:val="1"/>
                <w:bCs w:val="1"/>
                <w:color w:val="FFFFFF"/>
                <w:w w:val="97"/>
              </w:rPr>
              <w:t>Compensation</w:t>
            </w:r>
          </w:p>
        </w:tc>
        <w:tc>
          <w:tcPr>
            <w:tcW w:w="1340" w:type="dxa"/>
            <w:vAlign w:val="bottom"/>
            <w:shd w:val="clear" w:color="auto" w:fill="41659C"/>
          </w:tcPr>
          <w:p>
            <w:pPr>
              <w:jc w:val="center"/>
              <w:ind w:left="67"/>
              <w:spacing w:after="0"/>
              <w:rPr>
                <w:sz w:val="20"/>
                <w:szCs w:val="20"/>
                <w:color w:val="auto"/>
              </w:rPr>
            </w:pPr>
            <w:r>
              <w:rPr>
                <w:rFonts w:ascii="Arial" w:cs="Arial" w:eastAsia="Arial" w:hAnsi="Arial"/>
                <w:sz w:val="15"/>
                <w:szCs w:val="15"/>
                <w:b w:val="1"/>
                <w:bCs w:val="1"/>
                <w:color w:val="FFFFFF"/>
                <w:w w:val="98"/>
              </w:rPr>
              <w:t>Nominations &amp;</w:t>
            </w:r>
          </w:p>
        </w:tc>
        <w:tc>
          <w:tcPr>
            <w:tcW w:w="0" w:type="dxa"/>
            <w:vAlign w:val="bottom"/>
          </w:tcPr>
          <w:p>
            <w:pPr>
              <w:spacing w:after="0"/>
              <w:rPr>
                <w:sz w:val="1"/>
                <w:szCs w:val="1"/>
                <w:color w:val="auto"/>
              </w:rPr>
            </w:pPr>
          </w:p>
        </w:tc>
      </w:tr>
      <w:tr>
        <w:trPr>
          <w:trHeight w:val="155"/>
        </w:trPr>
        <w:tc>
          <w:tcPr>
            <w:tcW w:w="4140" w:type="dxa"/>
            <w:vAlign w:val="bottom"/>
            <w:vMerge w:val="restart"/>
            <w:shd w:val="clear" w:color="auto" w:fill="41659C"/>
          </w:tcPr>
          <w:p>
            <w:pPr>
              <w:ind w:left="60"/>
              <w:spacing w:after="0"/>
              <w:rPr>
                <w:sz w:val="20"/>
                <w:szCs w:val="20"/>
                <w:color w:val="auto"/>
              </w:rPr>
            </w:pPr>
            <w:r>
              <w:rPr>
                <w:rFonts w:ascii="Arial" w:cs="Arial" w:eastAsia="Arial" w:hAnsi="Arial"/>
                <w:sz w:val="15"/>
                <w:szCs w:val="15"/>
                <w:b w:val="1"/>
                <w:bCs w:val="1"/>
                <w:color w:val="FFFFFF"/>
              </w:rPr>
              <w:t>Name</w:t>
            </w:r>
          </w:p>
        </w:tc>
        <w:tc>
          <w:tcPr>
            <w:tcW w:w="1120" w:type="dxa"/>
            <w:vAlign w:val="bottom"/>
            <w:vMerge w:val="continue"/>
            <w:shd w:val="clear" w:color="auto" w:fill="41659C"/>
          </w:tcPr>
          <w:p>
            <w:pPr>
              <w:spacing w:after="0"/>
              <w:rPr>
                <w:sz w:val="13"/>
                <w:szCs w:val="13"/>
                <w:color w:val="auto"/>
              </w:rPr>
            </w:pPr>
          </w:p>
        </w:tc>
        <w:tc>
          <w:tcPr>
            <w:tcW w:w="1300" w:type="dxa"/>
            <w:vAlign w:val="bottom"/>
            <w:vMerge w:val="restart"/>
            <w:shd w:val="clear" w:color="auto" w:fill="41659C"/>
          </w:tcPr>
          <w:p>
            <w:pPr>
              <w:jc w:val="center"/>
              <w:spacing w:after="0"/>
              <w:rPr>
                <w:sz w:val="20"/>
                <w:szCs w:val="20"/>
                <w:color w:val="auto"/>
              </w:rPr>
            </w:pPr>
            <w:r>
              <w:rPr>
                <w:rFonts w:ascii="Arial" w:cs="Arial" w:eastAsia="Arial" w:hAnsi="Arial"/>
                <w:sz w:val="15"/>
                <w:szCs w:val="15"/>
                <w:b w:val="1"/>
                <w:bCs w:val="1"/>
                <w:color w:val="FFFFFF"/>
                <w:w w:val="96"/>
              </w:rPr>
              <w:t>Independent</w:t>
            </w:r>
          </w:p>
        </w:tc>
        <w:tc>
          <w:tcPr>
            <w:tcW w:w="1180" w:type="dxa"/>
            <w:vAlign w:val="bottom"/>
            <w:vMerge w:val="continue"/>
            <w:shd w:val="clear" w:color="auto" w:fill="41659C"/>
          </w:tcPr>
          <w:p>
            <w:pPr>
              <w:spacing w:after="0"/>
              <w:rPr>
                <w:sz w:val="13"/>
                <w:szCs w:val="13"/>
                <w:color w:val="auto"/>
              </w:rPr>
            </w:pPr>
          </w:p>
        </w:tc>
        <w:tc>
          <w:tcPr>
            <w:tcW w:w="1460" w:type="dxa"/>
            <w:vAlign w:val="bottom"/>
            <w:vMerge w:val="continue"/>
            <w:shd w:val="clear" w:color="auto" w:fill="41659C"/>
          </w:tcPr>
          <w:p>
            <w:pPr>
              <w:spacing w:after="0"/>
              <w:rPr>
                <w:sz w:val="13"/>
                <w:szCs w:val="13"/>
                <w:color w:val="auto"/>
              </w:rPr>
            </w:pPr>
          </w:p>
        </w:tc>
        <w:tc>
          <w:tcPr>
            <w:tcW w:w="1340" w:type="dxa"/>
            <w:vAlign w:val="bottom"/>
            <w:shd w:val="clear" w:color="auto" w:fill="41659C"/>
          </w:tcPr>
          <w:p>
            <w:pPr>
              <w:jc w:val="center"/>
              <w:ind w:left="67"/>
              <w:spacing w:after="0" w:line="155" w:lineRule="exact"/>
              <w:rPr>
                <w:sz w:val="20"/>
                <w:szCs w:val="20"/>
                <w:color w:val="auto"/>
              </w:rPr>
            </w:pPr>
            <w:r>
              <w:rPr>
                <w:rFonts w:ascii="Arial" w:cs="Arial" w:eastAsia="Arial" w:hAnsi="Arial"/>
                <w:sz w:val="15"/>
                <w:szCs w:val="15"/>
                <w:b w:val="1"/>
                <w:bCs w:val="1"/>
                <w:color w:val="FFFFFF"/>
                <w:w w:val="96"/>
              </w:rPr>
              <w:t>Governance</w:t>
            </w:r>
          </w:p>
        </w:tc>
        <w:tc>
          <w:tcPr>
            <w:tcW w:w="0" w:type="dxa"/>
            <w:vAlign w:val="bottom"/>
          </w:tcPr>
          <w:p>
            <w:pPr>
              <w:spacing w:after="0"/>
              <w:rPr>
                <w:sz w:val="1"/>
                <w:szCs w:val="1"/>
                <w:color w:val="auto"/>
              </w:rPr>
            </w:pPr>
          </w:p>
        </w:tc>
      </w:tr>
      <w:tr>
        <w:trPr>
          <w:trHeight w:val="217"/>
        </w:trPr>
        <w:tc>
          <w:tcPr>
            <w:tcW w:w="4140" w:type="dxa"/>
            <w:vAlign w:val="bottom"/>
            <w:tcBorders>
              <w:bottom w:val="single" w:sz="8" w:color="41659C"/>
            </w:tcBorders>
            <w:vMerge w:val="continue"/>
            <w:shd w:val="clear" w:color="auto" w:fill="41659C"/>
          </w:tcPr>
          <w:p>
            <w:pPr>
              <w:spacing w:after="0"/>
              <w:rPr>
                <w:sz w:val="18"/>
                <w:szCs w:val="18"/>
                <w:color w:val="auto"/>
              </w:rPr>
            </w:pPr>
          </w:p>
        </w:tc>
        <w:tc>
          <w:tcPr>
            <w:tcW w:w="1120" w:type="dxa"/>
            <w:vAlign w:val="bottom"/>
            <w:tcBorders>
              <w:bottom w:val="single" w:sz="8" w:color="41659C"/>
            </w:tcBorders>
            <w:shd w:val="clear" w:color="auto" w:fill="41659C"/>
          </w:tcPr>
          <w:p>
            <w:pPr>
              <w:jc w:val="center"/>
              <w:ind w:left="67"/>
              <w:spacing w:after="0"/>
              <w:rPr>
                <w:sz w:val="20"/>
                <w:szCs w:val="20"/>
                <w:color w:val="auto"/>
              </w:rPr>
            </w:pPr>
            <w:r>
              <w:rPr>
                <w:rFonts w:ascii="Arial" w:cs="Arial" w:eastAsia="Arial" w:hAnsi="Arial"/>
                <w:sz w:val="15"/>
                <w:szCs w:val="15"/>
                <w:b w:val="1"/>
                <w:bCs w:val="1"/>
                <w:color w:val="FFFFFF"/>
                <w:w w:val="94"/>
              </w:rPr>
              <w:t>Since</w:t>
            </w:r>
          </w:p>
        </w:tc>
        <w:tc>
          <w:tcPr>
            <w:tcW w:w="1300" w:type="dxa"/>
            <w:vAlign w:val="bottom"/>
            <w:tcBorders>
              <w:bottom w:val="single" w:sz="8" w:color="41659C"/>
            </w:tcBorders>
            <w:vMerge w:val="continue"/>
            <w:shd w:val="clear" w:color="auto" w:fill="41659C"/>
          </w:tcPr>
          <w:p>
            <w:pPr>
              <w:spacing w:after="0"/>
              <w:rPr>
                <w:sz w:val="18"/>
                <w:szCs w:val="18"/>
                <w:color w:val="auto"/>
              </w:rPr>
            </w:pPr>
          </w:p>
        </w:tc>
        <w:tc>
          <w:tcPr>
            <w:tcW w:w="1180" w:type="dxa"/>
            <w:vAlign w:val="bottom"/>
            <w:tcBorders>
              <w:bottom w:val="single" w:sz="8" w:color="41659C"/>
            </w:tcBorders>
            <w:shd w:val="clear" w:color="auto" w:fill="41659C"/>
          </w:tcPr>
          <w:p>
            <w:pPr>
              <w:jc w:val="center"/>
              <w:spacing w:after="0"/>
              <w:rPr>
                <w:sz w:val="20"/>
                <w:szCs w:val="20"/>
                <w:color w:val="auto"/>
              </w:rPr>
            </w:pPr>
            <w:r>
              <w:rPr>
                <w:rFonts w:ascii="Arial" w:cs="Arial" w:eastAsia="Arial" w:hAnsi="Arial"/>
                <w:sz w:val="15"/>
                <w:szCs w:val="15"/>
                <w:b w:val="1"/>
                <w:bCs w:val="1"/>
                <w:color w:val="FFFFFF"/>
                <w:w w:val="97"/>
              </w:rPr>
              <w:t>Committee</w:t>
            </w:r>
          </w:p>
        </w:tc>
        <w:tc>
          <w:tcPr>
            <w:tcW w:w="1460" w:type="dxa"/>
            <w:vAlign w:val="bottom"/>
            <w:tcBorders>
              <w:bottom w:val="single" w:sz="8" w:color="41659C"/>
            </w:tcBorders>
            <w:shd w:val="clear" w:color="auto" w:fill="41659C"/>
          </w:tcPr>
          <w:p>
            <w:pPr>
              <w:jc w:val="center"/>
              <w:spacing w:after="0"/>
              <w:rPr>
                <w:sz w:val="20"/>
                <w:szCs w:val="20"/>
                <w:color w:val="auto"/>
              </w:rPr>
            </w:pPr>
            <w:r>
              <w:rPr>
                <w:rFonts w:ascii="Arial" w:cs="Arial" w:eastAsia="Arial" w:hAnsi="Arial"/>
                <w:sz w:val="15"/>
                <w:szCs w:val="15"/>
                <w:b w:val="1"/>
                <w:bCs w:val="1"/>
                <w:color w:val="FFFFFF"/>
                <w:w w:val="97"/>
              </w:rPr>
              <w:t>Committee</w:t>
            </w:r>
          </w:p>
        </w:tc>
        <w:tc>
          <w:tcPr>
            <w:tcW w:w="1340" w:type="dxa"/>
            <w:vAlign w:val="bottom"/>
            <w:tcBorders>
              <w:bottom w:val="single" w:sz="8" w:color="41659C"/>
            </w:tcBorders>
            <w:shd w:val="clear" w:color="auto" w:fill="41659C"/>
          </w:tcPr>
          <w:p>
            <w:pPr>
              <w:jc w:val="center"/>
              <w:ind w:left="67"/>
              <w:spacing w:after="0"/>
              <w:rPr>
                <w:sz w:val="20"/>
                <w:szCs w:val="20"/>
                <w:color w:val="auto"/>
              </w:rPr>
            </w:pPr>
            <w:r>
              <w:rPr>
                <w:rFonts w:ascii="Arial" w:cs="Arial" w:eastAsia="Arial" w:hAnsi="Arial"/>
                <w:sz w:val="15"/>
                <w:szCs w:val="15"/>
                <w:b w:val="1"/>
                <w:bCs w:val="1"/>
                <w:color w:val="FFFFFF"/>
                <w:w w:val="97"/>
              </w:rPr>
              <w:t>Committee</w:t>
            </w:r>
          </w:p>
        </w:tc>
        <w:tc>
          <w:tcPr>
            <w:tcW w:w="0" w:type="dxa"/>
            <w:vAlign w:val="bottom"/>
          </w:tcPr>
          <w:p>
            <w:pPr>
              <w:spacing w:after="0"/>
              <w:rPr>
                <w:sz w:val="1"/>
                <w:szCs w:val="1"/>
                <w:color w:val="auto"/>
              </w:rPr>
            </w:pPr>
          </w:p>
        </w:tc>
      </w:tr>
      <w:tr>
        <w:trPr>
          <w:trHeight w:val="203"/>
        </w:trPr>
        <w:tc>
          <w:tcPr>
            <w:tcW w:w="4140" w:type="dxa"/>
            <w:vAlign w:val="bottom"/>
            <w:shd w:val="clear" w:color="auto" w:fill="E8EED3"/>
          </w:tcPr>
          <w:p>
            <w:pPr>
              <w:ind w:left="60"/>
              <w:spacing w:after="0"/>
              <w:rPr>
                <w:sz w:val="20"/>
                <w:szCs w:val="20"/>
                <w:color w:val="auto"/>
              </w:rPr>
            </w:pPr>
            <w:r>
              <w:rPr>
                <w:rFonts w:ascii="Arial" w:cs="Arial" w:eastAsia="Arial" w:hAnsi="Arial"/>
                <w:sz w:val="15"/>
                <w:szCs w:val="15"/>
                <w:b w:val="1"/>
                <w:bCs w:val="1"/>
                <w:color w:val="auto"/>
              </w:rPr>
              <w:t>Jason DeZwirek</w:t>
            </w:r>
          </w:p>
        </w:tc>
        <w:tc>
          <w:tcPr>
            <w:tcW w:w="1120" w:type="dxa"/>
            <w:vAlign w:val="bottom"/>
            <w:vMerge w:val="restart"/>
            <w:shd w:val="clear" w:color="auto" w:fill="E8EED3"/>
          </w:tcPr>
          <w:p>
            <w:pPr>
              <w:jc w:val="center"/>
              <w:ind w:left="47"/>
              <w:spacing w:after="0"/>
              <w:rPr>
                <w:sz w:val="20"/>
                <w:szCs w:val="20"/>
                <w:color w:val="auto"/>
              </w:rPr>
            </w:pPr>
            <w:r>
              <w:rPr>
                <w:rFonts w:ascii="Arial" w:cs="Arial" w:eastAsia="Arial" w:hAnsi="Arial"/>
                <w:sz w:val="15"/>
                <w:szCs w:val="15"/>
                <w:color w:val="auto"/>
                <w:w w:val="95"/>
              </w:rPr>
              <w:t>1994</w:t>
            </w:r>
          </w:p>
        </w:tc>
        <w:tc>
          <w:tcPr>
            <w:tcW w:w="1300" w:type="dxa"/>
            <w:vAlign w:val="bottom"/>
            <w:shd w:val="clear" w:color="auto" w:fill="E8EED3"/>
          </w:tcPr>
          <w:p>
            <w:pPr>
              <w:spacing w:after="0"/>
              <w:rPr>
                <w:sz w:val="17"/>
                <w:szCs w:val="17"/>
                <w:color w:val="auto"/>
              </w:rPr>
            </w:pPr>
          </w:p>
        </w:tc>
        <w:tc>
          <w:tcPr>
            <w:tcW w:w="1180" w:type="dxa"/>
            <w:vAlign w:val="bottom"/>
            <w:shd w:val="clear" w:color="auto" w:fill="E8EED3"/>
          </w:tcPr>
          <w:p>
            <w:pPr>
              <w:spacing w:after="0"/>
              <w:rPr>
                <w:sz w:val="17"/>
                <w:szCs w:val="17"/>
                <w:color w:val="auto"/>
              </w:rPr>
            </w:pPr>
          </w:p>
        </w:tc>
        <w:tc>
          <w:tcPr>
            <w:tcW w:w="1460" w:type="dxa"/>
            <w:vAlign w:val="bottom"/>
            <w:shd w:val="clear" w:color="auto" w:fill="E8EED3"/>
          </w:tcPr>
          <w:p>
            <w:pPr>
              <w:spacing w:after="0"/>
              <w:rPr>
                <w:sz w:val="17"/>
                <w:szCs w:val="17"/>
                <w:color w:val="auto"/>
              </w:rPr>
            </w:pPr>
          </w:p>
        </w:tc>
        <w:tc>
          <w:tcPr>
            <w:tcW w:w="1340" w:type="dxa"/>
            <w:vAlign w:val="bottom"/>
            <w:shd w:val="clear" w:color="auto" w:fill="E8EED3"/>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4140" w:type="dxa"/>
            <w:vAlign w:val="bottom"/>
            <w:vMerge w:val="restart"/>
            <w:shd w:val="clear" w:color="auto" w:fill="E8EED3"/>
          </w:tcPr>
          <w:p>
            <w:pPr>
              <w:ind w:left="60"/>
              <w:spacing w:after="0"/>
              <w:rPr>
                <w:sz w:val="20"/>
                <w:szCs w:val="20"/>
                <w:color w:val="auto"/>
              </w:rPr>
            </w:pPr>
            <w:r>
              <w:rPr>
                <w:rFonts w:ascii="Arial" w:cs="Arial" w:eastAsia="Arial" w:hAnsi="Arial"/>
                <w:sz w:val="15"/>
                <w:szCs w:val="15"/>
                <w:color w:val="auto"/>
              </w:rPr>
              <w:t>Chairman of the Board</w:t>
            </w:r>
          </w:p>
        </w:tc>
        <w:tc>
          <w:tcPr>
            <w:tcW w:w="1120" w:type="dxa"/>
            <w:vAlign w:val="bottom"/>
            <w:vMerge w:val="continue"/>
            <w:shd w:val="clear" w:color="auto" w:fill="E8EED3"/>
          </w:tcPr>
          <w:p>
            <w:pPr>
              <w:spacing w:after="0"/>
              <w:rPr>
                <w:sz w:val="10"/>
                <w:szCs w:val="10"/>
                <w:color w:val="auto"/>
              </w:rPr>
            </w:pPr>
          </w:p>
        </w:tc>
        <w:tc>
          <w:tcPr>
            <w:tcW w:w="1300" w:type="dxa"/>
            <w:vAlign w:val="bottom"/>
            <w:shd w:val="clear" w:color="auto" w:fill="E8EED3"/>
          </w:tcPr>
          <w:p>
            <w:pPr>
              <w:spacing w:after="0"/>
              <w:rPr>
                <w:sz w:val="10"/>
                <w:szCs w:val="10"/>
                <w:color w:val="auto"/>
              </w:rPr>
            </w:pPr>
          </w:p>
        </w:tc>
        <w:tc>
          <w:tcPr>
            <w:tcW w:w="1180" w:type="dxa"/>
            <w:vAlign w:val="bottom"/>
            <w:shd w:val="clear" w:color="auto" w:fill="E8EED3"/>
          </w:tcPr>
          <w:p>
            <w:pPr>
              <w:spacing w:after="0"/>
              <w:rPr>
                <w:sz w:val="10"/>
                <w:szCs w:val="10"/>
                <w:color w:val="auto"/>
              </w:rPr>
            </w:pPr>
          </w:p>
        </w:tc>
        <w:tc>
          <w:tcPr>
            <w:tcW w:w="1460" w:type="dxa"/>
            <w:vAlign w:val="bottom"/>
            <w:shd w:val="clear" w:color="auto" w:fill="E8EED3"/>
          </w:tcPr>
          <w:p>
            <w:pPr>
              <w:spacing w:after="0"/>
              <w:rPr>
                <w:sz w:val="10"/>
                <w:szCs w:val="10"/>
                <w:color w:val="auto"/>
              </w:rPr>
            </w:pPr>
          </w:p>
        </w:tc>
        <w:tc>
          <w:tcPr>
            <w:tcW w:w="1340" w:type="dxa"/>
            <w:vAlign w:val="bottom"/>
            <w:shd w:val="clear" w:color="auto" w:fill="E8EED3"/>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E8EED3"/>
            </w:tcBorders>
            <w:vMerge w:val="continue"/>
            <w:shd w:val="clear" w:color="auto" w:fill="E8EED3"/>
          </w:tcPr>
          <w:p>
            <w:pPr>
              <w:spacing w:after="0"/>
              <w:rPr>
                <w:sz w:val="10"/>
                <w:szCs w:val="10"/>
                <w:color w:val="auto"/>
              </w:rPr>
            </w:pPr>
          </w:p>
        </w:tc>
        <w:tc>
          <w:tcPr>
            <w:tcW w:w="1120" w:type="dxa"/>
            <w:vAlign w:val="bottom"/>
            <w:tcBorders>
              <w:bottom w:val="single" w:sz="8" w:color="E8EED3"/>
            </w:tcBorders>
            <w:shd w:val="clear" w:color="auto" w:fill="E8EED3"/>
          </w:tcPr>
          <w:p>
            <w:pPr>
              <w:spacing w:after="0"/>
              <w:rPr>
                <w:sz w:val="10"/>
                <w:szCs w:val="10"/>
                <w:color w:val="auto"/>
              </w:rPr>
            </w:pPr>
          </w:p>
        </w:tc>
        <w:tc>
          <w:tcPr>
            <w:tcW w:w="1300" w:type="dxa"/>
            <w:vAlign w:val="bottom"/>
            <w:tcBorders>
              <w:bottom w:val="single" w:sz="8" w:color="E8EED3"/>
            </w:tcBorders>
            <w:shd w:val="clear" w:color="auto" w:fill="E8EED3"/>
          </w:tcPr>
          <w:p>
            <w:pPr>
              <w:spacing w:after="0"/>
              <w:rPr>
                <w:sz w:val="10"/>
                <w:szCs w:val="10"/>
                <w:color w:val="auto"/>
              </w:rPr>
            </w:pPr>
          </w:p>
        </w:tc>
        <w:tc>
          <w:tcPr>
            <w:tcW w:w="1180" w:type="dxa"/>
            <w:vAlign w:val="bottom"/>
            <w:tcBorders>
              <w:bottom w:val="single" w:sz="8" w:color="E8EED3"/>
            </w:tcBorders>
            <w:shd w:val="clear" w:color="auto" w:fill="E8EED3"/>
          </w:tcPr>
          <w:p>
            <w:pPr>
              <w:spacing w:after="0"/>
              <w:rPr>
                <w:sz w:val="10"/>
                <w:szCs w:val="10"/>
                <w:color w:val="auto"/>
              </w:rPr>
            </w:pPr>
          </w:p>
        </w:tc>
        <w:tc>
          <w:tcPr>
            <w:tcW w:w="1460" w:type="dxa"/>
            <w:vAlign w:val="bottom"/>
            <w:tcBorders>
              <w:bottom w:val="single" w:sz="8" w:color="E8EED3"/>
            </w:tcBorders>
            <w:shd w:val="clear" w:color="auto" w:fill="E8EED3"/>
          </w:tcPr>
          <w:p>
            <w:pPr>
              <w:spacing w:after="0"/>
              <w:rPr>
                <w:sz w:val="10"/>
                <w:szCs w:val="10"/>
                <w:color w:val="auto"/>
              </w:rPr>
            </w:pPr>
          </w:p>
        </w:tc>
        <w:tc>
          <w:tcPr>
            <w:tcW w:w="1340" w:type="dxa"/>
            <w:vAlign w:val="bottom"/>
            <w:tcBorders>
              <w:bottom w:val="single" w:sz="8" w:color="E8EED3"/>
            </w:tcBorders>
            <w:shd w:val="clear" w:color="auto" w:fill="E8EED3"/>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D2DEA7"/>
          </w:tcPr>
          <w:p>
            <w:pPr>
              <w:ind w:left="60"/>
              <w:spacing w:after="0"/>
              <w:rPr>
                <w:sz w:val="20"/>
                <w:szCs w:val="20"/>
                <w:color w:val="auto"/>
              </w:rPr>
            </w:pPr>
            <w:r>
              <w:rPr>
                <w:rFonts w:ascii="Arial" w:cs="Arial" w:eastAsia="Arial" w:hAnsi="Arial"/>
                <w:sz w:val="15"/>
                <w:szCs w:val="15"/>
                <w:b w:val="1"/>
                <w:bCs w:val="1"/>
                <w:color w:val="auto"/>
              </w:rPr>
              <w:t>Todd Gleason</w:t>
            </w:r>
          </w:p>
        </w:tc>
        <w:tc>
          <w:tcPr>
            <w:tcW w:w="1120" w:type="dxa"/>
            <w:vAlign w:val="bottom"/>
            <w:vMerge w:val="restart"/>
            <w:shd w:val="clear" w:color="auto" w:fill="D2DEA7"/>
          </w:tcPr>
          <w:p>
            <w:pPr>
              <w:jc w:val="center"/>
              <w:ind w:left="47"/>
              <w:spacing w:after="0"/>
              <w:rPr>
                <w:sz w:val="20"/>
                <w:szCs w:val="20"/>
                <w:color w:val="auto"/>
              </w:rPr>
            </w:pPr>
            <w:r>
              <w:rPr>
                <w:rFonts w:ascii="Arial" w:cs="Arial" w:eastAsia="Arial" w:hAnsi="Arial"/>
                <w:sz w:val="15"/>
                <w:szCs w:val="15"/>
                <w:color w:val="auto"/>
                <w:w w:val="95"/>
              </w:rPr>
              <w:t>2020</w:t>
            </w:r>
          </w:p>
        </w:tc>
        <w:tc>
          <w:tcPr>
            <w:tcW w:w="1300" w:type="dxa"/>
            <w:vAlign w:val="bottom"/>
            <w:shd w:val="clear" w:color="auto" w:fill="D2DEA7"/>
          </w:tcPr>
          <w:p>
            <w:pPr>
              <w:spacing w:after="0"/>
              <w:rPr>
                <w:sz w:val="17"/>
                <w:szCs w:val="17"/>
                <w:color w:val="auto"/>
              </w:rPr>
            </w:pPr>
          </w:p>
        </w:tc>
        <w:tc>
          <w:tcPr>
            <w:tcW w:w="1180" w:type="dxa"/>
            <w:vAlign w:val="bottom"/>
            <w:shd w:val="clear" w:color="auto" w:fill="D2DEA7"/>
          </w:tcPr>
          <w:p>
            <w:pPr>
              <w:spacing w:after="0"/>
              <w:rPr>
                <w:sz w:val="17"/>
                <w:szCs w:val="17"/>
                <w:color w:val="auto"/>
              </w:rPr>
            </w:pPr>
          </w:p>
        </w:tc>
        <w:tc>
          <w:tcPr>
            <w:tcW w:w="1460" w:type="dxa"/>
            <w:vAlign w:val="bottom"/>
            <w:shd w:val="clear" w:color="auto" w:fill="D2DEA7"/>
          </w:tcPr>
          <w:p>
            <w:pPr>
              <w:spacing w:after="0"/>
              <w:rPr>
                <w:sz w:val="17"/>
                <w:szCs w:val="17"/>
                <w:color w:val="auto"/>
              </w:rPr>
            </w:pPr>
          </w:p>
        </w:tc>
        <w:tc>
          <w:tcPr>
            <w:tcW w:w="1340" w:type="dxa"/>
            <w:vAlign w:val="bottom"/>
            <w:shd w:val="clear" w:color="auto" w:fill="D2DEA7"/>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4140" w:type="dxa"/>
            <w:vAlign w:val="bottom"/>
            <w:vMerge w:val="restart"/>
            <w:shd w:val="clear" w:color="auto" w:fill="D2DEA7"/>
          </w:tcPr>
          <w:p>
            <w:pPr>
              <w:ind w:left="60"/>
              <w:spacing w:after="0"/>
              <w:rPr>
                <w:sz w:val="20"/>
                <w:szCs w:val="20"/>
                <w:color w:val="auto"/>
              </w:rPr>
            </w:pPr>
            <w:r>
              <w:rPr>
                <w:rFonts w:ascii="Arial" w:cs="Arial" w:eastAsia="Arial" w:hAnsi="Arial"/>
                <w:sz w:val="15"/>
                <w:szCs w:val="15"/>
                <w:color w:val="auto"/>
              </w:rPr>
              <w:t>Chief Executive Officer</w:t>
            </w:r>
          </w:p>
        </w:tc>
        <w:tc>
          <w:tcPr>
            <w:tcW w:w="1120" w:type="dxa"/>
            <w:vAlign w:val="bottom"/>
            <w:vMerge w:val="continue"/>
            <w:shd w:val="clear" w:color="auto" w:fill="D2DEA7"/>
          </w:tcPr>
          <w:p>
            <w:pPr>
              <w:spacing w:after="0"/>
              <w:rPr>
                <w:sz w:val="10"/>
                <w:szCs w:val="10"/>
                <w:color w:val="auto"/>
              </w:rPr>
            </w:pPr>
          </w:p>
        </w:tc>
        <w:tc>
          <w:tcPr>
            <w:tcW w:w="1300" w:type="dxa"/>
            <w:vAlign w:val="bottom"/>
            <w:shd w:val="clear" w:color="auto" w:fill="D2DEA7"/>
          </w:tcPr>
          <w:p>
            <w:pPr>
              <w:spacing w:after="0"/>
              <w:rPr>
                <w:sz w:val="10"/>
                <w:szCs w:val="10"/>
                <w:color w:val="auto"/>
              </w:rPr>
            </w:pPr>
          </w:p>
        </w:tc>
        <w:tc>
          <w:tcPr>
            <w:tcW w:w="1180" w:type="dxa"/>
            <w:vAlign w:val="bottom"/>
            <w:shd w:val="clear" w:color="auto" w:fill="D2DEA7"/>
          </w:tcPr>
          <w:p>
            <w:pPr>
              <w:spacing w:after="0"/>
              <w:rPr>
                <w:sz w:val="10"/>
                <w:szCs w:val="10"/>
                <w:color w:val="auto"/>
              </w:rPr>
            </w:pPr>
          </w:p>
        </w:tc>
        <w:tc>
          <w:tcPr>
            <w:tcW w:w="1460" w:type="dxa"/>
            <w:vAlign w:val="bottom"/>
            <w:shd w:val="clear" w:color="auto" w:fill="D2DEA7"/>
          </w:tcPr>
          <w:p>
            <w:pPr>
              <w:spacing w:after="0"/>
              <w:rPr>
                <w:sz w:val="10"/>
                <w:szCs w:val="10"/>
                <w:color w:val="auto"/>
              </w:rPr>
            </w:pPr>
          </w:p>
        </w:tc>
        <w:tc>
          <w:tcPr>
            <w:tcW w:w="1340" w:type="dxa"/>
            <w:vAlign w:val="bottom"/>
            <w:shd w:val="clear" w:color="auto" w:fill="D2DEA7"/>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D2DEA7"/>
            </w:tcBorders>
            <w:vMerge w:val="continue"/>
            <w:shd w:val="clear" w:color="auto" w:fill="D2DEA7"/>
          </w:tcPr>
          <w:p>
            <w:pPr>
              <w:spacing w:after="0"/>
              <w:rPr>
                <w:sz w:val="10"/>
                <w:szCs w:val="10"/>
                <w:color w:val="auto"/>
              </w:rPr>
            </w:pPr>
          </w:p>
        </w:tc>
        <w:tc>
          <w:tcPr>
            <w:tcW w:w="1120" w:type="dxa"/>
            <w:vAlign w:val="bottom"/>
            <w:tcBorders>
              <w:bottom w:val="single" w:sz="8" w:color="D2DEA7"/>
            </w:tcBorders>
            <w:shd w:val="clear" w:color="auto" w:fill="D2DEA7"/>
          </w:tcPr>
          <w:p>
            <w:pPr>
              <w:spacing w:after="0"/>
              <w:rPr>
                <w:sz w:val="10"/>
                <w:szCs w:val="10"/>
                <w:color w:val="auto"/>
              </w:rPr>
            </w:pPr>
          </w:p>
        </w:tc>
        <w:tc>
          <w:tcPr>
            <w:tcW w:w="1300" w:type="dxa"/>
            <w:vAlign w:val="bottom"/>
            <w:tcBorders>
              <w:bottom w:val="single" w:sz="8" w:color="D2DEA7"/>
            </w:tcBorders>
            <w:shd w:val="clear" w:color="auto" w:fill="D2DEA7"/>
          </w:tcPr>
          <w:p>
            <w:pPr>
              <w:spacing w:after="0"/>
              <w:rPr>
                <w:sz w:val="10"/>
                <w:szCs w:val="10"/>
                <w:color w:val="auto"/>
              </w:rPr>
            </w:pPr>
          </w:p>
        </w:tc>
        <w:tc>
          <w:tcPr>
            <w:tcW w:w="1180" w:type="dxa"/>
            <w:vAlign w:val="bottom"/>
            <w:tcBorders>
              <w:bottom w:val="single" w:sz="8" w:color="D2DEA7"/>
            </w:tcBorders>
            <w:shd w:val="clear" w:color="auto" w:fill="D2DEA7"/>
          </w:tcPr>
          <w:p>
            <w:pPr>
              <w:spacing w:after="0"/>
              <w:rPr>
                <w:sz w:val="10"/>
                <w:szCs w:val="10"/>
                <w:color w:val="auto"/>
              </w:rPr>
            </w:pPr>
          </w:p>
        </w:tc>
        <w:tc>
          <w:tcPr>
            <w:tcW w:w="1460" w:type="dxa"/>
            <w:vAlign w:val="bottom"/>
            <w:tcBorders>
              <w:bottom w:val="single" w:sz="8" w:color="D2DEA7"/>
            </w:tcBorders>
            <w:shd w:val="clear" w:color="auto" w:fill="D2DEA7"/>
          </w:tcPr>
          <w:p>
            <w:pPr>
              <w:spacing w:after="0"/>
              <w:rPr>
                <w:sz w:val="10"/>
                <w:szCs w:val="10"/>
                <w:color w:val="auto"/>
              </w:rPr>
            </w:pPr>
          </w:p>
        </w:tc>
        <w:tc>
          <w:tcPr>
            <w:tcW w:w="1340" w:type="dxa"/>
            <w:vAlign w:val="bottom"/>
            <w:tcBorders>
              <w:bottom w:val="single" w:sz="8" w:color="D2DEA7"/>
            </w:tcBorders>
            <w:shd w:val="clear" w:color="auto" w:fill="D2DEA7"/>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4140" w:type="dxa"/>
            <w:vAlign w:val="bottom"/>
            <w:tcBorders>
              <w:bottom w:val="single" w:sz="8" w:color="E8EED3"/>
            </w:tcBorders>
            <w:shd w:val="clear" w:color="auto" w:fill="E8EED3"/>
          </w:tcPr>
          <w:p>
            <w:pPr>
              <w:ind w:left="60"/>
              <w:spacing w:after="0"/>
              <w:rPr>
                <w:sz w:val="20"/>
                <w:szCs w:val="20"/>
                <w:color w:val="auto"/>
              </w:rPr>
            </w:pPr>
            <w:r>
              <w:rPr>
                <w:rFonts w:ascii="Arial" w:cs="Arial" w:eastAsia="Arial" w:hAnsi="Arial"/>
                <w:sz w:val="15"/>
                <w:szCs w:val="15"/>
                <w:b w:val="1"/>
                <w:bCs w:val="1"/>
                <w:color w:val="auto"/>
              </w:rPr>
              <w:t>David B. Liner</w:t>
            </w:r>
          </w:p>
        </w:tc>
        <w:tc>
          <w:tcPr>
            <w:tcW w:w="1120" w:type="dxa"/>
            <w:vAlign w:val="bottom"/>
            <w:tcBorders>
              <w:bottom w:val="single" w:sz="8" w:color="E8EED3"/>
            </w:tcBorders>
            <w:shd w:val="clear" w:color="auto" w:fill="E8EED3"/>
          </w:tcPr>
          <w:p>
            <w:pPr>
              <w:jc w:val="center"/>
              <w:ind w:left="47"/>
              <w:spacing w:after="0"/>
              <w:rPr>
                <w:sz w:val="20"/>
                <w:szCs w:val="20"/>
                <w:color w:val="auto"/>
              </w:rPr>
            </w:pPr>
            <w:r>
              <w:rPr>
                <w:rFonts w:ascii="Arial" w:cs="Arial" w:eastAsia="Arial" w:hAnsi="Arial"/>
                <w:sz w:val="15"/>
                <w:szCs w:val="15"/>
                <w:color w:val="auto"/>
                <w:w w:val="95"/>
              </w:rPr>
              <w:t>2017</w:t>
            </w:r>
          </w:p>
        </w:tc>
        <w:tc>
          <w:tcPr>
            <w:tcW w:w="1300" w:type="dxa"/>
            <w:vAlign w:val="bottom"/>
            <w:tcBorders>
              <w:bottom w:val="single" w:sz="8" w:color="E8EED3"/>
            </w:tcBorders>
            <w:shd w:val="clear" w:color="auto" w:fill="E8EED3"/>
          </w:tcPr>
          <w:p>
            <w:pPr>
              <w:jc w:val="center"/>
              <w:spacing w:after="0"/>
              <w:rPr>
                <w:sz w:val="20"/>
                <w:szCs w:val="20"/>
                <w:color w:val="auto"/>
              </w:rPr>
            </w:pPr>
            <w:r>
              <w:rPr>
                <w:rFonts w:ascii="Arial" w:cs="Arial" w:eastAsia="Arial" w:hAnsi="Arial"/>
                <w:sz w:val="15"/>
                <w:szCs w:val="15"/>
                <w:color w:val="auto"/>
                <w:w w:val="99"/>
              </w:rPr>
              <w:t>X</w:t>
            </w:r>
          </w:p>
        </w:tc>
        <w:tc>
          <w:tcPr>
            <w:tcW w:w="1180" w:type="dxa"/>
            <w:vAlign w:val="bottom"/>
            <w:tcBorders>
              <w:bottom w:val="single" w:sz="8" w:color="E8EED3"/>
            </w:tcBorders>
            <w:shd w:val="clear" w:color="auto" w:fill="E8EED3"/>
          </w:tcPr>
          <w:p>
            <w:pPr>
              <w:jc w:val="center"/>
              <w:spacing w:after="0"/>
              <w:rPr>
                <w:sz w:val="20"/>
                <w:szCs w:val="20"/>
                <w:color w:val="auto"/>
              </w:rPr>
            </w:pPr>
            <w:r>
              <w:rPr>
                <w:rFonts w:ascii="Arial" w:cs="Arial" w:eastAsia="Arial" w:hAnsi="Arial"/>
                <w:sz w:val="15"/>
                <w:szCs w:val="15"/>
                <w:color w:val="auto"/>
                <w:w w:val="99"/>
              </w:rPr>
              <w:t>X</w:t>
            </w:r>
          </w:p>
        </w:tc>
        <w:tc>
          <w:tcPr>
            <w:tcW w:w="1460" w:type="dxa"/>
            <w:vAlign w:val="bottom"/>
            <w:tcBorders>
              <w:bottom w:val="single" w:sz="8" w:color="E8EED3"/>
            </w:tcBorders>
            <w:shd w:val="clear" w:color="auto" w:fill="E8EED3"/>
          </w:tcPr>
          <w:p>
            <w:pPr>
              <w:jc w:val="center"/>
              <w:spacing w:after="0"/>
              <w:rPr>
                <w:sz w:val="20"/>
                <w:szCs w:val="20"/>
                <w:color w:val="auto"/>
              </w:rPr>
            </w:pPr>
            <w:r>
              <w:rPr>
                <w:rFonts w:ascii="Arial" w:cs="Arial" w:eastAsia="Arial" w:hAnsi="Arial"/>
                <w:sz w:val="15"/>
                <w:szCs w:val="15"/>
                <w:color w:val="auto"/>
                <w:w w:val="99"/>
              </w:rPr>
              <w:t>X</w:t>
            </w:r>
          </w:p>
        </w:tc>
        <w:tc>
          <w:tcPr>
            <w:tcW w:w="1340" w:type="dxa"/>
            <w:vAlign w:val="bottom"/>
            <w:tcBorders>
              <w:bottom w:val="single" w:sz="8" w:color="E8EED3"/>
            </w:tcBorders>
            <w:shd w:val="clear" w:color="auto" w:fill="E8EED3"/>
          </w:tcPr>
          <w:p>
            <w:pPr>
              <w:jc w:val="center"/>
              <w:ind w:left="67"/>
              <w:spacing w:after="0"/>
              <w:rPr>
                <w:sz w:val="20"/>
                <w:szCs w:val="20"/>
                <w:color w:val="auto"/>
              </w:rPr>
            </w:pPr>
            <w:r>
              <w:rPr>
                <w:rFonts w:ascii="Arial" w:cs="Arial" w:eastAsia="Arial" w:hAnsi="Arial"/>
                <w:sz w:val="15"/>
                <w:szCs w:val="15"/>
                <w:color w:val="auto"/>
              </w:rPr>
              <w:t>Chair</w:t>
            </w:r>
          </w:p>
        </w:tc>
        <w:tc>
          <w:tcPr>
            <w:tcW w:w="0" w:type="dxa"/>
            <w:vAlign w:val="bottom"/>
          </w:tcPr>
          <w:p>
            <w:pPr>
              <w:spacing w:after="0"/>
              <w:rPr>
                <w:sz w:val="1"/>
                <w:szCs w:val="1"/>
                <w:color w:val="auto"/>
              </w:rPr>
            </w:pPr>
          </w:p>
        </w:tc>
      </w:tr>
      <w:tr>
        <w:trPr>
          <w:trHeight w:val="265"/>
        </w:trPr>
        <w:tc>
          <w:tcPr>
            <w:tcW w:w="4140" w:type="dxa"/>
            <w:vAlign w:val="bottom"/>
            <w:tcBorders>
              <w:bottom w:val="single" w:sz="8" w:color="D2DEA7"/>
            </w:tcBorders>
            <w:shd w:val="clear" w:color="auto" w:fill="D2DEA7"/>
          </w:tcPr>
          <w:p>
            <w:pPr>
              <w:ind w:left="60"/>
              <w:spacing w:after="0"/>
              <w:rPr>
                <w:sz w:val="20"/>
                <w:szCs w:val="20"/>
                <w:color w:val="auto"/>
              </w:rPr>
            </w:pPr>
            <w:r>
              <w:rPr>
                <w:rFonts w:ascii="Arial" w:cs="Arial" w:eastAsia="Arial" w:hAnsi="Arial"/>
                <w:sz w:val="15"/>
                <w:szCs w:val="15"/>
                <w:b w:val="1"/>
                <w:bCs w:val="1"/>
                <w:color w:val="auto"/>
              </w:rPr>
              <w:t>Claudio A. Mannarino</w:t>
            </w:r>
          </w:p>
        </w:tc>
        <w:tc>
          <w:tcPr>
            <w:tcW w:w="1120" w:type="dxa"/>
            <w:vAlign w:val="bottom"/>
            <w:tcBorders>
              <w:bottom w:val="single" w:sz="8" w:color="D2DEA7"/>
            </w:tcBorders>
            <w:shd w:val="clear" w:color="auto" w:fill="D2DEA7"/>
          </w:tcPr>
          <w:p>
            <w:pPr>
              <w:jc w:val="center"/>
              <w:ind w:left="47"/>
              <w:spacing w:after="0"/>
              <w:rPr>
                <w:sz w:val="20"/>
                <w:szCs w:val="20"/>
                <w:color w:val="auto"/>
              </w:rPr>
            </w:pPr>
            <w:r>
              <w:rPr>
                <w:rFonts w:ascii="Arial" w:cs="Arial" w:eastAsia="Arial" w:hAnsi="Arial"/>
                <w:sz w:val="15"/>
                <w:szCs w:val="15"/>
                <w:color w:val="auto"/>
                <w:w w:val="95"/>
              </w:rPr>
              <w:t>2015</w:t>
            </w:r>
          </w:p>
        </w:tc>
        <w:tc>
          <w:tcPr>
            <w:tcW w:w="1300" w:type="dxa"/>
            <w:vAlign w:val="bottom"/>
            <w:tcBorders>
              <w:bottom w:val="single" w:sz="8" w:color="D2DEA7"/>
            </w:tcBorders>
            <w:shd w:val="clear" w:color="auto" w:fill="D2DEA7"/>
          </w:tcPr>
          <w:p>
            <w:pPr>
              <w:jc w:val="center"/>
              <w:spacing w:after="0"/>
              <w:rPr>
                <w:sz w:val="20"/>
                <w:szCs w:val="20"/>
                <w:color w:val="auto"/>
              </w:rPr>
            </w:pPr>
            <w:r>
              <w:rPr>
                <w:rFonts w:ascii="Arial" w:cs="Arial" w:eastAsia="Arial" w:hAnsi="Arial"/>
                <w:sz w:val="15"/>
                <w:szCs w:val="15"/>
                <w:color w:val="auto"/>
                <w:w w:val="99"/>
              </w:rPr>
              <w:t>X</w:t>
            </w:r>
          </w:p>
        </w:tc>
        <w:tc>
          <w:tcPr>
            <w:tcW w:w="1180" w:type="dxa"/>
            <w:vAlign w:val="bottom"/>
            <w:tcBorders>
              <w:bottom w:val="single" w:sz="8" w:color="D2DEA7"/>
            </w:tcBorders>
            <w:shd w:val="clear" w:color="auto" w:fill="D2DEA7"/>
          </w:tcPr>
          <w:p>
            <w:pPr>
              <w:jc w:val="center"/>
              <w:spacing w:after="0"/>
              <w:rPr>
                <w:sz w:val="20"/>
                <w:szCs w:val="20"/>
                <w:color w:val="auto"/>
              </w:rPr>
            </w:pPr>
            <w:r>
              <w:rPr>
                <w:rFonts w:ascii="Arial" w:cs="Arial" w:eastAsia="Arial" w:hAnsi="Arial"/>
                <w:sz w:val="15"/>
                <w:szCs w:val="15"/>
                <w:color w:val="auto"/>
                <w:w w:val="94"/>
              </w:rPr>
              <w:t>Chair</w:t>
            </w:r>
          </w:p>
        </w:tc>
        <w:tc>
          <w:tcPr>
            <w:tcW w:w="1460" w:type="dxa"/>
            <w:vAlign w:val="bottom"/>
            <w:tcBorders>
              <w:bottom w:val="single" w:sz="8" w:color="D2DEA7"/>
            </w:tcBorders>
            <w:shd w:val="clear" w:color="auto" w:fill="D2DEA7"/>
          </w:tcPr>
          <w:p>
            <w:pPr>
              <w:spacing w:after="0"/>
              <w:rPr>
                <w:sz w:val="23"/>
                <w:szCs w:val="23"/>
                <w:color w:val="auto"/>
              </w:rPr>
            </w:pPr>
          </w:p>
        </w:tc>
        <w:tc>
          <w:tcPr>
            <w:tcW w:w="1340" w:type="dxa"/>
            <w:vAlign w:val="bottom"/>
            <w:tcBorders>
              <w:bottom w:val="single" w:sz="8" w:color="D2DEA7"/>
            </w:tcBorders>
            <w:shd w:val="clear" w:color="auto" w:fill="D2DEA7"/>
          </w:tcPr>
          <w:p>
            <w:pPr>
              <w:jc w:val="center"/>
              <w:ind w:left="67"/>
              <w:spacing w:after="0"/>
              <w:rPr>
                <w:sz w:val="20"/>
                <w:szCs w:val="20"/>
                <w:color w:val="auto"/>
              </w:rPr>
            </w:pPr>
            <w:r>
              <w:rPr>
                <w:rFonts w:ascii="Arial" w:cs="Arial" w:eastAsia="Arial" w:hAnsi="Arial"/>
                <w:sz w:val="15"/>
                <w:szCs w:val="15"/>
                <w:color w:val="auto"/>
                <w:w w:val="79"/>
              </w:rPr>
              <w:t>X</w:t>
            </w:r>
          </w:p>
        </w:tc>
        <w:tc>
          <w:tcPr>
            <w:tcW w:w="0" w:type="dxa"/>
            <w:vAlign w:val="bottom"/>
          </w:tcPr>
          <w:p>
            <w:pPr>
              <w:spacing w:after="0"/>
              <w:rPr>
                <w:sz w:val="1"/>
                <w:szCs w:val="1"/>
                <w:color w:val="auto"/>
              </w:rPr>
            </w:pPr>
          </w:p>
        </w:tc>
      </w:tr>
      <w:tr>
        <w:trPr>
          <w:trHeight w:val="265"/>
        </w:trPr>
        <w:tc>
          <w:tcPr>
            <w:tcW w:w="4140" w:type="dxa"/>
            <w:vAlign w:val="bottom"/>
            <w:tcBorders>
              <w:bottom w:val="single" w:sz="8" w:color="E8EED3"/>
            </w:tcBorders>
            <w:shd w:val="clear" w:color="auto" w:fill="E8EED3"/>
          </w:tcPr>
          <w:p>
            <w:pPr>
              <w:ind w:left="60"/>
              <w:spacing w:after="0"/>
              <w:rPr>
                <w:sz w:val="20"/>
                <w:szCs w:val="20"/>
                <w:color w:val="auto"/>
              </w:rPr>
            </w:pPr>
            <w:r>
              <w:rPr>
                <w:rFonts w:ascii="Arial" w:cs="Arial" w:eastAsia="Arial" w:hAnsi="Arial"/>
                <w:sz w:val="15"/>
                <w:szCs w:val="15"/>
                <w:b w:val="1"/>
                <w:bCs w:val="1"/>
                <w:color w:val="auto"/>
              </w:rPr>
              <w:t>Munish Nanda</w:t>
            </w:r>
          </w:p>
        </w:tc>
        <w:tc>
          <w:tcPr>
            <w:tcW w:w="1120" w:type="dxa"/>
            <w:vAlign w:val="bottom"/>
            <w:tcBorders>
              <w:bottom w:val="single" w:sz="8" w:color="E8EED3"/>
            </w:tcBorders>
            <w:shd w:val="clear" w:color="auto" w:fill="E8EED3"/>
          </w:tcPr>
          <w:p>
            <w:pPr>
              <w:jc w:val="center"/>
              <w:ind w:left="47"/>
              <w:spacing w:after="0"/>
              <w:rPr>
                <w:sz w:val="20"/>
                <w:szCs w:val="20"/>
                <w:color w:val="auto"/>
              </w:rPr>
            </w:pPr>
            <w:r>
              <w:rPr>
                <w:rFonts w:ascii="Arial" w:cs="Arial" w:eastAsia="Arial" w:hAnsi="Arial"/>
                <w:sz w:val="15"/>
                <w:szCs w:val="15"/>
                <w:color w:val="auto"/>
                <w:w w:val="95"/>
              </w:rPr>
              <w:t>2018</w:t>
            </w:r>
          </w:p>
        </w:tc>
        <w:tc>
          <w:tcPr>
            <w:tcW w:w="1300" w:type="dxa"/>
            <w:vAlign w:val="bottom"/>
            <w:tcBorders>
              <w:bottom w:val="single" w:sz="8" w:color="E8EED3"/>
            </w:tcBorders>
            <w:shd w:val="clear" w:color="auto" w:fill="E8EED3"/>
          </w:tcPr>
          <w:p>
            <w:pPr>
              <w:jc w:val="center"/>
              <w:spacing w:after="0"/>
              <w:rPr>
                <w:sz w:val="20"/>
                <w:szCs w:val="20"/>
                <w:color w:val="auto"/>
              </w:rPr>
            </w:pPr>
            <w:r>
              <w:rPr>
                <w:rFonts w:ascii="Arial" w:cs="Arial" w:eastAsia="Arial" w:hAnsi="Arial"/>
                <w:sz w:val="15"/>
                <w:szCs w:val="15"/>
                <w:color w:val="auto"/>
                <w:w w:val="99"/>
              </w:rPr>
              <w:t>X</w:t>
            </w:r>
          </w:p>
        </w:tc>
        <w:tc>
          <w:tcPr>
            <w:tcW w:w="1180" w:type="dxa"/>
            <w:vAlign w:val="bottom"/>
            <w:tcBorders>
              <w:bottom w:val="single" w:sz="8" w:color="E8EED3"/>
            </w:tcBorders>
            <w:shd w:val="clear" w:color="auto" w:fill="E8EED3"/>
          </w:tcPr>
          <w:p>
            <w:pPr>
              <w:jc w:val="center"/>
              <w:spacing w:after="0"/>
              <w:rPr>
                <w:sz w:val="20"/>
                <w:szCs w:val="20"/>
                <w:color w:val="auto"/>
              </w:rPr>
            </w:pPr>
            <w:r>
              <w:rPr>
                <w:rFonts w:ascii="Arial" w:cs="Arial" w:eastAsia="Arial" w:hAnsi="Arial"/>
                <w:sz w:val="15"/>
                <w:szCs w:val="15"/>
                <w:color w:val="auto"/>
                <w:w w:val="99"/>
              </w:rPr>
              <w:t>X</w:t>
            </w:r>
          </w:p>
        </w:tc>
        <w:tc>
          <w:tcPr>
            <w:tcW w:w="1460" w:type="dxa"/>
            <w:vAlign w:val="bottom"/>
            <w:tcBorders>
              <w:bottom w:val="single" w:sz="8" w:color="E8EED3"/>
            </w:tcBorders>
            <w:shd w:val="clear" w:color="auto" w:fill="E8EED3"/>
          </w:tcPr>
          <w:p>
            <w:pPr>
              <w:spacing w:after="0"/>
              <w:rPr>
                <w:sz w:val="23"/>
                <w:szCs w:val="23"/>
                <w:color w:val="auto"/>
              </w:rPr>
            </w:pPr>
          </w:p>
        </w:tc>
        <w:tc>
          <w:tcPr>
            <w:tcW w:w="1340" w:type="dxa"/>
            <w:vAlign w:val="bottom"/>
            <w:tcBorders>
              <w:bottom w:val="single" w:sz="8" w:color="E8EED3"/>
            </w:tcBorders>
            <w:shd w:val="clear" w:color="auto" w:fill="E8EED3"/>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140" w:type="dxa"/>
            <w:vAlign w:val="bottom"/>
            <w:tcBorders>
              <w:bottom w:val="single" w:sz="8" w:color="D2DEA7"/>
            </w:tcBorders>
            <w:shd w:val="clear" w:color="auto" w:fill="D2DEA7"/>
          </w:tcPr>
          <w:p>
            <w:pPr>
              <w:ind w:left="60"/>
              <w:spacing w:after="0"/>
              <w:rPr>
                <w:sz w:val="20"/>
                <w:szCs w:val="20"/>
                <w:color w:val="auto"/>
              </w:rPr>
            </w:pPr>
            <w:r>
              <w:rPr>
                <w:rFonts w:ascii="Arial" w:cs="Arial" w:eastAsia="Arial" w:hAnsi="Arial"/>
                <w:sz w:val="15"/>
                <w:szCs w:val="15"/>
                <w:b w:val="1"/>
                <w:bCs w:val="1"/>
                <w:color w:val="auto"/>
              </w:rPr>
              <w:t>Valerie Gentile Sachs</w:t>
            </w:r>
          </w:p>
        </w:tc>
        <w:tc>
          <w:tcPr>
            <w:tcW w:w="1120" w:type="dxa"/>
            <w:vAlign w:val="bottom"/>
            <w:tcBorders>
              <w:bottom w:val="single" w:sz="8" w:color="D2DEA7"/>
            </w:tcBorders>
            <w:shd w:val="clear" w:color="auto" w:fill="D2DEA7"/>
          </w:tcPr>
          <w:p>
            <w:pPr>
              <w:jc w:val="center"/>
              <w:ind w:left="47"/>
              <w:spacing w:after="0"/>
              <w:rPr>
                <w:sz w:val="20"/>
                <w:szCs w:val="20"/>
                <w:color w:val="auto"/>
              </w:rPr>
            </w:pPr>
            <w:r>
              <w:rPr>
                <w:rFonts w:ascii="Arial" w:cs="Arial" w:eastAsia="Arial" w:hAnsi="Arial"/>
                <w:sz w:val="15"/>
                <w:szCs w:val="15"/>
                <w:color w:val="auto"/>
                <w:w w:val="95"/>
              </w:rPr>
              <w:t>2016</w:t>
            </w:r>
          </w:p>
        </w:tc>
        <w:tc>
          <w:tcPr>
            <w:tcW w:w="1300" w:type="dxa"/>
            <w:vAlign w:val="bottom"/>
            <w:tcBorders>
              <w:bottom w:val="single" w:sz="8" w:color="D2DEA7"/>
            </w:tcBorders>
            <w:shd w:val="clear" w:color="auto" w:fill="D2DEA7"/>
          </w:tcPr>
          <w:p>
            <w:pPr>
              <w:jc w:val="center"/>
              <w:spacing w:after="0"/>
              <w:rPr>
                <w:sz w:val="20"/>
                <w:szCs w:val="20"/>
                <w:color w:val="auto"/>
              </w:rPr>
            </w:pPr>
            <w:r>
              <w:rPr>
                <w:rFonts w:ascii="Arial" w:cs="Arial" w:eastAsia="Arial" w:hAnsi="Arial"/>
                <w:sz w:val="15"/>
                <w:szCs w:val="15"/>
                <w:color w:val="auto"/>
                <w:w w:val="99"/>
              </w:rPr>
              <w:t>X</w:t>
            </w:r>
          </w:p>
        </w:tc>
        <w:tc>
          <w:tcPr>
            <w:tcW w:w="1180" w:type="dxa"/>
            <w:vAlign w:val="bottom"/>
            <w:tcBorders>
              <w:bottom w:val="single" w:sz="8" w:color="D2DEA7"/>
            </w:tcBorders>
            <w:shd w:val="clear" w:color="auto" w:fill="D2DEA7"/>
          </w:tcPr>
          <w:p>
            <w:pPr>
              <w:spacing w:after="0"/>
              <w:rPr>
                <w:sz w:val="23"/>
                <w:szCs w:val="23"/>
                <w:color w:val="auto"/>
              </w:rPr>
            </w:pPr>
          </w:p>
        </w:tc>
        <w:tc>
          <w:tcPr>
            <w:tcW w:w="1460" w:type="dxa"/>
            <w:vAlign w:val="bottom"/>
            <w:tcBorders>
              <w:bottom w:val="single" w:sz="8" w:color="D2DEA7"/>
            </w:tcBorders>
            <w:shd w:val="clear" w:color="auto" w:fill="D2DEA7"/>
          </w:tcPr>
          <w:p>
            <w:pPr>
              <w:jc w:val="center"/>
              <w:spacing w:after="0"/>
              <w:rPr>
                <w:sz w:val="20"/>
                <w:szCs w:val="20"/>
                <w:color w:val="auto"/>
              </w:rPr>
            </w:pPr>
            <w:r>
              <w:rPr>
                <w:rFonts w:ascii="Arial" w:cs="Arial" w:eastAsia="Arial" w:hAnsi="Arial"/>
                <w:sz w:val="15"/>
                <w:szCs w:val="15"/>
                <w:color w:val="auto"/>
                <w:w w:val="94"/>
              </w:rPr>
              <w:t>Chair</w:t>
            </w:r>
          </w:p>
        </w:tc>
        <w:tc>
          <w:tcPr>
            <w:tcW w:w="1340" w:type="dxa"/>
            <w:vAlign w:val="bottom"/>
            <w:tcBorders>
              <w:bottom w:val="single" w:sz="8" w:color="D2DEA7"/>
            </w:tcBorders>
            <w:shd w:val="clear" w:color="auto" w:fill="D2DEA7"/>
          </w:tcPr>
          <w:p>
            <w:pPr>
              <w:jc w:val="center"/>
              <w:ind w:left="67"/>
              <w:spacing w:after="0"/>
              <w:rPr>
                <w:sz w:val="20"/>
                <w:szCs w:val="20"/>
                <w:color w:val="auto"/>
              </w:rPr>
            </w:pPr>
            <w:r>
              <w:rPr>
                <w:rFonts w:ascii="Arial" w:cs="Arial" w:eastAsia="Arial" w:hAnsi="Arial"/>
                <w:sz w:val="15"/>
                <w:szCs w:val="15"/>
                <w:color w:val="auto"/>
                <w:w w:val="79"/>
              </w:rPr>
              <w:t>X</w:t>
            </w:r>
          </w:p>
        </w:tc>
        <w:tc>
          <w:tcPr>
            <w:tcW w:w="0" w:type="dxa"/>
            <w:vAlign w:val="bottom"/>
          </w:tcPr>
          <w:p>
            <w:pPr>
              <w:spacing w:after="0"/>
              <w:rPr>
                <w:sz w:val="1"/>
                <w:szCs w:val="1"/>
                <w:color w:val="auto"/>
              </w:rPr>
            </w:pPr>
          </w:p>
        </w:tc>
      </w:tr>
      <w:tr>
        <w:trPr>
          <w:trHeight w:val="248"/>
        </w:trPr>
        <w:tc>
          <w:tcPr>
            <w:tcW w:w="4140" w:type="dxa"/>
            <w:vAlign w:val="bottom"/>
            <w:shd w:val="clear" w:color="auto" w:fill="E8EED3"/>
          </w:tcPr>
          <w:p>
            <w:pPr>
              <w:ind w:left="60"/>
              <w:spacing w:after="0"/>
              <w:rPr>
                <w:sz w:val="20"/>
                <w:szCs w:val="20"/>
                <w:color w:val="auto"/>
              </w:rPr>
            </w:pPr>
            <w:r>
              <w:rPr>
                <w:rFonts w:ascii="Arial" w:cs="Arial" w:eastAsia="Arial" w:hAnsi="Arial"/>
                <w:sz w:val="15"/>
                <w:szCs w:val="15"/>
                <w:b w:val="1"/>
                <w:bCs w:val="1"/>
                <w:color w:val="auto"/>
              </w:rPr>
              <w:t xml:space="preserve">Richard F. Wallman </w:t>
            </w:r>
            <w:r>
              <w:rPr>
                <w:rFonts w:ascii="Arial" w:cs="Arial" w:eastAsia="Arial" w:hAnsi="Arial"/>
                <w:sz w:val="12"/>
                <w:szCs w:val="12"/>
                <w:b w:val="1"/>
                <w:bCs w:val="1"/>
                <w:color w:val="auto"/>
              </w:rPr>
              <w:t>(1)</w:t>
            </w:r>
          </w:p>
        </w:tc>
        <w:tc>
          <w:tcPr>
            <w:tcW w:w="1120" w:type="dxa"/>
            <w:vAlign w:val="bottom"/>
            <w:shd w:val="clear" w:color="auto" w:fill="E8EED3"/>
          </w:tcPr>
          <w:p>
            <w:pPr>
              <w:jc w:val="center"/>
              <w:ind w:left="47"/>
              <w:spacing w:after="0"/>
              <w:rPr>
                <w:sz w:val="20"/>
                <w:szCs w:val="20"/>
                <w:color w:val="auto"/>
              </w:rPr>
            </w:pPr>
            <w:r>
              <w:rPr>
                <w:rFonts w:ascii="Arial" w:cs="Arial" w:eastAsia="Arial" w:hAnsi="Arial"/>
                <w:sz w:val="15"/>
                <w:szCs w:val="15"/>
                <w:color w:val="auto"/>
                <w:w w:val="95"/>
              </w:rPr>
              <w:t>2021</w:t>
            </w:r>
          </w:p>
        </w:tc>
        <w:tc>
          <w:tcPr>
            <w:tcW w:w="1300" w:type="dxa"/>
            <w:vAlign w:val="bottom"/>
            <w:shd w:val="clear" w:color="auto" w:fill="E8EED3"/>
          </w:tcPr>
          <w:p>
            <w:pPr>
              <w:jc w:val="center"/>
              <w:spacing w:after="0"/>
              <w:rPr>
                <w:sz w:val="20"/>
                <w:szCs w:val="20"/>
                <w:color w:val="auto"/>
              </w:rPr>
            </w:pPr>
            <w:r>
              <w:rPr>
                <w:rFonts w:ascii="Arial" w:cs="Arial" w:eastAsia="Arial" w:hAnsi="Arial"/>
                <w:sz w:val="15"/>
                <w:szCs w:val="15"/>
                <w:color w:val="auto"/>
                <w:w w:val="99"/>
              </w:rPr>
              <w:t>X</w:t>
            </w:r>
          </w:p>
        </w:tc>
        <w:tc>
          <w:tcPr>
            <w:tcW w:w="1180" w:type="dxa"/>
            <w:vAlign w:val="bottom"/>
            <w:shd w:val="clear" w:color="auto" w:fill="E8EED3"/>
          </w:tcPr>
          <w:p>
            <w:pPr>
              <w:spacing w:after="0"/>
              <w:rPr>
                <w:sz w:val="21"/>
                <w:szCs w:val="21"/>
                <w:color w:val="auto"/>
              </w:rPr>
            </w:pPr>
          </w:p>
        </w:tc>
        <w:tc>
          <w:tcPr>
            <w:tcW w:w="1460" w:type="dxa"/>
            <w:vAlign w:val="bottom"/>
            <w:shd w:val="clear" w:color="auto" w:fill="E8EED3"/>
          </w:tcPr>
          <w:p>
            <w:pPr>
              <w:spacing w:after="0"/>
              <w:rPr>
                <w:sz w:val="21"/>
                <w:szCs w:val="21"/>
                <w:color w:val="auto"/>
              </w:rPr>
            </w:pPr>
          </w:p>
        </w:tc>
        <w:tc>
          <w:tcPr>
            <w:tcW w:w="1340" w:type="dxa"/>
            <w:vAlign w:val="bottom"/>
            <w:shd w:val="clear" w:color="auto" w:fill="E8EED3"/>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4140" w:type="dxa"/>
            <w:vAlign w:val="bottom"/>
            <w:shd w:val="clear" w:color="auto" w:fill="E8EED3"/>
          </w:tcPr>
          <w:p>
            <w:pPr>
              <w:spacing w:after="0"/>
              <w:rPr>
                <w:sz w:val="3"/>
                <w:szCs w:val="3"/>
                <w:color w:val="auto"/>
              </w:rPr>
            </w:pPr>
          </w:p>
        </w:tc>
        <w:tc>
          <w:tcPr>
            <w:tcW w:w="1120" w:type="dxa"/>
            <w:vAlign w:val="bottom"/>
            <w:shd w:val="clear" w:color="auto" w:fill="E8EED3"/>
          </w:tcPr>
          <w:p>
            <w:pPr>
              <w:spacing w:after="0"/>
              <w:rPr>
                <w:sz w:val="3"/>
                <w:szCs w:val="3"/>
                <w:color w:val="auto"/>
              </w:rPr>
            </w:pPr>
          </w:p>
        </w:tc>
        <w:tc>
          <w:tcPr>
            <w:tcW w:w="1300" w:type="dxa"/>
            <w:vAlign w:val="bottom"/>
            <w:shd w:val="clear" w:color="auto" w:fill="E8EED3"/>
          </w:tcPr>
          <w:p>
            <w:pPr>
              <w:spacing w:after="0"/>
              <w:rPr>
                <w:sz w:val="3"/>
                <w:szCs w:val="3"/>
                <w:color w:val="auto"/>
              </w:rPr>
            </w:pPr>
          </w:p>
        </w:tc>
        <w:tc>
          <w:tcPr>
            <w:tcW w:w="1180" w:type="dxa"/>
            <w:vAlign w:val="bottom"/>
            <w:shd w:val="clear" w:color="auto" w:fill="E8EED3"/>
          </w:tcPr>
          <w:p>
            <w:pPr>
              <w:spacing w:after="0"/>
              <w:rPr>
                <w:sz w:val="3"/>
                <w:szCs w:val="3"/>
                <w:color w:val="auto"/>
              </w:rPr>
            </w:pPr>
          </w:p>
        </w:tc>
        <w:tc>
          <w:tcPr>
            <w:tcW w:w="1460" w:type="dxa"/>
            <w:vAlign w:val="bottom"/>
            <w:shd w:val="clear" w:color="auto" w:fill="E8EED3"/>
          </w:tcPr>
          <w:p>
            <w:pPr>
              <w:spacing w:after="0"/>
              <w:rPr>
                <w:sz w:val="3"/>
                <w:szCs w:val="3"/>
                <w:color w:val="auto"/>
              </w:rPr>
            </w:pPr>
          </w:p>
        </w:tc>
        <w:tc>
          <w:tcPr>
            <w:tcW w:w="1340" w:type="dxa"/>
            <w:vAlign w:val="bottom"/>
            <w:shd w:val="clear" w:color="auto" w:fill="E8EED3"/>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760" w:hanging="414"/>
        <w:spacing w:after="0"/>
        <w:tabs>
          <w:tab w:leader="none" w:pos="760" w:val="left"/>
        </w:tabs>
        <w:numPr>
          <w:ilvl w:val="0"/>
          <w:numId w:val="7"/>
        </w:numPr>
        <w:rPr>
          <w:rFonts w:ascii="Arial" w:cs="Arial" w:eastAsia="Arial" w:hAnsi="Arial"/>
          <w:sz w:val="15"/>
          <w:szCs w:val="15"/>
          <w:color w:val="auto"/>
        </w:rPr>
      </w:pPr>
      <w:r>
        <w:rPr>
          <w:rFonts w:ascii="Arial" w:cs="Arial" w:eastAsia="Arial" w:hAnsi="Arial"/>
          <w:sz w:val="15"/>
          <w:szCs w:val="15"/>
          <w:color w:val="auto"/>
        </w:rPr>
        <w:t>Mr. Wallman was appointed to the Board on November 4, 2021.</w:t>
      </w:r>
    </w:p>
    <w:p>
      <w:pPr>
        <w:spacing w:after="0" w:line="195" w:lineRule="exact"/>
        <w:rPr>
          <w:sz w:val="20"/>
          <w:szCs w:val="20"/>
          <w:color w:val="auto"/>
        </w:rPr>
      </w:pPr>
    </w:p>
    <w:p>
      <w:pPr>
        <w:ind w:left="340" w:right="40"/>
        <w:spacing w:after="0" w:line="249" w:lineRule="auto"/>
        <w:rPr>
          <w:sz w:val="20"/>
          <w:szCs w:val="20"/>
          <w:color w:val="auto"/>
        </w:rPr>
      </w:pPr>
      <w:r>
        <w:rPr>
          <w:rFonts w:ascii="Arial" w:cs="Arial" w:eastAsia="Arial" w:hAnsi="Arial"/>
          <w:sz w:val="16"/>
          <w:szCs w:val="16"/>
          <w:color w:val="auto"/>
        </w:rPr>
        <w:t>Our Board believes that collectively our directors provide the diversity of experience and skills necessary for a well-functioning board. Our Board values highly the ability of individual directors to contribute to a constructive board environment and believes that our current directors perform in such a manner. Below is a description of each director’s background, professional experience, qualifications and skills.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262626"/>
        </w:rPr>
        <w:t>2 • CECO Environmental</w:t>
      </w:r>
    </w:p>
    <w:p>
      <w:pPr>
        <w:sectPr>
          <w:pgSz w:w="11900" w:h="16838" w:orient="portrait"/>
          <w:cols w:equalWidth="0" w:num="1">
            <w:col w:w="10900"/>
          </w:cols>
          <w:pgMar w:left="320" w:top="443" w:right="6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90" w:lineRule="exact"/>
        <w:rPr>
          <w:sz w:val="20"/>
          <w:szCs w:val="20"/>
          <w:color w:val="auto"/>
        </w:rPr>
      </w:pPr>
    </w:p>
    <w:p>
      <w:pPr>
        <w:ind w:left="3740" w:right="60"/>
        <w:spacing w:after="0" w:line="244" w:lineRule="auto"/>
        <w:rPr>
          <w:sz w:val="20"/>
          <w:szCs w:val="20"/>
          <w:color w:val="auto"/>
        </w:rPr>
      </w:pPr>
      <w:r>
        <w:rPr>
          <w:rFonts w:ascii="Arial" w:cs="Arial" w:eastAsia="Arial" w:hAnsi="Arial"/>
          <w:sz w:val="21"/>
          <w:szCs w:val="21"/>
          <w:color w:val="41659C"/>
        </w:rPr>
        <w:t xml:space="preserve">JASON DEZWIREK </w:t>
      </w:r>
      <w:r>
        <w:rPr>
          <w:rFonts w:ascii="Arial" w:cs="Arial" w:eastAsia="Arial" w:hAnsi="Arial"/>
          <w:sz w:val="15"/>
          <w:szCs w:val="15"/>
          <w:color w:val="000000"/>
        </w:rPr>
        <w:t>(51) Mr. DeZwirek has been our Chairman of the Board since May 2013.</w:t>
      </w:r>
      <w:r>
        <w:rPr>
          <w:rFonts w:ascii="Arial" w:cs="Arial" w:eastAsia="Arial" w:hAnsi="Arial"/>
          <w:sz w:val="21"/>
          <w:szCs w:val="21"/>
          <w:color w:val="41659C"/>
        </w:rPr>
        <w:t xml:space="preserve"> </w:t>
      </w:r>
      <w:r>
        <w:rPr>
          <w:rFonts w:ascii="Arial" w:cs="Arial" w:eastAsia="Arial" w:hAnsi="Arial"/>
          <w:sz w:val="15"/>
          <w:szCs w:val="15"/>
          <w:color w:val="000000"/>
        </w:rPr>
        <w:t>Previously, he served as Secretary of our Company from February 1998 until September 2013. In 1999, Mr. DeZwirek founded Kaboose Inc., a family focused online media company. Mr. DeZwirek served as the Chairman and CEO of Kaboose Inc. until its sale to Disney Online (a subsidiary of The Walt Disney Company) and Barclays Private Equity Limited in June 2009. Mr. DeZwirek also previously served as a director and corporate secretary of API Technologies Corp. (NASDAQ: ATNY), a prime contractor in electronics, highly engineered systems, secure communications and electronic components and sub-systems for the defense and aerospace industries, from November 2006 through January 2011. Mr. DeZwirek also is and has been involved in private investment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-1033145</wp:posOffset>
            </wp:positionV>
            <wp:extent cx="1609725" cy="1609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09725" cy="1609725"/>
                    </a:xfrm>
                    <a:prstGeom prst="rect">
                      <a:avLst/>
                    </a:prstGeom>
                    <a:noFill/>
                  </pic:spPr>
                </pic:pic>
              </a:graphicData>
            </a:graphic>
          </wp:anchor>
        </w:drawing>
      </w:r>
    </w:p>
    <w:p>
      <w:pPr>
        <w:spacing w:after="0" w:line="112" w:lineRule="exact"/>
        <w:rPr>
          <w:sz w:val="20"/>
          <w:szCs w:val="20"/>
          <w:color w:val="auto"/>
        </w:rPr>
      </w:pPr>
    </w:p>
    <w:p>
      <w:pPr>
        <w:ind w:left="3740"/>
        <w:spacing w:after="0" w:line="249" w:lineRule="auto"/>
        <w:rPr>
          <w:sz w:val="20"/>
          <w:szCs w:val="20"/>
          <w:color w:val="auto"/>
        </w:rPr>
      </w:pPr>
      <w:r>
        <w:rPr>
          <w:rFonts w:ascii="Arial" w:cs="Arial" w:eastAsia="Arial" w:hAnsi="Arial"/>
          <w:sz w:val="16"/>
          <w:szCs w:val="16"/>
          <w:color w:val="auto"/>
        </w:rPr>
        <w:t>With his experience at Kaboose Inc., Mr. DeZwirek brings broad executive expertise, including operations, technology, management, and strategy. Having served as a director of our Company for over 20 years, he also has a breadth of knowledge of the overall issues our Company faces.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740"/>
        <w:spacing w:after="0"/>
        <w:rPr>
          <w:sz w:val="20"/>
          <w:szCs w:val="20"/>
          <w:color w:val="auto"/>
        </w:rPr>
      </w:pPr>
      <w:r>
        <w:rPr>
          <w:rFonts w:ascii="Arial" w:cs="Arial" w:eastAsia="Arial" w:hAnsi="Arial"/>
          <w:sz w:val="21"/>
          <w:szCs w:val="21"/>
          <w:color w:val="41659C"/>
        </w:rPr>
        <w:t xml:space="preserve">TODD GLEASON </w:t>
      </w:r>
      <w:r>
        <w:rPr>
          <w:rFonts w:ascii="Arial" w:cs="Arial" w:eastAsia="Arial" w:hAnsi="Arial"/>
          <w:sz w:val="15"/>
          <w:szCs w:val="15"/>
          <w:color w:val="000000"/>
        </w:rPr>
        <w:t>(50) Mr. Gleason has served as a director and Chief Executive Officer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-95250</wp:posOffset>
            </wp:positionV>
            <wp:extent cx="1609725" cy="16097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09725" cy="1609725"/>
                    </a:xfrm>
                    <a:prstGeom prst="rect">
                      <a:avLst/>
                    </a:prstGeom>
                    <a:noFill/>
                  </pic:spPr>
                </pic:pic>
              </a:graphicData>
            </a:graphic>
          </wp:anchor>
        </w:drawing>
      </w:r>
    </w:p>
    <w:p>
      <w:pPr>
        <w:ind w:left="3740"/>
        <w:spacing w:after="0"/>
        <w:rPr>
          <w:sz w:val="20"/>
          <w:szCs w:val="20"/>
          <w:color w:val="auto"/>
        </w:rPr>
      </w:pPr>
      <w:r>
        <w:rPr>
          <w:rFonts w:ascii="Arial" w:cs="Arial" w:eastAsia="Arial" w:hAnsi="Arial"/>
          <w:sz w:val="16"/>
          <w:szCs w:val="16"/>
          <w:color w:val="auto"/>
        </w:rPr>
        <w:t>July 2020. Mr. Gleason most recently served, from April 2015 to July 2020, as President and Chief</w:t>
      </w:r>
    </w:p>
    <w:p>
      <w:pPr>
        <w:ind w:left="3740"/>
        <w:spacing w:after="0"/>
        <w:rPr>
          <w:sz w:val="20"/>
          <w:szCs w:val="20"/>
          <w:color w:val="auto"/>
        </w:rPr>
      </w:pPr>
      <w:r>
        <w:rPr>
          <w:rFonts w:ascii="Arial" w:cs="Arial" w:eastAsia="Arial" w:hAnsi="Arial"/>
          <w:sz w:val="14"/>
          <w:szCs w:val="14"/>
          <w:color w:val="auto"/>
        </w:rPr>
        <w:t>Executive Officer of Scientific Analytics Inc., a predictive analytic technologies and services company.</w:t>
      </w:r>
    </w:p>
    <w:p>
      <w:pPr>
        <w:spacing w:after="0" w:line="17"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Prior to that position, Mr. Gleason served from June 2007 to March 2015 in a number of senior officer</w:t>
      </w:r>
    </w:p>
    <w:p>
      <w:pPr>
        <w:ind w:left="3740"/>
        <w:spacing w:after="0" w:line="236" w:lineRule="auto"/>
        <w:rPr>
          <w:sz w:val="20"/>
          <w:szCs w:val="20"/>
          <w:color w:val="auto"/>
        </w:rPr>
      </w:pPr>
      <w:r>
        <w:rPr>
          <w:rFonts w:ascii="Arial" w:cs="Arial" w:eastAsia="Arial" w:hAnsi="Arial"/>
          <w:sz w:val="16"/>
          <w:szCs w:val="16"/>
          <w:color w:val="auto"/>
        </w:rPr>
        <w:t>and executive positions for Pentair plc, a water treatment company. During his tenure with Pentair,</w:t>
      </w:r>
    </w:p>
    <w:p>
      <w:pPr>
        <w:ind w:left="3740"/>
        <w:spacing w:after="0"/>
        <w:rPr>
          <w:sz w:val="20"/>
          <w:szCs w:val="20"/>
          <w:color w:val="auto"/>
        </w:rPr>
      </w:pPr>
      <w:r>
        <w:rPr>
          <w:rFonts w:ascii="Arial" w:cs="Arial" w:eastAsia="Arial" w:hAnsi="Arial"/>
          <w:sz w:val="14"/>
          <w:szCs w:val="14"/>
          <w:color w:val="auto"/>
        </w:rPr>
        <w:t>Mr. Gleason served as Senior Vice President and Corporate Officer from January 2013 to March 2015,</w:t>
      </w:r>
    </w:p>
    <w:p>
      <w:pPr>
        <w:spacing w:after="0" w:line="17"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President, Integration and Standardization from January 2010 to January 2013, and Vice President,</w:t>
      </w:r>
    </w:p>
    <w:p>
      <w:pPr>
        <w:ind w:left="3740" w:right="20"/>
        <w:spacing w:after="0" w:line="237" w:lineRule="auto"/>
        <w:rPr>
          <w:sz w:val="20"/>
          <w:szCs w:val="20"/>
          <w:color w:val="auto"/>
        </w:rPr>
      </w:pPr>
      <w:r>
        <w:rPr>
          <w:rFonts w:ascii="Arial" w:cs="Arial" w:eastAsia="Arial" w:hAnsi="Arial"/>
          <w:sz w:val="16"/>
          <w:szCs w:val="16"/>
          <w:color w:val="auto"/>
        </w:rPr>
        <w:t>Global Growth and Investor Relations from June 2007 to January 2010. Before joining Pentair, Mr. Gleason served as Vice President, Strategy and Investor Relations for American Standard Companies Inc. (later renamed to Trane Inc. prior to its acquisition by Ingersoll-Rand Company Limited), a global, diversified manufacturing company, and in a number of different roles (including as Chief Financial Officer, Honeywell Process Solutions) at Honeywell International Inc., a diversified technology and manufacturing company</w:t>
      </w:r>
      <w:r>
        <w:rPr>
          <w:rFonts w:ascii="Arial" w:cs="Arial" w:eastAsia="Arial" w:hAnsi="Arial"/>
          <w:sz w:val="16"/>
          <w:szCs w:val="16"/>
          <w:i w:val="1"/>
          <w:iCs w:val="1"/>
          <w:color w:val="auto"/>
        </w:rPr>
        <w:t>.</w:t>
      </w:r>
      <w:r>
        <w:rPr>
          <w:rFonts w:ascii="Arial" w:cs="Arial" w:eastAsia="Arial" w:hAnsi="Arial"/>
          <w:sz w:val="16"/>
          <w:szCs w:val="16"/>
          <w:color w:val="auto"/>
        </w:rPr>
        <w:t xml:space="preserve"> Mr. Gleason’s qualifications to sit on the Board include his financial and business background, as well as his extensive executive and leadership experience.</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2022 Proxy Statement • 3</w:t>
      </w:r>
    </w:p>
    <w:p>
      <w:pPr>
        <w:sectPr>
          <w:pgSz w:w="11900" w:h="16838" w:orient="portrait"/>
          <w:cols w:equalWidth="0" w:num="1">
            <w:col w:w="10900"/>
          </w:cols>
          <w:pgMar w:left="320" w:top="443" w:right="6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90" w:lineRule="exact"/>
        <w:rPr>
          <w:sz w:val="20"/>
          <w:szCs w:val="20"/>
          <w:color w:val="auto"/>
        </w:rPr>
      </w:pPr>
    </w:p>
    <w:p>
      <w:pPr>
        <w:ind w:left="3740"/>
        <w:spacing w:after="0" w:line="246" w:lineRule="auto"/>
        <w:rPr>
          <w:sz w:val="20"/>
          <w:szCs w:val="20"/>
          <w:color w:val="auto"/>
        </w:rPr>
      </w:pPr>
      <w:r>
        <w:rPr>
          <w:rFonts w:ascii="Arial" w:cs="Arial" w:eastAsia="Arial" w:hAnsi="Arial"/>
          <w:sz w:val="21"/>
          <w:szCs w:val="21"/>
          <w:color w:val="41659C"/>
        </w:rPr>
        <w:t xml:space="preserve">DAVID B. LINER </w:t>
      </w:r>
      <w:r>
        <w:rPr>
          <w:rFonts w:ascii="Arial" w:cs="Arial" w:eastAsia="Arial" w:hAnsi="Arial"/>
          <w:sz w:val="15"/>
          <w:szCs w:val="15"/>
          <w:color w:val="000000"/>
        </w:rPr>
        <w:t>(66) Mr. Liner served as General Counsel, Corporate Secretary, and Chief</w:t>
      </w:r>
      <w:r>
        <w:rPr>
          <w:rFonts w:ascii="Arial" w:cs="Arial" w:eastAsia="Arial" w:hAnsi="Arial"/>
          <w:sz w:val="21"/>
          <w:szCs w:val="21"/>
          <w:color w:val="41659C"/>
        </w:rPr>
        <w:t xml:space="preserve"> </w:t>
      </w:r>
      <w:r>
        <w:rPr>
          <w:rFonts w:ascii="Arial" w:cs="Arial" w:eastAsia="Arial" w:hAnsi="Arial"/>
          <w:sz w:val="15"/>
          <w:szCs w:val="15"/>
          <w:color w:val="000000"/>
        </w:rPr>
        <w:t>Compliance Officer of Roper Technologies, Inc. (NYSE: ROP) from August 2005 until June 2016 and as a Vice President until his retirement in January 2018. Roper Technologies, a component of the S&amp;P 500, designs and develops software and engineered products and solutions for healthcare, transportation, food, energy, water, education, and other niche markets worldwide. Mr. Liner helped execute Roper Technologies’ acquisition program, deploying over $5 billion in assets and acquiring over 40 businesses. Prior to joining Roper Technologies, Mr. Liner served as a corporate partner in the Detroit office of Dykema Gossett, a national law firm, where he headed the firm’s automotive industry practice and founded the firm’s China practice. He had previously been the Vice President, General Counsel, and Assistant Secretary of Metaldyne Corporation, formerly MascoTech, Inc. (NYSE: MSX), a manufacturer of products for the global transportation industry. Mr. Liner earned a bachelor’s degree from the University of Michigan and his Juris Doctor from Wayne State University Law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-1419860</wp:posOffset>
            </wp:positionV>
            <wp:extent cx="1609725" cy="1609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09725" cy="1609725"/>
                    </a:xfrm>
                    <a:prstGeom prst="rect">
                      <a:avLst/>
                    </a:prstGeom>
                    <a:noFill/>
                  </pic:spPr>
                </pic:pic>
              </a:graphicData>
            </a:graphic>
          </wp:anchor>
        </w:drawing>
      </w:r>
    </w:p>
    <w:p>
      <w:pPr>
        <w:spacing w:after="0" w:line="111" w:lineRule="exact"/>
        <w:rPr>
          <w:sz w:val="20"/>
          <w:szCs w:val="20"/>
          <w:color w:val="auto"/>
        </w:rPr>
      </w:pPr>
    </w:p>
    <w:p>
      <w:pPr>
        <w:ind w:left="3740" w:right="20"/>
        <w:spacing w:after="0" w:line="241" w:lineRule="auto"/>
        <w:rPr>
          <w:sz w:val="20"/>
          <w:szCs w:val="20"/>
          <w:color w:val="auto"/>
        </w:rPr>
      </w:pPr>
      <w:r>
        <w:rPr>
          <w:rFonts w:ascii="Arial" w:cs="Arial" w:eastAsia="Arial" w:hAnsi="Arial"/>
          <w:sz w:val="16"/>
          <w:szCs w:val="16"/>
          <w:color w:val="auto"/>
        </w:rPr>
        <w:t>Mr. Liner brings extensive legal, transactional, and corporate governance expertise to our Board that will assist us as we continue to expand our business and create stockholder value. Having built and led a global corporate compliance and risk program as the General Counsel of a public company, he has developed expertise in areas of governance and compliance which will provide strong support and additional depth to our Board and to the committees on which he may serve. Mr. Liner also brings international experience to our Board, including past international board service.</w:t>
      </w:r>
    </w:p>
    <w:p>
      <w:pPr>
        <w:spacing w:after="0" w:line="391" w:lineRule="exact"/>
        <w:rPr>
          <w:sz w:val="20"/>
          <w:szCs w:val="20"/>
          <w:color w:val="auto"/>
        </w:rPr>
      </w:pPr>
    </w:p>
    <w:p>
      <w:pPr>
        <w:ind w:left="3740" w:right="20"/>
        <w:spacing w:after="0" w:line="254" w:lineRule="auto"/>
        <w:rPr>
          <w:sz w:val="20"/>
          <w:szCs w:val="20"/>
          <w:color w:val="auto"/>
        </w:rPr>
      </w:pPr>
      <w:r>
        <w:rPr>
          <w:rFonts w:ascii="Arial" w:cs="Arial" w:eastAsia="Arial" w:hAnsi="Arial"/>
          <w:sz w:val="21"/>
          <w:szCs w:val="21"/>
          <w:color w:val="41659C"/>
        </w:rPr>
        <w:t xml:space="preserve">CLAUDIO A. MANNARINO </w:t>
      </w:r>
      <w:r>
        <w:rPr>
          <w:rFonts w:ascii="Arial" w:cs="Arial" w:eastAsia="Arial" w:hAnsi="Arial"/>
          <w:sz w:val="15"/>
          <w:szCs w:val="15"/>
          <w:color w:val="000000"/>
        </w:rPr>
        <w:t>(51) Mr. Mannarino is the President of Sette CS Inc., a</w:t>
      </w:r>
      <w:r>
        <w:rPr>
          <w:rFonts w:ascii="Arial" w:cs="Arial" w:eastAsia="Arial" w:hAnsi="Arial"/>
          <w:sz w:val="21"/>
          <w:szCs w:val="21"/>
          <w:color w:val="41659C"/>
        </w:rPr>
        <w:t xml:space="preserve"> </w:t>
      </w:r>
      <w:r>
        <w:rPr>
          <w:rFonts w:ascii="Arial" w:cs="Arial" w:eastAsia="Arial" w:hAnsi="Arial"/>
          <w:sz w:val="15"/>
          <w:szCs w:val="15"/>
          <w:color w:val="000000"/>
        </w:rPr>
        <w:t>management consulting firm. From June 2014 to November 2015, he served as the Senior Vice President and Chief Financial Officer of API Technologies Corp. (NASDAQ: ATNY), a leading provider of RF/microwave, microelectronics, and security technologies for critical and high-reliability applications. He also served as API’s Senior Vice President, Finance from January 2010 to June 2014 and as its Chief Financial Officer and Vice President of Finance from November 2006 to January 2010. Prior to that, he served in various, senior-level management roles throughout API’s finance organization. Before joining API, Mr. Mannarino served as Controller for two divisions of Transcontinental, Inc., a Canadian publicly traded company on the Toronto Stock Exchange. Mr. Mannarino holds a Bachelor of Commerce degree from the University of Ottawa and attained his Certified Management Accountant certification in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-1147445</wp:posOffset>
            </wp:positionV>
            <wp:extent cx="1609725" cy="16097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09725" cy="1609725"/>
                    </a:xfrm>
                    <a:prstGeom prst="rect">
                      <a:avLst/>
                    </a:prstGeom>
                    <a:noFill/>
                  </pic:spPr>
                </pic:pic>
              </a:graphicData>
            </a:graphic>
          </wp:anchor>
        </w:drawing>
      </w:r>
    </w:p>
    <w:p>
      <w:pPr>
        <w:spacing w:after="0" w:line="295" w:lineRule="exact"/>
        <w:rPr>
          <w:sz w:val="20"/>
          <w:szCs w:val="20"/>
          <w:color w:val="auto"/>
        </w:rPr>
      </w:pPr>
    </w:p>
    <w:p>
      <w:pPr>
        <w:ind w:left="3740" w:right="240"/>
        <w:spacing w:after="0" w:line="262" w:lineRule="auto"/>
        <w:rPr>
          <w:sz w:val="20"/>
          <w:szCs w:val="20"/>
          <w:color w:val="auto"/>
        </w:rPr>
      </w:pPr>
      <w:r>
        <w:rPr>
          <w:rFonts w:ascii="Arial" w:cs="Arial" w:eastAsia="Arial" w:hAnsi="Arial"/>
          <w:sz w:val="16"/>
          <w:szCs w:val="16"/>
          <w:color w:val="auto"/>
        </w:rPr>
        <w:t>Mr. Mannarino brings over 20 years of financial, strategic and merger and acquisition expertise to our Board, which will assist us as we expand our business.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color w:val="262626"/>
        </w:rPr>
        <w:t>4 • CECO Environmental</w:t>
      </w:r>
    </w:p>
    <w:p>
      <w:pPr>
        <w:sectPr>
          <w:pgSz w:w="11900" w:h="16838" w:orient="portrait"/>
          <w:cols w:equalWidth="0" w:num="1">
            <w:col w:w="10900"/>
          </w:cols>
          <w:pgMar w:left="320" w:top="443" w:right="6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90" w:lineRule="exact"/>
        <w:rPr>
          <w:sz w:val="20"/>
          <w:szCs w:val="20"/>
          <w:color w:val="auto"/>
        </w:rPr>
      </w:pPr>
    </w:p>
    <w:p>
      <w:pPr>
        <w:ind w:left="3740" w:right="40"/>
        <w:spacing w:after="0" w:line="245" w:lineRule="auto"/>
        <w:rPr>
          <w:sz w:val="20"/>
          <w:szCs w:val="20"/>
          <w:color w:val="auto"/>
        </w:rPr>
      </w:pPr>
      <w:r>
        <w:rPr>
          <w:rFonts w:ascii="Arial" w:cs="Arial" w:eastAsia="Arial" w:hAnsi="Arial"/>
          <w:sz w:val="21"/>
          <w:szCs w:val="21"/>
          <w:color w:val="41659C"/>
        </w:rPr>
        <w:t xml:space="preserve">MUNISH NANDA </w:t>
      </w:r>
      <w:r>
        <w:rPr>
          <w:rFonts w:ascii="Arial" w:cs="Arial" w:eastAsia="Arial" w:hAnsi="Arial"/>
          <w:sz w:val="15"/>
          <w:szCs w:val="15"/>
          <w:color w:val="000000"/>
        </w:rPr>
        <w:t>(57) Mr. Nanda has served as the President, Americas &amp; Europe of Watts Water</w:t>
      </w:r>
      <w:r>
        <w:rPr>
          <w:rFonts w:ascii="Arial" w:cs="Arial" w:eastAsia="Arial" w:hAnsi="Arial"/>
          <w:sz w:val="21"/>
          <w:szCs w:val="21"/>
          <w:color w:val="41659C"/>
        </w:rPr>
        <w:t xml:space="preserve"> </w:t>
      </w:r>
      <w:r>
        <w:rPr>
          <w:rFonts w:ascii="Arial" w:cs="Arial" w:eastAsia="Arial" w:hAnsi="Arial"/>
          <w:sz w:val="15"/>
          <w:szCs w:val="15"/>
          <w:color w:val="000000"/>
        </w:rPr>
        <w:t>Technologies, Inc. (NYSE: WTS), a global manufacturer of plumbing, heating, and water quality products since February 2016. He joined Watts Water in April 2015 as President, Americas. Mr. Nanda previously served as President of Control Technologies for ITT Corporation from April 2011 to March 2015 and as Group Vice President of ITT Corporation’s Fluid and Motion Control Group from April 2008 to April 2011. ITT Corporation is a diversified manufacturer of highly engineered critical components and customized technology solutions for the energy, transportation, and industrial markets. Prior to joining ITT Corporation, Mr. Nanda held several operating leadership and general management positions with Thermo Fisher Scientific Corporation and Honeywell International Inc. Mr. Nanda graduated with a Bachelor of Engineering degree in Production Engineering with Honors from Regional Engineering College Tiruchy in India and earned an MBA from Northern Arizona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-1261110</wp:posOffset>
            </wp:positionV>
            <wp:extent cx="1609725" cy="1609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09725" cy="1609725"/>
                    </a:xfrm>
                    <a:prstGeom prst="rect">
                      <a:avLst/>
                    </a:prstGeom>
                    <a:noFill/>
                  </pic:spPr>
                </pic:pic>
              </a:graphicData>
            </a:graphic>
          </wp:anchor>
        </w:drawing>
      </w:r>
    </w:p>
    <w:p>
      <w:pPr>
        <w:spacing w:after="0" w:line="115" w:lineRule="exact"/>
        <w:rPr>
          <w:sz w:val="20"/>
          <w:szCs w:val="20"/>
          <w:color w:val="auto"/>
        </w:rPr>
      </w:pPr>
    </w:p>
    <w:p>
      <w:pPr>
        <w:ind w:left="3740"/>
        <w:spacing w:after="0" w:line="245" w:lineRule="auto"/>
        <w:rPr>
          <w:sz w:val="20"/>
          <w:szCs w:val="20"/>
          <w:color w:val="auto"/>
        </w:rPr>
      </w:pPr>
      <w:r>
        <w:rPr>
          <w:rFonts w:ascii="Arial" w:cs="Arial" w:eastAsia="Arial" w:hAnsi="Arial"/>
          <w:sz w:val="16"/>
          <w:szCs w:val="16"/>
          <w:color w:val="auto"/>
        </w:rPr>
        <w:t>Mr. Nanda brings over 25 years of experience working in senior operational management roles for global industrial manufacturers, which will assist us as we continue to grow and streamline our business. Mr. Nanda also brings extensive experience in the fluid handling, energy, and niche manufacturing industries.</w:t>
      </w:r>
    </w:p>
    <w:p>
      <w:pPr>
        <w:spacing w:after="0" w:line="386" w:lineRule="exact"/>
        <w:rPr>
          <w:sz w:val="20"/>
          <w:szCs w:val="20"/>
          <w:color w:val="auto"/>
        </w:rPr>
      </w:pPr>
    </w:p>
    <w:p>
      <w:pPr>
        <w:ind w:left="3740" w:right="20"/>
        <w:spacing w:after="0" w:line="247" w:lineRule="auto"/>
        <w:rPr>
          <w:sz w:val="20"/>
          <w:szCs w:val="20"/>
          <w:color w:val="auto"/>
        </w:rPr>
      </w:pPr>
      <w:r>
        <w:rPr>
          <w:rFonts w:ascii="Arial" w:cs="Arial" w:eastAsia="Arial" w:hAnsi="Arial"/>
          <w:sz w:val="21"/>
          <w:szCs w:val="21"/>
          <w:color w:val="41659C"/>
        </w:rPr>
        <w:t xml:space="preserve">VALERIE GENTILE SACHS </w:t>
      </w:r>
      <w:r>
        <w:rPr>
          <w:rFonts w:ascii="Arial" w:cs="Arial" w:eastAsia="Arial" w:hAnsi="Arial"/>
          <w:sz w:val="15"/>
          <w:szCs w:val="15"/>
          <w:color w:val="000000"/>
        </w:rPr>
        <w:t>(66) Ms. Sachs served as the Vice President, General Counsel</w:t>
      </w:r>
      <w:r>
        <w:rPr>
          <w:rFonts w:ascii="Arial" w:cs="Arial" w:eastAsia="Arial" w:hAnsi="Arial"/>
          <w:sz w:val="21"/>
          <w:szCs w:val="21"/>
          <w:color w:val="41659C"/>
        </w:rPr>
        <w:t xml:space="preserve"> </w:t>
      </w:r>
      <w:r>
        <w:rPr>
          <w:rFonts w:ascii="Arial" w:cs="Arial" w:eastAsia="Arial" w:hAnsi="Arial"/>
          <w:sz w:val="15"/>
          <w:szCs w:val="15"/>
          <w:color w:val="000000"/>
        </w:rPr>
        <w:t>and Corporate Secretary of OM Group, Inc. (NYSE: OMG), a global developer and manufacturer of magnetic technologies, battery technologies, and engineered specialty chemicals, from September 2005 through the completion of its sale in November 2015 to Apollo Global Management. She had executive responsibility for OM Group’s world-wide Legal, Internal Audit, and Environment, Health &amp; Safety operations. She also served on the boards of directors and acted as Managing Director of numerous U.S. and non-U.S. entities affiliated with OM Group. Prior to joining OM Group, Ms. Sachs served as Executive Vice President, General Counsel, and Secretary of Jo-Ann Stores, Inc. (NYSE: JAS), a US-based retailer. She had previously served as General Counsel of Marconi plc (LSE and NASDAQ: MONI), a London-based, global communications and information technology company. Ms. Sachs has been a trustee of a regional humane society and is active with a number of charitable organizations fighting hunger and meeting basic human needs. She earned her bachelor’s degree (B.L.S.— Chemistry) with honors from Bowling Green State University and her Juris Doctor from Case Western Reserve University School of Law, where she was a member of Law Review and a DeWitt Scholar.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-1609725</wp:posOffset>
            </wp:positionV>
            <wp:extent cx="1609725" cy="16097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09725" cy="1609725"/>
                    </a:xfrm>
                    <a:prstGeom prst="rect">
                      <a:avLst/>
                    </a:prstGeom>
                    <a:noFill/>
                  </pic:spPr>
                </pic:pic>
              </a:graphicData>
            </a:graphic>
          </wp:anchor>
        </w:drawing>
      </w:r>
    </w:p>
    <w:p>
      <w:pPr>
        <w:spacing w:after="0" w:line="109" w:lineRule="exact"/>
        <w:rPr>
          <w:sz w:val="20"/>
          <w:szCs w:val="20"/>
          <w:color w:val="auto"/>
        </w:rPr>
      </w:pPr>
    </w:p>
    <w:p>
      <w:pPr>
        <w:ind w:left="3740" w:right="20"/>
        <w:spacing w:after="0"/>
        <w:rPr>
          <w:sz w:val="20"/>
          <w:szCs w:val="20"/>
          <w:color w:val="auto"/>
        </w:rPr>
      </w:pPr>
      <w:r>
        <w:rPr>
          <w:rFonts w:ascii="Arial" w:cs="Arial" w:eastAsia="Arial" w:hAnsi="Arial"/>
          <w:sz w:val="16"/>
          <w:szCs w:val="16"/>
          <w:color w:val="auto"/>
        </w:rPr>
        <w:t>Ms. Sachs brings a combination of legal expertise, extensive executive management and leadership experience to our Board. She has been an integral part of executive management teams that have effectively worked through strategic transitions, integrations and restructurings and is very familiar with international operating challenges and opportunities. As the General Counsel of three public companies, she has developed expertise in the areas of governance, compliance, and executive compensation, which will provide strong support and additional depth to our Board and to the committees on which she may serve.</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2022 Proxy Statement • 5</w:t>
      </w:r>
    </w:p>
    <w:p>
      <w:pPr>
        <w:sectPr>
          <w:pgSz w:w="11900" w:h="16838" w:orient="portrait"/>
          <w:cols w:equalWidth="0" w:num="1">
            <w:col w:w="10900"/>
          </w:cols>
          <w:pgMar w:left="320" w:top="443" w:right="6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740"/>
        <w:spacing w:after="0" w:line="245" w:lineRule="auto"/>
        <w:rPr>
          <w:sz w:val="20"/>
          <w:szCs w:val="20"/>
          <w:color w:val="auto"/>
        </w:rPr>
      </w:pPr>
      <w:r>
        <w:rPr>
          <w:rFonts w:ascii="Arial" w:cs="Arial" w:eastAsia="Arial" w:hAnsi="Arial"/>
          <w:sz w:val="21"/>
          <w:szCs w:val="21"/>
          <w:color w:val="41659C"/>
        </w:rPr>
        <w:t xml:space="preserve">RICHARD F. WALLMAN </w:t>
      </w:r>
      <w:r>
        <w:rPr>
          <w:rFonts w:ascii="Arial" w:cs="Arial" w:eastAsia="Arial" w:hAnsi="Arial"/>
          <w:sz w:val="15"/>
          <w:szCs w:val="15"/>
          <w:color w:val="000000"/>
        </w:rPr>
        <w:t>(71) Mr. Wallman was elected to our board in November 2021. From</w:t>
      </w:r>
      <w:r>
        <w:rPr>
          <w:rFonts w:ascii="Arial" w:cs="Arial" w:eastAsia="Arial" w:hAnsi="Arial"/>
          <w:sz w:val="21"/>
          <w:szCs w:val="21"/>
          <w:color w:val="41659C"/>
        </w:rPr>
        <w:t xml:space="preserve"> </w:t>
      </w:r>
      <w:r>
        <w:rPr>
          <w:rFonts w:ascii="Arial" w:cs="Arial" w:eastAsia="Arial" w:hAnsi="Arial"/>
          <w:sz w:val="15"/>
          <w:szCs w:val="15"/>
          <w:color w:val="000000"/>
        </w:rPr>
        <w:t>1995 through his retirement in 2003, Mr. Wallman served as Senior Vice President and Chief Financial Officer of Honeywell International, Inc. a diversified technology company, and AlliedSignal, Inc., a diversified technology company (prior to its merger with Honeywell International Inc.). Mr. Wallman currently serves on the board of directors of Smile Direct Club (since 2019), Charles River Laboratories International, Inc. (since 2011) and Roper Technologies, Inc. (since 2007), all of which are publicly traded companies in the United States. Within the past five years, Mr. Wallman previously served on the board of directors of Convergys Corporation, Extended Stay America, Inc. and Wright Medical, Inc. all publicly traded companies in the United States and Boart Longyear, a publicly traded company in Australia. Mr. Wallman received a Bachelor of Engineering degree from Vanderbilt University and an MBA from The University of Chicago Booth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-1261110</wp:posOffset>
            </wp:positionV>
            <wp:extent cx="1609725" cy="16097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09725" cy="1609725"/>
                    </a:xfrm>
                    <a:prstGeom prst="rect">
                      <a:avLst/>
                    </a:prstGeom>
                    <a:noFill/>
                  </pic:spPr>
                </pic:pic>
              </a:graphicData>
            </a:graphic>
          </wp:anchor>
        </w:drawing>
      </w:r>
    </w:p>
    <w:p>
      <w:pPr>
        <w:spacing w:after="0" w:line="115" w:lineRule="exact"/>
        <w:rPr>
          <w:sz w:val="20"/>
          <w:szCs w:val="20"/>
          <w:color w:val="auto"/>
        </w:rPr>
      </w:pPr>
    </w:p>
    <w:p>
      <w:pPr>
        <w:ind w:left="3740" w:right="20"/>
        <w:spacing w:after="0" w:line="249" w:lineRule="auto"/>
        <w:rPr>
          <w:sz w:val="20"/>
          <w:szCs w:val="20"/>
          <w:color w:val="auto"/>
        </w:rPr>
      </w:pPr>
      <w:r>
        <w:rPr>
          <w:rFonts w:ascii="Arial" w:cs="Arial" w:eastAsia="Arial" w:hAnsi="Arial"/>
          <w:sz w:val="16"/>
          <w:szCs w:val="16"/>
          <w:color w:val="auto"/>
        </w:rPr>
        <w:t>Mr. Wallman brings more than 30 years of executive leadership and management experience across a broad range of global businesses and industries and has a deep understanding of the global challenges and opportunities we will continue to face as we grow our business.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order to be elected, a nominee must receive a plurality of the votes cast at the meeting in person or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153670</wp:posOffset>
            </wp:positionV>
            <wp:extent cx="6735445" cy="534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5445" cy="534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40"/>
        <w:spacing w:after="0"/>
        <w:rPr>
          <w:sz w:val="20"/>
          <w:szCs w:val="20"/>
          <w:color w:val="auto"/>
        </w:rPr>
      </w:pPr>
      <w:r>
        <w:rPr>
          <w:rFonts w:ascii="Arial" w:cs="Arial" w:eastAsia="Arial" w:hAnsi="Arial"/>
          <w:sz w:val="16"/>
          <w:szCs w:val="16"/>
          <w:color w:val="262626"/>
        </w:rPr>
        <w:t>6 • CECO Environmental</w:t>
      </w:r>
    </w:p>
    <w:p>
      <w:pPr>
        <w:sectPr>
          <w:pgSz w:w="11900" w:h="16838" w:orient="portrait"/>
          <w:cols w:equalWidth="0" w:num="1">
            <w:col w:w="10860"/>
          </w:cols>
          <w:pgMar w:left="320" w:top="443" w:right="7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90"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41659C"/>
        </w:rPr>
        <w:t>Our Board and Its Committees</w:t>
      </w:r>
    </w:p>
    <w:p>
      <w:pPr>
        <w:spacing w:after="0" w:line="212" w:lineRule="exact"/>
        <w:rPr>
          <w:sz w:val="20"/>
          <w:szCs w:val="20"/>
          <w:color w:val="auto"/>
        </w:rPr>
      </w:pPr>
    </w:p>
    <w:p>
      <w:pPr>
        <w:ind w:left="340" w:right="160"/>
        <w:spacing w:after="0" w:line="249" w:lineRule="auto"/>
        <w:rPr>
          <w:sz w:val="20"/>
          <w:szCs w:val="20"/>
          <w:color w:val="auto"/>
        </w:rPr>
      </w:pPr>
      <w:r>
        <w:rPr>
          <w:rFonts w:ascii="Arial" w:cs="Arial" w:eastAsia="Arial" w:hAnsi="Arial"/>
          <w:sz w:val="16"/>
          <w:szCs w:val="16"/>
          <w:color w:val="auto"/>
        </w:rPr>
        <w:t xml:space="preserve">Our Board has three standing committees: the Audit Committee, the Compensation Committee and the Nominations and Governance Committee. Each of these committees operates under a written charter, which can be found on our website </w:t>
      </w:r>
      <w:r>
        <w:rPr>
          <w:rFonts w:ascii="Arial" w:cs="Arial" w:eastAsia="Arial" w:hAnsi="Arial"/>
          <w:sz w:val="16"/>
          <w:szCs w:val="16"/>
          <w:i w:val="1"/>
          <w:iCs w:val="1"/>
          <w:color w:val="auto"/>
        </w:rPr>
        <w:t>www.cecoenviro.com</w:t>
      </w:r>
      <w:r>
        <w:rPr>
          <w:rFonts w:ascii="Arial" w:cs="Arial" w:eastAsia="Arial" w:hAnsi="Arial"/>
          <w:sz w:val="16"/>
          <w:szCs w:val="16"/>
          <w:color w:val="auto"/>
        </w:rPr>
        <w:t xml:space="preserve"> in the Investor Relations, Corporate Governance section.</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89" w:lineRule="exact"/>
        <w:rPr>
          <w:sz w:val="20"/>
          <w:szCs w:val="20"/>
          <w:color w:val="auto"/>
        </w:rPr>
      </w:pPr>
    </w:p>
    <w:p>
      <w:pPr>
        <w:ind w:left="340" w:right="40"/>
        <w:spacing w:after="0" w:line="242" w:lineRule="auto"/>
        <w:rPr>
          <w:sz w:val="20"/>
          <w:szCs w:val="20"/>
          <w:color w:val="auto"/>
        </w:rPr>
      </w:pPr>
      <w:r>
        <w:rPr>
          <w:rFonts w:ascii="Arial" w:cs="Arial" w:eastAsia="Arial" w:hAnsi="Arial"/>
          <w:sz w:val="16"/>
          <w:szCs w:val="16"/>
          <w:color w:val="auto"/>
        </w:rPr>
        <w:t>All of our directors who served during 2021, other than Messrs. DeZwirek and Gleason, qualify as independent directors in accordance with the listing requirements of The NASDAQ Stock Market LLC (the “NASDAQ”). The NASDAQ independence definition includes a series of objective tests, including that the director is not an employee of our Company and has not engaged in various types of business dealings with us. In addition, our Board has made a subjective determination as to each independent director that no relationships exist, which, in the opinion of our Board, would interfere with the exercise of independent judgment in carrying out the responsibilities of a director.</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87"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6"/>
          <w:szCs w:val="16"/>
          <w:color w:val="auto"/>
        </w:rPr>
        <w:t>Members:</w:t>
      </w:r>
      <w:r>
        <w:rPr>
          <w:sz w:val="20"/>
          <w:szCs w:val="20"/>
          <w:color w:val="auto"/>
        </w:rPr>
        <w:tab/>
      </w:r>
      <w:r>
        <w:rPr>
          <w:rFonts w:ascii="Arial" w:cs="Arial" w:eastAsia="Arial" w:hAnsi="Arial"/>
          <w:sz w:val="16"/>
          <w:szCs w:val="16"/>
          <w:b w:val="1"/>
          <w:bCs w:val="1"/>
          <w:color w:val="auto"/>
        </w:rPr>
        <w:t>Claudio A. Mannarino, Chair</w:t>
      </w:r>
    </w:p>
    <w:p>
      <w:pPr>
        <w:spacing w:after="0" w:line="10"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David B. Liner</w:t>
      </w:r>
    </w:p>
    <w:p>
      <w:pPr>
        <w:ind w:left="1400"/>
        <w:spacing w:after="0"/>
        <w:rPr>
          <w:sz w:val="20"/>
          <w:szCs w:val="20"/>
          <w:color w:val="auto"/>
        </w:rPr>
      </w:pPr>
      <w:r>
        <w:rPr>
          <w:rFonts w:ascii="Arial" w:cs="Arial" w:eastAsia="Arial" w:hAnsi="Arial"/>
          <w:sz w:val="16"/>
          <w:szCs w:val="16"/>
          <w:color w:val="auto"/>
        </w:rPr>
        <w:t>Munish Nanda</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Audit Committee held five meetings in 2021.</w:t>
      </w:r>
    </w:p>
    <w:p>
      <w:pPr>
        <w:spacing w:after="0" w:line="204" w:lineRule="exact"/>
        <w:rPr>
          <w:sz w:val="20"/>
          <w:szCs w:val="20"/>
          <w:color w:val="auto"/>
        </w:rPr>
      </w:pPr>
    </w:p>
    <w:p>
      <w:pPr>
        <w:ind w:left="340" w:right="300"/>
        <w:spacing w:after="0" w:line="249" w:lineRule="auto"/>
        <w:rPr>
          <w:sz w:val="20"/>
          <w:szCs w:val="20"/>
          <w:color w:val="auto"/>
        </w:rPr>
      </w:pPr>
      <w:r>
        <w:rPr>
          <w:rFonts w:ascii="Arial" w:cs="Arial" w:eastAsia="Arial" w:hAnsi="Arial"/>
          <w:sz w:val="16"/>
          <w:szCs w:val="16"/>
          <w:color w:val="auto"/>
        </w:rPr>
        <w:t>Our Board has determined that Mr. Mannarino qualifies as an audit committee financial expert as defined in Item 407(d)(5) of Regulation S-K of the Securities Exchange Act of 1934 (the “Exchange Act”), and that each of our Audit Committee members is independent under the applicable NASDAQ listing requirements and the rules and regulations promulgated by the SEC.</w:t>
      </w:r>
    </w:p>
    <w:p>
      <w:pPr>
        <w:spacing w:after="0" w:line="178" w:lineRule="exact"/>
        <w:rPr>
          <w:sz w:val="20"/>
          <w:szCs w:val="20"/>
          <w:color w:val="auto"/>
        </w:rPr>
      </w:pPr>
    </w:p>
    <w:p>
      <w:pPr>
        <w:ind w:left="340" w:right="240"/>
        <w:spacing w:after="0" w:line="262" w:lineRule="auto"/>
        <w:rPr>
          <w:sz w:val="20"/>
          <w:szCs w:val="20"/>
          <w:color w:val="auto"/>
        </w:rPr>
      </w:pPr>
      <w:r>
        <w:rPr>
          <w:rFonts w:ascii="Arial" w:cs="Arial" w:eastAsia="Arial" w:hAnsi="Arial"/>
          <w:sz w:val="16"/>
          <w:szCs w:val="16"/>
          <w:color w:val="auto"/>
        </w:rPr>
        <w:t>The primary purpose of our Audit Committee is to assist our Board in its general oversight of the integrity of our Company’s financial statements and of our Company’s compliance with legal and regulatory requirements. Its responsibilities include overseeing and reviewing: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56515</wp:posOffset>
            </wp:positionV>
            <wp:extent cx="6702425" cy="11087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02425" cy="1108710"/>
                    </a:xfrm>
                    <a:prstGeom prst="rect">
                      <a:avLst/>
                    </a:prstGeom>
                    <a:noFill/>
                  </pic:spPr>
                </pic:pic>
              </a:graphicData>
            </a:graphic>
          </wp:anchor>
        </w:drawing>
      </w:r>
    </w:p>
    <w:p>
      <w:pPr>
        <w:spacing w:after="0" w:line="251"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the financial reports and other financial information;</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our Company’s system of internal accounting and financial controls;</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the engagement of our independent auditor; and</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the annual independent audit of our financial statements.</w:t>
      </w:r>
    </w:p>
    <w:p>
      <w:pPr>
        <w:spacing w:after="0" w:line="200" w:lineRule="exact"/>
        <w:rPr>
          <w:sz w:val="20"/>
          <w:szCs w:val="20"/>
          <w:color w:val="auto"/>
        </w:rPr>
      </w:pPr>
    </w:p>
    <w:p>
      <w:pPr>
        <w:spacing w:after="0" w:line="250" w:lineRule="exact"/>
        <w:rPr>
          <w:sz w:val="20"/>
          <w:szCs w:val="20"/>
          <w:color w:val="auto"/>
        </w:rPr>
      </w:pPr>
    </w:p>
    <w:p>
      <w:pPr>
        <w:ind w:left="340" w:right="120"/>
        <w:spacing w:after="0" w:line="262" w:lineRule="auto"/>
        <w:rPr>
          <w:sz w:val="20"/>
          <w:szCs w:val="20"/>
          <w:color w:val="auto"/>
        </w:rPr>
      </w:pPr>
      <w:r>
        <w:rPr>
          <w:rFonts w:ascii="Arial" w:cs="Arial" w:eastAsia="Arial" w:hAnsi="Arial"/>
          <w:sz w:val="16"/>
          <w:szCs w:val="16"/>
          <w:color w:val="auto"/>
        </w:rPr>
        <w:t>Our Audit Committee also reviews and approves the services of our independent registered public accounting firm and evaluates transactions where the potential for a conflict of interest exists.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2022 Proxy Statement • 7</w:t>
      </w:r>
    </w:p>
    <w:p>
      <w:pPr>
        <w:sectPr>
          <w:pgSz w:w="11900" w:h="16838" w:orient="portrait"/>
          <w:cols w:equalWidth="0" w:num="1">
            <w:col w:w="10900"/>
          </w:cols>
          <w:pgMar w:left="320" w:top="443" w:right="6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9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87"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6"/>
          <w:szCs w:val="16"/>
          <w:color w:val="auto"/>
        </w:rPr>
        <w:t>Members:</w:t>
      </w:r>
      <w:r>
        <w:rPr>
          <w:sz w:val="20"/>
          <w:szCs w:val="20"/>
          <w:color w:val="auto"/>
        </w:rPr>
        <w:tab/>
      </w:r>
      <w:r>
        <w:rPr>
          <w:rFonts w:ascii="Arial" w:cs="Arial" w:eastAsia="Arial" w:hAnsi="Arial"/>
          <w:sz w:val="16"/>
          <w:szCs w:val="16"/>
          <w:b w:val="1"/>
          <w:bCs w:val="1"/>
          <w:color w:val="auto"/>
        </w:rPr>
        <w:t>Valerie Gentile Sachs, Chair</w:t>
      </w:r>
    </w:p>
    <w:p>
      <w:pPr>
        <w:spacing w:after="0" w:line="10"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David B. Liner</w:t>
      </w:r>
    </w:p>
    <w:p>
      <w:pPr>
        <w:ind w:left="1400"/>
        <w:spacing w:after="0"/>
        <w:rPr>
          <w:sz w:val="20"/>
          <w:szCs w:val="20"/>
          <w:color w:val="auto"/>
        </w:rPr>
      </w:pPr>
      <w:r>
        <w:rPr>
          <w:rFonts w:ascii="Arial" w:cs="Arial" w:eastAsia="Arial" w:hAnsi="Arial"/>
          <w:sz w:val="16"/>
          <w:szCs w:val="16"/>
          <w:color w:val="auto"/>
        </w:rPr>
        <w:t>Eric M. Goldberg</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Compensation Committee held eight meetings in 2021.</w:t>
      </w:r>
    </w:p>
    <w:p>
      <w:pPr>
        <w:spacing w:after="0" w:line="204" w:lineRule="exact"/>
        <w:rPr>
          <w:sz w:val="20"/>
          <w:szCs w:val="20"/>
          <w:color w:val="auto"/>
        </w:rPr>
      </w:pPr>
    </w:p>
    <w:p>
      <w:pPr>
        <w:ind w:left="340"/>
        <w:spacing w:after="0" w:line="245" w:lineRule="auto"/>
        <w:rPr>
          <w:sz w:val="20"/>
          <w:szCs w:val="20"/>
          <w:color w:val="auto"/>
        </w:rPr>
      </w:pPr>
      <w:r>
        <w:rPr>
          <w:rFonts w:ascii="Arial" w:cs="Arial" w:eastAsia="Arial" w:hAnsi="Arial"/>
          <w:sz w:val="16"/>
          <w:szCs w:val="16"/>
          <w:color w:val="auto"/>
        </w:rPr>
        <w:t>Each member of our Compensation Committee is independent under the applicable NASDAQ listing requirements. Our Compensation Committee oversees our executive compensation programs, with particular attention to the compensation for our Chief Executive Officer (“CEO”) and the other executive officers subject to Section 16 of the Exchange Act. The Compensation Committee’s primary purpose is to assist our Board in matters related to compensation of these executive officers. Its responsibilities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64770</wp:posOffset>
            </wp:positionV>
            <wp:extent cx="6702425" cy="8623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02425" cy="862330"/>
                    </a:xfrm>
                    <a:prstGeom prst="rect">
                      <a:avLst/>
                    </a:prstGeom>
                    <a:noFill/>
                  </pic:spPr>
                </pic:pic>
              </a:graphicData>
            </a:graphic>
          </wp:anchor>
        </w:drawing>
      </w:r>
    </w:p>
    <w:p>
      <w:pPr>
        <w:spacing w:after="0" w:line="264" w:lineRule="exact"/>
        <w:rPr>
          <w:sz w:val="20"/>
          <w:szCs w:val="20"/>
          <w:color w:val="auto"/>
        </w:rPr>
      </w:pPr>
    </w:p>
    <w:p>
      <w:pPr>
        <w:ind w:left="740" w:right="400" w:hanging="154"/>
        <w:spacing w:after="0" w:line="249" w:lineRule="auto"/>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reviewing and approving corporate goals and objectives for the compensation of our CEO, evaluating our CEO’s performance in light of those</w:t>
      </w:r>
      <w:r>
        <w:rPr>
          <w:rFonts w:ascii="Arial" w:cs="Arial" w:eastAsia="Arial" w:hAnsi="Arial"/>
          <w:sz w:val="16"/>
          <w:szCs w:val="16"/>
          <w:color w:val="41659C"/>
        </w:rPr>
        <w:t xml:space="preserve"> </w:t>
      </w:r>
      <w:r>
        <w:rPr>
          <w:rFonts w:ascii="Arial" w:cs="Arial" w:eastAsia="Arial" w:hAnsi="Arial"/>
          <w:sz w:val="16"/>
          <w:szCs w:val="16"/>
          <w:color w:val="000000"/>
        </w:rPr>
        <w:t>goals and objectives, and determining and approving (or recommending to our Board for approval) our CEO’s compensation level based on this evaluation; and</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determining and approving (or recommending to our Board for approval) the compensation of our other executive officers.</w:t>
      </w:r>
    </w:p>
    <w:p>
      <w:pPr>
        <w:spacing w:after="0" w:line="200" w:lineRule="exact"/>
        <w:rPr>
          <w:sz w:val="20"/>
          <w:szCs w:val="20"/>
          <w:color w:val="auto"/>
        </w:rPr>
      </w:pPr>
    </w:p>
    <w:p>
      <w:pPr>
        <w:spacing w:after="0" w:line="250" w:lineRule="exact"/>
        <w:rPr>
          <w:sz w:val="20"/>
          <w:szCs w:val="20"/>
          <w:color w:val="auto"/>
        </w:rPr>
      </w:pPr>
    </w:p>
    <w:p>
      <w:pPr>
        <w:ind w:left="340" w:right="40"/>
        <w:spacing w:after="0" w:line="239" w:lineRule="auto"/>
        <w:rPr>
          <w:sz w:val="20"/>
          <w:szCs w:val="20"/>
          <w:color w:val="auto"/>
        </w:rPr>
      </w:pPr>
      <w:r>
        <w:rPr>
          <w:rFonts w:ascii="Arial" w:cs="Arial" w:eastAsia="Arial" w:hAnsi="Arial"/>
          <w:sz w:val="16"/>
          <w:szCs w:val="16"/>
          <w:color w:val="auto"/>
        </w:rPr>
        <w:t>Our Compensation Committee also administers our equity programs, including our 2021 Equity and Incentive Compensation Plan and 2020 Employee Stock Purchase Plan. The Compensation Committee’s activities include reporting to our Board on all compensation matters regarding our directors, executive officers, and other key salaried employees. Our Compensation Committee annually reviews and recommends to our Board for approval the compensation for our directors, executive officers and other key salaried employees. It does not generally delegate any of its authority to other persons, although it has the power to delegate certain authority as permitted by applicable law and the NASDAQ listing standards to subcommittees, our Board or management, including under our 2021 Equity and Incentive Compensation Plan. Our Compensation Committee’s processes and procedures for the consideration and determination of executive compensation, including the role of executive officers and the Compensation Committee’s independent consultant in determining or recommending the amount or form of compensation of our named executive officers, are discussed in the “Compensation Discussion” section below.</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Nominations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87"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6"/>
          <w:szCs w:val="16"/>
          <w:color w:val="auto"/>
        </w:rPr>
        <w:t>Members:</w:t>
      </w:r>
      <w:r>
        <w:rPr>
          <w:sz w:val="20"/>
          <w:szCs w:val="20"/>
          <w:color w:val="auto"/>
        </w:rPr>
        <w:tab/>
      </w:r>
      <w:r>
        <w:rPr>
          <w:rFonts w:ascii="Arial" w:cs="Arial" w:eastAsia="Arial" w:hAnsi="Arial"/>
          <w:sz w:val="16"/>
          <w:szCs w:val="16"/>
          <w:b w:val="1"/>
          <w:bCs w:val="1"/>
          <w:color w:val="auto"/>
        </w:rPr>
        <w:t>David B. Liner, Chair</w:t>
      </w:r>
    </w:p>
    <w:p>
      <w:pPr>
        <w:spacing w:after="0" w:line="10"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Claudio A. Mannarino</w:t>
      </w:r>
    </w:p>
    <w:p>
      <w:pPr>
        <w:ind w:left="1400"/>
        <w:spacing w:after="0"/>
        <w:rPr>
          <w:sz w:val="20"/>
          <w:szCs w:val="20"/>
          <w:color w:val="auto"/>
        </w:rPr>
      </w:pPr>
      <w:r>
        <w:rPr>
          <w:rFonts w:ascii="Arial" w:cs="Arial" w:eastAsia="Arial" w:hAnsi="Arial"/>
          <w:sz w:val="16"/>
          <w:szCs w:val="16"/>
          <w:color w:val="auto"/>
        </w:rPr>
        <w:t>Valerie Gentile Sachs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Nominations and Governance Committee held three meetings in 2021.</w:t>
      </w:r>
    </w:p>
    <w:p>
      <w:pPr>
        <w:spacing w:after="0" w:line="204" w:lineRule="exact"/>
        <w:rPr>
          <w:sz w:val="20"/>
          <w:szCs w:val="20"/>
          <w:color w:val="auto"/>
        </w:rPr>
      </w:pPr>
    </w:p>
    <w:p>
      <w:pPr>
        <w:ind w:left="340" w:right="20"/>
        <w:spacing w:after="0" w:line="262" w:lineRule="auto"/>
        <w:rPr>
          <w:sz w:val="20"/>
          <w:szCs w:val="20"/>
          <w:color w:val="auto"/>
        </w:rPr>
      </w:pPr>
      <w:r>
        <w:rPr>
          <w:rFonts w:ascii="Arial" w:cs="Arial" w:eastAsia="Arial" w:hAnsi="Arial"/>
          <w:sz w:val="16"/>
          <w:szCs w:val="16"/>
          <w:color w:val="auto"/>
        </w:rPr>
        <w:t>Each member of our Nominations and Governance Committee is an independent director under the applicable NASDAQ listing requirements. Its primary purposes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130810</wp:posOffset>
            </wp:positionV>
            <wp:extent cx="6702425" cy="13468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02425" cy="1346835"/>
                    </a:xfrm>
                    <a:prstGeom prst="rect">
                      <a:avLst/>
                    </a:prstGeom>
                    <a:noFill/>
                  </pic:spPr>
                </pic:pic>
              </a:graphicData>
            </a:graphic>
          </wp:anchor>
        </w:drawing>
      </w:r>
    </w:p>
    <w:p>
      <w:pPr>
        <w:spacing w:after="0" w:line="367"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to identify individuals qualified to become Board members;</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to make recommendations to our Board regarding Board and committee composition;</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to develop and recommend to our Board corporate governance principles applicable to our Company;</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advise and assist the Board with oversight of environmental, social and governance related (“ESG”) matters; and</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to oversee the evaluation of our Board and management.</w:t>
      </w:r>
    </w:p>
    <w:p>
      <w:pPr>
        <w:spacing w:after="0" w:line="385" w:lineRule="exact"/>
        <w:rPr>
          <w:sz w:val="20"/>
          <w:szCs w:val="20"/>
          <w:color w:val="auto"/>
        </w:rPr>
      </w:pPr>
    </w:p>
    <w:p>
      <w:pPr>
        <w:ind w:left="340"/>
        <w:spacing w:after="0"/>
        <w:rPr>
          <w:sz w:val="20"/>
          <w:szCs w:val="20"/>
          <w:color w:val="auto"/>
        </w:rPr>
      </w:pPr>
      <w:r>
        <w:rPr>
          <w:rFonts w:ascii="Arial" w:cs="Arial" w:eastAsia="Arial" w:hAnsi="Arial"/>
          <w:sz w:val="16"/>
          <w:szCs w:val="16"/>
          <w:color w:val="262626"/>
        </w:rPr>
        <w:t>8 • CECO Environmental</w:t>
      </w:r>
    </w:p>
    <w:p>
      <w:pPr>
        <w:sectPr>
          <w:pgSz w:w="11900" w:h="16838" w:orient="portrait"/>
          <w:cols w:equalWidth="0" w:num="1">
            <w:col w:w="10840"/>
          </w:cols>
          <w:pgMar w:left="320" w:top="443" w:right="7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4" w:lineRule="exact"/>
        <w:rPr>
          <w:sz w:val="20"/>
          <w:szCs w:val="20"/>
          <w:color w:val="auto"/>
        </w:rPr>
      </w:pPr>
    </w:p>
    <w:p>
      <w:pPr>
        <w:ind w:left="340" w:right="40"/>
        <w:spacing w:after="0" w:line="245" w:lineRule="auto"/>
        <w:rPr>
          <w:sz w:val="20"/>
          <w:szCs w:val="20"/>
          <w:color w:val="auto"/>
        </w:rPr>
      </w:pPr>
      <w:r>
        <w:rPr>
          <w:rFonts w:ascii="Arial" w:cs="Arial" w:eastAsia="Arial" w:hAnsi="Arial"/>
          <w:sz w:val="16"/>
          <w:szCs w:val="16"/>
          <w:color w:val="auto"/>
        </w:rPr>
        <w:t xml:space="preserve">Our Nominations and Governance Committee identifies individuals qualified to become Board members and makes recommendations to our Board regarding Board and committee composition, consistent with the Director Nomination Policy described below. It also recommends Board members for committee membership. A copy of the Director Nomination Policy can be found on our website </w:t>
      </w:r>
      <w:r>
        <w:rPr>
          <w:rFonts w:ascii="Arial" w:cs="Arial" w:eastAsia="Arial" w:hAnsi="Arial"/>
          <w:sz w:val="16"/>
          <w:szCs w:val="16"/>
          <w:i w:val="1"/>
          <w:iCs w:val="1"/>
          <w:color w:val="auto"/>
        </w:rPr>
        <w:t>www.cecoenviro.com</w:t>
      </w:r>
      <w:r>
        <w:rPr>
          <w:rFonts w:ascii="Arial" w:cs="Arial" w:eastAsia="Arial" w:hAnsi="Arial"/>
          <w:sz w:val="16"/>
          <w:szCs w:val="16"/>
          <w:color w:val="auto"/>
        </w:rPr>
        <w:t xml:space="preserve"> on the Investor Relations, Corporate Governance section.</w:t>
      </w:r>
    </w:p>
    <w:p>
      <w:pPr>
        <w:spacing w:after="0" w:line="180" w:lineRule="exact"/>
        <w:rPr>
          <w:sz w:val="20"/>
          <w:szCs w:val="20"/>
          <w:color w:val="auto"/>
        </w:rPr>
      </w:pPr>
    </w:p>
    <w:p>
      <w:pPr>
        <w:ind w:left="340" w:right="20"/>
        <w:spacing w:after="0" w:line="249" w:lineRule="auto"/>
        <w:rPr>
          <w:sz w:val="20"/>
          <w:szCs w:val="20"/>
          <w:color w:val="auto"/>
        </w:rPr>
      </w:pPr>
      <w:r>
        <w:rPr>
          <w:rFonts w:ascii="Arial" w:cs="Arial" w:eastAsia="Arial" w:hAnsi="Arial"/>
          <w:sz w:val="16"/>
          <w:szCs w:val="16"/>
          <w:color w:val="auto"/>
        </w:rPr>
        <w:t>Our Bylaws provide stockholders the ability to nominate candidates for election as directors at the annual meeting of stockholders. Stockholders who wish to nominate a candidate should submit the candidate’s name and other information required by our Bylaws to our Corporate Secretary and follow the procedures stated in our Bylaws. These procedures are summarized below in “Information for Our 2023 Annual Meeting.”</w:t>
      </w:r>
    </w:p>
    <w:p>
      <w:pPr>
        <w:spacing w:after="0" w:line="178" w:lineRule="exact"/>
        <w:rPr>
          <w:sz w:val="20"/>
          <w:szCs w:val="20"/>
          <w:color w:val="auto"/>
        </w:rPr>
      </w:pPr>
    </w:p>
    <w:p>
      <w:pPr>
        <w:ind w:left="340" w:right="60"/>
        <w:spacing w:after="0" w:line="279" w:lineRule="auto"/>
        <w:rPr>
          <w:sz w:val="20"/>
          <w:szCs w:val="20"/>
          <w:color w:val="auto"/>
        </w:rPr>
      </w:pPr>
      <w:r>
        <w:rPr>
          <w:rFonts w:ascii="Arial" w:cs="Arial" w:eastAsia="Arial" w:hAnsi="Arial"/>
          <w:sz w:val="14"/>
          <w:szCs w:val="14"/>
          <w:color w:val="auto"/>
        </w:rPr>
        <w:t>In addition to the formal procedure set forth in our Bylaws for the nomination of directors by stockholders, our Nominations and Governance Committee has adopted a policy to consider stockholder recommendations of candidates for nomination to our Board that stockholders submit outside the process in the Company’s Bylaws discussed above. Our Nominations and Governance Committee will consider director candidates recommended by stockholders for inclusion on the slate of directors recommended to our Board on the same basis as candidates recommended by other sources, including evaluating the candidate against the standards and qualifications set out in our Director Nomination Policy, as well as any other criteria approved by our Board from time to time. Our Nominations and Governance Committee will determine whether to interview any candidate. Recommendations must include the candidate’s name, contact information and a statement of the candidate’s background and qualifications, and must be mailed to the following address: CECO Environmental Corp., 14651 N. Dallas Parkway, Suite 500, Dallas, Texas 75254, Attention: Corporate Secretary.</w:t>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89" w:lineRule="exact"/>
        <w:rPr>
          <w:sz w:val="20"/>
          <w:szCs w:val="20"/>
          <w:color w:val="auto"/>
        </w:rPr>
      </w:pPr>
    </w:p>
    <w:p>
      <w:pPr>
        <w:ind w:left="340" w:right="20"/>
        <w:spacing w:after="0" w:line="241" w:lineRule="auto"/>
        <w:rPr>
          <w:sz w:val="20"/>
          <w:szCs w:val="20"/>
          <w:color w:val="auto"/>
        </w:rPr>
      </w:pPr>
      <w:r>
        <w:rPr>
          <w:rFonts w:ascii="Arial" w:cs="Arial" w:eastAsia="Arial" w:hAnsi="Arial"/>
          <w:sz w:val="16"/>
          <w:szCs w:val="16"/>
          <w:color w:val="auto"/>
        </w:rPr>
        <w:t>During 2021, our Board held eight regular meetings and one special meeting. Directors are expected to regularly attend Board meetings and meetings of committees on which they serve, as well as the annual meeting of shareholders. With the exception of Mr. Nanda and Ms. Sachs (each of whom missed one Board meeting only) each director attended 100% of the total number of Board meetings, and 100% of all applicable committee meetings were attended by directors serving on those committees. Our Board’s policy regarding director attendance at the Annual Meeting is that directors are encouraged to attend, and that we will make all appropriate arrangements for directors to attend. All of the directors, other than Mr. Wallman, who was not a director at the time, attended our 2021 Annual Meetings of Stockholders.</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Board Leadership Structure and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89" w:lineRule="exact"/>
        <w:rPr>
          <w:sz w:val="20"/>
          <w:szCs w:val="20"/>
          <w:color w:val="auto"/>
        </w:rPr>
      </w:pPr>
    </w:p>
    <w:p>
      <w:pPr>
        <w:ind w:left="340" w:right="40"/>
        <w:spacing w:after="0"/>
        <w:rPr>
          <w:sz w:val="20"/>
          <w:szCs w:val="20"/>
          <w:color w:val="auto"/>
        </w:rPr>
      </w:pPr>
      <w:r>
        <w:rPr>
          <w:rFonts w:ascii="Arial" w:cs="Arial" w:eastAsia="Arial" w:hAnsi="Arial"/>
          <w:sz w:val="16"/>
          <w:szCs w:val="16"/>
          <w:color w:val="auto"/>
        </w:rPr>
        <w:t>The positions of Chairman of the Board and Chief Executive Officer are held by different individuals: Mr. DeZwirek serves as Chairman and Mr. Gleason serves as Chief Executive Officer. Although our Bylaws provide that any two or more offices may be held by the same person, our Board believes that the current separation of the offices of Chief Executive Officer and Chairman reflects the difference in the roles of those positions. Our Chief Executive Officer is responsible for determining the strategic direction and the day-to-day leadership of our Company. Our Chairman facilitates and provides leadership to our Board and executive management and ensures they are focused on key issues. The Chairman of the Board shares a common understanding of the organization with the executive management and provides focus to ensure our Board is effective in its task of setting and implementing the Company’s strategy.</w:t>
      </w:r>
    </w:p>
    <w:p>
      <w:pPr>
        <w:spacing w:after="0" w:line="187" w:lineRule="exact"/>
        <w:rPr>
          <w:sz w:val="20"/>
          <w:szCs w:val="20"/>
          <w:color w:val="auto"/>
        </w:rPr>
      </w:pPr>
    </w:p>
    <w:p>
      <w:pPr>
        <w:ind w:left="340" w:right="100"/>
        <w:spacing w:after="0" w:line="242" w:lineRule="auto"/>
        <w:rPr>
          <w:sz w:val="20"/>
          <w:szCs w:val="20"/>
          <w:color w:val="auto"/>
        </w:rPr>
      </w:pPr>
      <w:r>
        <w:rPr>
          <w:rFonts w:ascii="Arial" w:cs="Arial" w:eastAsia="Arial" w:hAnsi="Arial"/>
          <w:sz w:val="16"/>
          <w:szCs w:val="16"/>
          <w:color w:val="auto"/>
        </w:rPr>
        <w:t>The separation of the roles of Chief Executive Officer and Chairman and the independence of a majority of our Board help ensure independent oversight of management. All of our directors, other than the Chairman, Mr. DeZwirek, and the Chief Executive Officer, Mr. Gleason, qualify as independent under the applicable NASDAQ listing requirements. The standing committees — the Audit Committee, the Compensation Committee and the Nominations and Governance Committee — are comprised entirely of independent directors. Additionally, the non-management directors regularly meet in executive session, and the independent directors meet in executive session, as required.</w:t>
      </w:r>
    </w:p>
    <w:p>
      <w:pPr>
        <w:spacing w:after="0" w:line="185" w:lineRule="exact"/>
        <w:rPr>
          <w:sz w:val="20"/>
          <w:szCs w:val="20"/>
          <w:color w:val="auto"/>
        </w:rPr>
      </w:pPr>
    </w:p>
    <w:p>
      <w:pPr>
        <w:ind w:left="340" w:right="40"/>
        <w:spacing w:after="0" w:line="241" w:lineRule="auto"/>
        <w:rPr>
          <w:sz w:val="20"/>
          <w:szCs w:val="20"/>
          <w:color w:val="auto"/>
        </w:rPr>
      </w:pPr>
      <w:r>
        <w:rPr>
          <w:rFonts w:ascii="Arial" w:cs="Arial" w:eastAsia="Arial" w:hAnsi="Arial"/>
          <w:sz w:val="16"/>
          <w:szCs w:val="16"/>
          <w:color w:val="auto"/>
        </w:rPr>
        <w:t>Our management is responsible for identifying, assessing, and managing the material risks facing our Company. Our Board performs an important role in the review and oversight of these risks and generally oversees our Company’s risk management practices and processes, with a strong emphasis on financial controls. Our Board has delegated primary oversight of the management of (i) financial and accounting risks and related-party transaction risks to our Audit Committee, (ii) compensation risk to our Compensation Committee, and (iii) ESG risk to our Nominations and Governance Committee. To the extent that the Audit Committee, Compensation Committee or the Nominations and Governance Committee identifies any material risks or related issues, the risks or issues are addressed with the full Board.</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2022 Proxy Statement • 9</w:t>
      </w:r>
    </w:p>
    <w:p>
      <w:pPr>
        <w:sectPr>
          <w:pgSz w:w="11900" w:h="16838" w:orient="portrait"/>
          <w:cols w:equalWidth="0" w:num="1">
            <w:col w:w="10900"/>
          </w:cols>
          <w:pgMar w:left="320" w:top="443" w:right="6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9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ESG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Environmental, Social and Governance Matters</w:t>
      </w:r>
    </w:p>
    <w:p>
      <w:pPr>
        <w:spacing w:after="0" w:line="204" w:lineRule="exact"/>
        <w:rPr>
          <w:sz w:val="20"/>
          <w:szCs w:val="20"/>
          <w:color w:val="auto"/>
        </w:rPr>
      </w:pPr>
    </w:p>
    <w:p>
      <w:pPr>
        <w:ind w:left="340" w:right="60"/>
        <w:spacing w:after="0" w:line="242" w:lineRule="auto"/>
        <w:rPr>
          <w:sz w:val="20"/>
          <w:szCs w:val="20"/>
          <w:color w:val="auto"/>
        </w:rPr>
      </w:pPr>
      <w:r>
        <w:rPr>
          <w:rFonts w:ascii="Arial" w:cs="Arial" w:eastAsia="Arial" w:hAnsi="Arial"/>
          <w:sz w:val="16"/>
          <w:szCs w:val="16"/>
          <w:color w:val="auto"/>
        </w:rPr>
        <w:t>We believe that the Company is able to advance ESG-related considerations and that sound corporate citizenship includes responsiveness to ESG issues that materially impact our stakeholders and the communities in which we operate. We are committed to operating our business with integrity; focusing on material ESG issues; giving back to the communities we serve; being environmentally conscious; and improving the lives of workers involved in manufacturing our products. Our Nominations and Governance Committee has formal oversight of ESG related matters, including our governance-related policies and strategies on which we advance sustainability through our business and operations.</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Director Qualifications and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02425" cy="8255"/>
                    </a:xfrm>
                    <a:prstGeom prst="rect">
                      <a:avLst/>
                    </a:prstGeom>
                    <a:noFill/>
                  </pic:spPr>
                </pic:pic>
              </a:graphicData>
            </a:graphic>
          </wp:anchor>
        </w:drawing>
        <w:drawing>
          <wp:anchor simplePos="0" relativeHeight="251657728" behindDoc="1" locked="0" layoutInCell="0" allowOverlap="1">
            <wp:simplePos x="0" y="0"/>
            <wp:positionH relativeFrom="column">
              <wp:posOffset>6302375</wp:posOffset>
            </wp:positionH>
            <wp:positionV relativeFrom="paragraph">
              <wp:posOffset>224790</wp:posOffset>
            </wp:positionV>
            <wp:extent cx="8255" cy="1562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156210"/>
                    </a:xfrm>
                    <a:prstGeom prst="rect">
                      <a:avLst/>
                    </a:prstGeom>
                    <a:noFill/>
                  </pic:spPr>
                </pic:pic>
              </a:graphicData>
            </a:graphic>
          </wp:anchor>
        </w:drawing>
        <w:drawing>
          <wp:anchor simplePos="0" relativeHeight="251657728" behindDoc="1" locked="0" layoutInCell="0" allowOverlap="1">
            <wp:simplePos x="0" y="0"/>
            <wp:positionH relativeFrom="column">
              <wp:posOffset>5563235</wp:posOffset>
            </wp:positionH>
            <wp:positionV relativeFrom="paragraph">
              <wp:posOffset>224790</wp:posOffset>
            </wp:positionV>
            <wp:extent cx="8255" cy="12236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1223645"/>
                    </a:xfrm>
                    <a:prstGeom prst="rect">
                      <a:avLst/>
                    </a:prstGeom>
                    <a:noFill/>
                  </pic:spPr>
                </pic:pic>
              </a:graphicData>
            </a:graphic>
          </wp:anchor>
        </w:drawing>
      </w:r>
    </w:p>
    <w:p>
      <w:pPr>
        <w:spacing w:after="0" w:line="334"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8400" w:type="dxa"/>
            <w:vAlign w:val="bottom"/>
            <w:tcBorders>
              <w:bottom w:val="single" w:sz="8" w:color="41659C"/>
            </w:tcBorders>
            <w:shd w:val="clear" w:color="auto" w:fill="41659C"/>
          </w:tcPr>
          <w:p>
            <w:pPr>
              <w:ind w:left="60"/>
              <w:spacing w:after="0"/>
              <w:rPr>
                <w:sz w:val="20"/>
                <w:szCs w:val="20"/>
                <w:color w:val="auto"/>
              </w:rPr>
            </w:pPr>
            <w:r>
              <w:rPr>
                <w:rFonts w:ascii="Arial" w:cs="Arial" w:eastAsia="Arial" w:hAnsi="Arial"/>
                <w:sz w:val="15"/>
                <w:szCs w:val="15"/>
                <w:b w:val="1"/>
                <w:bCs w:val="1"/>
                <w:color w:val="FFFFFF"/>
              </w:rPr>
              <w:t>Board Diversity Matrix (as of March 31, 2022)</w:t>
            </w:r>
          </w:p>
        </w:tc>
        <w:tc>
          <w:tcPr>
            <w:tcW w:w="1140" w:type="dxa"/>
            <w:vAlign w:val="bottom"/>
            <w:tcBorders>
              <w:bottom w:val="single" w:sz="8" w:color="41659C"/>
            </w:tcBorders>
            <w:shd w:val="clear" w:color="auto" w:fill="41659C"/>
          </w:tcPr>
          <w:p>
            <w:pPr>
              <w:spacing w:after="0"/>
              <w:rPr>
                <w:sz w:val="19"/>
                <w:szCs w:val="19"/>
                <w:color w:val="auto"/>
              </w:rPr>
            </w:pPr>
          </w:p>
        </w:tc>
        <w:tc>
          <w:tcPr>
            <w:tcW w:w="1000" w:type="dxa"/>
            <w:vAlign w:val="bottom"/>
            <w:tcBorders>
              <w:bottom w:val="single" w:sz="8" w:color="41659C"/>
            </w:tcBorders>
            <w:shd w:val="clear" w:color="auto" w:fill="41659C"/>
          </w:tcPr>
          <w:p>
            <w:pPr>
              <w:spacing w:after="0"/>
              <w:rPr>
                <w:sz w:val="19"/>
                <w:szCs w:val="19"/>
                <w:color w:val="auto"/>
              </w:rPr>
            </w:pPr>
          </w:p>
        </w:tc>
      </w:tr>
      <w:tr>
        <w:trPr>
          <w:trHeight w:val="226"/>
        </w:trPr>
        <w:tc>
          <w:tcPr>
            <w:tcW w:w="8400" w:type="dxa"/>
            <w:vAlign w:val="bottom"/>
            <w:tcBorders>
              <w:bottom w:val="single" w:sz="8" w:color="D2DEA7"/>
            </w:tcBorders>
            <w:shd w:val="clear" w:color="auto" w:fill="D2DEA7"/>
          </w:tcPr>
          <w:p>
            <w:pPr>
              <w:ind w:left="60"/>
              <w:spacing w:after="0"/>
              <w:rPr>
                <w:sz w:val="20"/>
                <w:szCs w:val="20"/>
                <w:color w:val="auto"/>
              </w:rPr>
            </w:pPr>
            <w:r>
              <w:rPr>
                <w:rFonts w:ascii="Arial" w:cs="Arial" w:eastAsia="Arial" w:hAnsi="Arial"/>
                <w:sz w:val="15"/>
                <w:szCs w:val="15"/>
                <w:color w:val="auto"/>
              </w:rPr>
              <w:t>Total Number of Directors</w:t>
            </w:r>
          </w:p>
        </w:tc>
        <w:tc>
          <w:tcPr>
            <w:tcW w:w="1140" w:type="dxa"/>
            <w:vAlign w:val="bottom"/>
            <w:tcBorders>
              <w:bottom w:val="single" w:sz="8" w:color="D2DEA7"/>
            </w:tcBorders>
            <w:shd w:val="clear" w:color="auto" w:fill="D2DEA7"/>
          </w:tcPr>
          <w:p>
            <w:pPr>
              <w:spacing w:after="0"/>
              <w:rPr>
                <w:sz w:val="19"/>
                <w:szCs w:val="19"/>
                <w:color w:val="auto"/>
              </w:rPr>
            </w:pPr>
          </w:p>
        </w:tc>
        <w:tc>
          <w:tcPr>
            <w:tcW w:w="1000" w:type="dxa"/>
            <w:vAlign w:val="bottom"/>
            <w:tcBorders>
              <w:bottom w:val="single" w:sz="8" w:color="D2DEA7"/>
            </w:tcBorders>
            <w:shd w:val="clear" w:color="auto" w:fill="D2DEA7"/>
          </w:tcPr>
          <w:p>
            <w:pPr>
              <w:jc w:val="right"/>
              <w:ind w:right="707"/>
              <w:spacing w:after="0"/>
              <w:rPr>
                <w:sz w:val="20"/>
                <w:szCs w:val="20"/>
                <w:color w:val="auto"/>
              </w:rPr>
            </w:pPr>
            <w:r>
              <w:rPr>
                <w:rFonts w:ascii="Arial" w:cs="Arial" w:eastAsia="Arial" w:hAnsi="Arial"/>
                <w:sz w:val="15"/>
                <w:szCs w:val="15"/>
                <w:color w:val="auto"/>
              </w:rPr>
              <w:t>9</w:t>
            </w:r>
          </w:p>
        </w:tc>
      </w:tr>
      <w:tr>
        <w:trPr>
          <w:trHeight w:val="200"/>
        </w:trPr>
        <w:tc>
          <w:tcPr>
            <w:tcW w:w="8400" w:type="dxa"/>
            <w:vAlign w:val="bottom"/>
            <w:shd w:val="clear" w:color="auto" w:fill="E8EED3"/>
          </w:tcPr>
          <w:p>
            <w:pPr>
              <w:spacing w:after="0"/>
              <w:rPr>
                <w:sz w:val="17"/>
                <w:szCs w:val="17"/>
                <w:color w:val="auto"/>
              </w:rPr>
            </w:pPr>
          </w:p>
        </w:tc>
        <w:tc>
          <w:tcPr>
            <w:tcW w:w="1140" w:type="dxa"/>
            <w:vAlign w:val="bottom"/>
            <w:shd w:val="clear" w:color="auto" w:fill="E8EED3"/>
          </w:tcPr>
          <w:p>
            <w:pPr>
              <w:jc w:val="right"/>
              <w:ind w:right="87"/>
              <w:spacing w:after="0"/>
              <w:rPr>
                <w:sz w:val="20"/>
                <w:szCs w:val="20"/>
                <w:color w:val="auto"/>
              </w:rPr>
            </w:pPr>
            <w:r>
              <w:rPr>
                <w:rFonts w:ascii="Arial" w:cs="Arial" w:eastAsia="Arial" w:hAnsi="Arial"/>
                <w:sz w:val="15"/>
                <w:szCs w:val="15"/>
                <w:color w:val="auto"/>
              </w:rPr>
              <w:t>Female</w:t>
            </w:r>
          </w:p>
        </w:tc>
        <w:tc>
          <w:tcPr>
            <w:tcW w:w="1000" w:type="dxa"/>
            <w:vAlign w:val="bottom"/>
            <w:shd w:val="clear" w:color="auto" w:fill="E8EED3"/>
          </w:tcPr>
          <w:p>
            <w:pPr>
              <w:jc w:val="right"/>
              <w:ind w:right="107"/>
              <w:spacing w:after="0"/>
              <w:rPr>
                <w:sz w:val="20"/>
                <w:szCs w:val="20"/>
                <w:color w:val="auto"/>
              </w:rPr>
            </w:pPr>
            <w:r>
              <w:rPr>
                <w:rFonts w:ascii="Arial" w:cs="Arial" w:eastAsia="Arial" w:hAnsi="Arial"/>
                <w:sz w:val="15"/>
                <w:szCs w:val="15"/>
                <w:color w:val="auto"/>
              </w:rPr>
              <w:t>Male</w:t>
            </w:r>
          </w:p>
        </w:tc>
      </w:tr>
      <w:tr>
        <w:trPr>
          <w:trHeight w:val="233"/>
        </w:trPr>
        <w:tc>
          <w:tcPr>
            <w:tcW w:w="8400" w:type="dxa"/>
            <w:vAlign w:val="bottom"/>
            <w:tcBorders>
              <w:bottom w:val="single" w:sz="8" w:color="D2DEA7"/>
            </w:tcBorders>
            <w:shd w:val="clear" w:color="auto" w:fill="D2DEA7"/>
          </w:tcPr>
          <w:p>
            <w:pPr>
              <w:ind w:left="60"/>
              <w:spacing w:after="0"/>
              <w:rPr>
                <w:sz w:val="20"/>
                <w:szCs w:val="20"/>
                <w:color w:val="auto"/>
              </w:rPr>
            </w:pPr>
            <w:r>
              <w:rPr>
                <w:rFonts w:ascii="Arial" w:cs="Arial" w:eastAsia="Arial" w:hAnsi="Arial"/>
                <w:sz w:val="15"/>
                <w:szCs w:val="15"/>
                <w:b w:val="1"/>
                <w:bCs w:val="1"/>
                <w:color w:val="auto"/>
              </w:rPr>
              <w:t>Part I: Gender Identity</w:t>
            </w:r>
          </w:p>
        </w:tc>
        <w:tc>
          <w:tcPr>
            <w:tcW w:w="1140" w:type="dxa"/>
            <w:vAlign w:val="bottom"/>
            <w:tcBorders>
              <w:bottom w:val="single" w:sz="8" w:color="D2DEA7"/>
            </w:tcBorders>
            <w:shd w:val="clear" w:color="auto" w:fill="D2DEA7"/>
          </w:tcPr>
          <w:p>
            <w:pPr>
              <w:spacing w:after="0"/>
              <w:rPr>
                <w:sz w:val="20"/>
                <w:szCs w:val="20"/>
                <w:color w:val="auto"/>
              </w:rPr>
            </w:pPr>
          </w:p>
        </w:tc>
        <w:tc>
          <w:tcPr>
            <w:tcW w:w="1000" w:type="dxa"/>
            <w:vAlign w:val="bottom"/>
            <w:tcBorders>
              <w:bottom w:val="single" w:sz="8" w:color="D2DEA7"/>
            </w:tcBorders>
            <w:shd w:val="clear" w:color="auto" w:fill="D2DEA7"/>
          </w:tcPr>
          <w:p>
            <w:pPr>
              <w:spacing w:after="0"/>
              <w:rPr>
                <w:sz w:val="20"/>
                <w:szCs w:val="20"/>
                <w:color w:val="auto"/>
              </w:rPr>
            </w:pPr>
          </w:p>
        </w:tc>
      </w:tr>
      <w:tr>
        <w:trPr>
          <w:trHeight w:val="226"/>
        </w:trPr>
        <w:tc>
          <w:tcPr>
            <w:tcW w:w="8400" w:type="dxa"/>
            <w:vAlign w:val="bottom"/>
            <w:tcBorders>
              <w:bottom w:val="single" w:sz="8" w:color="E8EED3"/>
            </w:tcBorders>
            <w:shd w:val="clear" w:color="auto" w:fill="E8EED3"/>
          </w:tcPr>
          <w:p>
            <w:pPr>
              <w:ind w:left="280"/>
              <w:spacing w:after="0"/>
              <w:rPr>
                <w:sz w:val="20"/>
                <w:szCs w:val="20"/>
                <w:color w:val="auto"/>
              </w:rPr>
            </w:pPr>
            <w:r>
              <w:rPr>
                <w:rFonts w:ascii="Arial" w:cs="Arial" w:eastAsia="Arial" w:hAnsi="Arial"/>
                <w:sz w:val="15"/>
                <w:szCs w:val="15"/>
                <w:color w:val="auto"/>
              </w:rPr>
              <w:t>Directors</w:t>
            </w:r>
          </w:p>
        </w:tc>
        <w:tc>
          <w:tcPr>
            <w:tcW w:w="1140" w:type="dxa"/>
            <w:vAlign w:val="bottom"/>
            <w:tcBorders>
              <w:bottom w:val="single" w:sz="8" w:color="E8EED3"/>
            </w:tcBorders>
            <w:shd w:val="clear" w:color="auto" w:fill="E8EED3"/>
          </w:tcPr>
          <w:p>
            <w:pPr>
              <w:jc w:val="right"/>
              <w:ind w:right="227"/>
              <w:spacing w:after="0"/>
              <w:rPr>
                <w:sz w:val="20"/>
                <w:szCs w:val="20"/>
                <w:color w:val="auto"/>
              </w:rPr>
            </w:pPr>
            <w:r>
              <w:rPr>
                <w:rFonts w:ascii="Arial" w:cs="Arial" w:eastAsia="Arial" w:hAnsi="Arial"/>
                <w:sz w:val="15"/>
                <w:szCs w:val="15"/>
                <w:color w:val="auto"/>
              </w:rPr>
              <w:t>1</w:t>
            </w:r>
          </w:p>
        </w:tc>
        <w:tc>
          <w:tcPr>
            <w:tcW w:w="1000" w:type="dxa"/>
            <w:vAlign w:val="bottom"/>
            <w:tcBorders>
              <w:bottom w:val="single" w:sz="8" w:color="E8EED3"/>
            </w:tcBorders>
            <w:shd w:val="clear" w:color="auto" w:fill="E8EED3"/>
          </w:tcPr>
          <w:p>
            <w:pPr>
              <w:jc w:val="right"/>
              <w:ind w:right="187"/>
              <w:spacing w:after="0"/>
              <w:rPr>
                <w:sz w:val="20"/>
                <w:szCs w:val="20"/>
                <w:color w:val="auto"/>
              </w:rPr>
            </w:pPr>
            <w:r>
              <w:rPr>
                <w:rFonts w:ascii="Arial" w:cs="Arial" w:eastAsia="Arial" w:hAnsi="Arial"/>
                <w:sz w:val="15"/>
                <w:szCs w:val="15"/>
                <w:color w:val="auto"/>
              </w:rPr>
              <w:t>8</w:t>
            </w:r>
          </w:p>
        </w:tc>
      </w:tr>
      <w:tr>
        <w:trPr>
          <w:trHeight w:val="226"/>
        </w:trPr>
        <w:tc>
          <w:tcPr>
            <w:tcW w:w="8400" w:type="dxa"/>
            <w:vAlign w:val="bottom"/>
            <w:tcBorders>
              <w:bottom w:val="single" w:sz="8" w:color="D2DEA7"/>
            </w:tcBorders>
            <w:shd w:val="clear" w:color="auto" w:fill="D2DEA7"/>
          </w:tcPr>
          <w:p>
            <w:pPr>
              <w:ind w:left="60"/>
              <w:spacing w:after="0"/>
              <w:rPr>
                <w:sz w:val="20"/>
                <w:szCs w:val="20"/>
                <w:color w:val="auto"/>
              </w:rPr>
            </w:pPr>
            <w:r>
              <w:rPr>
                <w:rFonts w:ascii="Arial" w:cs="Arial" w:eastAsia="Arial" w:hAnsi="Arial"/>
                <w:sz w:val="15"/>
                <w:szCs w:val="15"/>
                <w:b w:val="1"/>
                <w:bCs w:val="1"/>
                <w:color w:val="auto"/>
              </w:rPr>
              <w:t>Part II: Demographic Background</w:t>
            </w:r>
          </w:p>
        </w:tc>
        <w:tc>
          <w:tcPr>
            <w:tcW w:w="1140" w:type="dxa"/>
            <w:vAlign w:val="bottom"/>
            <w:tcBorders>
              <w:bottom w:val="single" w:sz="8" w:color="D2DEA7"/>
            </w:tcBorders>
            <w:shd w:val="clear" w:color="auto" w:fill="D2DEA7"/>
          </w:tcPr>
          <w:p>
            <w:pPr>
              <w:spacing w:after="0"/>
              <w:rPr>
                <w:sz w:val="19"/>
                <w:szCs w:val="19"/>
                <w:color w:val="auto"/>
              </w:rPr>
            </w:pPr>
          </w:p>
        </w:tc>
        <w:tc>
          <w:tcPr>
            <w:tcW w:w="1000" w:type="dxa"/>
            <w:vAlign w:val="bottom"/>
            <w:tcBorders>
              <w:bottom w:val="single" w:sz="8" w:color="D2DEA7"/>
            </w:tcBorders>
            <w:shd w:val="clear" w:color="auto" w:fill="D2DEA7"/>
          </w:tcPr>
          <w:p>
            <w:pPr>
              <w:spacing w:after="0"/>
              <w:rPr>
                <w:sz w:val="19"/>
                <w:szCs w:val="19"/>
                <w:color w:val="auto"/>
              </w:rPr>
            </w:pPr>
          </w:p>
        </w:tc>
      </w:tr>
      <w:tr>
        <w:trPr>
          <w:trHeight w:val="226"/>
        </w:trPr>
        <w:tc>
          <w:tcPr>
            <w:tcW w:w="8400" w:type="dxa"/>
            <w:vAlign w:val="bottom"/>
            <w:tcBorders>
              <w:bottom w:val="single" w:sz="8" w:color="E8EED3"/>
            </w:tcBorders>
            <w:shd w:val="clear" w:color="auto" w:fill="E8EED3"/>
          </w:tcPr>
          <w:p>
            <w:pPr>
              <w:ind w:left="280"/>
              <w:spacing w:after="0"/>
              <w:rPr>
                <w:sz w:val="20"/>
                <w:szCs w:val="20"/>
                <w:color w:val="auto"/>
              </w:rPr>
            </w:pPr>
            <w:r>
              <w:rPr>
                <w:rFonts w:ascii="Arial" w:cs="Arial" w:eastAsia="Arial" w:hAnsi="Arial"/>
                <w:sz w:val="15"/>
                <w:szCs w:val="15"/>
                <w:color w:val="auto"/>
              </w:rPr>
              <w:t>Asian</w:t>
            </w:r>
          </w:p>
        </w:tc>
        <w:tc>
          <w:tcPr>
            <w:tcW w:w="1140" w:type="dxa"/>
            <w:vAlign w:val="bottom"/>
            <w:tcBorders>
              <w:bottom w:val="single" w:sz="8" w:color="E8EED3"/>
            </w:tcBorders>
            <w:shd w:val="clear" w:color="auto" w:fill="E8EED3"/>
          </w:tcPr>
          <w:p>
            <w:pPr>
              <w:spacing w:after="0"/>
              <w:rPr>
                <w:sz w:val="19"/>
                <w:szCs w:val="19"/>
                <w:color w:val="auto"/>
              </w:rPr>
            </w:pPr>
          </w:p>
        </w:tc>
        <w:tc>
          <w:tcPr>
            <w:tcW w:w="1000" w:type="dxa"/>
            <w:vAlign w:val="bottom"/>
            <w:tcBorders>
              <w:bottom w:val="single" w:sz="8" w:color="E8EED3"/>
            </w:tcBorders>
            <w:shd w:val="clear" w:color="auto" w:fill="E8EED3"/>
          </w:tcPr>
          <w:p>
            <w:pPr>
              <w:jc w:val="right"/>
              <w:ind w:right="187"/>
              <w:spacing w:after="0"/>
              <w:rPr>
                <w:sz w:val="20"/>
                <w:szCs w:val="20"/>
                <w:color w:val="auto"/>
              </w:rPr>
            </w:pPr>
            <w:r>
              <w:rPr>
                <w:rFonts w:ascii="Arial" w:cs="Arial" w:eastAsia="Arial" w:hAnsi="Arial"/>
                <w:sz w:val="15"/>
                <w:szCs w:val="15"/>
                <w:color w:val="auto"/>
              </w:rPr>
              <w:t>1</w:t>
            </w:r>
          </w:p>
        </w:tc>
      </w:tr>
      <w:tr>
        <w:trPr>
          <w:trHeight w:val="214"/>
        </w:trPr>
        <w:tc>
          <w:tcPr>
            <w:tcW w:w="8400" w:type="dxa"/>
            <w:vAlign w:val="bottom"/>
            <w:shd w:val="clear" w:color="auto" w:fill="D2DEA7"/>
          </w:tcPr>
          <w:p>
            <w:pPr>
              <w:ind w:left="280"/>
              <w:spacing w:after="0"/>
              <w:rPr>
                <w:sz w:val="20"/>
                <w:szCs w:val="20"/>
                <w:color w:val="auto"/>
              </w:rPr>
            </w:pPr>
            <w:r>
              <w:rPr>
                <w:rFonts w:ascii="Arial" w:cs="Arial" w:eastAsia="Arial" w:hAnsi="Arial"/>
                <w:sz w:val="15"/>
                <w:szCs w:val="15"/>
                <w:color w:val="auto"/>
              </w:rPr>
              <w:t>White</w:t>
            </w:r>
          </w:p>
        </w:tc>
        <w:tc>
          <w:tcPr>
            <w:tcW w:w="1140" w:type="dxa"/>
            <w:vAlign w:val="bottom"/>
            <w:shd w:val="clear" w:color="auto" w:fill="D2DEA7"/>
          </w:tcPr>
          <w:p>
            <w:pPr>
              <w:jc w:val="right"/>
              <w:ind w:right="227"/>
              <w:spacing w:after="0"/>
              <w:rPr>
                <w:sz w:val="20"/>
                <w:szCs w:val="20"/>
                <w:color w:val="auto"/>
              </w:rPr>
            </w:pPr>
            <w:r>
              <w:rPr>
                <w:rFonts w:ascii="Arial" w:cs="Arial" w:eastAsia="Arial" w:hAnsi="Arial"/>
                <w:sz w:val="15"/>
                <w:szCs w:val="15"/>
                <w:color w:val="auto"/>
              </w:rPr>
              <w:t>1</w:t>
            </w:r>
          </w:p>
        </w:tc>
        <w:tc>
          <w:tcPr>
            <w:tcW w:w="1000" w:type="dxa"/>
            <w:vAlign w:val="bottom"/>
            <w:shd w:val="clear" w:color="auto" w:fill="D2DEA7"/>
          </w:tcPr>
          <w:p>
            <w:pPr>
              <w:jc w:val="right"/>
              <w:ind w:right="187"/>
              <w:spacing w:after="0"/>
              <w:rPr>
                <w:sz w:val="20"/>
                <w:szCs w:val="20"/>
                <w:color w:val="auto"/>
              </w:rPr>
            </w:pPr>
            <w:r>
              <w:rPr>
                <w:rFonts w:ascii="Arial" w:cs="Arial" w:eastAsia="Arial" w:hAnsi="Arial"/>
                <w:sz w:val="15"/>
                <w:szCs w:val="15"/>
                <w:color w:val="auto"/>
              </w:rPr>
              <w:t>7</w:t>
            </w:r>
          </w:p>
        </w:tc>
      </w:tr>
      <w:tr>
        <w:trPr>
          <w:trHeight w:val="32"/>
        </w:trPr>
        <w:tc>
          <w:tcPr>
            <w:tcW w:w="8400" w:type="dxa"/>
            <w:vAlign w:val="bottom"/>
            <w:shd w:val="clear" w:color="auto" w:fill="D2DEA7"/>
          </w:tcPr>
          <w:p>
            <w:pPr>
              <w:spacing w:after="0"/>
              <w:rPr>
                <w:sz w:val="2"/>
                <w:szCs w:val="2"/>
                <w:color w:val="auto"/>
              </w:rPr>
            </w:pPr>
          </w:p>
        </w:tc>
        <w:tc>
          <w:tcPr>
            <w:tcW w:w="1140" w:type="dxa"/>
            <w:vAlign w:val="bottom"/>
            <w:shd w:val="clear" w:color="auto" w:fill="D2DEA7"/>
          </w:tcPr>
          <w:p>
            <w:pPr>
              <w:spacing w:after="0"/>
              <w:rPr>
                <w:sz w:val="2"/>
                <w:szCs w:val="2"/>
                <w:color w:val="auto"/>
              </w:rPr>
            </w:pPr>
          </w:p>
        </w:tc>
        <w:tc>
          <w:tcPr>
            <w:tcW w:w="1000" w:type="dxa"/>
            <w:vAlign w:val="bottom"/>
            <w:shd w:val="clear" w:color="auto" w:fill="D2DEA7"/>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-911225</wp:posOffset>
            </wp:positionV>
            <wp:extent cx="8255" cy="9118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911860"/>
                    </a:xfrm>
                    <a:prstGeom prst="rect">
                      <a:avLst/>
                    </a:prstGeom>
                    <a:noFill/>
                  </pic:spPr>
                </pic:pic>
              </a:graphicData>
            </a:graphic>
          </wp:anchor>
        </w:drawing>
      </w:r>
    </w:p>
    <w:p>
      <w:pPr>
        <w:spacing w:after="0" w:line="175" w:lineRule="exact"/>
        <w:rPr>
          <w:sz w:val="20"/>
          <w:szCs w:val="20"/>
          <w:color w:val="auto"/>
        </w:rPr>
      </w:pPr>
    </w:p>
    <w:p>
      <w:pPr>
        <w:jc w:val="both"/>
        <w:ind w:left="340" w:right="300"/>
        <w:spacing w:after="0" w:line="249" w:lineRule="auto"/>
        <w:rPr>
          <w:sz w:val="20"/>
          <w:szCs w:val="20"/>
          <w:color w:val="auto"/>
        </w:rPr>
      </w:pPr>
      <w:r>
        <w:rPr>
          <w:rFonts w:ascii="Arial" w:cs="Arial" w:eastAsia="Arial" w:hAnsi="Arial"/>
          <w:sz w:val="16"/>
          <w:szCs w:val="16"/>
          <w:color w:val="auto"/>
        </w:rPr>
        <w:t>Our Board believes that the Board, as a whole, should have a diverse range of characteristics and skills to function at an optimal level in exercising its oversight over our Company. When evaluating a person for nomination for election to our Board, the qualifications and skills considered by our Board, including our Nominations and Governance Committee,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137160</wp:posOffset>
            </wp:positionV>
            <wp:extent cx="6702425" cy="14541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02425" cy="1454150"/>
                    </a:xfrm>
                    <a:prstGeom prst="rect">
                      <a:avLst/>
                    </a:prstGeom>
                    <a:noFill/>
                  </pic:spPr>
                </pic:pic>
              </a:graphicData>
            </a:graphic>
          </wp:anchor>
        </w:drawing>
      </w:r>
    </w:p>
    <w:p>
      <w:pPr>
        <w:spacing w:after="0" w:line="378" w:lineRule="exact"/>
        <w:rPr>
          <w:sz w:val="20"/>
          <w:szCs w:val="20"/>
          <w:color w:val="auto"/>
        </w:rPr>
      </w:pPr>
    </w:p>
    <w:p>
      <w:pPr>
        <w:ind w:left="740" w:right="520" w:hanging="154"/>
        <w:spacing w:after="0" w:line="262" w:lineRule="auto"/>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Whether the person will qualify as a director who is “independent” under applicable laws and regulations, and whether the person is qualified</w:t>
      </w:r>
      <w:r>
        <w:rPr>
          <w:rFonts w:ascii="Arial" w:cs="Arial" w:eastAsia="Arial" w:hAnsi="Arial"/>
          <w:sz w:val="16"/>
          <w:szCs w:val="16"/>
          <w:color w:val="41659C"/>
        </w:rPr>
        <w:t xml:space="preserve"> </w:t>
      </w:r>
      <w:r>
        <w:rPr>
          <w:rFonts w:ascii="Arial" w:cs="Arial" w:eastAsia="Arial" w:hAnsi="Arial"/>
          <w:sz w:val="16"/>
          <w:szCs w:val="16"/>
          <w:color w:val="000000"/>
        </w:rPr>
        <w:t>under applicable laws and regulations to serve as a director of our Company;</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Whether the person is willing to serve as a director, and willing to commit the time necessary for the performance of the duties of a director;</w:t>
      </w:r>
    </w:p>
    <w:p>
      <w:pPr>
        <w:spacing w:after="0" w:line="191" w:lineRule="exact"/>
        <w:rPr>
          <w:sz w:val="20"/>
          <w:szCs w:val="20"/>
          <w:color w:val="auto"/>
        </w:rPr>
      </w:pPr>
    </w:p>
    <w:p>
      <w:pPr>
        <w:jc w:val="both"/>
        <w:ind w:left="740" w:right="580" w:hanging="154"/>
        <w:spacing w:after="0" w:line="249" w:lineRule="auto"/>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The contribution that the person can make to our Board, with consideration being given to the person’s business experience, education and</w:t>
      </w:r>
      <w:r>
        <w:rPr>
          <w:rFonts w:ascii="Arial" w:cs="Arial" w:eastAsia="Arial" w:hAnsi="Arial"/>
          <w:sz w:val="16"/>
          <w:szCs w:val="16"/>
          <w:color w:val="41659C"/>
        </w:rPr>
        <w:t xml:space="preserve"> </w:t>
      </w:r>
      <w:r>
        <w:rPr>
          <w:rFonts w:ascii="Arial" w:cs="Arial" w:eastAsia="Arial" w:hAnsi="Arial"/>
          <w:sz w:val="16"/>
          <w:szCs w:val="16"/>
          <w:color w:val="000000"/>
        </w:rPr>
        <w:t>skills, conflicts of interest, the interplay of the candidate’s experience with that of other Board members, and such other factors as our Board may consider relevant; and</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The character and integrity of the person.</w:t>
      </w:r>
    </w:p>
    <w:p>
      <w:pPr>
        <w:spacing w:after="0" w:line="200" w:lineRule="exact"/>
        <w:rPr>
          <w:sz w:val="20"/>
          <w:szCs w:val="20"/>
          <w:color w:val="auto"/>
        </w:rPr>
      </w:pPr>
    </w:p>
    <w:p>
      <w:pPr>
        <w:spacing w:after="0" w:line="250" w:lineRule="exact"/>
        <w:rPr>
          <w:sz w:val="20"/>
          <w:szCs w:val="20"/>
          <w:color w:val="auto"/>
        </w:rPr>
      </w:pPr>
    </w:p>
    <w:p>
      <w:pPr>
        <w:ind w:left="340" w:right="220"/>
        <w:spacing w:after="0" w:line="245" w:lineRule="auto"/>
        <w:rPr>
          <w:sz w:val="20"/>
          <w:szCs w:val="20"/>
          <w:color w:val="auto"/>
        </w:rPr>
      </w:pPr>
      <w:r>
        <w:rPr>
          <w:rFonts w:ascii="Arial" w:cs="Arial" w:eastAsia="Arial" w:hAnsi="Arial"/>
          <w:sz w:val="16"/>
          <w:szCs w:val="16"/>
          <w:color w:val="auto"/>
        </w:rPr>
        <w:t>Our Board applies a broad concept of diversity, which includes all of the criteria listed in the paragraph below together with other factors such as the nominee’s experience and leadership abilities. When our Board seeks new director candidates to add to our Board or to replace directors who have resigned or recommends the re-election of incumbent directors, our Board selects director nominees on the basis of all of these criteria with the goal of finding the best match for our Board.</w:t>
      </w:r>
    </w:p>
    <w:p>
      <w:pPr>
        <w:spacing w:after="0" w:line="180" w:lineRule="exact"/>
        <w:rPr>
          <w:sz w:val="20"/>
          <w:szCs w:val="20"/>
          <w:color w:val="auto"/>
        </w:rPr>
      </w:pPr>
    </w:p>
    <w:p>
      <w:pPr>
        <w:ind w:left="340" w:right="100"/>
        <w:spacing w:after="0" w:line="249" w:lineRule="auto"/>
        <w:rPr>
          <w:sz w:val="20"/>
          <w:szCs w:val="20"/>
          <w:color w:val="auto"/>
        </w:rPr>
      </w:pPr>
      <w:r>
        <w:rPr>
          <w:rFonts w:ascii="Arial" w:cs="Arial" w:eastAsia="Arial" w:hAnsi="Arial"/>
          <w:sz w:val="16"/>
          <w:szCs w:val="16"/>
          <w:color w:val="auto"/>
        </w:rPr>
        <w:t>The Board is also committed to having a membership that reflects a diversity of gender, race, ethnicity, age and background. This commitment is demonstrated by the fact that the Board currently includes one female director and one director who is ethnically diverse. Our directors currently range in age from 50 to 71.</w:t>
      </w:r>
    </w:p>
    <w:p>
      <w:pPr>
        <w:spacing w:after="0" w:line="178" w:lineRule="exact"/>
        <w:rPr>
          <w:sz w:val="20"/>
          <w:szCs w:val="20"/>
          <w:color w:val="auto"/>
        </w:rPr>
      </w:pPr>
    </w:p>
    <w:p>
      <w:pPr>
        <w:ind w:left="340" w:right="40"/>
        <w:spacing w:after="0" w:line="249" w:lineRule="auto"/>
        <w:rPr>
          <w:sz w:val="20"/>
          <w:szCs w:val="20"/>
          <w:color w:val="auto"/>
        </w:rPr>
      </w:pPr>
      <w:r>
        <w:rPr>
          <w:rFonts w:ascii="Arial" w:cs="Arial" w:eastAsia="Arial" w:hAnsi="Arial"/>
          <w:sz w:val="16"/>
          <w:szCs w:val="16"/>
          <w:color w:val="auto"/>
        </w:rPr>
        <w:t>With respect to skill set diversity, our Board seeks to have directors and nominees composed of qualified professionals with a broad range of skills. Our current directors have a broad range of skills, expertise and diversity, some of which have been described in the director profiles. Diversity helps to create a balanced Board to effectively develop strategies for our Company’s growth.</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262626"/>
        </w:rPr>
        <w:t>10 • CECO Environmental</w:t>
      </w:r>
    </w:p>
    <w:p>
      <w:pPr>
        <w:sectPr>
          <w:pgSz w:w="11900" w:h="16838" w:orient="portrait"/>
          <w:cols w:equalWidth="0" w:num="1">
            <w:col w:w="10900"/>
          </w:cols>
          <w:pgMar w:left="320" w:top="443" w:right="6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9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Board Composition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89" w:lineRule="exact"/>
        <w:rPr>
          <w:sz w:val="20"/>
          <w:szCs w:val="20"/>
          <w:color w:val="auto"/>
        </w:rPr>
      </w:pPr>
    </w:p>
    <w:p>
      <w:pPr>
        <w:ind w:left="340" w:right="60"/>
        <w:spacing w:after="0" w:line="262" w:lineRule="auto"/>
        <w:rPr>
          <w:sz w:val="20"/>
          <w:szCs w:val="20"/>
          <w:color w:val="auto"/>
        </w:rPr>
      </w:pPr>
      <w:r>
        <w:rPr>
          <w:rFonts w:ascii="Arial" w:cs="Arial" w:eastAsia="Arial" w:hAnsi="Arial"/>
          <w:sz w:val="16"/>
          <w:szCs w:val="16"/>
          <w:color w:val="auto"/>
        </w:rPr>
        <w:t>Messrs. Pollack and Goldberg will not stand for re-election at the Annual Meeting due to other professional commitments and demands on their time, and each of their terms as directors will end at the Annual Meeting.</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Code of Business Conduct and Ethics and 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89" w:lineRule="exact"/>
        <w:rPr>
          <w:sz w:val="20"/>
          <w:szCs w:val="20"/>
          <w:color w:val="auto"/>
        </w:rPr>
      </w:pPr>
    </w:p>
    <w:p>
      <w:pPr>
        <w:ind w:left="340" w:right="20"/>
        <w:spacing w:after="0"/>
        <w:rPr>
          <w:sz w:val="20"/>
          <w:szCs w:val="20"/>
          <w:color w:val="auto"/>
        </w:rPr>
      </w:pPr>
      <w:r>
        <w:rPr>
          <w:rFonts w:ascii="Arial" w:cs="Arial" w:eastAsia="Arial" w:hAnsi="Arial"/>
          <w:sz w:val="16"/>
          <w:szCs w:val="16"/>
          <w:color w:val="auto"/>
        </w:rPr>
        <w:t xml:space="preserve">We have adopted a Code of Business Conduct and Ethics that applies to our directors and employees (including our principal executive officer, principal financial officer, principal accounting officer and persons performing similar functions) and Corporate Governance Guidelines applicable to our directors to assist our Board in following corporate guidelines that serve the best interests of our Company and stockholders. The Code of Business Conduct and Ethics and Corporate Governance Guidelines are posted on our website </w:t>
      </w:r>
      <w:r>
        <w:rPr>
          <w:rFonts w:ascii="Arial" w:cs="Arial" w:eastAsia="Arial" w:hAnsi="Arial"/>
          <w:sz w:val="16"/>
          <w:szCs w:val="16"/>
          <w:i w:val="1"/>
          <w:iCs w:val="1"/>
          <w:color w:val="auto"/>
        </w:rPr>
        <w:t>www.cecoenviro.com</w:t>
      </w:r>
      <w:r>
        <w:rPr>
          <w:rFonts w:ascii="Arial" w:cs="Arial" w:eastAsia="Arial" w:hAnsi="Arial"/>
          <w:sz w:val="16"/>
          <w:szCs w:val="16"/>
          <w:color w:val="auto"/>
        </w:rPr>
        <w:t xml:space="preserve"> on the Investor Relations, Corporate Governance section. We will post on our website any amendments to or waivers of the Code of Business Conduct and Ethics for executive officers or directors in accordance with applicable laws and regulations. The information on or accessible through our website is not a part of or incorporated by reference into this Proxy Statement.</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76" w:lineRule="exact"/>
        <w:rPr>
          <w:sz w:val="20"/>
          <w:szCs w:val="20"/>
          <w:color w:val="auto"/>
        </w:rPr>
      </w:pPr>
    </w:p>
    <w:p>
      <w:pPr>
        <w:ind w:left="340" w:right="80"/>
        <w:spacing w:after="0"/>
        <w:rPr>
          <w:sz w:val="20"/>
          <w:szCs w:val="20"/>
          <w:color w:val="auto"/>
        </w:rPr>
      </w:pPr>
      <w:r>
        <w:rPr>
          <w:rFonts w:ascii="Arial" w:cs="Arial" w:eastAsia="Arial" w:hAnsi="Arial"/>
          <w:sz w:val="16"/>
          <w:szCs w:val="16"/>
          <w:color w:val="auto"/>
        </w:rPr>
        <w:t>Our Insider Trading Policy, which applies to all of our directors, officers, employees, and agents, expressly prohibits buying or selling securities while in possession of material, nonpublic information about us or another company and from disclosing such information on to others who might purchase or sell securities on the basis of such information. We consider short term or speculative transactions by our personnel involving our securities to be inappropriate. We also discourage our personnel from buying or selling our securities in margin accounts. Our Insider Trading Policy expressly prohibits the following activities with respect to our securities: short sales, including short sales against the box, buying or selling puts or calls and frequent trading to take advantage of fluctuations in stock price. The restrictions under our Insider Trading Policy also apply to immediate family and household members of our directors, officers, employees, and agents.</w:t>
      </w:r>
    </w:p>
    <w:p>
      <w:pPr>
        <w:spacing w:after="0" w:line="187" w:lineRule="exact"/>
        <w:rPr>
          <w:sz w:val="20"/>
          <w:szCs w:val="20"/>
          <w:color w:val="auto"/>
        </w:rPr>
      </w:pPr>
    </w:p>
    <w:p>
      <w:pPr>
        <w:ind w:left="340" w:right="160"/>
        <w:spacing w:after="0" w:line="242" w:lineRule="auto"/>
        <w:rPr>
          <w:sz w:val="20"/>
          <w:szCs w:val="20"/>
          <w:color w:val="auto"/>
        </w:rPr>
      </w:pPr>
      <w:r>
        <w:rPr>
          <w:rFonts w:ascii="Arial" w:cs="Arial" w:eastAsia="Arial" w:hAnsi="Arial"/>
          <w:sz w:val="16"/>
          <w:szCs w:val="16"/>
          <w:color w:val="auto"/>
        </w:rPr>
        <w:t>Our Insider Trading Policy prohibits all members of our Board and all officers and employees of the Company and its subsidiaries from engaging in hedging or monetization transactions, including through the use of financial instruments such as prepaid variable forwards, equity swaps, collars and exchange funds, or through other transactions that hedge or offset, or are designed to hedge or offset, any decrease in the market value of Company securities. The policy further prohibits such persons from pledging, hypothecating or otherwise using the Company’s securities as collateral for a loan or other form of indebtedness.</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Stockholder Communications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89" w:lineRule="exact"/>
        <w:rPr>
          <w:sz w:val="20"/>
          <w:szCs w:val="20"/>
          <w:color w:val="auto"/>
        </w:rPr>
      </w:pPr>
    </w:p>
    <w:p>
      <w:pPr>
        <w:jc w:val="both"/>
        <w:ind w:left="340" w:right="40"/>
        <w:spacing w:after="0" w:line="249" w:lineRule="auto"/>
        <w:rPr>
          <w:sz w:val="20"/>
          <w:szCs w:val="20"/>
          <w:color w:val="auto"/>
        </w:rPr>
      </w:pPr>
      <w:r>
        <w:rPr>
          <w:rFonts w:ascii="Arial" w:cs="Arial" w:eastAsia="Arial" w:hAnsi="Arial"/>
          <w:sz w:val="16"/>
          <w:szCs w:val="16"/>
          <w:color w:val="auto"/>
        </w:rPr>
        <w:t>Our Board has adopted a process by which stockholders may communicate with our Board for matters other than director nominations. Stockholders who would like to communicate with our Board or a committee of our Board should send the communication to: Chairman of the Board, CECO Environmental Corp., 14651 North Dallas Parkway, Suite 500, Dallas Texas, 75254.</w:t>
      </w:r>
    </w:p>
    <w:p>
      <w:pPr>
        <w:spacing w:after="0" w:line="178" w:lineRule="exact"/>
        <w:rPr>
          <w:sz w:val="20"/>
          <w:szCs w:val="20"/>
          <w:color w:val="auto"/>
        </w:rPr>
      </w:pPr>
    </w:p>
    <w:p>
      <w:pPr>
        <w:jc w:val="both"/>
        <w:ind w:left="340" w:right="140"/>
        <w:spacing w:after="0" w:line="302" w:lineRule="auto"/>
        <w:rPr>
          <w:sz w:val="20"/>
          <w:szCs w:val="20"/>
          <w:color w:val="auto"/>
        </w:rPr>
      </w:pPr>
      <w:r>
        <w:rPr>
          <w:rFonts w:ascii="Arial" w:cs="Arial" w:eastAsia="Arial" w:hAnsi="Arial"/>
          <w:sz w:val="14"/>
          <w:szCs w:val="14"/>
          <w:color w:val="auto"/>
        </w:rPr>
        <w:t>Our Chairman of the Board, Mr. DeZwirek, will forward such communications to our Board at or prior to its next regular meeting. Stockholders wishing to communicate only with the independent directors can address their communications to “Independent Directors, c/o Chairman of the Board” at the same address above. These communications will be forwarded to the independent directors at or prior to the next meeting of the independent directors.</w:t>
      </w:r>
    </w:p>
    <w:p>
      <w:pPr>
        <w:spacing w:after="0" w:line="143" w:lineRule="exact"/>
        <w:rPr>
          <w:sz w:val="20"/>
          <w:szCs w:val="20"/>
          <w:color w:val="auto"/>
        </w:rPr>
      </w:pPr>
    </w:p>
    <w:p>
      <w:pPr>
        <w:ind w:left="340" w:right="60"/>
        <w:spacing w:after="0" w:line="262" w:lineRule="auto"/>
        <w:rPr>
          <w:sz w:val="20"/>
          <w:szCs w:val="20"/>
          <w:color w:val="auto"/>
        </w:rPr>
      </w:pPr>
      <w:r>
        <w:rPr>
          <w:rFonts w:ascii="Arial" w:cs="Arial" w:eastAsia="Arial" w:hAnsi="Arial"/>
          <w:sz w:val="16"/>
          <w:szCs w:val="16"/>
          <w:color w:val="auto"/>
        </w:rPr>
        <w:t>Our Board or the independent directors will determine, in their respective sole discretion, the method by which any such communications will be reviewed and considered.</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2022 Proxy Statement • 11</w:t>
      </w:r>
    </w:p>
    <w:p>
      <w:pPr>
        <w:sectPr>
          <w:pgSz w:w="11900" w:h="16838" w:orient="portrait"/>
          <w:cols w:equalWidth="0" w:num="1">
            <w:col w:w="10900"/>
          </w:cols>
          <w:pgMar w:left="320" w:top="443" w:right="6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90"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41659C"/>
        </w:rPr>
        <w:t>2021 Director Compensation</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2021, our non-management directors received the following compensation for their service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5957570</wp:posOffset>
            </wp:positionH>
            <wp:positionV relativeFrom="paragraph">
              <wp:posOffset>153670</wp:posOffset>
            </wp:positionV>
            <wp:extent cx="8255" cy="15690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1569085"/>
                    </a:xfrm>
                    <a:prstGeom prst="rect">
                      <a:avLst/>
                    </a:prstGeom>
                    <a:noFill/>
                  </pic:spPr>
                </pic:pic>
              </a:graphicData>
            </a:graphic>
          </wp:anchor>
        </w:drawing>
      </w:r>
    </w:p>
    <w:p>
      <w:pPr>
        <w:spacing w:after="0" w:line="222" w:lineRule="exact"/>
        <w:rPr>
          <w:sz w:val="20"/>
          <w:szCs w:val="20"/>
          <w:color w:val="auto"/>
        </w:rPr>
      </w:pPr>
    </w:p>
    <w:tbl>
      <w:tblPr>
        <w:tblLayout w:type="fixed"/>
        <w:tblInd w:w="360" w:type="dxa"/>
        <w:tblCellMar>
          <w:top w:w="0" w:type="dxa"/>
          <w:left w:w="0" w:type="dxa"/>
          <w:bottom w:w="0" w:type="dxa"/>
          <w:right w:w="0" w:type="dxa"/>
        </w:tblCellMar>
      </w:tblPr>
      <w:tr>
        <w:trPr>
          <w:trHeight w:val="239"/>
        </w:trPr>
        <w:tc>
          <w:tcPr>
            <w:tcW w:w="6280" w:type="dxa"/>
            <w:vAlign w:val="bottom"/>
            <w:tcBorders>
              <w:bottom w:val="single" w:sz="8" w:color="41659C"/>
            </w:tcBorders>
            <w:shd w:val="clear" w:color="auto" w:fill="41659C"/>
          </w:tcPr>
          <w:p>
            <w:pPr>
              <w:ind w:left="60"/>
              <w:spacing w:after="0"/>
              <w:rPr>
                <w:sz w:val="20"/>
                <w:szCs w:val="20"/>
                <w:color w:val="auto"/>
              </w:rPr>
            </w:pPr>
            <w:r>
              <w:rPr>
                <w:rFonts w:ascii="Arial" w:cs="Arial" w:eastAsia="Arial" w:hAnsi="Arial"/>
                <w:sz w:val="15"/>
                <w:szCs w:val="15"/>
                <w:b w:val="1"/>
                <w:bCs w:val="1"/>
                <w:color w:val="FFFFFF"/>
              </w:rPr>
              <w:t>Director Service</w:t>
            </w:r>
          </w:p>
        </w:tc>
        <w:tc>
          <w:tcPr>
            <w:tcW w:w="4260" w:type="dxa"/>
            <w:vAlign w:val="bottom"/>
            <w:tcBorders>
              <w:bottom w:val="single" w:sz="8" w:color="41659C"/>
            </w:tcBorders>
            <w:shd w:val="clear" w:color="auto" w:fill="41659C"/>
          </w:tcPr>
          <w:p>
            <w:pPr>
              <w:jc w:val="right"/>
              <w:ind w:right="107"/>
              <w:spacing w:after="0"/>
              <w:rPr>
                <w:sz w:val="20"/>
                <w:szCs w:val="20"/>
                <w:color w:val="auto"/>
              </w:rPr>
            </w:pPr>
            <w:r>
              <w:rPr>
                <w:rFonts w:ascii="Arial" w:cs="Arial" w:eastAsia="Arial" w:hAnsi="Arial"/>
                <w:sz w:val="15"/>
                <w:szCs w:val="15"/>
                <w:b w:val="1"/>
                <w:bCs w:val="1"/>
                <w:color w:val="FFFFFF"/>
              </w:rPr>
              <w:t>Compensation ($)</w:t>
            </w:r>
          </w:p>
        </w:tc>
      </w:tr>
      <w:tr>
        <w:trPr>
          <w:trHeight w:val="226"/>
        </w:trPr>
        <w:tc>
          <w:tcPr>
            <w:tcW w:w="6280" w:type="dxa"/>
            <w:vAlign w:val="bottom"/>
            <w:tcBorders>
              <w:bottom w:val="single" w:sz="8" w:color="E8EED3"/>
            </w:tcBorders>
            <w:shd w:val="clear" w:color="auto" w:fill="E8EED3"/>
          </w:tcPr>
          <w:p>
            <w:pPr>
              <w:ind w:left="60"/>
              <w:spacing w:after="0"/>
              <w:rPr>
                <w:sz w:val="20"/>
                <w:szCs w:val="20"/>
                <w:color w:val="auto"/>
              </w:rPr>
            </w:pPr>
            <w:r>
              <w:rPr>
                <w:rFonts w:ascii="Arial" w:cs="Arial" w:eastAsia="Arial" w:hAnsi="Arial"/>
                <w:sz w:val="15"/>
                <w:szCs w:val="15"/>
                <w:color w:val="auto"/>
              </w:rPr>
              <w:t>Annual cash retainer, paid quarterly</w:t>
            </w:r>
          </w:p>
        </w:tc>
        <w:tc>
          <w:tcPr>
            <w:tcW w:w="4260" w:type="dxa"/>
            <w:vAlign w:val="bottom"/>
            <w:tcBorders>
              <w:bottom w:val="single" w:sz="8" w:color="E8EED3"/>
            </w:tcBorders>
            <w:shd w:val="clear" w:color="auto" w:fill="E8EED3"/>
          </w:tcPr>
          <w:p>
            <w:pPr>
              <w:jc w:val="right"/>
              <w:ind w:right="27"/>
              <w:spacing w:after="0"/>
              <w:rPr>
                <w:sz w:val="20"/>
                <w:szCs w:val="20"/>
                <w:color w:val="auto"/>
              </w:rPr>
            </w:pPr>
            <w:r>
              <w:rPr>
                <w:rFonts w:ascii="Arial" w:cs="Arial" w:eastAsia="Arial" w:hAnsi="Arial"/>
                <w:sz w:val="15"/>
                <w:szCs w:val="15"/>
                <w:color w:val="auto"/>
              </w:rPr>
              <w:t>50,000</w:t>
            </w:r>
          </w:p>
        </w:tc>
      </w:tr>
      <w:tr>
        <w:trPr>
          <w:trHeight w:val="226"/>
        </w:trPr>
        <w:tc>
          <w:tcPr>
            <w:tcW w:w="6280" w:type="dxa"/>
            <w:vAlign w:val="bottom"/>
            <w:tcBorders>
              <w:bottom w:val="single" w:sz="8" w:color="D2DEA7"/>
            </w:tcBorders>
            <w:shd w:val="clear" w:color="auto" w:fill="D2DEA7"/>
          </w:tcPr>
          <w:p>
            <w:pPr>
              <w:ind w:left="60"/>
              <w:spacing w:after="0"/>
              <w:rPr>
                <w:sz w:val="20"/>
                <w:szCs w:val="20"/>
                <w:color w:val="auto"/>
              </w:rPr>
            </w:pPr>
            <w:r>
              <w:rPr>
                <w:rFonts w:ascii="Arial" w:cs="Arial" w:eastAsia="Arial" w:hAnsi="Arial"/>
                <w:sz w:val="15"/>
                <w:szCs w:val="15"/>
                <w:color w:val="auto"/>
              </w:rPr>
              <w:t>Annual equity retainer</w:t>
            </w:r>
          </w:p>
        </w:tc>
        <w:tc>
          <w:tcPr>
            <w:tcW w:w="4260" w:type="dxa"/>
            <w:vAlign w:val="bottom"/>
            <w:tcBorders>
              <w:bottom w:val="single" w:sz="8" w:color="D2DEA7"/>
            </w:tcBorders>
            <w:shd w:val="clear" w:color="auto" w:fill="D2DEA7"/>
          </w:tcPr>
          <w:p>
            <w:pPr>
              <w:jc w:val="right"/>
              <w:ind w:right="27"/>
              <w:spacing w:after="0"/>
              <w:rPr>
                <w:sz w:val="20"/>
                <w:szCs w:val="20"/>
                <w:color w:val="auto"/>
              </w:rPr>
            </w:pPr>
            <w:r>
              <w:rPr>
                <w:rFonts w:ascii="Arial" w:cs="Arial" w:eastAsia="Arial" w:hAnsi="Arial"/>
                <w:sz w:val="15"/>
                <w:szCs w:val="15"/>
                <w:color w:val="auto"/>
              </w:rPr>
              <w:t>80,000</w:t>
            </w:r>
          </w:p>
        </w:tc>
      </w:tr>
      <w:tr>
        <w:trPr>
          <w:trHeight w:val="226"/>
        </w:trPr>
        <w:tc>
          <w:tcPr>
            <w:tcW w:w="6280" w:type="dxa"/>
            <w:vAlign w:val="bottom"/>
            <w:tcBorders>
              <w:bottom w:val="single" w:sz="8" w:color="E8EED3"/>
            </w:tcBorders>
            <w:shd w:val="clear" w:color="auto" w:fill="E8EED3"/>
          </w:tcPr>
          <w:p>
            <w:pPr>
              <w:ind w:left="60"/>
              <w:spacing w:after="0"/>
              <w:rPr>
                <w:sz w:val="20"/>
                <w:szCs w:val="20"/>
                <w:color w:val="auto"/>
              </w:rPr>
            </w:pPr>
            <w:r>
              <w:rPr>
                <w:rFonts w:ascii="Arial" w:cs="Arial" w:eastAsia="Arial" w:hAnsi="Arial"/>
                <w:sz w:val="15"/>
                <w:szCs w:val="15"/>
                <w:color w:val="auto"/>
              </w:rPr>
              <w:t>Annual Chair supplement</w:t>
            </w:r>
          </w:p>
        </w:tc>
        <w:tc>
          <w:tcPr>
            <w:tcW w:w="4260" w:type="dxa"/>
            <w:vAlign w:val="bottom"/>
            <w:tcBorders>
              <w:bottom w:val="single" w:sz="8" w:color="E8EED3"/>
            </w:tcBorders>
            <w:shd w:val="clear" w:color="auto" w:fill="E8EED3"/>
          </w:tcPr>
          <w:p>
            <w:pPr>
              <w:spacing w:after="0"/>
              <w:rPr>
                <w:sz w:val="19"/>
                <w:szCs w:val="19"/>
                <w:color w:val="auto"/>
              </w:rPr>
            </w:pPr>
          </w:p>
        </w:tc>
      </w:tr>
      <w:tr>
        <w:trPr>
          <w:trHeight w:val="226"/>
        </w:trPr>
        <w:tc>
          <w:tcPr>
            <w:tcW w:w="6280" w:type="dxa"/>
            <w:vAlign w:val="bottom"/>
            <w:tcBorders>
              <w:bottom w:val="single" w:sz="8" w:color="D2DEA7"/>
            </w:tcBorders>
            <w:shd w:val="clear" w:color="auto" w:fill="D2DEA7"/>
          </w:tcPr>
          <w:p>
            <w:pPr>
              <w:ind w:left="140"/>
              <w:spacing w:after="0"/>
              <w:rPr>
                <w:sz w:val="20"/>
                <w:szCs w:val="20"/>
                <w:color w:val="auto"/>
              </w:rPr>
            </w:pPr>
            <w:r>
              <w:rPr>
                <w:rFonts w:ascii="Arial" w:cs="Arial" w:eastAsia="Arial" w:hAnsi="Arial"/>
                <w:sz w:val="15"/>
                <w:szCs w:val="15"/>
                <w:color w:val="auto"/>
              </w:rPr>
              <w:t>Board Chairman</w:t>
            </w:r>
          </w:p>
        </w:tc>
        <w:tc>
          <w:tcPr>
            <w:tcW w:w="4260" w:type="dxa"/>
            <w:vAlign w:val="bottom"/>
            <w:tcBorders>
              <w:bottom w:val="single" w:sz="8" w:color="D2DEA7"/>
            </w:tcBorders>
            <w:shd w:val="clear" w:color="auto" w:fill="D2DEA7"/>
          </w:tcPr>
          <w:p>
            <w:pPr>
              <w:jc w:val="right"/>
              <w:ind w:right="27"/>
              <w:spacing w:after="0"/>
              <w:rPr>
                <w:sz w:val="20"/>
                <w:szCs w:val="20"/>
                <w:color w:val="auto"/>
              </w:rPr>
            </w:pPr>
            <w:r>
              <w:rPr>
                <w:rFonts w:ascii="Arial" w:cs="Arial" w:eastAsia="Arial" w:hAnsi="Arial"/>
                <w:sz w:val="15"/>
                <w:szCs w:val="15"/>
                <w:color w:val="auto"/>
              </w:rPr>
              <w:t>100,000</w:t>
            </w:r>
          </w:p>
        </w:tc>
      </w:tr>
      <w:tr>
        <w:trPr>
          <w:trHeight w:val="226"/>
        </w:trPr>
        <w:tc>
          <w:tcPr>
            <w:tcW w:w="6280" w:type="dxa"/>
            <w:vAlign w:val="bottom"/>
            <w:tcBorders>
              <w:bottom w:val="single" w:sz="8" w:color="E8EED3"/>
            </w:tcBorders>
            <w:shd w:val="clear" w:color="auto" w:fill="E8EED3"/>
          </w:tcPr>
          <w:p>
            <w:pPr>
              <w:ind w:left="140"/>
              <w:spacing w:after="0"/>
              <w:rPr>
                <w:sz w:val="20"/>
                <w:szCs w:val="20"/>
                <w:color w:val="auto"/>
              </w:rPr>
            </w:pPr>
            <w:r>
              <w:rPr>
                <w:rFonts w:ascii="Arial" w:cs="Arial" w:eastAsia="Arial" w:hAnsi="Arial"/>
                <w:sz w:val="15"/>
                <w:szCs w:val="15"/>
                <w:color w:val="auto"/>
              </w:rPr>
              <w:t>Audit Committee</w:t>
            </w:r>
          </w:p>
        </w:tc>
        <w:tc>
          <w:tcPr>
            <w:tcW w:w="4260" w:type="dxa"/>
            <w:vAlign w:val="bottom"/>
            <w:tcBorders>
              <w:bottom w:val="single" w:sz="8" w:color="E8EED3"/>
            </w:tcBorders>
            <w:shd w:val="clear" w:color="auto" w:fill="E8EED3"/>
          </w:tcPr>
          <w:p>
            <w:pPr>
              <w:jc w:val="right"/>
              <w:ind w:right="27"/>
              <w:spacing w:after="0"/>
              <w:rPr>
                <w:sz w:val="20"/>
                <w:szCs w:val="20"/>
                <w:color w:val="auto"/>
              </w:rPr>
            </w:pPr>
            <w:r>
              <w:rPr>
                <w:rFonts w:ascii="Arial" w:cs="Arial" w:eastAsia="Arial" w:hAnsi="Arial"/>
                <w:sz w:val="15"/>
                <w:szCs w:val="15"/>
                <w:color w:val="auto"/>
              </w:rPr>
              <w:t>30,000</w:t>
            </w:r>
          </w:p>
        </w:tc>
      </w:tr>
      <w:tr>
        <w:trPr>
          <w:trHeight w:val="226"/>
        </w:trPr>
        <w:tc>
          <w:tcPr>
            <w:tcW w:w="6280" w:type="dxa"/>
            <w:vAlign w:val="bottom"/>
            <w:tcBorders>
              <w:bottom w:val="single" w:sz="8" w:color="D2DEA7"/>
            </w:tcBorders>
            <w:shd w:val="clear" w:color="auto" w:fill="D2DEA7"/>
          </w:tcPr>
          <w:p>
            <w:pPr>
              <w:ind w:left="140"/>
              <w:spacing w:after="0"/>
              <w:rPr>
                <w:sz w:val="20"/>
                <w:szCs w:val="20"/>
                <w:color w:val="auto"/>
              </w:rPr>
            </w:pPr>
            <w:r>
              <w:rPr>
                <w:rFonts w:ascii="Arial" w:cs="Arial" w:eastAsia="Arial" w:hAnsi="Arial"/>
                <w:sz w:val="15"/>
                <w:szCs w:val="15"/>
                <w:color w:val="auto"/>
              </w:rPr>
              <w:t>Compensation Committee</w:t>
            </w:r>
          </w:p>
        </w:tc>
        <w:tc>
          <w:tcPr>
            <w:tcW w:w="4260" w:type="dxa"/>
            <w:vAlign w:val="bottom"/>
            <w:tcBorders>
              <w:bottom w:val="single" w:sz="8" w:color="D2DEA7"/>
            </w:tcBorders>
            <w:shd w:val="clear" w:color="auto" w:fill="D2DEA7"/>
          </w:tcPr>
          <w:p>
            <w:pPr>
              <w:jc w:val="right"/>
              <w:ind w:right="27"/>
              <w:spacing w:after="0"/>
              <w:rPr>
                <w:sz w:val="20"/>
                <w:szCs w:val="20"/>
                <w:color w:val="auto"/>
              </w:rPr>
            </w:pPr>
            <w:r>
              <w:rPr>
                <w:rFonts w:ascii="Arial" w:cs="Arial" w:eastAsia="Arial" w:hAnsi="Arial"/>
                <w:sz w:val="15"/>
                <w:szCs w:val="15"/>
                <w:color w:val="auto"/>
              </w:rPr>
              <w:t>15,000</w:t>
            </w:r>
          </w:p>
        </w:tc>
      </w:tr>
      <w:tr>
        <w:trPr>
          <w:trHeight w:val="226"/>
        </w:trPr>
        <w:tc>
          <w:tcPr>
            <w:tcW w:w="6280" w:type="dxa"/>
            <w:vAlign w:val="bottom"/>
            <w:tcBorders>
              <w:bottom w:val="single" w:sz="8" w:color="E8EED3"/>
            </w:tcBorders>
            <w:shd w:val="clear" w:color="auto" w:fill="E8EED3"/>
          </w:tcPr>
          <w:p>
            <w:pPr>
              <w:ind w:left="140"/>
              <w:spacing w:after="0"/>
              <w:rPr>
                <w:sz w:val="20"/>
                <w:szCs w:val="20"/>
                <w:color w:val="auto"/>
              </w:rPr>
            </w:pPr>
            <w:r>
              <w:rPr>
                <w:rFonts w:ascii="Arial" w:cs="Arial" w:eastAsia="Arial" w:hAnsi="Arial"/>
                <w:sz w:val="15"/>
                <w:szCs w:val="15"/>
                <w:color w:val="auto"/>
              </w:rPr>
              <w:t>Nomination and Corporate Governance Committee</w:t>
            </w:r>
          </w:p>
        </w:tc>
        <w:tc>
          <w:tcPr>
            <w:tcW w:w="4260" w:type="dxa"/>
            <w:vAlign w:val="bottom"/>
            <w:tcBorders>
              <w:bottom w:val="single" w:sz="8" w:color="E8EED3"/>
            </w:tcBorders>
            <w:shd w:val="clear" w:color="auto" w:fill="E8EED3"/>
          </w:tcPr>
          <w:p>
            <w:pPr>
              <w:jc w:val="right"/>
              <w:ind w:right="27"/>
              <w:spacing w:after="0"/>
              <w:rPr>
                <w:sz w:val="20"/>
                <w:szCs w:val="20"/>
                <w:color w:val="auto"/>
              </w:rPr>
            </w:pPr>
            <w:r>
              <w:rPr>
                <w:rFonts w:ascii="Arial" w:cs="Arial" w:eastAsia="Arial" w:hAnsi="Arial"/>
                <w:sz w:val="15"/>
                <w:szCs w:val="15"/>
                <w:color w:val="auto"/>
              </w:rPr>
              <w:t>15,000</w:t>
            </w:r>
          </w:p>
        </w:tc>
      </w:tr>
      <w:tr>
        <w:trPr>
          <w:trHeight w:val="226"/>
        </w:trPr>
        <w:tc>
          <w:tcPr>
            <w:tcW w:w="6280" w:type="dxa"/>
            <w:vAlign w:val="bottom"/>
            <w:tcBorders>
              <w:bottom w:val="single" w:sz="8" w:color="D2DEA7"/>
            </w:tcBorders>
            <w:shd w:val="clear" w:color="auto" w:fill="D2DEA7"/>
          </w:tcPr>
          <w:p>
            <w:pPr>
              <w:ind w:left="60"/>
              <w:spacing w:after="0"/>
              <w:rPr>
                <w:sz w:val="20"/>
                <w:szCs w:val="20"/>
                <w:color w:val="auto"/>
              </w:rPr>
            </w:pPr>
            <w:r>
              <w:rPr>
                <w:rFonts w:ascii="Arial" w:cs="Arial" w:eastAsia="Arial" w:hAnsi="Arial"/>
                <w:sz w:val="15"/>
                <w:szCs w:val="15"/>
                <w:color w:val="auto"/>
              </w:rPr>
              <w:t>Annual Committee member supplement</w:t>
            </w:r>
          </w:p>
        </w:tc>
        <w:tc>
          <w:tcPr>
            <w:tcW w:w="4260" w:type="dxa"/>
            <w:vAlign w:val="bottom"/>
            <w:tcBorders>
              <w:bottom w:val="single" w:sz="8" w:color="D2DEA7"/>
            </w:tcBorders>
            <w:shd w:val="clear" w:color="auto" w:fill="D2DEA7"/>
          </w:tcPr>
          <w:p>
            <w:pPr>
              <w:spacing w:after="0"/>
              <w:rPr>
                <w:sz w:val="19"/>
                <w:szCs w:val="19"/>
                <w:color w:val="auto"/>
              </w:rPr>
            </w:pPr>
          </w:p>
        </w:tc>
      </w:tr>
      <w:tr>
        <w:trPr>
          <w:trHeight w:val="214"/>
        </w:trPr>
        <w:tc>
          <w:tcPr>
            <w:tcW w:w="6280" w:type="dxa"/>
            <w:vAlign w:val="bottom"/>
            <w:shd w:val="clear" w:color="auto" w:fill="E8EED3"/>
          </w:tcPr>
          <w:p>
            <w:pPr>
              <w:ind w:left="140"/>
              <w:spacing w:after="0"/>
              <w:rPr>
                <w:sz w:val="20"/>
                <w:szCs w:val="20"/>
                <w:color w:val="auto"/>
              </w:rPr>
            </w:pPr>
            <w:r>
              <w:rPr>
                <w:rFonts w:ascii="Arial" w:cs="Arial" w:eastAsia="Arial" w:hAnsi="Arial"/>
                <w:sz w:val="15"/>
                <w:szCs w:val="15"/>
                <w:color w:val="auto"/>
              </w:rPr>
              <w:t>Audit Committee member</w:t>
            </w:r>
          </w:p>
        </w:tc>
        <w:tc>
          <w:tcPr>
            <w:tcW w:w="4260" w:type="dxa"/>
            <w:vAlign w:val="bottom"/>
            <w:shd w:val="clear" w:color="auto" w:fill="E8EED3"/>
          </w:tcPr>
          <w:p>
            <w:pPr>
              <w:jc w:val="right"/>
              <w:ind w:right="27"/>
              <w:spacing w:after="0"/>
              <w:rPr>
                <w:sz w:val="20"/>
                <w:szCs w:val="20"/>
                <w:color w:val="auto"/>
              </w:rPr>
            </w:pPr>
            <w:r>
              <w:rPr>
                <w:rFonts w:ascii="Arial" w:cs="Arial" w:eastAsia="Arial" w:hAnsi="Arial"/>
                <w:sz w:val="15"/>
                <w:szCs w:val="15"/>
                <w:color w:val="auto"/>
              </w:rPr>
              <w:t>5,000</w:t>
            </w:r>
          </w:p>
        </w:tc>
      </w:tr>
      <w:tr>
        <w:trPr>
          <w:trHeight w:val="32"/>
        </w:trPr>
        <w:tc>
          <w:tcPr>
            <w:tcW w:w="6280" w:type="dxa"/>
            <w:vAlign w:val="bottom"/>
            <w:shd w:val="clear" w:color="auto" w:fill="E8EED3"/>
          </w:tcPr>
          <w:p>
            <w:pPr>
              <w:spacing w:after="0"/>
              <w:rPr>
                <w:sz w:val="2"/>
                <w:szCs w:val="2"/>
                <w:color w:val="auto"/>
              </w:rPr>
            </w:pPr>
          </w:p>
        </w:tc>
        <w:tc>
          <w:tcPr>
            <w:tcW w:w="4260" w:type="dxa"/>
            <w:vAlign w:val="bottom"/>
            <w:shd w:val="clear" w:color="auto" w:fill="E8EED3"/>
          </w:tcPr>
          <w:p>
            <w:pPr>
              <w:spacing w:after="0"/>
              <w:rPr>
                <w:sz w:val="2"/>
                <w:szCs w:val="2"/>
                <w:color w:val="auto"/>
              </w:rPr>
            </w:pPr>
          </w:p>
        </w:tc>
      </w:tr>
    </w:tbl>
    <w:p>
      <w:pPr>
        <w:spacing w:after="0" w:line="195" w:lineRule="exact"/>
        <w:rPr>
          <w:sz w:val="20"/>
          <w:szCs w:val="20"/>
          <w:color w:val="auto"/>
        </w:rPr>
      </w:pPr>
    </w:p>
    <w:p>
      <w:pPr>
        <w:ind w:left="340" w:right="160"/>
        <w:spacing w:after="0" w:line="262" w:lineRule="auto"/>
        <w:rPr>
          <w:sz w:val="20"/>
          <w:szCs w:val="20"/>
          <w:color w:val="auto"/>
        </w:rPr>
      </w:pPr>
      <w:r>
        <w:rPr>
          <w:rFonts w:ascii="Arial" w:cs="Arial" w:eastAsia="Arial" w:hAnsi="Arial"/>
          <w:sz w:val="16"/>
          <w:szCs w:val="16"/>
          <w:color w:val="auto"/>
        </w:rPr>
        <w:t>These amounts reflect the following increases from amounts in effect for 2020 director service: a $5,000 increase in the annual cash retainer; a $10,000 increase in the annual equity retainer; a new Board Chairman fee for 2021; and a new Audit Committee member fee.</w:t>
      </w:r>
    </w:p>
    <w:p>
      <w:pPr>
        <w:spacing w:after="0" w:line="167" w:lineRule="exact"/>
        <w:rPr>
          <w:sz w:val="20"/>
          <w:szCs w:val="20"/>
          <w:color w:val="auto"/>
        </w:rPr>
      </w:pPr>
    </w:p>
    <w:p>
      <w:pPr>
        <w:ind w:left="340" w:right="80"/>
        <w:spacing w:after="0" w:line="282" w:lineRule="auto"/>
        <w:rPr>
          <w:sz w:val="20"/>
          <w:szCs w:val="20"/>
          <w:color w:val="auto"/>
        </w:rPr>
      </w:pPr>
      <w:r>
        <w:rPr>
          <w:rFonts w:ascii="Arial" w:cs="Arial" w:eastAsia="Arial" w:hAnsi="Arial"/>
          <w:sz w:val="14"/>
          <w:szCs w:val="14"/>
          <w:color w:val="auto"/>
        </w:rPr>
        <w:t>Our Compensation Committee has determined that granting restricted stock units (“RSUs”) in lieu of cash meeting payments simplifies the directors’ compensation while promoting the ownership of our common stock. Accordingly, in May 2021 we granted to each then-serving non-management director RSUs covering 10,625 shares of our common stock. In November 2021, with his appointment to our Board, we granted Mr. Wallman RSUs covering 5,881 shares of our common stock. The RSUs generally vest on the one-year anniversary of the grant and are settled in shares of Company common stock. We also reimburse or pay our Board members their reasonable travel and out-of-pocket expenses to attend meetings. Our non-management directors are eligible to participate in the Company’s U.S. health plan with 100% of the premium payable by the enrolled director.</w:t>
      </w:r>
    </w:p>
    <w:p>
      <w:pPr>
        <w:spacing w:after="0" w:line="159" w:lineRule="exact"/>
        <w:rPr>
          <w:sz w:val="20"/>
          <w:szCs w:val="20"/>
          <w:color w:val="auto"/>
        </w:rPr>
      </w:pPr>
    </w:p>
    <w:p>
      <w:pPr>
        <w:ind w:left="340" w:right="140"/>
        <w:spacing w:after="0" w:line="262" w:lineRule="auto"/>
        <w:rPr>
          <w:sz w:val="20"/>
          <w:szCs w:val="20"/>
          <w:color w:val="auto"/>
        </w:rPr>
      </w:pPr>
      <w:r>
        <w:rPr>
          <w:rFonts w:ascii="Arial" w:cs="Arial" w:eastAsia="Arial" w:hAnsi="Arial"/>
          <w:sz w:val="16"/>
          <w:szCs w:val="16"/>
          <w:color w:val="auto"/>
        </w:rPr>
        <w:t>The following table reflects the 2021 compensation paid to each of our non-management directors. Directors that are employees of the Company do not receive additional compensation for service on the Board or as members of any of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5998210</wp:posOffset>
            </wp:positionH>
            <wp:positionV relativeFrom="paragraph">
              <wp:posOffset>130810</wp:posOffset>
            </wp:positionV>
            <wp:extent cx="8255" cy="1577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1577340"/>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130810</wp:posOffset>
            </wp:positionV>
            <wp:extent cx="8255" cy="1577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157734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130810</wp:posOffset>
            </wp:positionV>
            <wp:extent cx="8255" cy="1577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1577340"/>
                    </a:xfrm>
                    <a:prstGeom prst="rect">
                      <a:avLst/>
                    </a:prstGeom>
                    <a:noFill/>
                  </pic:spPr>
                </pic:pic>
              </a:graphicData>
            </a:graphic>
          </wp:anchor>
        </w:drawing>
        <w:drawing>
          <wp:anchor simplePos="0" relativeHeight="251657728" behindDoc="1" locked="0" layoutInCell="0" allowOverlap="1">
            <wp:simplePos x="0" y="0"/>
            <wp:positionH relativeFrom="column">
              <wp:posOffset>2803525</wp:posOffset>
            </wp:positionH>
            <wp:positionV relativeFrom="paragraph">
              <wp:posOffset>130810</wp:posOffset>
            </wp:positionV>
            <wp:extent cx="8255" cy="15773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1577340"/>
                    </a:xfrm>
                    <a:prstGeom prst="rect">
                      <a:avLst/>
                    </a:prstGeom>
                    <a:noFill/>
                  </pic:spPr>
                </pic:pic>
              </a:graphicData>
            </a:graphic>
          </wp:anchor>
        </w:drawing>
      </w:r>
    </w:p>
    <w:p>
      <w:pPr>
        <w:spacing w:after="0" w:line="168"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2960" w:type="dxa"/>
            <w:vAlign w:val="bottom"/>
            <w:shd w:val="clear" w:color="auto" w:fill="41659C"/>
          </w:tcPr>
          <w:p>
            <w:pPr>
              <w:spacing w:after="0"/>
              <w:rPr>
                <w:sz w:val="15"/>
                <w:szCs w:val="15"/>
                <w:color w:val="auto"/>
              </w:rPr>
            </w:pPr>
          </w:p>
        </w:tc>
        <w:tc>
          <w:tcPr>
            <w:tcW w:w="2960" w:type="dxa"/>
            <w:vAlign w:val="bottom"/>
            <w:shd w:val="clear" w:color="auto" w:fill="41659C"/>
          </w:tcPr>
          <w:p>
            <w:pPr>
              <w:jc w:val="center"/>
              <w:ind w:left="987"/>
              <w:spacing w:after="0"/>
              <w:rPr>
                <w:sz w:val="20"/>
                <w:szCs w:val="20"/>
                <w:color w:val="auto"/>
              </w:rPr>
            </w:pPr>
            <w:r>
              <w:rPr>
                <w:rFonts w:ascii="Arial" w:cs="Arial" w:eastAsia="Arial" w:hAnsi="Arial"/>
                <w:sz w:val="15"/>
                <w:szCs w:val="15"/>
                <w:b w:val="1"/>
                <w:bCs w:val="1"/>
                <w:color w:val="FFFFFF"/>
                <w:w w:val="97"/>
              </w:rPr>
              <w:t>Fees Earned or</w:t>
            </w:r>
          </w:p>
        </w:tc>
        <w:tc>
          <w:tcPr>
            <w:tcW w:w="1400" w:type="dxa"/>
            <w:vAlign w:val="bottom"/>
            <w:shd w:val="clear" w:color="auto" w:fill="41659C"/>
          </w:tcPr>
          <w:p>
            <w:pPr>
              <w:jc w:val="center"/>
              <w:spacing w:after="0"/>
              <w:rPr>
                <w:sz w:val="20"/>
                <w:szCs w:val="20"/>
                <w:color w:val="auto"/>
              </w:rPr>
            </w:pPr>
            <w:r>
              <w:rPr>
                <w:rFonts w:ascii="Arial" w:cs="Arial" w:eastAsia="Arial" w:hAnsi="Arial"/>
                <w:sz w:val="15"/>
                <w:szCs w:val="15"/>
                <w:b w:val="1"/>
                <w:bCs w:val="1"/>
                <w:color w:val="FFFFFF"/>
                <w:w w:val="97"/>
              </w:rPr>
              <w:t>Stock</w:t>
            </w:r>
          </w:p>
        </w:tc>
        <w:tc>
          <w:tcPr>
            <w:tcW w:w="2000" w:type="dxa"/>
            <w:vAlign w:val="bottom"/>
            <w:shd w:val="clear" w:color="auto" w:fill="41659C"/>
          </w:tcPr>
          <w:p>
            <w:pPr>
              <w:jc w:val="center"/>
              <w:ind w:right="127"/>
              <w:spacing w:after="0"/>
              <w:rPr>
                <w:sz w:val="20"/>
                <w:szCs w:val="20"/>
                <w:color w:val="auto"/>
              </w:rPr>
            </w:pPr>
            <w:r>
              <w:rPr>
                <w:rFonts w:ascii="Arial" w:cs="Arial" w:eastAsia="Arial" w:hAnsi="Arial"/>
                <w:sz w:val="15"/>
                <w:szCs w:val="15"/>
                <w:b w:val="1"/>
                <w:bCs w:val="1"/>
                <w:color w:val="FFFFFF"/>
                <w:w w:val="94"/>
              </w:rPr>
              <w:t>All Other</w:t>
            </w:r>
          </w:p>
        </w:tc>
        <w:tc>
          <w:tcPr>
            <w:tcW w:w="1220" w:type="dxa"/>
            <w:vAlign w:val="bottom"/>
            <w:vMerge w:val="restart"/>
            <w:shd w:val="clear" w:color="auto" w:fill="41659C"/>
          </w:tcPr>
          <w:p>
            <w:pPr>
              <w:jc w:val="right"/>
              <w:ind w:right="127"/>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55"/>
        </w:trPr>
        <w:tc>
          <w:tcPr>
            <w:tcW w:w="2960" w:type="dxa"/>
            <w:vAlign w:val="bottom"/>
            <w:vMerge w:val="restart"/>
            <w:shd w:val="clear" w:color="auto" w:fill="41659C"/>
          </w:tcPr>
          <w:p>
            <w:pPr>
              <w:ind w:left="60"/>
              <w:spacing w:after="0"/>
              <w:rPr>
                <w:sz w:val="20"/>
                <w:szCs w:val="20"/>
                <w:color w:val="auto"/>
              </w:rPr>
            </w:pPr>
            <w:r>
              <w:rPr>
                <w:rFonts w:ascii="Arial" w:cs="Arial" w:eastAsia="Arial" w:hAnsi="Arial"/>
                <w:sz w:val="15"/>
                <w:szCs w:val="15"/>
                <w:b w:val="1"/>
                <w:bCs w:val="1"/>
                <w:color w:val="FFFFFF"/>
              </w:rPr>
              <w:t>Name</w:t>
            </w:r>
          </w:p>
        </w:tc>
        <w:tc>
          <w:tcPr>
            <w:tcW w:w="2960" w:type="dxa"/>
            <w:vAlign w:val="bottom"/>
            <w:shd w:val="clear" w:color="auto" w:fill="41659C"/>
          </w:tcPr>
          <w:p>
            <w:pPr>
              <w:jc w:val="center"/>
              <w:ind w:left="1007"/>
              <w:spacing w:after="0" w:line="155" w:lineRule="exact"/>
              <w:rPr>
                <w:sz w:val="20"/>
                <w:szCs w:val="20"/>
                <w:color w:val="auto"/>
              </w:rPr>
            </w:pPr>
            <w:r>
              <w:rPr>
                <w:rFonts w:ascii="Arial" w:cs="Arial" w:eastAsia="Arial" w:hAnsi="Arial"/>
                <w:sz w:val="15"/>
                <w:szCs w:val="15"/>
                <w:b w:val="1"/>
                <w:bCs w:val="1"/>
                <w:color w:val="FFFFFF"/>
                <w:w w:val="97"/>
              </w:rPr>
              <w:t>Paid in Cash</w:t>
            </w:r>
          </w:p>
        </w:tc>
        <w:tc>
          <w:tcPr>
            <w:tcW w:w="1400" w:type="dxa"/>
            <w:vAlign w:val="bottom"/>
            <w:shd w:val="clear" w:color="auto" w:fill="41659C"/>
          </w:tcPr>
          <w:p>
            <w:pPr>
              <w:jc w:val="center"/>
              <w:spacing w:after="0" w:line="155" w:lineRule="exact"/>
              <w:rPr>
                <w:sz w:val="20"/>
                <w:szCs w:val="20"/>
                <w:color w:val="auto"/>
              </w:rPr>
            </w:pPr>
            <w:r>
              <w:rPr>
                <w:rFonts w:ascii="Arial" w:cs="Arial" w:eastAsia="Arial" w:hAnsi="Arial"/>
                <w:sz w:val="15"/>
                <w:szCs w:val="15"/>
                <w:b w:val="1"/>
                <w:bCs w:val="1"/>
                <w:color w:val="FFFFFF"/>
                <w:w w:val="95"/>
              </w:rPr>
              <w:t>Awards</w:t>
            </w:r>
            <w:r>
              <w:rPr>
                <w:rFonts w:ascii="Arial" w:cs="Arial" w:eastAsia="Arial" w:hAnsi="Arial"/>
                <w:sz w:val="12"/>
                <w:szCs w:val="12"/>
                <w:b w:val="1"/>
                <w:bCs w:val="1"/>
                <w:color w:val="FFFFFF"/>
                <w:w w:val="95"/>
              </w:rPr>
              <w:t>1</w:t>
            </w:r>
          </w:p>
        </w:tc>
        <w:tc>
          <w:tcPr>
            <w:tcW w:w="2000" w:type="dxa"/>
            <w:vAlign w:val="bottom"/>
            <w:shd w:val="clear" w:color="auto" w:fill="41659C"/>
          </w:tcPr>
          <w:p>
            <w:pPr>
              <w:jc w:val="center"/>
              <w:ind w:right="127"/>
              <w:spacing w:after="0" w:line="155" w:lineRule="exact"/>
              <w:rPr>
                <w:sz w:val="20"/>
                <w:szCs w:val="20"/>
                <w:color w:val="auto"/>
              </w:rPr>
            </w:pPr>
            <w:r>
              <w:rPr>
                <w:rFonts w:ascii="Arial" w:cs="Arial" w:eastAsia="Arial" w:hAnsi="Arial"/>
                <w:sz w:val="15"/>
                <w:szCs w:val="15"/>
                <w:b w:val="1"/>
                <w:bCs w:val="1"/>
                <w:color w:val="FFFFFF"/>
                <w:w w:val="95"/>
              </w:rPr>
              <w:t>Compensation</w:t>
            </w:r>
          </w:p>
        </w:tc>
        <w:tc>
          <w:tcPr>
            <w:tcW w:w="1220" w:type="dxa"/>
            <w:vAlign w:val="bottom"/>
            <w:vMerge w:val="continue"/>
            <w:shd w:val="clear" w:color="auto" w:fill="41659C"/>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960" w:type="dxa"/>
            <w:vAlign w:val="bottom"/>
            <w:vMerge w:val="continue"/>
            <w:shd w:val="clear" w:color="auto" w:fill="41659C"/>
          </w:tcPr>
          <w:p>
            <w:pPr>
              <w:spacing w:after="0"/>
              <w:rPr>
                <w:sz w:val="17"/>
                <w:szCs w:val="17"/>
                <w:color w:val="auto"/>
              </w:rPr>
            </w:pPr>
          </w:p>
        </w:tc>
        <w:tc>
          <w:tcPr>
            <w:tcW w:w="2960" w:type="dxa"/>
            <w:vAlign w:val="bottom"/>
            <w:shd w:val="clear" w:color="auto" w:fill="41659C"/>
          </w:tcPr>
          <w:p>
            <w:pPr>
              <w:jc w:val="center"/>
              <w:ind w:left="987"/>
              <w:spacing w:after="0"/>
              <w:rPr>
                <w:sz w:val="20"/>
                <w:szCs w:val="20"/>
                <w:color w:val="auto"/>
              </w:rPr>
            </w:pPr>
            <w:r>
              <w:rPr>
                <w:rFonts w:ascii="Arial" w:cs="Arial" w:eastAsia="Arial" w:hAnsi="Arial"/>
                <w:sz w:val="15"/>
                <w:szCs w:val="15"/>
                <w:b w:val="1"/>
                <w:bCs w:val="1"/>
                <w:color w:val="FFFFFF"/>
                <w:w w:val="97"/>
              </w:rPr>
              <w:t>($)</w:t>
            </w:r>
          </w:p>
        </w:tc>
        <w:tc>
          <w:tcPr>
            <w:tcW w:w="1400" w:type="dxa"/>
            <w:vAlign w:val="bottom"/>
            <w:shd w:val="clear" w:color="auto" w:fill="41659C"/>
          </w:tcPr>
          <w:p>
            <w:pPr>
              <w:jc w:val="center"/>
              <w:spacing w:after="0"/>
              <w:rPr>
                <w:sz w:val="20"/>
                <w:szCs w:val="20"/>
                <w:color w:val="auto"/>
              </w:rPr>
            </w:pPr>
            <w:r>
              <w:rPr>
                <w:rFonts w:ascii="Arial" w:cs="Arial" w:eastAsia="Arial" w:hAnsi="Arial"/>
                <w:sz w:val="15"/>
                <w:szCs w:val="15"/>
                <w:b w:val="1"/>
                <w:bCs w:val="1"/>
                <w:color w:val="FFFFFF"/>
                <w:w w:val="97"/>
              </w:rPr>
              <w:t>($)</w:t>
            </w:r>
          </w:p>
        </w:tc>
        <w:tc>
          <w:tcPr>
            <w:tcW w:w="2000" w:type="dxa"/>
            <w:vAlign w:val="bottom"/>
            <w:shd w:val="clear" w:color="auto" w:fill="41659C"/>
          </w:tcPr>
          <w:p>
            <w:pPr>
              <w:jc w:val="center"/>
              <w:ind w:right="127"/>
              <w:spacing w:after="0"/>
              <w:rPr>
                <w:sz w:val="20"/>
                <w:szCs w:val="20"/>
                <w:color w:val="auto"/>
              </w:rPr>
            </w:pPr>
            <w:r>
              <w:rPr>
                <w:rFonts w:ascii="Arial" w:cs="Arial" w:eastAsia="Arial" w:hAnsi="Arial"/>
                <w:sz w:val="15"/>
                <w:szCs w:val="15"/>
                <w:b w:val="1"/>
                <w:bCs w:val="1"/>
                <w:color w:val="FFFFFF"/>
                <w:w w:val="87"/>
              </w:rPr>
              <w:t>($)</w:t>
            </w:r>
          </w:p>
        </w:tc>
        <w:tc>
          <w:tcPr>
            <w:tcW w:w="1220" w:type="dxa"/>
            <w:vAlign w:val="bottom"/>
            <w:shd w:val="clear" w:color="auto" w:fill="41659C"/>
          </w:tcPr>
          <w:p>
            <w:pPr>
              <w:jc w:val="right"/>
              <w:ind w:right="207"/>
              <w:spacing w:after="0"/>
              <w:rPr>
                <w:sz w:val="20"/>
                <w:szCs w:val="20"/>
                <w:color w:val="auto"/>
              </w:rPr>
            </w:pPr>
            <w:r>
              <w:rPr>
                <w:rFonts w:ascii="Arial" w:cs="Arial" w:eastAsia="Arial" w:hAnsi="Arial"/>
                <w:sz w:val="15"/>
                <w:szCs w:val="15"/>
                <w:b w:val="1"/>
                <w:bCs w:val="1"/>
                <w:color w:val="FFFFFF"/>
              </w:rPr>
              <w:t>($)</w:t>
            </w:r>
          </w:p>
        </w:tc>
        <w:tc>
          <w:tcPr>
            <w:tcW w:w="0" w:type="dxa"/>
            <w:vAlign w:val="bottom"/>
          </w:tcPr>
          <w:p>
            <w:pPr>
              <w:spacing w:after="0"/>
              <w:rPr>
                <w:sz w:val="1"/>
                <w:szCs w:val="1"/>
                <w:color w:val="auto"/>
              </w:rPr>
            </w:pPr>
          </w:p>
        </w:tc>
      </w:tr>
      <w:tr>
        <w:trPr>
          <w:trHeight w:val="226"/>
        </w:trPr>
        <w:tc>
          <w:tcPr>
            <w:tcW w:w="2960" w:type="dxa"/>
            <w:vAlign w:val="bottom"/>
            <w:tcBorders>
              <w:bottom w:val="single" w:sz="8" w:color="E8EED3"/>
            </w:tcBorders>
            <w:shd w:val="clear" w:color="auto" w:fill="E8EED3"/>
          </w:tcPr>
          <w:p>
            <w:pPr>
              <w:ind w:left="60"/>
              <w:spacing w:after="0"/>
              <w:rPr>
                <w:sz w:val="20"/>
                <w:szCs w:val="20"/>
                <w:color w:val="auto"/>
              </w:rPr>
            </w:pPr>
            <w:r>
              <w:rPr>
                <w:rFonts w:ascii="Arial" w:cs="Arial" w:eastAsia="Arial" w:hAnsi="Arial"/>
                <w:sz w:val="15"/>
                <w:szCs w:val="15"/>
                <w:color w:val="auto"/>
              </w:rPr>
              <w:t>Jason DeZwirek</w:t>
            </w:r>
          </w:p>
        </w:tc>
        <w:tc>
          <w:tcPr>
            <w:tcW w:w="2960" w:type="dxa"/>
            <w:vAlign w:val="bottom"/>
            <w:tcBorders>
              <w:bottom w:val="single" w:sz="8" w:color="E8EED3"/>
            </w:tcBorders>
            <w:shd w:val="clear" w:color="auto" w:fill="E8EED3"/>
          </w:tcPr>
          <w:p>
            <w:pPr>
              <w:jc w:val="right"/>
              <w:ind w:right="347"/>
              <w:spacing w:after="0"/>
              <w:rPr>
                <w:sz w:val="20"/>
                <w:szCs w:val="20"/>
                <w:color w:val="auto"/>
              </w:rPr>
            </w:pPr>
            <w:r>
              <w:rPr>
                <w:rFonts w:ascii="Arial" w:cs="Arial" w:eastAsia="Arial" w:hAnsi="Arial"/>
                <w:sz w:val="15"/>
                <w:szCs w:val="15"/>
                <w:color w:val="auto"/>
              </w:rPr>
              <w:t>$ 112,500</w:t>
            </w:r>
          </w:p>
        </w:tc>
        <w:tc>
          <w:tcPr>
            <w:tcW w:w="1400" w:type="dxa"/>
            <w:vAlign w:val="bottom"/>
            <w:tcBorders>
              <w:bottom w:val="single" w:sz="8" w:color="E8EED3"/>
            </w:tcBorders>
            <w:shd w:val="clear" w:color="auto" w:fill="E8EED3"/>
          </w:tcPr>
          <w:p>
            <w:pPr>
              <w:jc w:val="right"/>
              <w:ind w:right="347"/>
              <w:spacing w:after="0"/>
              <w:rPr>
                <w:sz w:val="20"/>
                <w:szCs w:val="20"/>
                <w:color w:val="auto"/>
              </w:rPr>
            </w:pPr>
            <w:r>
              <w:rPr>
                <w:rFonts w:ascii="Arial" w:cs="Arial" w:eastAsia="Arial" w:hAnsi="Arial"/>
                <w:sz w:val="15"/>
                <w:szCs w:val="15"/>
                <w:color w:val="auto"/>
              </w:rPr>
              <w:t>80,006</w:t>
            </w:r>
          </w:p>
        </w:tc>
        <w:tc>
          <w:tcPr>
            <w:tcW w:w="2000" w:type="dxa"/>
            <w:vAlign w:val="bottom"/>
            <w:tcBorders>
              <w:bottom w:val="single" w:sz="8" w:color="E8EED3"/>
            </w:tcBorders>
            <w:shd w:val="clear" w:color="auto" w:fill="E8EED3"/>
          </w:tcPr>
          <w:p>
            <w:pPr>
              <w:ind w:left="1140"/>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E8EED3"/>
            </w:tcBorders>
            <w:shd w:val="clear" w:color="auto" w:fill="E8EED3"/>
          </w:tcPr>
          <w:p>
            <w:pPr>
              <w:jc w:val="right"/>
              <w:ind w:right="27"/>
              <w:spacing w:after="0"/>
              <w:rPr>
                <w:sz w:val="20"/>
                <w:szCs w:val="20"/>
                <w:color w:val="auto"/>
              </w:rPr>
            </w:pPr>
            <w:r>
              <w:rPr>
                <w:rFonts w:ascii="Arial" w:cs="Arial" w:eastAsia="Arial" w:hAnsi="Arial"/>
                <w:sz w:val="15"/>
                <w:szCs w:val="15"/>
                <w:color w:val="auto"/>
              </w:rPr>
              <w:t>192,506</w:t>
            </w:r>
          </w:p>
        </w:tc>
        <w:tc>
          <w:tcPr>
            <w:tcW w:w="0" w:type="dxa"/>
            <w:vAlign w:val="bottom"/>
          </w:tcPr>
          <w:p>
            <w:pPr>
              <w:spacing w:after="0"/>
              <w:rPr>
                <w:sz w:val="1"/>
                <w:szCs w:val="1"/>
                <w:color w:val="auto"/>
              </w:rPr>
            </w:pPr>
          </w:p>
        </w:tc>
      </w:tr>
      <w:tr>
        <w:trPr>
          <w:trHeight w:val="226"/>
        </w:trPr>
        <w:tc>
          <w:tcPr>
            <w:tcW w:w="2960" w:type="dxa"/>
            <w:vAlign w:val="bottom"/>
            <w:tcBorders>
              <w:bottom w:val="single" w:sz="8" w:color="D2DEA7"/>
            </w:tcBorders>
            <w:shd w:val="clear" w:color="auto" w:fill="D2DEA7"/>
          </w:tcPr>
          <w:p>
            <w:pPr>
              <w:ind w:left="60"/>
              <w:spacing w:after="0"/>
              <w:rPr>
                <w:sz w:val="20"/>
                <w:szCs w:val="20"/>
                <w:color w:val="auto"/>
              </w:rPr>
            </w:pPr>
            <w:r>
              <w:rPr>
                <w:rFonts w:ascii="Arial" w:cs="Arial" w:eastAsia="Arial" w:hAnsi="Arial"/>
                <w:sz w:val="15"/>
                <w:szCs w:val="15"/>
                <w:color w:val="auto"/>
              </w:rPr>
              <w:t>Eric M. Goldberg</w:t>
            </w:r>
          </w:p>
        </w:tc>
        <w:tc>
          <w:tcPr>
            <w:tcW w:w="2960" w:type="dxa"/>
            <w:vAlign w:val="bottom"/>
            <w:tcBorders>
              <w:bottom w:val="single" w:sz="8" w:color="D2DEA7"/>
            </w:tcBorders>
            <w:shd w:val="clear" w:color="auto" w:fill="D2DEA7"/>
          </w:tcPr>
          <w:p>
            <w:pPr>
              <w:jc w:val="right"/>
              <w:ind w:right="347"/>
              <w:spacing w:after="0"/>
              <w:rPr>
                <w:sz w:val="20"/>
                <w:szCs w:val="20"/>
                <w:color w:val="auto"/>
              </w:rPr>
            </w:pPr>
            <w:r>
              <w:rPr>
                <w:rFonts w:ascii="Arial" w:cs="Arial" w:eastAsia="Arial" w:hAnsi="Arial"/>
                <w:sz w:val="15"/>
                <w:szCs w:val="15"/>
                <w:color w:val="auto"/>
              </w:rPr>
              <w:t>43,125</w:t>
            </w:r>
          </w:p>
        </w:tc>
        <w:tc>
          <w:tcPr>
            <w:tcW w:w="1400" w:type="dxa"/>
            <w:vAlign w:val="bottom"/>
            <w:tcBorders>
              <w:bottom w:val="single" w:sz="8" w:color="D2DEA7"/>
            </w:tcBorders>
            <w:shd w:val="clear" w:color="auto" w:fill="D2DEA7"/>
          </w:tcPr>
          <w:p>
            <w:pPr>
              <w:jc w:val="right"/>
              <w:ind w:right="347"/>
              <w:spacing w:after="0"/>
              <w:rPr>
                <w:sz w:val="20"/>
                <w:szCs w:val="20"/>
                <w:color w:val="auto"/>
              </w:rPr>
            </w:pPr>
            <w:r>
              <w:rPr>
                <w:rFonts w:ascii="Arial" w:cs="Arial" w:eastAsia="Arial" w:hAnsi="Arial"/>
                <w:sz w:val="15"/>
                <w:szCs w:val="15"/>
                <w:color w:val="auto"/>
              </w:rPr>
              <w:t>80,006</w:t>
            </w:r>
          </w:p>
        </w:tc>
        <w:tc>
          <w:tcPr>
            <w:tcW w:w="2000" w:type="dxa"/>
            <w:vAlign w:val="bottom"/>
            <w:tcBorders>
              <w:bottom w:val="single" w:sz="8" w:color="D2DEA7"/>
            </w:tcBorders>
            <w:shd w:val="clear" w:color="auto" w:fill="D2DEA7"/>
          </w:tcPr>
          <w:p>
            <w:pPr>
              <w:ind w:left="1140"/>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D2DEA7"/>
            </w:tcBorders>
            <w:shd w:val="clear" w:color="auto" w:fill="D2DEA7"/>
          </w:tcPr>
          <w:p>
            <w:pPr>
              <w:jc w:val="right"/>
              <w:ind w:right="27"/>
              <w:spacing w:after="0"/>
              <w:rPr>
                <w:sz w:val="20"/>
                <w:szCs w:val="20"/>
                <w:color w:val="auto"/>
              </w:rPr>
            </w:pPr>
            <w:r>
              <w:rPr>
                <w:rFonts w:ascii="Arial" w:cs="Arial" w:eastAsia="Arial" w:hAnsi="Arial"/>
                <w:sz w:val="15"/>
                <w:szCs w:val="15"/>
                <w:color w:val="auto"/>
              </w:rPr>
              <w:t>123,131</w:t>
            </w:r>
          </w:p>
        </w:tc>
        <w:tc>
          <w:tcPr>
            <w:tcW w:w="0" w:type="dxa"/>
            <w:vAlign w:val="bottom"/>
          </w:tcPr>
          <w:p>
            <w:pPr>
              <w:spacing w:after="0"/>
              <w:rPr>
                <w:sz w:val="1"/>
                <w:szCs w:val="1"/>
                <w:color w:val="auto"/>
              </w:rPr>
            </w:pPr>
          </w:p>
        </w:tc>
      </w:tr>
      <w:tr>
        <w:trPr>
          <w:trHeight w:val="226"/>
        </w:trPr>
        <w:tc>
          <w:tcPr>
            <w:tcW w:w="2960" w:type="dxa"/>
            <w:vAlign w:val="bottom"/>
            <w:tcBorders>
              <w:bottom w:val="single" w:sz="8" w:color="E8EED3"/>
            </w:tcBorders>
            <w:shd w:val="clear" w:color="auto" w:fill="E8EED3"/>
          </w:tcPr>
          <w:p>
            <w:pPr>
              <w:ind w:left="60"/>
              <w:spacing w:after="0"/>
              <w:rPr>
                <w:sz w:val="20"/>
                <w:szCs w:val="20"/>
                <w:color w:val="auto"/>
              </w:rPr>
            </w:pPr>
            <w:r>
              <w:rPr>
                <w:rFonts w:ascii="Arial" w:cs="Arial" w:eastAsia="Arial" w:hAnsi="Arial"/>
                <w:sz w:val="15"/>
                <w:szCs w:val="15"/>
                <w:color w:val="auto"/>
              </w:rPr>
              <w:t>David B. Liner</w:t>
            </w:r>
          </w:p>
        </w:tc>
        <w:tc>
          <w:tcPr>
            <w:tcW w:w="2960" w:type="dxa"/>
            <w:vAlign w:val="bottom"/>
            <w:tcBorders>
              <w:bottom w:val="single" w:sz="8" w:color="E8EED3"/>
            </w:tcBorders>
            <w:shd w:val="clear" w:color="auto" w:fill="E8EED3"/>
          </w:tcPr>
          <w:p>
            <w:pPr>
              <w:jc w:val="right"/>
              <w:ind w:right="347"/>
              <w:spacing w:after="0"/>
              <w:rPr>
                <w:sz w:val="20"/>
                <w:szCs w:val="20"/>
                <w:color w:val="auto"/>
              </w:rPr>
            </w:pPr>
            <w:r>
              <w:rPr>
                <w:rFonts w:ascii="Arial" w:cs="Arial" w:eastAsia="Arial" w:hAnsi="Arial"/>
                <w:sz w:val="15"/>
                <w:szCs w:val="15"/>
                <w:color w:val="auto"/>
              </w:rPr>
              <w:t>60,000</w:t>
            </w:r>
          </w:p>
        </w:tc>
        <w:tc>
          <w:tcPr>
            <w:tcW w:w="1400" w:type="dxa"/>
            <w:vAlign w:val="bottom"/>
            <w:tcBorders>
              <w:bottom w:val="single" w:sz="8" w:color="E8EED3"/>
            </w:tcBorders>
            <w:shd w:val="clear" w:color="auto" w:fill="E8EED3"/>
          </w:tcPr>
          <w:p>
            <w:pPr>
              <w:jc w:val="right"/>
              <w:ind w:right="347"/>
              <w:spacing w:after="0"/>
              <w:rPr>
                <w:sz w:val="20"/>
                <w:szCs w:val="20"/>
                <w:color w:val="auto"/>
              </w:rPr>
            </w:pPr>
            <w:r>
              <w:rPr>
                <w:rFonts w:ascii="Arial" w:cs="Arial" w:eastAsia="Arial" w:hAnsi="Arial"/>
                <w:sz w:val="15"/>
                <w:szCs w:val="15"/>
                <w:color w:val="auto"/>
              </w:rPr>
              <w:t>80,006</w:t>
            </w:r>
          </w:p>
        </w:tc>
        <w:tc>
          <w:tcPr>
            <w:tcW w:w="2000" w:type="dxa"/>
            <w:vAlign w:val="bottom"/>
            <w:tcBorders>
              <w:bottom w:val="single" w:sz="8" w:color="E8EED3"/>
            </w:tcBorders>
            <w:shd w:val="clear" w:color="auto" w:fill="E8EED3"/>
          </w:tcPr>
          <w:p>
            <w:pPr>
              <w:ind w:left="1140"/>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E8EED3"/>
            </w:tcBorders>
            <w:shd w:val="clear" w:color="auto" w:fill="E8EED3"/>
          </w:tcPr>
          <w:p>
            <w:pPr>
              <w:jc w:val="right"/>
              <w:ind w:right="27"/>
              <w:spacing w:after="0"/>
              <w:rPr>
                <w:sz w:val="20"/>
                <w:szCs w:val="20"/>
                <w:color w:val="auto"/>
              </w:rPr>
            </w:pPr>
            <w:r>
              <w:rPr>
                <w:rFonts w:ascii="Arial" w:cs="Arial" w:eastAsia="Arial" w:hAnsi="Arial"/>
                <w:sz w:val="15"/>
                <w:szCs w:val="15"/>
                <w:color w:val="auto"/>
              </w:rPr>
              <w:t>140,006</w:t>
            </w:r>
          </w:p>
        </w:tc>
        <w:tc>
          <w:tcPr>
            <w:tcW w:w="0" w:type="dxa"/>
            <w:vAlign w:val="bottom"/>
          </w:tcPr>
          <w:p>
            <w:pPr>
              <w:spacing w:after="0"/>
              <w:rPr>
                <w:sz w:val="1"/>
                <w:szCs w:val="1"/>
                <w:color w:val="auto"/>
              </w:rPr>
            </w:pPr>
          </w:p>
        </w:tc>
      </w:tr>
      <w:tr>
        <w:trPr>
          <w:trHeight w:val="226"/>
        </w:trPr>
        <w:tc>
          <w:tcPr>
            <w:tcW w:w="2960" w:type="dxa"/>
            <w:vAlign w:val="bottom"/>
            <w:tcBorders>
              <w:bottom w:val="single" w:sz="8" w:color="D2DEA7"/>
            </w:tcBorders>
            <w:shd w:val="clear" w:color="auto" w:fill="D2DEA7"/>
          </w:tcPr>
          <w:p>
            <w:pPr>
              <w:ind w:left="60"/>
              <w:spacing w:after="0"/>
              <w:rPr>
                <w:sz w:val="20"/>
                <w:szCs w:val="20"/>
                <w:color w:val="auto"/>
              </w:rPr>
            </w:pPr>
            <w:r>
              <w:rPr>
                <w:rFonts w:ascii="Arial" w:cs="Arial" w:eastAsia="Arial" w:hAnsi="Arial"/>
                <w:sz w:val="15"/>
                <w:szCs w:val="15"/>
                <w:color w:val="auto"/>
              </w:rPr>
              <w:t>Claudio A. Mannarino</w:t>
            </w:r>
          </w:p>
        </w:tc>
        <w:tc>
          <w:tcPr>
            <w:tcW w:w="2960" w:type="dxa"/>
            <w:vAlign w:val="bottom"/>
            <w:tcBorders>
              <w:bottom w:val="single" w:sz="8" w:color="D2DEA7"/>
            </w:tcBorders>
            <w:shd w:val="clear" w:color="auto" w:fill="D2DEA7"/>
          </w:tcPr>
          <w:p>
            <w:pPr>
              <w:jc w:val="right"/>
              <w:ind w:right="347"/>
              <w:spacing w:after="0"/>
              <w:rPr>
                <w:sz w:val="20"/>
                <w:szCs w:val="20"/>
                <w:color w:val="auto"/>
              </w:rPr>
            </w:pPr>
            <w:r>
              <w:rPr>
                <w:rFonts w:ascii="Arial" w:cs="Arial" w:eastAsia="Arial" w:hAnsi="Arial"/>
                <w:sz w:val="15"/>
                <w:szCs w:val="15"/>
                <w:color w:val="auto"/>
              </w:rPr>
              <w:t>69,375</w:t>
            </w:r>
          </w:p>
        </w:tc>
        <w:tc>
          <w:tcPr>
            <w:tcW w:w="1400" w:type="dxa"/>
            <w:vAlign w:val="bottom"/>
            <w:tcBorders>
              <w:bottom w:val="single" w:sz="8" w:color="D2DEA7"/>
            </w:tcBorders>
            <w:shd w:val="clear" w:color="auto" w:fill="D2DEA7"/>
          </w:tcPr>
          <w:p>
            <w:pPr>
              <w:jc w:val="right"/>
              <w:ind w:right="347"/>
              <w:spacing w:after="0"/>
              <w:rPr>
                <w:sz w:val="20"/>
                <w:szCs w:val="20"/>
                <w:color w:val="auto"/>
              </w:rPr>
            </w:pPr>
            <w:r>
              <w:rPr>
                <w:rFonts w:ascii="Arial" w:cs="Arial" w:eastAsia="Arial" w:hAnsi="Arial"/>
                <w:sz w:val="15"/>
                <w:szCs w:val="15"/>
                <w:color w:val="auto"/>
              </w:rPr>
              <w:t>80,006</w:t>
            </w:r>
          </w:p>
        </w:tc>
        <w:tc>
          <w:tcPr>
            <w:tcW w:w="2000" w:type="dxa"/>
            <w:vAlign w:val="bottom"/>
            <w:tcBorders>
              <w:bottom w:val="single" w:sz="8" w:color="D2DEA7"/>
            </w:tcBorders>
            <w:shd w:val="clear" w:color="auto" w:fill="D2DEA7"/>
          </w:tcPr>
          <w:p>
            <w:pPr>
              <w:ind w:left="1140"/>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D2DEA7"/>
            </w:tcBorders>
            <w:shd w:val="clear" w:color="auto" w:fill="D2DEA7"/>
          </w:tcPr>
          <w:p>
            <w:pPr>
              <w:jc w:val="right"/>
              <w:ind w:right="27"/>
              <w:spacing w:after="0"/>
              <w:rPr>
                <w:sz w:val="20"/>
                <w:szCs w:val="20"/>
                <w:color w:val="auto"/>
              </w:rPr>
            </w:pPr>
            <w:r>
              <w:rPr>
                <w:rFonts w:ascii="Arial" w:cs="Arial" w:eastAsia="Arial" w:hAnsi="Arial"/>
                <w:sz w:val="15"/>
                <w:szCs w:val="15"/>
                <w:color w:val="auto"/>
              </w:rPr>
              <w:t>149,381</w:t>
            </w:r>
          </w:p>
        </w:tc>
        <w:tc>
          <w:tcPr>
            <w:tcW w:w="0" w:type="dxa"/>
            <w:vAlign w:val="bottom"/>
          </w:tcPr>
          <w:p>
            <w:pPr>
              <w:spacing w:after="0"/>
              <w:rPr>
                <w:sz w:val="1"/>
                <w:szCs w:val="1"/>
                <w:color w:val="auto"/>
              </w:rPr>
            </w:pPr>
          </w:p>
        </w:tc>
      </w:tr>
      <w:tr>
        <w:trPr>
          <w:trHeight w:val="226"/>
        </w:trPr>
        <w:tc>
          <w:tcPr>
            <w:tcW w:w="2960" w:type="dxa"/>
            <w:vAlign w:val="bottom"/>
            <w:tcBorders>
              <w:bottom w:val="single" w:sz="8" w:color="E8EED3"/>
            </w:tcBorders>
            <w:shd w:val="clear" w:color="auto" w:fill="E8EED3"/>
          </w:tcPr>
          <w:p>
            <w:pPr>
              <w:ind w:left="60"/>
              <w:spacing w:after="0"/>
              <w:rPr>
                <w:sz w:val="20"/>
                <w:szCs w:val="20"/>
                <w:color w:val="auto"/>
              </w:rPr>
            </w:pPr>
            <w:r>
              <w:rPr>
                <w:rFonts w:ascii="Arial" w:cs="Arial" w:eastAsia="Arial" w:hAnsi="Arial"/>
                <w:sz w:val="15"/>
                <w:szCs w:val="15"/>
                <w:color w:val="auto"/>
              </w:rPr>
              <w:t>Munish Nanda</w:t>
            </w:r>
          </w:p>
        </w:tc>
        <w:tc>
          <w:tcPr>
            <w:tcW w:w="2960" w:type="dxa"/>
            <w:vAlign w:val="bottom"/>
            <w:tcBorders>
              <w:bottom w:val="single" w:sz="8" w:color="E8EED3"/>
            </w:tcBorders>
            <w:shd w:val="clear" w:color="auto" w:fill="E8EED3"/>
          </w:tcPr>
          <w:p>
            <w:pPr>
              <w:jc w:val="right"/>
              <w:ind w:right="347"/>
              <w:spacing w:after="0"/>
              <w:rPr>
                <w:sz w:val="20"/>
                <w:szCs w:val="20"/>
                <w:color w:val="auto"/>
              </w:rPr>
            </w:pPr>
            <w:r>
              <w:rPr>
                <w:rFonts w:ascii="Arial" w:cs="Arial" w:eastAsia="Arial" w:hAnsi="Arial"/>
                <w:sz w:val="15"/>
                <w:szCs w:val="15"/>
                <w:color w:val="auto"/>
              </w:rPr>
              <w:t>46,875</w:t>
            </w:r>
          </w:p>
        </w:tc>
        <w:tc>
          <w:tcPr>
            <w:tcW w:w="1400" w:type="dxa"/>
            <w:vAlign w:val="bottom"/>
            <w:tcBorders>
              <w:bottom w:val="single" w:sz="8" w:color="E8EED3"/>
            </w:tcBorders>
            <w:shd w:val="clear" w:color="auto" w:fill="E8EED3"/>
          </w:tcPr>
          <w:p>
            <w:pPr>
              <w:jc w:val="right"/>
              <w:ind w:right="347"/>
              <w:spacing w:after="0"/>
              <w:rPr>
                <w:sz w:val="20"/>
                <w:szCs w:val="20"/>
                <w:color w:val="auto"/>
              </w:rPr>
            </w:pPr>
            <w:r>
              <w:rPr>
                <w:rFonts w:ascii="Arial" w:cs="Arial" w:eastAsia="Arial" w:hAnsi="Arial"/>
                <w:sz w:val="15"/>
                <w:szCs w:val="15"/>
                <w:color w:val="auto"/>
              </w:rPr>
              <w:t>80,006</w:t>
            </w:r>
          </w:p>
        </w:tc>
        <w:tc>
          <w:tcPr>
            <w:tcW w:w="2000" w:type="dxa"/>
            <w:vAlign w:val="bottom"/>
            <w:tcBorders>
              <w:bottom w:val="single" w:sz="8" w:color="E8EED3"/>
            </w:tcBorders>
            <w:shd w:val="clear" w:color="auto" w:fill="E8EED3"/>
          </w:tcPr>
          <w:p>
            <w:pPr>
              <w:ind w:left="1140"/>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E8EED3"/>
            </w:tcBorders>
            <w:shd w:val="clear" w:color="auto" w:fill="E8EED3"/>
          </w:tcPr>
          <w:p>
            <w:pPr>
              <w:jc w:val="right"/>
              <w:ind w:right="27"/>
              <w:spacing w:after="0"/>
              <w:rPr>
                <w:sz w:val="20"/>
                <w:szCs w:val="20"/>
                <w:color w:val="auto"/>
              </w:rPr>
            </w:pPr>
            <w:r>
              <w:rPr>
                <w:rFonts w:ascii="Arial" w:cs="Arial" w:eastAsia="Arial" w:hAnsi="Arial"/>
                <w:sz w:val="15"/>
                <w:szCs w:val="15"/>
                <w:color w:val="auto"/>
              </w:rPr>
              <w:t>126,881</w:t>
            </w:r>
          </w:p>
        </w:tc>
        <w:tc>
          <w:tcPr>
            <w:tcW w:w="0" w:type="dxa"/>
            <w:vAlign w:val="bottom"/>
          </w:tcPr>
          <w:p>
            <w:pPr>
              <w:spacing w:after="0"/>
              <w:rPr>
                <w:sz w:val="1"/>
                <w:szCs w:val="1"/>
                <w:color w:val="auto"/>
              </w:rPr>
            </w:pPr>
          </w:p>
        </w:tc>
      </w:tr>
      <w:tr>
        <w:trPr>
          <w:trHeight w:val="226"/>
        </w:trPr>
        <w:tc>
          <w:tcPr>
            <w:tcW w:w="2960" w:type="dxa"/>
            <w:vAlign w:val="bottom"/>
            <w:tcBorders>
              <w:bottom w:val="single" w:sz="8" w:color="D2DEA7"/>
            </w:tcBorders>
            <w:shd w:val="clear" w:color="auto" w:fill="D2DEA7"/>
          </w:tcPr>
          <w:p>
            <w:pPr>
              <w:ind w:left="60"/>
              <w:spacing w:after="0"/>
              <w:rPr>
                <w:sz w:val="20"/>
                <w:szCs w:val="20"/>
                <w:color w:val="auto"/>
              </w:rPr>
            </w:pPr>
            <w:r>
              <w:rPr>
                <w:rFonts w:ascii="Arial" w:cs="Arial" w:eastAsia="Arial" w:hAnsi="Arial"/>
                <w:sz w:val="15"/>
                <w:szCs w:val="15"/>
                <w:color w:val="auto"/>
              </w:rPr>
              <w:t>Jonathan Pollack</w:t>
            </w:r>
          </w:p>
        </w:tc>
        <w:tc>
          <w:tcPr>
            <w:tcW w:w="2960" w:type="dxa"/>
            <w:vAlign w:val="bottom"/>
            <w:tcBorders>
              <w:bottom w:val="single" w:sz="8" w:color="D2DEA7"/>
            </w:tcBorders>
            <w:shd w:val="clear" w:color="auto" w:fill="D2DEA7"/>
          </w:tcPr>
          <w:p>
            <w:pPr>
              <w:jc w:val="right"/>
              <w:ind w:right="347"/>
              <w:spacing w:after="0"/>
              <w:rPr>
                <w:sz w:val="20"/>
                <w:szCs w:val="20"/>
                <w:color w:val="auto"/>
              </w:rPr>
            </w:pPr>
            <w:r>
              <w:rPr>
                <w:rFonts w:ascii="Arial" w:cs="Arial" w:eastAsia="Arial" w:hAnsi="Arial"/>
                <w:sz w:val="15"/>
                <w:szCs w:val="15"/>
                <w:color w:val="auto"/>
              </w:rPr>
              <w:t>43,125</w:t>
            </w:r>
          </w:p>
        </w:tc>
        <w:tc>
          <w:tcPr>
            <w:tcW w:w="1400" w:type="dxa"/>
            <w:vAlign w:val="bottom"/>
            <w:tcBorders>
              <w:bottom w:val="single" w:sz="8" w:color="D2DEA7"/>
            </w:tcBorders>
            <w:shd w:val="clear" w:color="auto" w:fill="D2DEA7"/>
          </w:tcPr>
          <w:p>
            <w:pPr>
              <w:jc w:val="right"/>
              <w:ind w:right="347"/>
              <w:spacing w:after="0"/>
              <w:rPr>
                <w:sz w:val="20"/>
                <w:szCs w:val="20"/>
                <w:color w:val="auto"/>
              </w:rPr>
            </w:pPr>
            <w:r>
              <w:rPr>
                <w:rFonts w:ascii="Arial" w:cs="Arial" w:eastAsia="Arial" w:hAnsi="Arial"/>
                <w:sz w:val="15"/>
                <w:szCs w:val="15"/>
                <w:color w:val="auto"/>
              </w:rPr>
              <w:t>80,006</w:t>
            </w:r>
          </w:p>
        </w:tc>
        <w:tc>
          <w:tcPr>
            <w:tcW w:w="2000" w:type="dxa"/>
            <w:vAlign w:val="bottom"/>
            <w:tcBorders>
              <w:bottom w:val="single" w:sz="8" w:color="D2DEA7"/>
            </w:tcBorders>
            <w:shd w:val="clear" w:color="auto" w:fill="D2DEA7"/>
          </w:tcPr>
          <w:p>
            <w:pPr>
              <w:ind w:left="1140"/>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D2DEA7"/>
            </w:tcBorders>
            <w:shd w:val="clear" w:color="auto" w:fill="D2DEA7"/>
          </w:tcPr>
          <w:p>
            <w:pPr>
              <w:jc w:val="right"/>
              <w:ind w:right="27"/>
              <w:spacing w:after="0"/>
              <w:rPr>
                <w:sz w:val="20"/>
                <w:szCs w:val="20"/>
                <w:color w:val="auto"/>
              </w:rPr>
            </w:pPr>
            <w:r>
              <w:rPr>
                <w:rFonts w:ascii="Arial" w:cs="Arial" w:eastAsia="Arial" w:hAnsi="Arial"/>
                <w:sz w:val="15"/>
                <w:szCs w:val="15"/>
                <w:color w:val="auto"/>
              </w:rPr>
              <w:t>123,131</w:t>
            </w:r>
          </w:p>
        </w:tc>
        <w:tc>
          <w:tcPr>
            <w:tcW w:w="0" w:type="dxa"/>
            <w:vAlign w:val="bottom"/>
          </w:tcPr>
          <w:p>
            <w:pPr>
              <w:spacing w:after="0"/>
              <w:rPr>
                <w:sz w:val="1"/>
                <w:szCs w:val="1"/>
                <w:color w:val="auto"/>
              </w:rPr>
            </w:pPr>
          </w:p>
        </w:tc>
      </w:tr>
      <w:tr>
        <w:trPr>
          <w:trHeight w:val="226"/>
        </w:trPr>
        <w:tc>
          <w:tcPr>
            <w:tcW w:w="2960" w:type="dxa"/>
            <w:vAlign w:val="bottom"/>
            <w:tcBorders>
              <w:bottom w:val="single" w:sz="8" w:color="E8EED3"/>
            </w:tcBorders>
            <w:shd w:val="clear" w:color="auto" w:fill="E8EED3"/>
          </w:tcPr>
          <w:p>
            <w:pPr>
              <w:ind w:left="60"/>
              <w:spacing w:after="0"/>
              <w:rPr>
                <w:sz w:val="20"/>
                <w:szCs w:val="20"/>
                <w:color w:val="auto"/>
              </w:rPr>
            </w:pPr>
            <w:r>
              <w:rPr>
                <w:rFonts w:ascii="Arial" w:cs="Arial" w:eastAsia="Arial" w:hAnsi="Arial"/>
                <w:sz w:val="15"/>
                <w:szCs w:val="15"/>
                <w:color w:val="auto"/>
              </w:rPr>
              <w:t>Valerie Gentile Sachs</w:t>
            </w:r>
          </w:p>
        </w:tc>
        <w:tc>
          <w:tcPr>
            <w:tcW w:w="2960" w:type="dxa"/>
            <w:vAlign w:val="bottom"/>
            <w:tcBorders>
              <w:bottom w:val="single" w:sz="8" w:color="E8EED3"/>
            </w:tcBorders>
            <w:shd w:val="clear" w:color="auto" w:fill="E8EED3"/>
          </w:tcPr>
          <w:p>
            <w:pPr>
              <w:jc w:val="right"/>
              <w:ind w:right="347"/>
              <w:spacing w:after="0"/>
              <w:rPr>
                <w:sz w:val="20"/>
                <w:szCs w:val="20"/>
                <w:color w:val="auto"/>
              </w:rPr>
            </w:pPr>
            <w:r>
              <w:rPr>
                <w:rFonts w:ascii="Arial" w:cs="Arial" w:eastAsia="Arial" w:hAnsi="Arial"/>
                <w:sz w:val="15"/>
                <w:szCs w:val="15"/>
                <w:color w:val="auto"/>
              </w:rPr>
              <w:t>56,250</w:t>
            </w:r>
          </w:p>
        </w:tc>
        <w:tc>
          <w:tcPr>
            <w:tcW w:w="1400" w:type="dxa"/>
            <w:vAlign w:val="bottom"/>
            <w:tcBorders>
              <w:bottom w:val="single" w:sz="8" w:color="E8EED3"/>
            </w:tcBorders>
            <w:shd w:val="clear" w:color="auto" w:fill="E8EED3"/>
          </w:tcPr>
          <w:p>
            <w:pPr>
              <w:jc w:val="right"/>
              <w:ind w:right="347"/>
              <w:spacing w:after="0"/>
              <w:rPr>
                <w:sz w:val="20"/>
                <w:szCs w:val="20"/>
                <w:color w:val="auto"/>
              </w:rPr>
            </w:pPr>
            <w:r>
              <w:rPr>
                <w:rFonts w:ascii="Arial" w:cs="Arial" w:eastAsia="Arial" w:hAnsi="Arial"/>
                <w:sz w:val="15"/>
                <w:szCs w:val="15"/>
                <w:color w:val="auto"/>
              </w:rPr>
              <w:t>80,006</w:t>
            </w:r>
          </w:p>
        </w:tc>
        <w:tc>
          <w:tcPr>
            <w:tcW w:w="2000" w:type="dxa"/>
            <w:vAlign w:val="bottom"/>
            <w:tcBorders>
              <w:bottom w:val="single" w:sz="8" w:color="E8EED3"/>
            </w:tcBorders>
            <w:shd w:val="clear" w:color="auto" w:fill="E8EED3"/>
          </w:tcPr>
          <w:p>
            <w:pPr>
              <w:ind w:left="1140"/>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E8EED3"/>
            </w:tcBorders>
            <w:shd w:val="clear" w:color="auto" w:fill="E8EED3"/>
          </w:tcPr>
          <w:p>
            <w:pPr>
              <w:jc w:val="right"/>
              <w:ind w:right="27"/>
              <w:spacing w:after="0"/>
              <w:rPr>
                <w:sz w:val="20"/>
                <w:szCs w:val="20"/>
                <w:color w:val="auto"/>
              </w:rPr>
            </w:pPr>
            <w:r>
              <w:rPr>
                <w:rFonts w:ascii="Arial" w:cs="Arial" w:eastAsia="Arial" w:hAnsi="Arial"/>
                <w:sz w:val="15"/>
                <w:szCs w:val="15"/>
                <w:color w:val="auto"/>
              </w:rPr>
              <w:t>136,256</w:t>
            </w:r>
          </w:p>
        </w:tc>
        <w:tc>
          <w:tcPr>
            <w:tcW w:w="0" w:type="dxa"/>
            <w:vAlign w:val="bottom"/>
          </w:tcPr>
          <w:p>
            <w:pPr>
              <w:spacing w:after="0"/>
              <w:rPr>
                <w:sz w:val="1"/>
                <w:szCs w:val="1"/>
                <w:color w:val="auto"/>
              </w:rPr>
            </w:pPr>
          </w:p>
        </w:tc>
      </w:tr>
      <w:tr>
        <w:trPr>
          <w:trHeight w:val="214"/>
        </w:trPr>
        <w:tc>
          <w:tcPr>
            <w:tcW w:w="2960" w:type="dxa"/>
            <w:vAlign w:val="bottom"/>
            <w:shd w:val="clear" w:color="auto" w:fill="D2DEA7"/>
          </w:tcPr>
          <w:p>
            <w:pPr>
              <w:ind w:left="60"/>
              <w:spacing w:after="0"/>
              <w:rPr>
                <w:sz w:val="20"/>
                <w:szCs w:val="20"/>
                <w:color w:val="auto"/>
              </w:rPr>
            </w:pPr>
            <w:r>
              <w:rPr>
                <w:rFonts w:ascii="Arial" w:cs="Arial" w:eastAsia="Arial" w:hAnsi="Arial"/>
                <w:sz w:val="15"/>
                <w:szCs w:val="15"/>
                <w:color w:val="auto"/>
              </w:rPr>
              <w:t>Richard F. Wallman</w:t>
            </w:r>
          </w:p>
        </w:tc>
        <w:tc>
          <w:tcPr>
            <w:tcW w:w="2960" w:type="dxa"/>
            <w:vAlign w:val="bottom"/>
            <w:shd w:val="clear" w:color="auto" w:fill="D2DEA7"/>
          </w:tcPr>
          <w:p>
            <w:pPr>
              <w:jc w:val="right"/>
              <w:ind w:right="347"/>
              <w:spacing w:after="0"/>
              <w:rPr>
                <w:sz w:val="20"/>
                <w:szCs w:val="20"/>
                <w:color w:val="auto"/>
              </w:rPr>
            </w:pPr>
            <w:r>
              <w:rPr>
                <w:rFonts w:ascii="Arial" w:cs="Arial" w:eastAsia="Arial" w:hAnsi="Arial"/>
                <w:sz w:val="15"/>
                <w:szCs w:val="15"/>
                <w:color w:val="auto"/>
              </w:rPr>
              <w:t>—</w:t>
            </w:r>
          </w:p>
        </w:tc>
        <w:tc>
          <w:tcPr>
            <w:tcW w:w="1400" w:type="dxa"/>
            <w:vAlign w:val="bottom"/>
            <w:shd w:val="clear" w:color="auto" w:fill="D2DEA7"/>
          </w:tcPr>
          <w:p>
            <w:pPr>
              <w:jc w:val="right"/>
              <w:ind w:right="347"/>
              <w:spacing w:after="0"/>
              <w:rPr>
                <w:sz w:val="20"/>
                <w:szCs w:val="20"/>
                <w:color w:val="auto"/>
              </w:rPr>
            </w:pPr>
            <w:r>
              <w:rPr>
                <w:rFonts w:ascii="Arial" w:cs="Arial" w:eastAsia="Arial" w:hAnsi="Arial"/>
                <w:sz w:val="15"/>
                <w:szCs w:val="15"/>
                <w:color w:val="auto"/>
              </w:rPr>
              <w:t>41,990</w:t>
            </w:r>
          </w:p>
        </w:tc>
        <w:tc>
          <w:tcPr>
            <w:tcW w:w="2000" w:type="dxa"/>
            <w:vAlign w:val="bottom"/>
            <w:shd w:val="clear" w:color="auto" w:fill="D2DEA7"/>
          </w:tcPr>
          <w:p>
            <w:pPr>
              <w:ind w:left="1140"/>
              <w:spacing w:after="0"/>
              <w:rPr>
                <w:sz w:val="20"/>
                <w:szCs w:val="20"/>
                <w:color w:val="auto"/>
              </w:rPr>
            </w:pPr>
            <w:r>
              <w:rPr>
                <w:rFonts w:ascii="Arial" w:cs="Arial" w:eastAsia="Arial" w:hAnsi="Arial"/>
                <w:sz w:val="15"/>
                <w:szCs w:val="15"/>
                <w:color w:val="auto"/>
              </w:rPr>
              <w:t>—</w:t>
            </w:r>
          </w:p>
        </w:tc>
        <w:tc>
          <w:tcPr>
            <w:tcW w:w="1220" w:type="dxa"/>
            <w:vAlign w:val="bottom"/>
            <w:shd w:val="clear" w:color="auto" w:fill="D2DEA7"/>
          </w:tcPr>
          <w:p>
            <w:pPr>
              <w:jc w:val="right"/>
              <w:ind w:right="27"/>
              <w:spacing w:after="0"/>
              <w:rPr>
                <w:sz w:val="20"/>
                <w:szCs w:val="20"/>
                <w:color w:val="auto"/>
              </w:rPr>
            </w:pPr>
            <w:r>
              <w:rPr>
                <w:rFonts w:ascii="Arial" w:cs="Arial" w:eastAsia="Arial" w:hAnsi="Arial"/>
                <w:sz w:val="15"/>
                <w:szCs w:val="15"/>
                <w:color w:val="auto"/>
              </w:rPr>
              <w:t>41,990</w:t>
            </w:r>
          </w:p>
        </w:tc>
        <w:tc>
          <w:tcPr>
            <w:tcW w:w="0" w:type="dxa"/>
            <w:vAlign w:val="bottom"/>
          </w:tcPr>
          <w:p>
            <w:pPr>
              <w:spacing w:after="0"/>
              <w:rPr>
                <w:sz w:val="1"/>
                <w:szCs w:val="1"/>
                <w:color w:val="auto"/>
              </w:rPr>
            </w:pPr>
          </w:p>
        </w:tc>
      </w:tr>
      <w:tr>
        <w:trPr>
          <w:trHeight w:val="32"/>
        </w:trPr>
        <w:tc>
          <w:tcPr>
            <w:tcW w:w="2960" w:type="dxa"/>
            <w:vAlign w:val="bottom"/>
            <w:shd w:val="clear" w:color="auto" w:fill="D2DEA7"/>
          </w:tcPr>
          <w:p>
            <w:pPr>
              <w:spacing w:after="0"/>
              <w:rPr>
                <w:sz w:val="2"/>
                <w:szCs w:val="2"/>
                <w:color w:val="auto"/>
              </w:rPr>
            </w:pPr>
          </w:p>
        </w:tc>
        <w:tc>
          <w:tcPr>
            <w:tcW w:w="2960" w:type="dxa"/>
            <w:vAlign w:val="bottom"/>
            <w:shd w:val="clear" w:color="auto" w:fill="D2DEA7"/>
          </w:tcPr>
          <w:p>
            <w:pPr>
              <w:spacing w:after="0"/>
              <w:rPr>
                <w:sz w:val="2"/>
                <w:szCs w:val="2"/>
                <w:color w:val="auto"/>
              </w:rPr>
            </w:pPr>
          </w:p>
        </w:tc>
        <w:tc>
          <w:tcPr>
            <w:tcW w:w="1400" w:type="dxa"/>
            <w:vAlign w:val="bottom"/>
            <w:shd w:val="clear" w:color="auto" w:fill="D2DEA7"/>
          </w:tcPr>
          <w:p>
            <w:pPr>
              <w:spacing w:after="0"/>
              <w:rPr>
                <w:sz w:val="2"/>
                <w:szCs w:val="2"/>
                <w:color w:val="auto"/>
              </w:rPr>
            </w:pPr>
          </w:p>
        </w:tc>
        <w:tc>
          <w:tcPr>
            <w:tcW w:w="2000" w:type="dxa"/>
            <w:vAlign w:val="bottom"/>
            <w:shd w:val="clear" w:color="auto" w:fill="D2DEA7"/>
          </w:tcPr>
          <w:p>
            <w:pPr>
              <w:spacing w:after="0"/>
              <w:rPr>
                <w:sz w:val="2"/>
                <w:szCs w:val="2"/>
                <w:color w:val="auto"/>
              </w:rPr>
            </w:pPr>
          </w:p>
        </w:tc>
        <w:tc>
          <w:tcPr>
            <w:tcW w:w="1220" w:type="dxa"/>
            <w:vAlign w:val="bottom"/>
            <w:shd w:val="clear" w:color="auto" w:fill="D2DEA7"/>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color w:val="262626"/>
        </w:rPr>
        <w:t>12 • CECO Environmental</w:t>
      </w:r>
    </w:p>
    <w:p>
      <w:pPr>
        <w:sectPr>
          <w:pgSz w:w="11900" w:h="16838" w:orient="portrait"/>
          <w:cols w:equalWidth="0" w:num="1">
            <w:col w:w="10900"/>
          </w:cols>
          <w:pgMar w:left="320" w:top="443" w:right="6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99" w:lineRule="exact"/>
        <w:rPr>
          <w:sz w:val="20"/>
          <w:szCs w:val="20"/>
          <w:color w:val="auto"/>
        </w:rPr>
      </w:pPr>
    </w:p>
    <w:p>
      <w:pPr>
        <w:ind w:left="760" w:right="60" w:hanging="414"/>
        <w:spacing w:after="0" w:line="243" w:lineRule="auto"/>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column reflects the grant date fair value of RSU awards calculated in accordance with Financial Accounting Standards Board Accounting Standards Codification Topic 718 (“FASB ASC Topic 718”), disregarding estimated forfeitures, rather than amounts realized by the named individuals. Assumptions used in calculating these amounts are included in Note 9 to the Company’s audited financial statements included in our Annual Report on Form 10-K for the year ended December 31, 2021. The stock awards shown in the table above represent the RSU awards granted to our directors in 2021. The table below shows the aggregate number of unvested RSUs and unexercised options held by each of our non-management directors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5965825</wp:posOffset>
            </wp:positionH>
            <wp:positionV relativeFrom="paragraph">
              <wp:posOffset>133985</wp:posOffset>
            </wp:positionV>
            <wp:extent cx="8255" cy="13798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1379855"/>
                    </a:xfrm>
                    <a:prstGeom prst="rect">
                      <a:avLst/>
                    </a:prstGeom>
                    <a:noFill/>
                  </pic:spPr>
                </pic:pic>
              </a:graphicData>
            </a:graphic>
          </wp:anchor>
        </w:drawing>
        <w:drawing>
          <wp:anchor simplePos="0" relativeHeight="251657728" behindDoc="1" locked="0" layoutInCell="0" allowOverlap="1">
            <wp:simplePos x="0" y="0"/>
            <wp:positionH relativeFrom="column">
              <wp:posOffset>4914265</wp:posOffset>
            </wp:positionH>
            <wp:positionV relativeFrom="paragraph">
              <wp:posOffset>133985</wp:posOffset>
            </wp:positionV>
            <wp:extent cx="8255" cy="13798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1379855"/>
                    </a:xfrm>
                    <a:prstGeom prst="rect">
                      <a:avLst/>
                    </a:prstGeom>
                    <a:noFill/>
                  </pic:spPr>
                </pic:pic>
              </a:graphicData>
            </a:graphic>
          </wp:anchor>
        </w:drawing>
      </w:r>
    </w:p>
    <w:p>
      <w:pPr>
        <w:spacing w:after="0" w:line="191"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4520" w:type="dxa"/>
            <w:vAlign w:val="bottom"/>
            <w:shd w:val="clear" w:color="auto" w:fill="41659C"/>
          </w:tcPr>
          <w:p>
            <w:pPr>
              <w:ind w:left="80"/>
              <w:spacing w:after="0"/>
              <w:rPr>
                <w:sz w:val="20"/>
                <w:szCs w:val="20"/>
                <w:color w:val="auto"/>
              </w:rPr>
            </w:pPr>
            <w:r>
              <w:rPr>
                <w:rFonts w:ascii="Arial" w:cs="Arial" w:eastAsia="Arial" w:hAnsi="Arial"/>
                <w:sz w:val="15"/>
                <w:szCs w:val="15"/>
                <w:b w:val="1"/>
                <w:bCs w:val="1"/>
                <w:color w:val="FFFFFF"/>
              </w:rPr>
              <w:t>Name</w:t>
            </w:r>
          </w:p>
        </w:tc>
        <w:tc>
          <w:tcPr>
            <w:tcW w:w="4160" w:type="dxa"/>
            <w:vAlign w:val="bottom"/>
            <w:shd w:val="clear" w:color="auto" w:fill="41659C"/>
          </w:tcPr>
          <w:p>
            <w:pPr>
              <w:jc w:val="right"/>
              <w:ind w:right="427"/>
              <w:spacing w:after="0"/>
              <w:rPr>
                <w:sz w:val="20"/>
                <w:szCs w:val="20"/>
                <w:color w:val="auto"/>
              </w:rPr>
            </w:pPr>
            <w:r>
              <w:rPr>
                <w:rFonts w:ascii="Arial" w:cs="Arial" w:eastAsia="Arial" w:hAnsi="Arial"/>
                <w:sz w:val="15"/>
                <w:szCs w:val="15"/>
                <w:b w:val="1"/>
                <w:bCs w:val="1"/>
                <w:color w:val="FFFFFF"/>
              </w:rPr>
              <w:t>RSUs (#)</w:t>
            </w:r>
          </w:p>
        </w:tc>
        <w:tc>
          <w:tcPr>
            <w:tcW w:w="1440" w:type="dxa"/>
            <w:vAlign w:val="bottom"/>
            <w:shd w:val="clear" w:color="auto" w:fill="41659C"/>
          </w:tcPr>
          <w:p>
            <w:pPr>
              <w:jc w:val="right"/>
              <w:spacing w:after="0"/>
              <w:rPr>
                <w:sz w:val="20"/>
                <w:szCs w:val="20"/>
                <w:color w:val="auto"/>
              </w:rPr>
            </w:pPr>
            <w:r>
              <w:rPr>
                <w:rFonts w:ascii="Arial" w:cs="Arial" w:eastAsia="Arial" w:hAnsi="Arial"/>
                <w:sz w:val="15"/>
                <w:szCs w:val="15"/>
                <w:b w:val="1"/>
                <w:bCs w:val="1"/>
                <w:color w:val="FFFFFF"/>
              </w:rPr>
              <w:t>Stock Options (#)</w:t>
            </w:r>
          </w:p>
        </w:tc>
      </w:tr>
      <w:tr>
        <w:trPr>
          <w:trHeight w:val="226"/>
        </w:trPr>
        <w:tc>
          <w:tcPr>
            <w:tcW w:w="4520" w:type="dxa"/>
            <w:vAlign w:val="bottom"/>
            <w:tcBorders>
              <w:bottom w:val="single" w:sz="8" w:color="E8EED3"/>
            </w:tcBorders>
            <w:shd w:val="clear" w:color="auto" w:fill="E8EED3"/>
          </w:tcPr>
          <w:p>
            <w:pPr>
              <w:ind w:left="80"/>
              <w:spacing w:after="0"/>
              <w:rPr>
                <w:sz w:val="20"/>
                <w:szCs w:val="20"/>
                <w:color w:val="auto"/>
              </w:rPr>
            </w:pPr>
            <w:r>
              <w:rPr>
                <w:rFonts w:ascii="Arial" w:cs="Arial" w:eastAsia="Arial" w:hAnsi="Arial"/>
                <w:sz w:val="15"/>
                <w:szCs w:val="15"/>
                <w:color w:val="auto"/>
              </w:rPr>
              <w:t>Jason DeZwirek</w:t>
            </w:r>
          </w:p>
        </w:tc>
        <w:tc>
          <w:tcPr>
            <w:tcW w:w="4160" w:type="dxa"/>
            <w:vAlign w:val="bottom"/>
            <w:tcBorders>
              <w:bottom w:val="single" w:sz="8" w:color="E8EED3"/>
            </w:tcBorders>
            <w:shd w:val="clear" w:color="auto" w:fill="E8EED3"/>
          </w:tcPr>
          <w:p>
            <w:pPr>
              <w:jc w:val="right"/>
              <w:ind w:right="87"/>
              <w:spacing w:after="0"/>
              <w:rPr>
                <w:sz w:val="20"/>
                <w:szCs w:val="20"/>
                <w:color w:val="auto"/>
              </w:rPr>
            </w:pPr>
            <w:r>
              <w:rPr>
                <w:rFonts w:ascii="Arial" w:cs="Arial" w:eastAsia="Arial" w:hAnsi="Arial"/>
                <w:sz w:val="15"/>
                <w:szCs w:val="15"/>
                <w:color w:val="auto"/>
              </w:rPr>
              <w:t>10,625</w:t>
            </w:r>
          </w:p>
        </w:tc>
        <w:tc>
          <w:tcPr>
            <w:tcW w:w="1440" w:type="dxa"/>
            <w:vAlign w:val="bottom"/>
            <w:tcBorders>
              <w:bottom w:val="single" w:sz="8" w:color="E8EED3"/>
            </w:tcBorders>
            <w:shd w:val="clear" w:color="auto" w:fill="E8EED3"/>
          </w:tcPr>
          <w:p>
            <w:pPr>
              <w:jc w:val="right"/>
              <w:ind w:right="27"/>
              <w:spacing w:after="0"/>
              <w:rPr>
                <w:sz w:val="20"/>
                <w:szCs w:val="20"/>
                <w:color w:val="auto"/>
              </w:rPr>
            </w:pPr>
            <w:r>
              <w:rPr>
                <w:rFonts w:ascii="Arial" w:cs="Arial" w:eastAsia="Arial" w:hAnsi="Arial"/>
                <w:sz w:val="15"/>
                <w:szCs w:val="15"/>
                <w:color w:val="auto"/>
              </w:rPr>
              <w:t>—</w:t>
            </w:r>
          </w:p>
        </w:tc>
      </w:tr>
      <w:tr>
        <w:trPr>
          <w:trHeight w:val="226"/>
        </w:trPr>
        <w:tc>
          <w:tcPr>
            <w:tcW w:w="4520" w:type="dxa"/>
            <w:vAlign w:val="bottom"/>
            <w:tcBorders>
              <w:bottom w:val="single" w:sz="8" w:color="D2DEA7"/>
            </w:tcBorders>
            <w:shd w:val="clear" w:color="auto" w:fill="D2DEA7"/>
          </w:tcPr>
          <w:p>
            <w:pPr>
              <w:ind w:left="80"/>
              <w:spacing w:after="0"/>
              <w:rPr>
                <w:sz w:val="20"/>
                <w:szCs w:val="20"/>
                <w:color w:val="auto"/>
              </w:rPr>
            </w:pPr>
            <w:r>
              <w:rPr>
                <w:rFonts w:ascii="Arial" w:cs="Arial" w:eastAsia="Arial" w:hAnsi="Arial"/>
                <w:sz w:val="15"/>
                <w:szCs w:val="15"/>
                <w:color w:val="auto"/>
              </w:rPr>
              <w:t>Eric M. Goldberg</w:t>
            </w:r>
          </w:p>
        </w:tc>
        <w:tc>
          <w:tcPr>
            <w:tcW w:w="4160" w:type="dxa"/>
            <w:vAlign w:val="bottom"/>
            <w:tcBorders>
              <w:bottom w:val="single" w:sz="8" w:color="D2DEA7"/>
            </w:tcBorders>
            <w:shd w:val="clear" w:color="auto" w:fill="D2DEA7"/>
          </w:tcPr>
          <w:p>
            <w:pPr>
              <w:jc w:val="right"/>
              <w:ind w:right="87"/>
              <w:spacing w:after="0"/>
              <w:rPr>
                <w:sz w:val="20"/>
                <w:szCs w:val="20"/>
                <w:color w:val="auto"/>
              </w:rPr>
            </w:pPr>
            <w:r>
              <w:rPr>
                <w:rFonts w:ascii="Arial" w:cs="Arial" w:eastAsia="Arial" w:hAnsi="Arial"/>
                <w:sz w:val="15"/>
                <w:szCs w:val="15"/>
                <w:color w:val="auto"/>
              </w:rPr>
              <w:t>10,625</w:t>
            </w:r>
          </w:p>
        </w:tc>
        <w:tc>
          <w:tcPr>
            <w:tcW w:w="1440" w:type="dxa"/>
            <w:vAlign w:val="bottom"/>
            <w:tcBorders>
              <w:bottom w:val="single" w:sz="8" w:color="D2DEA7"/>
            </w:tcBorders>
            <w:shd w:val="clear" w:color="auto" w:fill="D2DEA7"/>
          </w:tcPr>
          <w:p>
            <w:pPr>
              <w:jc w:val="right"/>
              <w:ind w:right="27"/>
              <w:spacing w:after="0"/>
              <w:rPr>
                <w:sz w:val="20"/>
                <w:szCs w:val="20"/>
                <w:color w:val="auto"/>
              </w:rPr>
            </w:pPr>
            <w:r>
              <w:rPr>
                <w:rFonts w:ascii="Arial" w:cs="Arial" w:eastAsia="Arial" w:hAnsi="Arial"/>
                <w:sz w:val="15"/>
                <w:szCs w:val="15"/>
                <w:color w:val="auto"/>
              </w:rPr>
              <w:t>15,000</w:t>
            </w:r>
          </w:p>
        </w:tc>
      </w:tr>
      <w:tr>
        <w:trPr>
          <w:trHeight w:val="226"/>
        </w:trPr>
        <w:tc>
          <w:tcPr>
            <w:tcW w:w="4520" w:type="dxa"/>
            <w:vAlign w:val="bottom"/>
            <w:tcBorders>
              <w:bottom w:val="single" w:sz="8" w:color="E8EED3"/>
            </w:tcBorders>
            <w:shd w:val="clear" w:color="auto" w:fill="E8EED3"/>
          </w:tcPr>
          <w:p>
            <w:pPr>
              <w:ind w:left="80"/>
              <w:spacing w:after="0"/>
              <w:rPr>
                <w:sz w:val="20"/>
                <w:szCs w:val="20"/>
                <w:color w:val="auto"/>
              </w:rPr>
            </w:pPr>
            <w:r>
              <w:rPr>
                <w:rFonts w:ascii="Arial" w:cs="Arial" w:eastAsia="Arial" w:hAnsi="Arial"/>
                <w:sz w:val="15"/>
                <w:szCs w:val="15"/>
                <w:color w:val="auto"/>
              </w:rPr>
              <w:t>David B. Liner</w:t>
            </w:r>
          </w:p>
        </w:tc>
        <w:tc>
          <w:tcPr>
            <w:tcW w:w="4160" w:type="dxa"/>
            <w:vAlign w:val="bottom"/>
            <w:tcBorders>
              <w:bottom w:val="single" w:sz="8" w:color="E8EED3"/>
            </w:tcBorders>
            <w:shd w:val="clear" w:color="auto" w:fill="E8EED3"/>
          </w:tcPr>
          <w:p>
            <w:pPr>
              <w:jc w:val="right"/>
              <w:ind w:right="87"/>
              <w:spacing w:after="0"/>
              <w:rPr>
                <w:sz w:val="20"/>
                <w:szCs w:val="20"/>
                <w:color w:val="auto"/>
              </w:rPr>
            </w:pPr>
            <w:r>
              <w:rPr>
                <w:rFonts w:ascii="Arial" w:cs="Arial" w:eastAsia="Arial" w:hAnsi="Arial"/>
                <w:sz w:val="15"/>
                <w:szCs w:val="15"/>
                <w:color w:val="auto"/>
              </w:rPr>
              <w:t>10,625</w:t>
            </w:r>
          </w:p>
        </w:tc>
        <w:tc>
          <w:tcPr>
            <w:tcW w:w="1440" w:type="dxa"/>
            <w:vAlign w:val="bottom"/>
            <w:tcBorders>
              <w:bottom w:val="single" w:sz="8" w:color="E8EED3"/>
            </w:tcBorders>
            <w:shd w:val="clear" w:color="auto" w:fill="E8EED3"/>
          </w:tcPr>
          <w:p>
            <w:pPr>
              <w:jc w:val="right"/>
              <w:ind w:right="27"/>
              <w:spacing w:after="0"/>
              <w:rPr>
                <w:sz w:val="20"/>
                <w:szCs w:val="20"/>
                <w:color w:val="auto"/>
              </w:rPr>
            </w:pPr>
            <w:r>
              <w:rPr>
                <w:rFonts w:ascii="Arial" w:cs="Arial" w:eastAsia="Arial" w:hAnsi="Arial"/>
                <w:sz w:val="15"/>
                <w:szCs w:val="15"/>
                <w:color w:val="auto"/>
              </w:rPr>
              <w:t>—</w:t>
            </w:r>
          </w:p>
        </w:tc>
      </w:tr>
      <w:tr>
        <w:trPr>
          <w:trHeight w:val="226"/>
        </w:trPr>
        <w:tc>
          <w:tcPr>
            <w:tcW w:w="4520" w:type="dxa"/>
            <w:vAlign w:val="bottom"/>
            <w:tcBorders>
              <w:bottom w:val="single" w:sz="8" w:color="D2DEA7"/>
            </w:tcBorders>
            <w:shd w:val="clear" w:color="auto" w:fill="D2DEA7"/>
          </w:tcPr>
          <w:p>
            <w:pPr>
              <w:ind w:left="80"/>
              <w:spacing w:after="0"/>
              <w:rPr>
                <w:sz w:val="20"/>
                <w:szCs w:val="20"/>
                <w:color w:val="auto"/>
              </w:rPr>
            </w:pPr>
            <w:r>
              <w:rPr>
                <w:rFonts w:ascii="Arial" w:cs="Arial" w:eastAsia="Arial" w:hAnsi="Arial"/>
                <w:sz w:val="15"/>
                <w:szCs w:val="15"/>
                <w:color w:val="auto"/>
              </w:rPr>
              <w:t>Claudio A. Mannarino</w:t>
            </w:r>
          </w:p>
        </w:tc>
        <w:tc>
          <w:tcPr>
            <w:tcW w:w="4160" w:type="dxa"/>
            <w:vAlign w:val="bottom"/>
            <w:tcBorders>
              <w:bottom w:val="single" w:sz="8" w:color="D2DEA7"/>
            </w:tcBorders>
            <w:shd w:val="clear" w:color="auto" w:fill="D2DEA7"/>
          </w:tcPr>
          <w:p>
            <w:pPr>
              <w:jc w:val="right"/>
              <w:ind w:right="87"/>
              <w:spacing w:after="0"/>
              <w:rPr>
                <w:sz w:val="20"/>
                <w:szCs w:val="20"/>
                <w:color w:val="auto"/>
              </w:rPr>
            </w:pPr>
            <w:r>
              <w:rPr>
                <w:rFonts w:ascii="Arial" w:cs="Arial" w:eastAsia="Arial" w:hAnsi="Arial"/>
                <w:sz w:val="15"/>
                <w:szCs w:val="15"/>
                <w:color w:val="auto"/>
              </w:rPr>
              <w:t>10,625</w:t>
            </w:r>
          </w:p>
        </w:tc>
        <w:tc>
          <w:tcPr>
            <w:tcW w:w="1440" w:type="dxa"/>
            <w:vAlign w:val="bottom"/>
            <w:tcBorders>
              <w:bottom w:val="single" w:sz="8" w:color="D2DEA7"/>
            </w:tcBorders>
            <w:shd w:val="clear" w:color="auto" w:fill="D2DEA7"/>
          </w:tcPr>
          <w:p>
            <w:pPr>
              <w:jc w:val="right"/>
              <w:ind w:right="27"/>
              <w:spacing w:after="0"/>
              <w:rPr>
                <w:sz w:val="20"/>
                <w:szCs w:val="20"/>
                <w:color w:val="auto"/>
              </w:rPr>
            </w:pPr>
            <w:r>
              <w:rPr>
                <w:rFonts w:ascii="Arial" w:cs="Arial" w:eastAsia="Arial" w:hAnsi="Arial"/>
                <w:sz w:val="15"/>
                <w:szCs w:val="15"/>
                <w:color w:val="auto"/>
              </w:rPr>
              <w:t>—</w:t>
            </w:r>
          </w:p>
        </w:tc>
      </w:tr>
      <w:tr>
        <w:trPr>
          <w:trHeight w:val="226"/>
        </w:trPr>
        <w:tc>
          <w:tcPr>
            <w:tcW w:w="4520" w:type="dxa"/>
            <w:vAlign w:val="bottom"/>
            <w:tcBorders>
              <w:bottom w:val="single" w:sz="8" w:color="E8EED3"/>
            </w:tcBorders>
            <w:shd w:val="clear" w:color="auto" w:fill="E8EED3"/>
          </w:tcPr>
          <w:p>
            <w:pPr>
              <w:ind w:left="80"/>
              <w:spacing w:after="0"/>
              <w:rPr>
                <w:sz w:val="20"/>
                <w:szCs w:val="20"/>
                <w:color w:val="auto"/>
              </w:rPr>
            </w:pPr>
            <w:r>
              <w:rPr>
                <w:rFonts w:ascii="Arial" w:cs="Arial" w:eastAsia="Arial" w:hAnsi="Arial"/>
                <w:sz w:val="15"/>
                <w:szCs w:val="15"/>
                <w:color w:val="auto"/>
              </w:rPr>
              <w:t>Munish Nanda</w:t>
            </w:r>
          </w:p>
        </w:tc>
        <w:tc>
          <w:tcPr>
            <w:tcW w:w="4160" w:type="dxa"/>
            <w:vAlign w:val="bottom"/>
            <w:tcBorders>
              <w:bottom w:val="single" w:sz="8" w:color="E8EED3"/>
            </w:tcBorders>
            <w:shd w:val="clear" w:color="auto" w:fill="E8EED3"/>
          </w:tcPr>
          <w:p>
            <w:pPr>
              <w:jc w:val="right"/>
              <w:ind w:right="87"/>
              <w:spacing w:after="0"/>
              <w:rPr>
                <w:sz w:val="20"/>
                <w:szCs w:val="20"/>
                <w:color w:val="auto"/>
              </w:rPr>
            </w:pPr>
            <w:r>
              <w:rPr>
                <w:rFonts w:ascii="Arial" w:cs="Arial" w:eastAsia="Arial" w:hAnsi="Arial"/>
                <w:sz w:val="15"/>
                <w:szCs w:val="15"/>
                <w:color w:val="auto"/>
              </w:rPr>
              <w:t>10,625</w:t>
            </w:r>
          </w:p>
        </w:tc>
        <w:tc>
          <w:tcPr>
            <w:tcW w:w="1440" w:type="dxa"/>
            <w:vAlign w:val="bottom"/>
            <w:tcBorders>
              <w:bottom w:val="single" w:sz="8" w:color="E8EED3"/>
            </w:tcBorders>
            <w:shd w:val="clear" w:color="auto" w:fill="E8EED3"/>
          </w:tcPr>
          <w:p>
            <w:pPr>
              <w:jc w:val="right"/>
              <w:ind w:right="27"/>
              <w:spacing w:after="0"/>
              <w:rPr>
                <w:sz w:val="20"/>
                <w:szCs w:val="20"/>
                <w:color w:val="auto"/>
              </w:rPr>
            </w:pPr>
            <w:r>
              <w:rPr>
                <w:rFonts w:ascii="Arial" w:cs="Arial" w:eastAsia="Arial" w:hAnsi="Arial"/>
                <w:sz w:val="15"/>
                <w:szCs w:val="15"/>
                <w:color w:val="auto"/>
              </w:rPr>
              <w:t>—</w:t>
            </w:r>
          </w:p>
        </w:tc>
      </w:tr>
      <w:tr>
        <w:trPr>
          <w:trHeight w:val="226"/>
        </w:trPr>
        <w:tc>
          <w:tcPr>
            <w:tcW w:w="4520" w:type="dxa"/>
            <w:vAlign w:val="bottom"/>
            <w:tcBorders>
              <w:bottom w:val="single" w:sz="8" w:color="D2DEA7"/>
            </w:tcBorders>
            <w:shd w:val="clear" w:color="auto" w:fill="D2DEA7"/>
          </w:tcPr>
          <w:p>
            <w:pPr>
              <w:ind w:left="80"/>
              <w:spacing w:after="0"/>
              <w:rPr>
                <w:sz w:val="20"/>
                <w:szCs w:val="20"/>
                <w:color w:val="auto"/>
              </w:rPr>
            </w:pPr>
            <w:r>
              <w:rPr>
                <w:rFonts w:ascii="Arial" w:cs="Arial" w:eastAsia="Arial" w:hAnsi="Arial"/>
                <w:sz w:val="15"/>
                <w:szCs w:val="15"/>
                <w:color w:val="auto"/>
              </w:rPr>
              <w:t>Jonathan Pollack</w:t>
            </w:r>
          </w:p>
        </w:tc>
        <w:tc>
          <w:tcPr>
            <w:tcW w:w="4160" w:type="dxa"/>
            <w:vAlign w:val="bottom"/>
            <w:tcBorders>
              <w:bottom w:val="single" w:sz="8" w:color="D2DEA7"/>
            </w:tcBorders>
            <w:shd w:val="clear" w:color="auto" w:fill="D2DEA7"/>
          </w:tcPr>
          <w:p>
            <w:pPr>
              <w:jc w:val="right"/>
              <w:ind w:right="87"/>
              <w:spacing w:after="0"/>
              <w:rPr>
                <w:sz w:val="20"/>
                <w:szCs w:val="20"/>
                <w:color w:val="auto"/>
              </w:rPr>
            </w:pPr>
            <w:r>
              <w:rPr>
                <w:rFonts w:ascii="Arial" w:cs="Arial" w:eastAsia="Arial" w:hAnsi="Arial"/>
                <w:sz w:val="15"/>
                <w:szCs w:val="15"/>
                <w:color w:val="auto"/>
              </w:rPr>
              <w:t>10,625</w:t>
            </w:r>
          </w:p>
        </w:tc>
        <w:tc>
          <w:tcPr>
            <w:tcW w:w="1440" w:type="dxa"/>
            <w:vAlign w:val="bottom"/>
            <w:tcBorders>
              <w:bottom w:val="single" w:sz="8" w:color="D2DEA7"/>
            </w:tcBorders>
            <w:shd w:val="clear" w:color="auto" w:fill="D2DEA7"/>
          </w:tcPr>
          <w:p>
            <w:pPr>
              <w:jc w:val="right"/>
              <w:ind w:right="27"/>
              <w:spacing w:after="0"/>
              <w:rPr>
                <w:sz w:val="20"/>
                <w:szCs w:val="20"/>
                <w:color w:val="auto"/>
              </w:rPr>
            </w:pPr>
            <w:r>
              <w:rPr>
                <w:rFonts w:ascii="Arial" w:cs="Arial" w:eastAsia="Arial" w:hAnsi="Arial"/>
                <w:sz w:val="15"/>
                <w:szCs w:val="15"/>
                <w:color w:val="auto"/>
              </w:rPr>
              <w:t>36,000</w:t>
            </w:r>
          </w:p>
        </w:tc>
      </w:tr>
      <w:tr>
        <w:trPr>
          <w:trHeight w:val="226"/>
        </w:trPr>
        <w:tc>
          <w:tcPr>
            <w:tcW w:w="4520" w:type="dxa"/>
            <w:vAlign w:val="bottom"/>
            <w:tcBorders>
              <w:bottom w:val="single" w:sz="8" w:color="E8EED3"/>
            </w:tcBorders>
            <w:shd w:val="clear" w:color="auto" w:fill="E8EED3"/>
          </w:tcPr>
          <w:p>
            <w:pPr>
              <w:ind w:left="80"/>
              <w:spacing w:after="0"/>
              <w:rPr>
                <w:sz w:val="20"/>
                <w:szCs w:val="20"/>
                <w:color w:val="auto"/>
              </w:rPr>
            </w:pPr>
            <w:r>
              <w:rPr>
                <w:rFonts w:ascii="Arial" w:cs="Arial" w:eastAsia="Arial" w:hAnsi="Arial"/>
                <w:sz w:val="15"/>
                <w:szCs w:val="15"/>
                <w:color w:val="auto"/>
              </w:rPr>
              <w:t>Valerie Gentile Sachs</w:t>
            </w:r>
          </w:p>
        </w:tc>
        <w:tc>
          <w:tcPr>
            <w:tcW w:w="4160" w:type="dxa"/>
            <w:vAlign w:val="bottom"/>
            <w:tcBorders>
              <w:bottom w:val="single" w:sz="8" w:color="E8EED3"/>
            </w:tcBorders>
            <w:shd w:val="clear" w:color="auto" w:fill="E8EED3"/>
          </w:tcPr>
          <w:p>
            <w:pPr>
              <w:jc w:val="right"/>
              <w:ind w:right="87"/>
              <w:spacing w:after="0"/>
              <w:rPr>
                <w:sz w:val="20"/>
                <w:szCs w:val="20"/>
                <w:color w:val="auto"/>
              </w:rPr>
            </w:pPr>
            <w:r>
              <w:rPr>
                <w:rFonts w:ascii="Arial" w:cs="Arial" w:eastAsia="Arial" w:hAnsi="Arial"/>
                <w:sz w:val="15"/>
                <w:szCs w:val="15"/>
                <w:color w:val="auto"/>
              </w:rPr>
              <w:t>10,625</w:t>
            </w:r>
          </w:p>
        </w:tc>
        <w:tc>
          <w:tcPr>
            <w:tcW w:w="1440" w:type="dxa"/>
            <w:vAlign w:val="bottom"/>
            <w:tcBorders>
              <w:bottom w:val="single" w:sz="8" w:color="E8EED3"/>
            </w:tcBorders>
            <w:shd w:val="clear" w:color="auto" w:fill="E8EED3"/>
          </w:tcPr>
          <w:p>
            <w:pPr>
              <w:jc w:val="right"/>
              <w:ind w:right="27"/>
              <w:spacing w:after="0"/>
              <w:rPr>
                <w:sz w:val="20"/>
                <w:szCs w:val="20"/>
                <w:color w:val="auto"/>
              </w:rPr>
            </w:pPr>
            <w:r>
              <w:rPr>
                <w:rFonts w:ascii="Arial" w:cs="Arial" w:eastAsia="Arial" w:hAnsi="Arial"/>
                <w:sz w:val="15"/>
                <w:szCs w:val="15"/>
                <w:color w:val="auto"/>
              </w:rPr>
              <w:t>—</w:t>
            </w:r>
          </w:p>
        </w:tc>
      </w:tr>
      <w:tr>
        <w:trPr>
          <w:trHeight w:val="214"/>
        </w:trPr>
        <w:tc>
          <w:tcPr>
            <w:tcW w:w="4520" w:type="dxa"/>
            <w:vAlign w:val="bottom"/>
            <w:shd w:val="clear" w:color="auto" w:fill="D2DEA7"/>
          </w:tcPr>
          <w:p>
            <w:pPr>
              <w:ind w:left="80"/>
              <w:spacing w:after="0"/>
              <w:rPr>
                <w:sz w:val="20"/>
                <w:szCs w:val="20"/>
                <w:color w:val="auto"/>
              </w:rPr>
            </w:pPr>
            <w:r>
              <w:rPr>
                <w:rFonts w:ascii="Arial" w:cs="Arial" w:eastAsia="Arial" w:hAnsi="Arial"/>
                <w:sz w:val="15"/>
                <w:szCs w:val="15"/>
                <w:color w:val="auto"/>
              </w:rPr>
              <w:t>Richard F. Wallman</w:t>
            </w:r>
          </w:p>
        </w:tc>
        <w:tc>
          <w:tcPr>
            <w:tcW w:w="4160" w:type="dxa"/>
            <w:vAlign w:val="bottom"/>
            <w:shd w:val="clear" w:color="auto" w:fill="D2DEA7"/>
          </w:tcPr>
          <w:p>
            <w:pPr>
              <w:jc w:val="right"/>
              <w:ind w:right="87"/>
              <w:spacing w:after="0"/>
              <w:rPr>
                <w:sz w:val="20"/>
                <w:szCs w:val="20"/>
                <w:color w:val="auto"/>
              </w:rPr>
            </w:pPr>
            <w:r>
              <w:rPr>
                <w:rFonts w:ascii="Arial" w:cs="Arial" w:eastAsia="Arial" w:hAnsi="Arial"/>
                <w:sz w:val="15"/>
                <w:szCs w:val="15"/>
                <w:color w:val="auto"/>
              </w:rPr>
              <w:t>5,881</w:t>
            </w:r>
          </w:p>
        </w:tc>
        <w:tc>
          <w:tcPr>
            <w:tcW w:w="1440" w:type="dxa"/>
            <w:vAlign w:val="bottom"/>
            <w:shd w:val="clear" w:color="auto" w:fill="D2DEA7"/>
          </w:tcPr>
          <w:p>
            <w:pPr>
              <w:jc w:val="right"/>
              <w:ind w:right="27"/>
              <w:spacing w:after="0"/>
              <w:rPr>
                <w:sz w:val="20"/>
                <w:szCs w:val="20"/>
                <w:color w:val="auto"/>
              </w:rPr>
            </w:pPr>
            <w:r>
              <w:rPr>
                <w:rFonts w:ascii="Arial" w:cs="Arial" w:eastAsia="Arial" w:hAnsi="Arial"/>
                <w:sz w:val="15"/>
                <w:szCs w:val="15"/>
                <w:color w:val="auto"/>
              </w:rPr>
              <w:t>—</w:t>
            </w:r>
          </w:p>
        </w:tc>
      </w:tr>
      <w:tr>
        <w:trPr>
          <w:trHeight w:val="32"/>
        </w:trPr>
        <w:tc>
          <w:tcPr>
            <w:tcW w:w="4520" w:type="dxa"/>
            <w:vAlign w:val="bottom"/>
            <w:shd w:val="clear" w:color="auto" w:fill="D2DEA7"/>
          </w:tcPr>
          <w:p>
            <w:pPr>
              <w:spacing w:after="0"/>
              <w:rPr>
                <w:sz w:val="2"/>
                <w:szCs w:val="2"/>
                <w:color w:val="auto"/>
              </w:rPr>
            </w:pPr>
          </w:p>
        </w:tc>
        <w:tc>
          <w:tcPr>
            <w:tcW w:w="4160" w:type="dxa"/>
            <w:vAlign w:val="bottom"/>
            <w:shd w:val="clear" w:color="auto" w:fill="D2DEA7"/>
          </w:tcPr>
          <w:p>
            <w:pPr>
              <w:spacing w:after="0"/>
              <w:rPr>
                <w:sz w:val="2"/>
                <w:szCs w:val="2"/>
                <w:color w:val="auto"/>
              </w:rPr>
            </w:pPr>
          </w:p>
        </w:tc>
        <w:tc>
          <w:tcPr>
            <w:tcW w:w="1440" w:type="dxa"/>
            <w:vAlign w:val="bottom"/>
            <w:shd w:val="clear" w:color="auto" w:fill="D2DEA7"/>
          </w:tcPr>
          <w:p>
            <w:pPr>
              <w:spacing w:after="0"/>
              <w:rPr>
                <w:sz w:val="2"/>
                <w:szCs w:val="2"/>
                <w:color w:val="auto"/>
              </w:rPr>
            </w:pPr>
          </w:p>
        </w:tc>
      </w:tr>
    </w:tbl>
    <w:p>
      <w:pPr>
        <w:spacing w:after="0" w:line="195" w:lineRule="exact"/>
        <w:rPr>
          <w:sz w:val="20"/>
          <w:szCs w:val="20"/>
          <w:color w:val="auto"/>
        </w:rPr>
      </w:pPr>
    </w:p>
    <w:p>
      <w:pPr>
        <w:ind w:left="340" w:right="180"/>
        <w:spacing w:after="0"/>
        <w:rPr>
          <w:sz w:val="20"/>
          <w:szCs w:val="20"/>
          <w:color w:val="auto"/>
        </w:rPr>
      </w:pPr>
      <w:r>
        <w:rPr>
          <w:rFonts w:ascii="Arial" w:cs="Arial" w:eastAsia="Arial" w:hAnsi="Arial"/>
          <w:sz w:val="16"/>
          <w:szCs w:val="16"/>
          <w:color w:val="auto"/>
        </w:rPr>
        <w:t>Our Board has implemented mandatory stock ownership guidelines for non-management directors to further align the interests of non-management directors and stockholders. Each non-management director is required to own shares of our common stock having a value equal to five times the non-management director’s regular annual cash retainer (which amount is $250,000). As of December 31, 2021, all non-management directors met the stock ownership requirement. For purposes of this requirement, a non-management director’s stock ownership includes all shares of our common stock owned by the non-management director outright or held in trust for the director and the director’s immediate family, plus a non-management director’s RSUs. The value of a share is measured as the greater of the then current market price or the closing price of a share of our common stock on the acquisition or grant date.</w:t>
      </w:r>
    </w:p>
    <w:p>
      <w:pPr>
        <w:spacing w:after="0" w:line="380"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41659C"/>
        </w:rPr>
        <w:t>Certain Transactions</w:t>
      </w:r>
    </w:p>
    <w:p>
      <w:pPr>
        <w:spacing w:after="0" w:line="212" w:lineRule="exact"/>
        <w:rPr>
          <w:sz w:val="20"/>
          <w:szCs w:val="20"/>
          <w:color w:val="auto"/>
        </w:rPr>
      </w:pPr>
    </w:p>
    <w:p>
      <w:pPr>
        <w:ind w:left="340" w:right="180"/>
        <w:spacing w:after="0" w:line="242" w:lineRule="auto"/>
        <w:rPr>
          <w:sz w:val="20"/>
          <w:szCs w:val="20"/>
          <w:color w:val="auto"/>
        </w:rPr>
      </w:pPr>
      <w:r>
        <w:rPr>
          <w:rFonts w:ascii="Arial" w:cs="Arial" w:eastAsia="Arial" w:hAnsi="Arial"/>
          <w:sz w:val="16"/>
          <w:szCs w:val="16"/>
          <w:color w:val="auto"/>
        </w:rPr>
        <w:t>Since January 1, 2021, except as described below, we have not been a party to any transaction or series of similar transactions in which the amount involved exceeded or will exceed $120,000 and in which any then-director, executive officer, holder of more than 5% of our common stock, or any member of the immediate family of any of the foregoing, had or will have a direct or indirect material interest. Our Audit Committee is responsible for reviewing and approving or ratifying any related party transactions in accordance with the Audit Committee Charter, and it has approved the transaction described below.</w:t>
      </w:r>
    </w:p>
    <w:p>
      <w:pPr>
        <w:spacing w:after="0" w:line="185" w:lineRule="exact"/>
        <w:rPr>
          <w:sz w:val="20"/>
          <w:szCs w:val="20"/>
          <w:color w:val="auto"/>
        </w:rPr>
      </w:pPr>
    </w:p>
    <w:p>
      <w:pPr>
        <w:ind w:left="340" w:right="120"/>
        <w:spacing w:after="0" w:line="291" w:lineRule="auto"/>
        <w:rPr>
          <w:sz w:val="20"/>
          <w:szCs w:val="20"/>
          <w:color w:val="auto"/>
        </w:rPr>
      </w:pPr>
      <w:r>
        <w:rPr>
          <w:rFonts w:ascii="Arial" w:cs="Arial" w:eastAsia="Arial" w:hAnsi="Arial"/>
          <w:sz w:val="14"/>
          <w:szCs w:val="14"/>
          <w:color w:val="auto"/>
        </w:rPr>
        <w:t>Effective April 5, 2021, Ramesh Nuggihalli joined us as Chief Operating Officer of the Company. From November 2020 and prior to joining the Company, Mr. Nuggihalli provided consulting services regarding the Company’s business strategy. Prior to joining the Company, Mr. Nuggihalli received a total of $73,125 in consulting fees during 2021. Upon appointment as Chief Operating Officer, the consulting arrangement was terminated and Mr. Nuggihalli began being compensated as an employee of the Company and in accordance with our executive compensation program.</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2022 Proxy Statement • 13</w:t>
      </w:r>
    </w:p>
    <w:p>
      <w:pPr>
        <w:sectPr>
          <w:pgSz w:w="11900" w:h="16838" w:orient="portrait"/>
          <w:cols w:equalWidth="0" w:num="1">
            <w:col w:w="10900"/>
          </w:cols>
          <w:pgMar w:left="320" w:top="443" w:right="6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90"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41659C"/>
        </w:rPr>
        <w:t>COVID-19 Response and Employee Safety</w:t>
      </w:r>
    </w:p>
    <w:p>
      <w:pPr>
        <w:spacing w:after="0" w:line="212" w:lineRule="exact"/>
        <w:rPr>
          <w:sz w:val="20"/>
          <w:szCs w:val="20"/>
          <w:color w:val="auto"/>
        </w:rPr>
      </w:pPr>
    </w:p>
    <w:p>
      <w:pPr>
        <w:ind w:left="340" w:right="40"/>
        <w:spacing w:after="0" w:line="245" w:lineRule="auto"/>
        <w:rPr>
          <w:sz w:val="20"/>
          <w:szCs w:val="20"/>
          <w:color w:val="auto"/>
        </w:rPr>
      </w:pPr>
      <w:r>
        <w:rPr>
          <w:rFonts w:ascii="Arial" w:cs="Arial" w:eastAsia="Arial" w:hAnsi="Arial"/>
          <w:sz w:val="16"/>
          <w:szCs w:val="16"/>
          <w:color w:val="auto"/>
        </w:rPr>
        <w:t>At CECO Environmental and around the world, 2021 continued to be defined by our response to the COVID-19 pandemic. Over the course of the year, the Board worked closely with CECO’s senior leadership team to ensure that the Company prioritized the health and safety of our employees and customers, acting with speed and agility to serve our communities and protect our business. As the world emerges from the pandemic, CECO is planning for the next phase.</w:t>
      </w:r>
    </w:p>
    <w:p>
      <w:pPr>
        <w:spacing w:after="0" w:line="180" w:lineRule="exact"/>
        <w:rPr>
          <w:sz w:val="20"/>
          <w:szCs w:val="20"/>
          <w:color w:val="auto"/>
        </w:rPr>
      </w:pPr>
    </w:p>
    <w:p>
      <w:pPr>
        <w:ind w:left="340"/>
        <w:spacing w:after="0" w:line="242" w:lineRule="auto"/>
        <w:rPr>
          <w:sz w:val="20"/>
          <w:szCs w:val="20"/>
          <w:color w:val="auto"/>
        </w:rPr>
      </w:pPr>
      <w:r>
        <w:rPr>
          <w:rFonts w:ascii="Arial" w:cs="Arial" w:eastAsia="Arial" w:hAnsi="Arial"/>
          <w:sz w:val="16"/>
          <w:szCs w:val="16"/>
          <w:color w:val="auto"/>
        </w:rPr>
        <w:t>We are continuing to assess COVID-19 transmission based on community data, namely case rates and hospital capability to manage risk level and safety protocols. This assessment process reflects the requirements for opening our facilities worldwide in the age of vaccines, hybrid work, and unpredictable outbreaks of COVID-19. We do not know how this pandemic will end, but we know that our CECO team will move forward with a passion for caring, community and collaboration. Together, we will continue to make every effort to meet the needs of customers and stakeholders, while working together to keep each other safe and healthy.</w:t>
      </w:r>
    </w:p>
    <w:p>
      <w:pPr>
        <w:spacing w:after="0" w:line="185" w:lineRule="exact"/>
        <w:rPr>
          <w:sz w:val="20"/>
          <w:szCs w:val="20"/>
          <w:color w:val="auto"/>
        </w:rPr>
      </w:pPr>
    </w:p>
    <w:p>
      <w:pPr>
        <w:ind w:left="340" w:right="40"/>
        <w:spacing w:after="0" w:line="280" w:lineRule="auto"/>
        <w:rPr>
          <w:sz w:val="20"/>
          <w:szCs w:val="20"/>
          <w:color w:val="auto"/>
        </w:rPr>
      </w:pPr>
      <w:r>
        <w:rPr>
          <w:rFonts w:ascii="Arial" w:cs="Arial" w:eastAsia="Arial" w:hAnsi="Arial"/>
          <w:sz w:val="14"/>
          <w:szCs w:val="14"/>
          <w:color w:val="auto"/>
        </w:rPr>
        <w:t>At CECO, the health and safety of our employees continues to be one of our highest priorities. Through our environmental, health and safety program we implement policies and training programs, as well as perform self-audits to ensure our colleagues leave the workplace safely every day. To better understand employee safety at the site level, we have safety committees and safety scorecards to share best practices among sites. We currently share scorecard information monthly to foster visibility, accountability and commitment across our workplace, communicating and celebrating successful results across the enterprise. In addition to lagging indicators, such as injury performance, the scorecards highlight leading indicators such as safety observations and near-misses, as well as other proactive actions taken at each site to ensure worker safety. For the year ended December 31, 2021, CECO’s domestic Total Recordable Incident Rate (“TRIR”) was 1.9% as compared to our benchmark industry average TRIR of 4.1%.</w:t>
      </w:r>
    </w:p>
    <w:p>
      <w:pPr>
        <w:spacing w:after="0" w:line="160" w:lineRule="exact"/>
        <w:rPr>
          <w:sz w:val="20"/>
          <w:szCs w:val="20"/>
          <w:color w:val="auto"/>
        </w:rPr>
      </w:pPr>
    </w:p>
    <w:p>
      <w:pPr>
        <w:ind w:left="340"/>
        <w:spacing w:after="0" w:line="262" w:lineRule="auto"/>
        <w:rPr>
          <w:sz w:val="20"/>
          <w:szCs w:val="20"/>
          <w:color w:val="auto"/>
        </w:rPr>
      </w:pPr>
      <w:r>
        <w:rPr>
          <w:rFonts w:ascii="Arial" w:cs="Arial" w:eastAsia="Arial" w:hAnsi="Arial"/>
          <w:sz w:val="16"/>
          <w:szCs w:val="16"/>
          <w:color w:val="auto"/>
        </w:rPr>
        <w:t>Our safety focus is also evident in our response to the COVID-19 pandemic around the globe. We implemented all government, federal and state policies, in addition to our enhanced policies, procedures and protocols: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130810</wp:posOffset>
            </wp:positionV>
            <wp:extent cx="6702425" cy="29819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02425" cy="2981960"/>
                    </a:xfrm>
                    <a:prstGeom prst="rect">
                      <a:avLst/>
                    </a:prstGeom>
                    <a:noFill/>
                  </pic:spPr>
                </pic:pic>
              </a:graphicData>
            </a:graphic>
          </wp:anchor>
        </w:drawing>
      </w:r>
    </w:p>
    <w:p>
      <w:pPr>
        <w:spacing w:after="0" w:line="367"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implemented hybrid, remote work, and work from home flexibility for office job roles;</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continued utilization of Microsoft Teams world-wide to enable collaboration while ensuring team safety;</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continued to leverage Emergency Paid Pandemic Leave policy to encourage those who are sick to stay home;</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continued deep-cleaning protocols across all locations;</w:t>
      </w:r>
    </w:p>
    <w:p>
      <w:pPr>
        <w:spacing w:after="0" w:line="191" w:lineRule="exact"/>
        <w:rPr>
          <w:sz w:val="20"/>
          <w:szCs w:val="20"/>
          <w:color w:val="auto"/>
        </w:rPr>
      </w:pPr>
    </w:p>
    <w:p>
      <w:pPr>
        <w:ind w:left="740" w:right="500" w:hanging="154"/>
        <w:spacing w:after="0" w:line="262" w:lineRule="auto"/>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continued regular communication, public service announcements and mini-video sessions educating, promoting and encouraging the vaccine</w:t>
      </w:r>
      <w:r>
        <w:rPr>
          <w:rFonts w:ascii="Arial" w:cs="Arial" w:eastAsia="Arial" w:hAnsi="Arial"/>
          <w:sz w:val="16"/>
          <w:szCs w:val="16"/>
          <w:color w:val="41659C"/>
        </w:rPr>
        <w:t xml:space="preserve"> </w:t>
      </w:r>
      <w:r>
        <w:rPr>
          <w:rFonts w:ascii="Arial" w:cs="Arial" w:eastAsia="Arial" w:hAnsi="Arial"/>
          <w:sz w:val="16"/>
          <w:szCs w:val="16"/>
          <w:color w:val="000000"/>
        </w:rPr>
        <w:t>and highlighting our health and safety protocols and procedures;</w:t>
      </w:r>
    </w:p>
    <w:p>
      <w:pPr>
        <w:spacing w:after="0" w:line="155" w:lineRule="exact"/>
        <w:rPr>
          <w:sz w:val="20"/>
          <w:szCs w:val="20"/>
          <w:color w:val="auto"/>
        </w:rPr>
      </w:pPr>
    </w:p>
    <w:p>
      <w:pPr>
        <w:ind w:left="740" w:right="620" w:hanging="154"/>
        <w:spacing w:after="0" w:line="262" w:lineRule="auto"/>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continued to implement the self-certification health assessment internationally as offices opened up in addition to continuing requirement for</w:t>
      </w:r>
      <w:r>
        <w:rPr>
          <w:rFonts w:ascii="Arial" w:cs="Arial" w:eastAsia="Arial" w:hAnsi="Arial"/>
          <w:sz w:val="16"/>
          <w:szCs w:val="16"/>
          <w:color w:val="41659C"/>
        </w:rPr>
        <w:t xml:space="preserve"> </w:t>
      </w:r>
      <w:r>
        <w:rPr>
          <w:rFonts w:ascii="Arial" w:cs="Arial" w:eastAsia="Arial" w:hAnsi="Arial"/>
          <w:sz w:val="16"/>
          <w:szCs w:val="16"/>
          <w:color w:val="000000"/>
        </w:rPr>
        <w:t>employees, partners and vendors at our manufacturing facilities (where allowed by local law);</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continued safety protocols to address actual and suspected COVID-19 cases and potential exposure;</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prohibited all non-essential domestic and international business travel for all employees;</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required masks to be worn in all locations where allowed by local law;</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required on-site visitors to complete a health and travel declaration; and</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for on-site visitors traveling by plane, required a negative Polymerase Chain Reaction test before entering the facility.</w:t>
      </w:r>
    </w:p>
    <w:p>
      <w:pPr>
        <w:spacing w:after="0" w:line="200" w:lineRule="exact"/>
        <w:rPr>
          <w:sz w:val="20"/>
          <w:szCs w:val="20"/>
          <w:color w:val="auto"/>
        </w:rPr>
      </w:pPr>
    </w:p>
    <w:p>
      <w:pPr>
        <w:spacing w:after="0" w:line="211" w:lineRule="exact"/>
        <w:rPr>
          <w:sz w:val="20"/>
          <w:szCs w:val="20"/>
          <w:color w:val="auto"/>
        </w:rPr>
      </w:pPr>
    </w:p>
    <w:p>
      <w:pPr>
        <w:ind w:left="340" w:right="40"/>
        <w:spacing w:after="0" w:line="245" w:lineRule="auto"/>
        <w:rPr>
          <w:sz w:val="20"/>
          <w:szCs w:val="20"/>
          <w:color w:val="auto"/>
        </w:rPr>
      </w:pPr>
      <w:r>
        <w:rPr>
          <w:rFonts w:ascii="Arial" w:cs="Arial" w:eastAsia="Arial" w:hAnsi="Arial"/>
          <w:sz w:val="16"/>
          <w:szCs w:val="16"/>
          <w:color w:val="auto"/>
        </w:rPr>
        <w:t>CECO manufactures products and performs services deemed essential to critical infrastructure, including manufacturing and energy, and, as a result, our facilities have continued operating during the COVID-19 pandemic. Importantly, during 2021, our experience and continuing focus on workplace safety have enabled us to preserve business continuity without sacrificing our commitment to keeping our colleagues and workplace visitors safe during the COVID-19 pandemic.</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262626"/>
        </w:rPr>
        <w:t>14 • CECO Environmental</w:t>
      </w:r>
    </w:p>
    <w:p>
      <w:pPr>
        <w:sectPr>
          <w:pgSz w:w="11900" w:h="16838" w:orient="portrait"/>
          <w:cols w:equalWidth="0" w:num="1">
            <w:col w:w="10880"/>
          </w:cols>
          <w:pgMar w:left="320" w:top="443" w:right="6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90"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41659C"/>
        </w:rPr>
        <w:t>EXECUTIVE COMPENSATION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41659C"/>
        </w:rPr>
        <w:t>Compensation Discussion</w:t>
      </w:r>
    </w:p>
    <w:p>
      <w:pPr>
        <w:spacing w:after="0" w:line="212" w:lineRule="exact"/>
        <w:rPr>
          <w:sz w:val="20"/>
          <w:szCs w:val="20"/>
          <w:color w:val="auto"/>
        </w:rPr>
      </w:pPr>
    </w:p>
    <w:p>
      <w:pPr>
        <w:ind w:left="340" w:right="40"/>
        <w:spacing w:after="0"/>
        <w:rPr>
          <w:sz w:val="20"/>
          <w:szCs w:val="20"/>
          <w:color w:val="auto"/>
        </w:rPr>
      </w:pPr>
      <w:r>
        <w:rPr>
          <w:rFonts w:ascii="Arial" w:cs="Arial" w:eastAsia="Arial" w:hAnsi="Arial"/>
          <w:sz w:val="16"/>
          <w:szCs w:val="16"/>
          <w:color w:val="auto"/>
        </w:rPr>
        <w:t>Our executive compensation program is designed to attract, motivate, retain and reward executive talent to achieve our business objectives, with the ultimate goal of increasing stockholder value. This Compensation Discussion provides information about our compensation objectives and policies for our Chief Executive Officer and the other individuals included in the “2021 Summary Compensation Table,” who are referred to as our “named executive officers.” During 2021, the Company qualified as a smaller reporting company under the SEC’s amended definition of “smaller reporting company.” The Company has, nonetheless, chosen to provide many of the compensation-related disclosures that are required for larger public companies. However, the Company is disclosing compensation for only three named executive officers, consistent with the disclosure requirements applicable for smaller reporting companies. This Compensation Discussion puts in perspective the information set forth in the “2021 Summary Compensation Table” that follows in this Proxy Statement.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purposes of this Proxy Statement, the following individuals are considered our 2021 “named executive officers” (or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1833880</wp:posOffset>
            </wp:positionH>
            <wp:positionV relativeFrom="paragraph">
              <wp:posOffset>153670</wp:posOffset>
            </wp:positionV>
            <wp:extent cx="8255" cy="5994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599440"/>
                    </a:xfrm>
                    <a:prstGeom prst="rect">
                      <a:avLst/>
                    </a:prstGeom>
                    <a:noFill/>
                  </pic:spPr>
                </pic:pic>
              </a:graphicData>
            </a:graphic>
          </wp:anchor>
        </w:drawing>
      </w:r>
    </w:p>
    <w:p>
      <w:pPr>
        <w:spacing w:after="0" w:line="222"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2520" w:type="dxa"/>
            <w:vAlign w:val="bottom"/>
            <w:shd w:val="clear" w:color="auto" w:fill="41659C"/>
          </w:tcPr>
          <w:p>
            <w:pPr>
              <w:ind w:left="60"/>
              <w:spacing w:after="0"/>
              <w:rPr>
                <w:sz w:val="20"/>
                <w:szCs w:val="20"/>
                <w:color w:val="auto"/>
              </w:rPr>
            </w:pPr>
            <w:r>
              <w:rPr>
                <w:rFonts w:ascii="Arial" w:cs="Arial" w:eastAsia="Arial" w:hAnsi="Arial"/>
                <w:sz w:val="15"/>
                <w:szCs w:val="15"/>
                <w:b w:val="1"/>
                <w:bCs w:val="1"/>
                <w:color w:val="FFFFFF"/>
              </w:rPr>
              <w:t>Named Executive Officer</w:t>
            </w:r>
          </w:p>
        </w:tc>
        <w:tc>
          <w:tcPr>
            <w:tcW w:w="8020" w:type="dxa"/>
            <w:vAlign w:val="bottom"/>
            <w:shd w:val="clear" w:color="auto" w:fill="41659C"/>
          </w:tcPr>
          <w:p>
            <w:pPr>
              <w:ind w:left="100"/>
              <w:spacing w:after="0"/>
              <w:rPr>
                <w:sz w:val="20"/>
                <w:szCs w:val="20"/>
                <w:color w:val="auto"/>
              </w:rPr>
            </w:pPr>
            <w:r>
              <w:rPr>
                <w:rFonts w:ascii="Arial" w:cs="Arial" w:eastAsia="Arial" w:hAnsi="Arial"/>
                <w:sz w:val="15"/>
                <w:szCs w:val="15"/>
                <w:b w:val="1"/>
                <w:bCs w:val="1"/>
                <w:color w:val="FFFFFF"/>
              </w:rPr>
              <w:t>Title</w:t>
            </w:r>
          </w:p>
        </w:tc>
      </w:tr>
      <w:tr>
        <w:trPr>
          <w:trHeight w:val="226"/>
        </w:trPr>
        <w:tc>
          <w:tcPr>
            <w:tcW w:w="2520" w:type="dxa"/>
            <w:vAlign w:val="bottom"/>
            <w:tcBorders>
              <w:bottom w:val="single" w:sz="8" w:color="E8EED3"/>
            </w:tcBorders>
            <w:shd w:val="clear" w:color="auto" w:fill="E8EED3"/>
          </w:tcPr>
          <w:p>
            <w:pPr>
              <w:ind w:left="60"/>
              <w:spacing w:after="0"/>
              <w:rPr>
                <w:sz w:val="20"/>
                <w:szCs w:val="20"/>
                <w:color w:val="auto"/>
              </w:rPr>
            </w:pPr>
            <w:r>
              <w:rPr>
                <w:rFonts w:ascii="Arial" w:cs="Arial" w:eastAsia="Arial" w:hAnsi="Arial"/>
                <w:sz w:val="15"/>
                <w:szCs w:val="15"/>
                <w:color w:val="auto"/>
              </w:rPr>
              <w:t>Todd Gleason</w:t>
            </w:r>
          </w:p>
        </w:tc>
        <w:tc>
          <w:tcPr>
            <w:tcW w:w="8020" w:type="dxa"/>
            <w:vAlign w:val="bottom"/>
            <w:tcBorders>
              <w:bottom w:val="single" w:sz="8" w:color="E8EED3"/>
            </w:tcBorders>
            <w:shd w:val="clear" w:color="auto" w:fill="E8EED3"/>
          </w:tcPr>
          <w:p>
            <w:pPr>
              <w:ind w:left="100"/>
              <w:spacing w:after="0"/>
              <w:rPr>
                <w:sz w:val="20"/>
                <w:szCs w:val="20"/>
                <w:color w:val="auto"/>
              </w:rPr>
            </w:pPr>
            <w:r>
              <w:rPr>
                <w:rFonts w:ascii="Arial" w:cs="Arial" w:eastAsia="Arial" w:hAnsi="Arial"/>
                <w:sz w:val="15"/>
                <w:szCs w:val="15"/>
                <w:color w:val="auto"/>
              </w:rPr>
              <w:t>Chief Executive Officer (“CEO”)</w:t>
            </w:r>
          </w:p>
        </w:tc>
      </w:tr>
      <w:tr>
        <w:trPr>
          <w:trHeight w:val="226"/>
        </w:trPr>
        <w:tc>
          <w:tcPr>
            <w:tcW w:w="2520" w:type="dxa"/>
            <w:vAlign w:val="bottom"/>
            <w:tcBorders>
              <w:bottom w:val="single" w:sz="8" w:color="D2DEA7"/>
            </w:tcBorders>
            <w:shd w:val="clear" w:color="auto" w:fill="D2DEA7"/>
          </w:tcPr>
          <w:p>
            <w:pPr>
              <w:ind w:left="60"/>
              <w:spacing w:after="0"/>
              <w:rPr>
                <w:sz w:val="20"/>
                <w:szCs w:val="20"/>
                <w:color w:val="auto"/>
              </w:rPr>
            </w:pPr>
            <w:r>
              <w:rPr>
                <w:rFonts w:ascii="Arial" w:cs="Arial" w:eastAsia="Arial" w:hAnsi="Arial"/>
                <w:sz w:val="15"/>
                <w:szCs w:val="15"/>
                <w:color w:val="auto"/>
              </w:rPr>
              <w:t>Matthew Eckl</w:t>
            </w:r>
          </w:p>
        </w:tc>
        <w:tc>
          <w:tcPr>
            <w:tcW w:w="8020" w:type="dxa"/>
            <w:vAlign w:val="bottom"/>
            <w:tcBorders>
              <w:bottom w:val="single" w:sz="8" w:color="D2DEA7"/>
            </w:tcBorders>
            <w:shd w:val="clear" w:color="auto" w:fill="D2DEA7"/>
          </w:tcPr>
          <w:p>
            <w:pPr>
              <w:ind w:left="100"/>
              <w:spacing w:after="0"/>
              <w:rPr>
                <w:sz w:val="20"/>
                <w:szCs w:val="20"/>
                <w:color w:val="auto"/>
              </w:rPr>
            </w:pPr>
            <w:r>
              <w:rPr>
                <w:rFonts w:ascii="Arial" w:cs="Arial" w:eastAsia="Arial" w:hAnsi="Arial"/>
                <w:sz w:val="15"/>
                <w:szCs w:val="15"/>
                <w:color w:val="auto"/>
              </w:rPr>
              <w:t>Chief Financial Officer (“CFO”)</w:t>
            </w:r>
          </w:p>
        </w:tc>
      </w:tr>
      <w:tr>
        <w:trPr>
          <w:trHeight w:val="214"/>
        </w:trPr>
        <w:tc>
          <w:tcPr>
            <w:tcW w:w="2520" w:type="dxa"/>
            <w:vAlign w:val="bottom"/>
            <w:shd w:val="clear" w:color="auto" w:fill="E8EED3"/>
          </w:tcPr>
          <w:p>
            <w:pPr>
              <w:ind w:left="60"/>
              <w:spacing w:after="0"/>
              <w:rPr>
                <w:sz w:val="20"/>
                <w:szCs w:val="20"/>
                <w:color w:val="auto"/>
              </w:rPr>
            </w:pPr>
            <w:r>
              <w:rPr>
                <w:rFonts w:ascii="Arial" w:cs="Arial" w:eastAsia="Arial" w:hAnsi="Arial"/>
                <w:sz w:val="15"/>
                <w:szCs w:val="15"/>
                <w:color w:val="auto"/>
              </w:rPr>
              <w:t>Ramesh Nuggihalli</w:t>
            </w:r>
          </w:p>
        </w:tc>
        <w:tc>
          <w:tcPr>
            <w:tcW w:w="8020" w:type="dxa"/>
            <w:vAlign w:val="bottom"/>
            <w:shd w:val="clear" w:color="auto" w:fill="E8EED3"/>
          </w:tcPr>
          <w:p>
            <w:pPr>
              <w:ind w:left="100"/>
              <w:spacing w:after="0"/>
              <w:rPr>
                <w:sz w:val="20"/>
                <w:szCs w:val="20"/>
                <w:color w:val="auto"/>
              </w:rPr>
            </w:pPr>
            <w:r>
              <w:rPr>
                <w:rFonts w:ascii="Arial" w:cs="Arial" w:eastAsia="Arial" w:hAnsi="Arial"/>
                <w:sz w:val="15"/>
                <w:szCs w:val="15"/>
                <w:color w:val="auto"/>
              </w:rPr>
              <w:t>Chief Operating Officer (“COO”)</w:t>
            </w:r>
          </w:p>
        </w:tc>
      </w:tr>
      <w:tr>
        <w:trPr>
          <w:trHeight w:val="32"/>
        </w:trPr>
        <w:tc>
          <w:tcPr>
            <w:tcW w:w="2520" w:type="dxa"/>
            <w:vAlign w:val="bottom"/>
            <w:shd w:val="clear" w:color="auto" w:fill="E8EED3"/>
          </w:tcPr>
          <w:p>
            <w:pPr>
              <w:spacing w:after="0"/>
              <w:rPr>
                <w:sz w:val="2"/>
                <w:szCs w:val="2"/>
                <w:color w:val="auto"/>
              </w:rPr>
            </w:pPr>
          </w:p>
        </w:tc>
        <w:tc>
          <w:tcPr>
            <w:tcW w:w="8020" w:type="dxa"/>
            <w:vAlign w:val="bottom"/>
            <w:shd w:val="clear" w:color="auto" w:fill="E8EED3"/>
          </w:tcPr>
          <w:p>
            <w:pPr>
              <w:spacing w:after="0"/>
              <w:rPr>
                <w:sz w:val="2"/>
                <w:szCs w:val="2"/>
                <w:color w:val="auto"/>
              </w:rPr>
            </w:pPr>
          </w:p>
        </w:tc>
      </w:tr>
    </w:tbl>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2022 Proxy Statement • 15</w:t>
      </w:r>
    </w:p>
    <w:p>
      <w:pPr>
        <w:sectPr>
          <w:pgSz w:w="11900" w:h="16838" w:orient="portrait"/>
          <w:cols w:equalWidth="0" w:num="1">
            <w:col w:w="10900"/>
          </w:cols>
          <w:pgMar w:left="320" w:top="443" w:right="6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9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42138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02425" cy="4213860"/>
                    </a:xfrm>
                    <a:prstGeom prst="rect">
                      <a:avLst/>
                    </a:prstGeom>
                    <a:noFill/>
                  </pic:spPr>
                </pic:pic>
              </a:graphicData>
            </a:graphic>
          </wp:anchor>
        </w:drawing>
      </w:r>
    </w:p>
    <w:p>
      <w:pPr>
        <w:spacing w:after="0" w:line="399" w:lineRule="exact"/>
        <w:rPr>
          <w:sz w:val="20"/>
          <w:szCs w:val="20"/>
          <w:color w:val="auto"/>
        </w:rPr>
      </w:pPr>
    </w:p>
    <w:p>
      <w:pPr>
        <w:ind w:left="740" w:right="260" w:hanging="154"/>
        <w:spacing w:after="0" w:line="262" w:lineRule="auto"/>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During 2021, our Compensation Committee continued to administer executive compensation programs that it considers to be competitive in the</w:t>
      </w:r>
      <w:r>
        <w:rPr>
          <w:rFonts w:ascii="Arial" w:cs="Arial" w:eastAsia="Arial" w:hAnsi="Arial"/>
          <w:sz w:val="16"/>
          <w:szCs w:val="16"/>
          <w:color w:val="41659C"/>
        </w:rPr>
        <w:t xml:space="preserve"> </w:t>
      </w:r>
      <w:r>
        <w:rPr>
          <w:rFonts w:ascii="Arial" w:cs="Arial" w:eastAsia="Arial" w:hAnsi="Arial"/>
          <w:sz w:val="16"/>
          <w:szCs w:val="16"/>
          <w:color w:val="000000"/>
        </w:rPr>
        <w:t>market for talent and aligned with industry best practices and the long-term interests of our stockholders.</w:t>
      </w:r>
    </w:p>
    <w:p>
      <w:pPr>
        <w:spacing w:after="0" w:line="155" w:lineRule="exact"/>
        <w:rPr>
          <w:sz w:val="20"/>
          <w:szCs w:val="20"/>
          <w:color w:val="auto"/>
        </w:rPr>
      </w:pPr>
    </w:p>
    <w:p>
      <w:pPr>
        <w:ind w:left="740" w:right="440" w:hanging="154"/>
        <w:spacing w:after="0" w:line="241" w:lineRule="auto"/>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Our annual performance-based cash incentive compensation program is typically designed to reward our management team (including our</w:t>
      </w:r>
      <w:r>
        <w:rPr>
          <w:rFonts w:ascii="Arial" w:cs="Arial" w:eastAsia="Arial" w:hAnsi="Arial"/>
          <w:sz w:val="16"/>
          <w:szCs w:val="16"/>
          <w:color w:val="41659C"/>
        </w:rPr>
        <w:t xml:space="preserve"> </w:t>
      </w:r>
      <w:r>
        <w:rPr>
          <w:rFonts w:ascii="Arial" w:cs="Arial" w:eastAsia="Arial" w:hAnsi="Arial"/>
          <w:sz w:val="16"/>
          <w:szCs w:val="16"/>
          <w:color w:val="000000"/>
        </w:rPr>
        <w:t>NEOs) for achievement of certain pre-established, short-term financial and/or operational goals. For 2021, the performance objectives under our performance-based incentive program consisted of equally-weighted financial measures including bookings, Adjusted EBITDA, revenue and free cash flow, in each case established by reference to the Company’s annual operating plan. For 2021, we made a decision to add an additional metric, bookings, to our usual incentive program metrics of Adjusted EBITDA, revenue and free cash flow. We did this because rebuilding our backlog was a priority in 2021 and it will continue to be a priority in 2022.</w:t>
      </w:r>
    </w:p>
    <w:p>
      <w:pPr>
        <w:spacing w:after="0" w:line="172" w:lineRule="exact"/>
        <w:rPr>
          <w:sz w:val="20"/>
          <w:szCs w:val="20"/>
          <w:color w:val="auto"/>
        </w:rPr>
      </w:pPr>
    </w:p>
    <w:p>
      <w:pPr>
        <w:ind w:left="740" w:right="260" w:hanging="154"/>
        <w:spacing w:after="0" w:line="302" w:lineRule="auto"/>
        <w:rPr>
          <w:sz w:val="20"/>
          <w:szCs w:val="20"/>
          <w:color w:val="auto"/>
        </w:rPr>
      </w:pPr>
      <w:r>
        <w:rPr>
          <w:rFonts w:ascii="Arial" w:cs="Arial" w:eastAsia="Arial" w:hAnsi="Arial"/>
          <w:sz w:val="14"/>
          <w:szCs w:val="14"/>
          <w:color w:val="41659C"/>
        </w:rPr>
        <w:t>•</w:t>
      </w:r>
      <w:r>
        <w:rPr>
          <w:rFonts w:ascii="Arial" w:cs="Arial" w:eastAsia="Arial" w:hAnsi="Arial"/>
          <w:sz w:val="14"/>
          <w:szCs w:val="14"/>
          <w:color w:val="000000"/>
        </w:rPr>
        <w:t>  Performance-based restricted stock units (“PRSUs”) that were granted in 2021 under our long-term equity incentive program require attainment</w:t>
      </w:r>
      <w:r>
        <w:rPr>
          <w:rFonts w:ascii="Arial" w:cs="Arial" w:eastAsia="Arial" w:hAnsi="Arial"/>
          <w:sz w:val="14"/>
          <w:szCs w:val="14"/>
          <w:color w:val="41659C"/>
        </w:rPr>
        <w:t xml:space="preserve"> </w:t>
      </w:r>
      <w:r>
        <w:rPr>
          <w:rFonts w:ascii="Arial" w:cs="Arial" w:eastAsia="Arial" w:hAnsi="Arial"/>
          <w:sz w:val="14"/>
          <w:szCs w:val="14"/>
          <w:color w:val="000000"/>
        </w:rPr>
        <w:t>of relative total shareholder return (“Relative TSR”) goals during the 2021-2023 performance period for a specific percentage of those PRSUs to vest. We also granted time-based restricted stock units (“RSUs”) in 2021 to our NEOs. These RSUs generally vest ratably over four years.</w:t>
      </w:r>
    </w:p>
    <w:p>
      <w:pPr>
        <w:spacing w:after="0" w:line="130" w:lineRule="exact"/>
        <w:rPr>
          <w:sz w:val="20"/>
          <w:szCs w:val="20"/>
          <w:color w:val="auto"/>
        </w:rPr>
      </w:pPr>
    </w:p>
    <w:p>
      <w:pPr>
        <w:jc w:val="both"/>
        <w:ind w:left="740" w:right="420" w:hanging="154"/>
        <w:spacing w:after="0" w:line="249" w:lineRule="auto"/>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Our stock ownership guidelines apply to all executive officers, including our named executive officers. Our CEO is required to own shares of</w:t>
      </w:r>
      <w:r>
        <w:rPr>
          <w:rFonts w:ascii="Arial" w:cs="Arial" w:eastAsia="Arial" w:hAnsi="Arial"/>
          <w:sz w:val="16"/>
          <w:szCs w:val="16"/>
          <w:color w:val="41659C"/>
        </w:rPr>
        <w:t xml:space="preserve"> </w:t>
      </w:r>
      <w:r>
        <w:rPr>
          <w:rFonts w:ascii="Arial" w:cs="Arial" w:eastAsia="Arial" w:hAnsi="Arial"/>
          <w:sz w:val="16"/>
          <w:szCs w:val="16"/>
          <w:color w:val="000000"/>
        </w:rPr>
        <w:t>our stock or stock equivalents having a value equal to five times his base salary. Each of our CFO and COO is required to own shares of our stock or stock equivalents having a value equal to three times his base salary.</w:t>
      </w:r>
    </w:p>
    <w:p>
      <w:pPr>
        <w:spacing w:after="0" w:line="165" w:lineRule="exact"/>
        <w:rPr>
          <w:sz w:val="20"/>
          <w:szCs w:val="20"/>
          <w:color w:val="auto"/>
        </w:rPr>
      </w:pPr>
    </w:p>
    <w:p>
      <w:pPr>
        <w:ind w:left="740" w:right="340" w:hanging="154"/>
        <w:spacing w:after="0" w:line="241" w:lineRule="auto"/>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As noted above, our Compensation Committee has engaged an independent executive compensation consultant to provide advice on</w:t>
      </w:r>
      <w:r>
        <w:rPr>
          <w:rFonts w:ascii="Arial" w:cs="Arial" w:eastAsia="Arial" w:hAnsi="Arial"/>
          <w:sz w:val="16"/>
          <w:szCs w:val="16"/>
          <w:color w:val="41659C"/>
        </w:rPr>
        <w:t xml:space="preserve"> </w:t>
      </w:r>
      <w:r>
        <w:rPr>
          <w:rFonts w:ascii="Arial" w:cs="Arial" w:eastAsia="Arial" w:hAnsi="Arial"/>
          <w:sz w:val="16"/>
          <w:szCs w:val="16"/>
          <w:color w:val="000000"/>
        </w:rPr>
        <w:t>compensation matters. In December 2020, we engaged our independent compensation consultant to conduct a market analysis of Messrs. Gleason’s and Eckl’s, and the Board’s total cash compensation and equity incentives against the general market and our peer group. In 2021, we had this market analysis updated for our NEOs. As described below, the independent compensation consultant also advised the Compensation Committee with respect to the compensation and equity offered to Mr. Nuggihalli in connection with his employment. We have determined that our named executive officers are appropriately compensated.</w:t>
      </w:r>
    </w:p>
    <w:p>
      <w:pPr>
        <w:spacing w:after="0" w:line="172" w:lineRule="exact"/>
        <w:rPr>
          <w:sz w:val="20"/>
          <w:szCs w:val="20"/>
          <w:color w:val="auto"/>
        </w:rPr>
      </w:pPr>
    </w:p>
    <w:p>
      <w:pPr>
        <w:ind w:left="740" w:right="540" w:hanging="154"/>
        <w:spacing w:after="0" w:line="245" w:lineRule="auto"/>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Our clawback policy permits us to recover excess incentive-based compensation paid to a current or former “Section 16 officer” if we are</w:t>
      </w:r>
      <w:r>
        <w:rPr>
          <w:rFonts w:ascii="Arial" w:cs="Arial" w:eastAsia="Arial" w:hAnsi="Arial"/>
          <w:sz w:val="16"/>
          <w:szCs w:val="16"/>
          <w:color w:val="41659C"/>
        </w:rPr>
        <w:t xml:space="preserve"> </w:t>
      </w:r>
      <w:r>
        <w:rPr>
          <w:rFonts w:ascii="Arial" w:cs="Arial" w:eastAsia="Arial" w:hAnsi="Arial"/>
          <w:sz w:val="16"/>
          <w:szCs w:val="16"/>
          <w:color w:val="000000"/>
        </w:rPr>
        <w:t>required to restate our financial statements due to material noncompliance with the financial reporting requirements under United States federal securities laws and such person willfully committed an act of fraud, dishonesty or recklessness in the performance of his duties that contributed to the noncompliance or benefitted materially as a result of receiving excess incentive-based compensation.</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We generally use tally sheets when determining executive compensation.</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We provide limited perquisites.</w:t>
      </w:r>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2021 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76835</wp:posOffset>
            </wp:positionV>
            <wp:extent cx="67024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140" w:lineRule="exact"/>
        <w:rPr>
          <w:sz w:val="20"/>
          <w:szCs w:val="20"/>
          <w:color w:val="auto"/>
        </w:rPr>
      </w:pPr>
    </w:p>
    <w:p>
      <w:pPr>
        <w:ind w:left="340"/>
        <w:spacing w:after="0" w:line="280" w:lineRule="auto"/>
        <w:rPr>
          <w:sz w:val="20"/>
          <w:szCs w:val="20"/>
          <w:color w:val="auto"/>
        </w:rPr>
      </w:pPr>
      <w:r>
        <w:rPr>
          <w:rFonts w:ascii="Arial" w:cs="Arial" w:eastAsia="Arial" w:hAnsi="Arial"/>
          <w:sz w:val="14"/>
          <w:szCs w:val="14"/>
          <w:color w:val="auto"/>
        </w:rPr>
        <w:t>At our 2021 Annual Meeting of Stockholders, our advisory “Say-on-Pay” proposal to approve the compensation of our named executive officers received approximately 88% approval of all shares represented at the meeting. Our Compensation Committee believes that this strong approval reflects our continued efforts to improve our compensation practices. During 2021, we had direct contact and discussions with stockholders representing approximately 57% of our outstanding shares, consistent with our experience in 2020. Mr. Gleason and Mr. Eckl, as well as some of our directors, participated in these discussions and provided stockholder feedback to our Board as a whole. Our Compensation Committee considered the 2021 Say-on-Pay voting results at its subsequent meetings and remains dedicated to continuous improvement to our executive compensation programs, although it did not make any changes to our executive compensation policies or practices that were specifically driven by the outcome of that vote.</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6"/>
          <w:szCs w:val="16"/>
          <w:color w:val="262626"/>
        </w:rPr>
        <w:t>16 • CECO Environmental</w:t>
      </w:r>
    </w:p>
    <w:p>
      <w:pPr>
        <w:sectPr>
          <w:pgSz w:w="11900" w:h="16838" w:orient="portrait"/>
          <w:cols w:equalWidth="0" w:num="1">
            <w:col w:w="10780"/>
          </w:cols>
          <w:pgMar w:left="320" w:top="443" w:right="7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9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Compensation Policy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89" w:lineRule="exact"/>
        <w:rPr>
          <w:sz w:val="20"/>
          <w:szCs w:val="20"/>
          <w:color w:val="auto"/>
        </w:rPr>
      </w:pPr>
    </w:p>
    <w:p>
      <w:pPr>
        <w:ind w:left="340" w:right="20"/>
        <w:spacing w:after="0"/>
        <w:rPr>
          <w:sz w:val="20"/>
          <w:szCs w:val="20"/>
          <w:color w:val="auto"/>
        </w:rPr>
      </w:pPr>
      <w:r>
        <w:rPr>
          <w:rFonts w:ascii="Arial" w:cs="Arial" w:eastAsia="Arial" w:hAnsi="Arial"/>
          <w:sz w:val="16"/>
          <w:szCs w:val="16"/>
          <w:color w:val="auto"/>
        </w:rPr>
        <w:t>Our Compensation Committee believes that an effective executive compensation program generally rewards the achievement of annual, long-term and strategic goals set by the Company and aligns our named executive officers’ interests with those of our other stockholders. Our executive compensation program is designed to attract, motivate, retain and reward highly qualified individuals who are committed to the achievement of solid financial performance and excellence in the management of our Company assets. To accomplish this objective, our typical executive compensation program is designed to provide competitive compensation and to link compensation to our Company’s financial and operational performance. Our Compensation Committee generally evaluates compensation against individual and external market factors to help ensure that we maintain our ability to attract, motivate and retain key executive talent.</w:t>
      </w:r>
    </w:p>
    <w:p>
      <w:pPr>
        <w:spacing w:after="0" w:line="187" w:lineRule="exact"/>
        <w:rPr>
          <w:sz w:val="20"/>
          <w:szCs w:val="20"/>
          <w:color w:val="auto"/>
        </w:rPr>
      </w:pPr>
    </w:p>
    <w:p>
      <w:pPr>
        <w:ind w:left="340" w:right="260"/>
        <w:spacing w:after="0" w:line="302" w:lineRule="auto"/>
        <w:rPr>
          <w:sz w:val="20"/>
          <w:szCs w:val="20"/>
          <w:color w:val="auto"/>
        </w:rPr>
      </w:pPr>
      <w:r>
        <w:rPr>
          <w:rFonts w:ascii="Arial" w:cs="Arial" w:eastAsia="Arial" w:hAnsi="Arial"/>
          <w:sz w:val="14"/>
          <w:szCs w:val="14"/>
          <w:color w:val="auto"/>
        </w:rPr>
        <w:t>Total compensation for our named executive officers generally is comprised of base salary, short-term incentives and long-term incentives, a portion of which is designed to be earned based on our Company’s financial performance. From time to time, our Compensation Committee may approve discretionary cash bonuses or special equity awards to recognize and reward a named executive officer’s individual effort in certain circumstances.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Compensation Committee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89" w:lineRule="exact"/>
        <w:rPr>
          <w:sz w:val="20"/>
          <w:szCs w:val="20"/>
          <w:color w:val="auto"/>
        </w:rPr>
      </w:pPr>
    </w:p>
    <w:p>
      <w:pPr>
        <w:ind w:left="340" w:right="100"/>
        <w:spacing w:after="0" w:line="239" w:lineRule="auto"/>
        <w:rPr>
          <w:sz w:val="20"/>
          <w:szCs w:val="20"/>
          <w:color w:val="auto"/>
        </w:rPr>
      </w:pPr>
      <w:r>
        <w:rPr>
          <w:rFonts w:ascii="Arial" w:cs="Arial" w:eastAsia="Arial" w:hAnsi="Arial"/>
          <w:sz w:val="16"/>
          <w:szCs w:val="16"/>
          <w:color w:val="auto"/>
        </w:rPr>
        <w:t>Our Compensation Committee oversees our compensation programs, with particular attention to the compensation for our CEO and the other named executive officers, to help ensure that our compensation philosophy is consistent with the best interests of the Company and our stockholders. It reviews and approves (or, as appropriate, recommends to our Board for approval) changes to our executive compensation programs. While our Compensation Committee has historically established and utilized objective, formula-based arrangements, it believes that an effective executive compensation program also requires the use of sound business judgment and the ability to exercise discretion. Accordingly, our Compensation Committee retains discretion to adjust the mix of cash and equity compensation components, adjust the mix of RSUs and PRSUs awarded, and offer other forms of equity-based compensation. In the past, our Compensation Committee has exercised its discretion and modified the recommended adjustments or awards to our named executive officers. We believe that this discretion allows our Compensation Committee to better reward the relative contributions of each named executive officer and to respond to market practices as our business needs change.</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Role of Compensation Consultants in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76" w:lineRule="exact"/>
        <w:rPr>
          <w:sz w:val="20"/>
          <w:szCs w:val="20"/>
          <w:color w:val="auto"/>
        </w:rPr>
      </w:pPr>
    </w:p>
    <w:p>
      <w:pPr>
        <w:ind w:left="340" w:right="20"/>
        <w:spacing w:after="0"/>
        <w:rPr>
          <w:sz w:val="20"/>
          <w:szCs w:val="20"/>
          <w:color w:val="auto"/>
        </w:rPr>
      </w:pPr>
      <w:r>
        <w:rPr>
          <w:rFonts w:ascii="Arial" w:cs="Arial" w:eastAsia="Arial" w:hAnsi="Arial"/>
          <w:sz w:val="16"/>
          <w:szCs w:val="16"/>
          <w:color w:val="auto"/>
        </w:rPr>
        <w:t>Our Compensation Committee has engaged Meridian Compensation Partners LLC (“Meridian”) as its independent executive compensation consultant to advise our Compensation Committee on executive compensation matters. At our Compensation Committee’s direction, Meridian prepared, presented and made recommendations on peer group data, competitive market pay, compensation structure and general market trends. More specifically, Meridian provided market and peer group data to give our Compensation Committee context for our Company’s short-term cash compensation. The Compensation Committee sought the advice of Meridian in considering the design of the NEOs’ 2021 cash compensation, including the short-term incentive program. As described above, we also consulted Meridian in connection with determining Mr. Nuggihalli’s compensation package, which emphasizes performance metrics. In reviewing our executive compensation programs for market-competitiveness and alignment with industry best practices, our Compensation Committee considered the information and advice presented by Meridian.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Meridian has also provided a review of our fixed, variable, and long-term compensation against our peer group for our named executive officers.</w:t>
      </w:r>
    </w:p>
    <w:p>
      <w:pPr>
        <w:spacing w:after="0" w:line="204" w:lineRule="exact"/>
        <w:rPr>
          <w:sz w:val="20"/>
          <w:szCs w:val="20"/>
          <w:color w:val="auto"/>
        </w:rPr>
      </w:pPr>
    </w:p>
    <w:p>
      <w:pPr>
        <w:ind w:left="340" w:right="80"/>
        <w:spacing w:after="0" w:line="245" w:lineRule="auto"/>
        <w:rPr>
          <w:sz w:val="20"/>
          <w:szCs w:val="20"/>
          <w:color w:val="auto"/>
        </w:rPr>
      </w:pPr>
      <w:r>
        <w:rPr>
          <w:rFonts w:ascii="Arial" w:cs="Arial" w:eastAsia="Arial" w:hAnsi="Arial"/>
          <w:sz w:val="16"/>
          <w:szCs w:val="16"/>
          <w:color w:val="auto"/>
        </w:rPr>
        <w:t>Our Compensation Committee assessed the independence of Meridian, as required under the NASDAQ listing requirements, and considered and assessed all relevant factors, including those set forth in Rule 10C-1(b)(4)(i) through (vi) under the Exchange Act, which could give rise to a potential conflict of interest with respect to Meridian during 2021. Based on this review, our Compensation Committee did not identify any conflict of interest raised by the work of Meridian. Meridian does not provide any services to management or any other services to our Company.</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Role of Executive Officers in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89" w:lineRule="exact"/>
        <w:rPr>
          <w:sz w:val="20"/>
          <w:szCs w:val="20"/>
          <w:color w:val="auto"/>
        </w:rPr>
      </w:pPr>
    </w:p>
    <w:p>
      <w:pPr>
        <w:jc w:val="both"/>
        <w:ind w:left="340" w:right="180"/>
        <w:spacing w:after="0" w:line="249" w:lineRule="auto"/>
        <w:rPr>
          <w:sz w:val="20"/>
          <w:szCs w:val="20"/>
          <w:color w:val="auto"/>
        </w:rPr>
      </w:pPr>
      <w:r>
        <w:rPr>
          <w:rFonts w:ascii="Arial" w:cs="Arial" w:eastAsia="Arial" w:hAnsi="Arial"/>
          <w:sz w:val="16"/>
          <w:szCs w:val="16"/>
          <w:color w:val="auto"/>
        </w:rPr>
        <w:t>Our annual and long-term incentive-based executive compensation is generally structured to reward our executive officers for achieving our Company’s business goals. From time to time, our Compensation Committee relies upon recommendations made by our management, and in particular, our CEO, regarding compensation for our executive officers other than our CEO.</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2022 Proxy Statement • 17</w:t>
      </w:r>
    </w:p>
    <w:p>
      <w:pPr>
        <w:sectPr>
          <w:pgSz w:w="11900" w:h="16838" w:orient="portrait"/>
          <w:cols w:equalWidth="0" w:num="1">
            <w:col w:w="10900"/>
          </w:cols>
          <w:pgMar w:left="320" w:top="443" w:right="6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4" w:lineRule="exact"/>
        <w:rPr>
          <w:sz w:val="20"/>
          <w:szCs w:val="20"/>
          <w:color w:val="auto"/>
        </w:rPr>
      </w:pPr>
    </w:p>
    <w:p>
      <w:pPr>
        <w:ind w:left="340" w:right="40"/>
        <w:spacing w:after="0"/>
        <w:rPr>
          <w:sz w:val="20"/>
          <w:szCs w:val="20"/>
          <w:color w:val="auto"/>
        </w:rPr>
      </w:pPr>
      <w:r>
        <w:rPr>
          <w:rFonts w:ascii="Arial" w:cs="Arial" w:eastAsia="Arial" w:hAnsi="Arial"/>
          <w:sz w:val="16"/>
          <w:szCs w:val="16"/>
          <w:color w:val="auto"/>
        </w:rPr>
        <w:t>As part of its review and establishment of the performance criteria and compensation of our named executive officers, our Compensation Committee meets separately with our CEO at least once each year and with our other executive officers as it deems appropriate. Our CEO, and such other executive officers as our CEO deems appropriate, annually review the performance of each of our other named executive officers (other than our CEO) with our Compensation Committee and makes recommendations to our Compensation Committee regarding such named executive officers’ compensation. Our Compensation Committee makes its compensation decisions for our named executive officers other than the CEO based on that review and the recommendations of our CEO. Each year, our CEO’s performance is reviewed by our non-management directors, and based on that review, our Compensation Committee makes a recommendation to the non-management directors regarding the compensation of our CEO.</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Setting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89" w:lineRule="exact"/>
        <w:rPr>
          <w:sz w:val="20"/>
          <w:szCs w:val="20"/>
          <w:color w:val="auto"/>
        </w:rPr>
      </w:pPr>
    </w:p>
    <w:p>
      <w:pPr>
        <w:ind w:left="340" w:right="460"/>
        <w:spacing w:after="0" w:line="242" w:lineRule="auto"/>
        <w:rPr>
          <w:sz w:val="20"/>
          <w:szCs w:val="20"/>
          <w:color w:val="auto"/>
        </w:rPr>
      </w:pPr>
      <w:r>
        <w:rPr>
          <w:rFonts w:ascii="Arial" w:cs="Arial" w:eastAsia="Arial" w:hAnsi="Arial"/>
          <w:sz w:val="16"/>
          <w:szCs w:val="16"/>
          <w:color w:val="auto"/>
        </w:rPr>
        <w:t>Our Compensation Committee evaluates the performance of our CEO and the other named executive officers as described above and reviews and approves the annual salary and any annual cash incentive, bonus, long-term stock-based compensation and other material benefits of our named executive officers other than our CEO, subject to the terms of any applicable employment agreements. Based on the recommendations of our Compensation Committee, our non-management directors approve the annual salary and any annual cash incentive, bonus, long-term stock-based compensation and other material benefits of our CEO, subject to the terms of his employment agreement.</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External Pay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89" w:lineRule="exact"/>
        <w:rPr>
          <w:sz w:val="20"/>
          <w:szCs w:val="20"/>
          <w:color w:val="auto"/>
        </w:rPr>
      </w:pPr>
    </w:p>
    <w:p>
      <w:pPr>
        <w:ind w:left="340" w:right="40"/>
        <w:spacing w:after="0" w:line="242" w:lineRule="auto"/>
        <w:rPr>
          <w:sz w:val="20"/>
          <w:szCs w:val="20"/>
          <w:color w:val="auto"/>
        </w:rPr>
      </w:pPr>
      <w:r>
        <w:rPr>
          <w:rFonts w:ascii="Arial" w:cs="Arial" w:eastAsia="Arial" w:hAnsi="Arial"/>
          <w:sz w:val="16"/>
          <w:szCs w:val="16"/>
          <w:color w:val="auto"/>
        </w:rPr>
        <w:t>Our Compensation Committee generally considers external pay comparison data as a market check on its compensation decisions, but not for specific benchmarking. With input from Meridian, our independent compensation consultant, in December 2020, our Compensation Committee recommended not changing our peer group as it believed our then-current peer group, as revised in December 2018, reflected our peers for purposes of determining executive compensation in 2021. These companies were selected based on revenue, market capitalization, as well as overall business characteristics, including product offerings and end markets, similar to ours.</w:t>
      </w:r>
    </w:p>
    <w:p>
      <w:pPr>
        <w:spacing w:after="0" w:line="107" w:lineRule="exact"/>
        <w:rPr>
          <w:sz w:val="20"/>
          <w:szCs w:val="20"/>
          <w:color w:val="auto"/>
        </w:rPr>
      </w:pPr>
    </w:p>
    <w:tbl>
      <w:tblPr>
        <w:tblLayout w:type="fixed"/>
        <w:tblInd w:w="360" w:type="dxa"/>
        <w:tblCellMar>
          <w:top w:w="0" w:type="dxa"/>
          <w:left w:w="0" w:type="dxa"/>
          <w:bottom w:w="0" w:type="dxa"/>
          <w:right w:w="0" w:type="dxa"/>
        </w:tblCellMar>
      </w:tblPr>
      <w:tr>
        <w:trPr>
          <w:trHeight w:val="310"/>
        </w:trPr>
        <w:tc>
          <w:tcPr>
            <w:tcW w:w="3220" w:type="dxa"/>
            <w:vAlign w:val="bottom"/>
            <w:shd w:val="clear" w:color="auto" w:fill="E8EED3"/>
          </w:tcPr>
          <w:p>
            <w:pPr>
              <w:ind w:left="22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Ameresco, Inc.</w:t>
            </w:r>
          </w:p>
        </w:tc>
        <w:tc>
          <w:tcPr>
            <w:tcW w:w="3390" w:type="dxa"/>
            <w:vAlign w:val="bottom"/>
            <w:shd w:val="clear" w:color="auto" w:fill="E8EED3"/>
          </w:tcPr>
          <w:p>
            <w:pPr>
              <w:ind w:left="2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Esco Technologies, Inc.</w:t>
            </w:r>
          </w:p>
        </w:tc>
        <w:tc>
          <w:tcPr>
            <w:tcW w:w="3930" w:type="dxa"/>
            <w:vAlign w:val="bottom"/>
            <w:shd w:val="clear" w:color="auto" w:fill="E8EED3"/>
          </w:tcPr>
          <w:p>
            <w:pPr>
              <w:ind w:left="27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Manitex International, Inc.</w:t>
            </w:r>
          </w:p>
        </w:tc>
      </w:tr>
      <w:tr>
        <w:trPr>
          <w:trHeight w:val="181"/>
        </w:trPr>
        <w:tc>
          <w:tcPr>
            <w:tcW w:w="3220" w:type="dxa"/>
            <w:vAlign w:val="bottom"/>
            <w:shd w:val="clear" w:color="auto" w:fill="E8EED3"/>
          </w:tcPr>
          <w:p>
            <w:pPr>
              <w:ind w:left="220"/>
              <w:spacing w:after="0" w:line="181" w:lineRule="exact"/>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Argan, Inc.</w:t>
            </w:r>
          </w:p>
        </w:tc>
        <w:tc>
          <w:tcPr>
            <w:tcW w:w="3390" w:type="dxa"/>
            <w:vAlign w:val="bottom"/>
            <w:shd w:val="clear" w:color="auto" w:fill="E8EED3"/>
          </w:tcPr>
          <w:p>
            <w:pPr>
              <w:ind w:left="280"/>
              <w:spacing w:after="0" w:line="181" w:lineRule="exact"/>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Graham Corporation</w:t>
            </w:r>
          </w:p>
        </w:tc>
        <w:tc>
          <w:tcPr>
            <w:tcW w:w="3930" w:type="dxa"/>
            <w:vAlign w:val="bottom"/>
            <w:shd w:val="clear" w:color="auto" w:fill="E8EED3"/>
          </w:tcPr>
          <w:p>
            <w:pPr>
              <w:ind w:left="270"/>
              <w:spacing w:after="0" w:line="181" w:lineRule="exact"/>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Powell Industries, Inc.</w:t>
            </w:r>
          </w:p>
        </w:tc>
      </w:tr>
      <w:tr>
        <w:trPr>
          <w:trHeight w:val="181"/>
        </w:trPr>
        <w:tc>
          <w:tcPr>
            <w:tcW w:w="3220" w:type="dxa"/>
            <w:vAlign w:val="bottom"/>
            <w:shd w:val="clear" w:color="auto" w:fill="E8EED3"/>
          </w:tcPr>
          <w:p>
            <w:pPr>
              <w:ind w:left="220"/>
              <w:spacing w:after="0" w:line="181" w:lineRule="exact"/>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Aspen Aerogels, Inc.</w:t>
            </w:r>
          </w:p>
        </w:tc>
        <w:tc>
          <w:tcPr>
            <w:tcW w:w="3390" w:type="dxa"/>
            <w:vAlign w:val="bottom"/>
            <w:shd w:val="clear" w:color="auto" w:fill="E8EED3"/>
          </w:tcPr>
          <w:p>
            <w:pPr>
              <w:ind w:left="280"/>
              <w:spacing w:after="0" w:line="181" w:lineRule="exact"/>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Heritage-Crystal Clean Inc.</w:t>
            </w:r>
          </w:p>
        </w:tc>
        <w:tc>
          <w:tcPr>
            <w:tcW w:w="3930" w:type="dxa"/>
            <w:vAlign w:val="bottom"/>
            <w:shd w:val="clear" w:color="auto" w:fill="E8EED3"/>
          </w:tcPr>
          <w:p>
            <w:pPr>
              <w:ind w:left="270"/>
              <w:spacing w:after="0" w:line="181" w:lineRule="exact"/>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Preformed Line Products Co.</w:t>
            </w:r>
          </w:p>
        </w:tc>
      </w:tr>
      <w:tr>
        <w:trPr>
          <w:trHeight w:val="181"/>
        </w:trPr>
        <w:tc>
          <w:tcPr>
            <w:tcW w:w="3220" w:type="dxa"/>
            <w:vAlign w:val="bottom"/>
            <w:shd w:val="clear" w:color="auto" w:fill="E8EED3"/>
          </w:tcPr>
          <w:p>
            <w:pPr>
              <w:ind w:left="220"/>
              <w:spacing w:after="0" w:line="181" w:lineRule="exact"/>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DMC Global, Inc.</w:t>
            </w:r>
          </w:p>
        </w:tc>
        <w:tc>
          <w:tcPr>
            <w:tcW w:w="3390" w:type="dxa"/>
            <w:vAlign w:val="bottom"/>
            <w:shd w:val="clear" w:color="auto" w:fill="E8EED3"/>
          </w:tcPr>
          <w:p>
            <w:pPr>
              <w:ind w:left="280"/>
              <w:spacing w:after="0" w:line="181" w:lineRule="exact"/>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Hurco Companies, Inc.</w:t>
            </w:r>
          </w:p>
        </w:tc>
        <w:tc>
          <w:tcPr>
            <w:tcW w:w="3930" w:type="dxa"/>
            <w:vAlign w:val="bottom"/>
            <w:shd w:val="clear" w:color="auto" w:fill="E8EED3"/>
          </w:tcPr>
          <w:p>
            <w:pPr>
              <w:ind w:left="270"/>
              <w:spacing w:after="0" w:line="181" w:lineRule="exact"/>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The Gorman-Rupp Co.</w:t>
            </w:r>
          </w:p>
        </w:tc>
      </w:tr>
      <w:tr>
        <w:trPr>
          <w:trHeight w:val="169"/>
        </w:trPr>
        <w:tc>
          <w:tcPr>
            <w:tcW w:w="3220" w:type="dxa"/>
            <w:vAlign w:val="bottom"/>
            <w:shd w:val="clear" w:color="auto" w:fill="E8EED3"/>
          </w:tcPr>
          <w:p>
            <w:pPr>
              <w:ind w:left="220"/>
              <w:spacing w:after="0" w:line="169" w:lineRule="exact"/>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Douglas Dynamics, Inc.</w:t>
            </w:r>
          </w:p>
        </w:tc>
        <w:tc>
          <w:tcPr>
            <w:tcW w:w="3390" w:type="dxa"/>
            <w:vAlign w:val="bottom"/>
            <w:shd w:val="clear" w:color="auto" w:fill="E8EED3"/>
          </w:tcPr>
          <w:p>
            <w:pPr>
              <w:ind w:left="280"/>
              <w:spacing w:after="0" w:line="169" w:lineRule="exact"/>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L.B. Foster Company</w:t>
            </w:r>
          </w:p>
        </w:tc>
        <w:tc>
          <w:tcPr>
            <w:tcW w:w="3930" w:type="dxa"/>
            <w:vAlign w:val="bottom"/>
            <w:shd w:val="clear" w:color="auto" w:fill="E8EED3"/>
          </w:tcPr>
          <w:p>
            <w:pPr>
              <w:ind w:left="270"/>
              <w:spacing w:after="0" w:line="169" w:lineRule="exact"/>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Thermon Group Holdings Inc.</w:t>
            </w:r>
          </w:p>
        </w:tc>
      </w:tr>
      <w:tr>
        <w:trPr>
          <w:trHeight w:val="204"/>
        </w:trPr>
        <w:tc>
          <w:tcPr>
            <w:tcW w:w="3220" w:type="dxa"/>
            <w:vAlign w:val="bottom"/>
            <w:shd w:val="clear" w:color="auto" w:fill="E8EED3"/>
          </w:tcPr>
          <w:p>
            <w:pPr>
              <w:ind w:left="22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Enphase Energy, Inc.</w:t>
            </w:r>
          </w:p>
        </w:tc>
        <w:tc>
          <w:tcPr>
            <w:tcW w:w="3390" w:type="dxa"/>
            <w:vAlign w:val="bottom"/>
            <w:shd w:val="clear" w:color="auto" w:fill="E8EED3"/>
          </w:tcPr>
          <w:p>
            <w:pPr>
              <w:ind w:left="2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Lydall, Inc. *</w:t>
            </w:r>
          </w:p>
        </w:tc>
        <w:tc>
          <w:tcPr>
            <w:tcW w:w="3930" w:type="dxa"/>
            <w:vAlign w:val="bottom"/>
            <w:shd w:val="clear" w:color="auto" w:fill="E8EED3"/>
          </w:tcPr>
          <w:p>
            <w:pPr>
              <w:ind w:left="27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US Ecology, Inc.</w:t>
            </w:r>
          </w:p>
        </w:tc>
      </w:tr>
      <w:tr>
        <w:trPr>
          <w:trHeight w:val="144"/>
        </w:trPr>
        <w:tc>
          <w:tcPr>
            <w:tcW w:w="3220" w:type="dxa"/>
            <w:vAlign w:val="bottom"/>
            <w:shd w:val="clear" w:color="auto" w:fill="E8EED3"/>
          </w:tcPr>
          <w:p>
            <w:pPr>
              <w:spacing w:after="0"/>
              <w:rPr>
                <w:sz w:val="12"/>
                <w:szCs w:val="12"/>
                <w:color w:val="auto"/>
              </w:rPr>
            </w:pPr>
          </w:p>
        </w:tc>
        <w:tc>
          <w:tcPr>
            <w:tcW w:w="3390" w:type="dxa"/>
            <w:vAlign w:val="bottom"/>
            <w:shd w:val="clear" w:color="auto" w:fill="E8EED3"/>
          </w:tcPr>
          <w:p>
            <w:pPr>
              <w:spacing w:after="0"/>
              <w:rPr>
                <w:sz w:val="12"/>
                <w:szCs w:val="12"/>
                <w:color w:val="auto"/>
              </w:rPr>
            </w:pPr>
          </w:p>
        </w:tc>
        <w:tc>
          <w:tcPr>
            <w:tcW w:w="3930" w:type="dxa"/>
            <w:vAlign w:val="bottom"/>
            <w:shd w:val="clear" w:color="auto" w:fill="E8EED3"/>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6754495</wp:posOffset>
            </wp:positionH>
            <wp:positionV relativeFrom="paragraph">
              <wp:posOffset>-360680</wp:posOffset>
            </wp:positionV>
            <wp:extent cx="172720" cy="3530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2720" cy="353060"/>
                    </a:xfrm>
                    <a:prstGeom prst="rect">
                      <a:avLst/>
                    </a:prstGeom>
                    <a:noFill/>
                  </pic:spPr>
                </pic:pic>
              </a:graphicData>
            </a:graphic>
          </wp:anchor>
        </w:drawing>
      </w:r>
    </w:p>
    <w:p>
      <w:pPr>
        <w:spacing w:after="0" w:line="196" w:lineRule="exact"/>
        <w:rPr>
          <w:sz w:val="20"/>
          <w:szCs w:val="20"/>
          <w:color w:val="auto"/>
        </w:rPr>
      </w:pPr>
    </w:p>
    <w:p>
      <w:pPr>
        <w:ind w:left="760" w:hanging="414"/>
        <w:spacing w:after="0"/>
        <w:tabs>
          <w:tab w:leader="none" w:pos="760" w:val="left"/>
        </w:tabs>
        <w:numPr>
          <w:ilvl w:val="0"/>
          <w:numId w:val="9"/>
        </w:numPr>
        <w:rPr>
          <w:rFonts w:ascii="Arial" w:cs="Arial" w:eastAsia="Arial" w:hAnsi="Arial"/>
          <w:sz w:val="15"/>
          <w:szCs w:val="15"/>
          <w:color w:val="auto"/>
        </w:rPr>
      </w:pPr>
      <w:r>
        <w:rPr>
          <w:rFonts w:ascii="Arial" w:cs="Arial" w:eastAsia="Arial" w:hAnsi="Arial"/>
          <w:sz w:val="15"/>
          <w:szCs w:val="15"/>
          <w:color w:val="auto"/>
        </w:rPr>
        <w:t>No longer publicly traded as of September 14, 2021. Acquired by Unifax.</w:t>
      </w:r>
    </w:p>
    <w:p>
      <w:pPr>
        <w:spacing w:after="0" w:line="195" w:lineRule="exact"/>
        <w:rPr>
          <w:sz w:val="20"/>
          <w:szCs w:val="20"/>
          <w:color w:val="auto"/>
        </w:rPr>
      </w:pPr>
    </w:p>
    <w:p>
      <w:pPr>
        <w:ind w:left="340" w:right="80"/>
        <w:spacing w:after="0" w:line="203" w:lineRule="auto"/>
        <w:rPr>
          <w:sz w:val="20"/>
          <w:szCs w:val="20"/>
          <w:color w:val="auto"/>
        </w:rPr>
      </w:pPr>
      <w:r>
        <w:rPr>
          <w:rFonts w:ascii="Arial" w:cs="Arial" w:eastAsia="Arial" w:hAnsi="Arial"/>
          <w:sz w:val="16"/>
          <w:szCs w:val="16"/>
          <w:color w:val="auto"/>
        </w:rPr>
        <w:t>Based on its review of the peer group data and market data and other factors discussed in this Compensation Discussion, Meridian determined that our CEO’s 2021 total target compensation is between the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and median of this peer group, which corresponds to our Company’s size within the peer group, as described above.</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Highlights of 2021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76" w:lineRule="exact"/>
        <w:rPr>
          <w:sz w:val="20"/>
          <w:szCs w:val="20"/>
          <w:color w:val="auto"/>
        </w:rPr>
      </w:pPr>
    </w:p>
    <w:p>
      <w:pPr>
        <w:ind w:left="340" w:right="120"/>
        <w:spacing w:after="0" w:line="282" w:lineRule="auto"/>
        <w:rPr>
          <w:sz w:val="20"/>
          <w:szCs w:val="20"/>
          <w:color w:val="auto"/>
        </w:rPr>
      </w:pPr>
      <w:r>
        <w:rPr>
          <w:rFonts w:ascii="Arial" w:cs="Arial" w:eastAsia="Arial" w:hAnsi="Arial"/>
          <w:sz w:val="14"/>
          <w:szCs w:val="14"/>
          <w:color w:val="auto"/>
        </w:rPr>
        <w:t>Throughout 2021, despite continued COVID-19 headwinds, the management team remained focused on growth and effectively managed through significant market challenges, organizational change, and the competition for talent. As a result, we had year-over-year growth in bookings, revenue and free cash flow; however, we did not achieve the threshold level for our Adjusted EBITDA and free cash flow metrics. As a result of this performance, our named executive officers earned cash incentive compensation for 2021 at a payout percentage of 46% of target. Additionally, in recognition of additional 2021 achievements, management was awarded a discretionary bonus of 34%. These payments are described below in this Compensation Discussion and reflected in our 2021 Summary Compensation Table under the columns captioned “Bonus” and “Non-Equity Incentive Plan Compensation.”</w:t>
      </w:r>
    </w:p>
    <w:p>
      <w:pPr>
        <w:spacing w:after="0" w:line="159" w:lineRule="exact"/>
        <w:rPr>
          <w:sz w:val="20"/>
          <w:szCs w:val="20"/>
          <w:color w:val="auto"/>
        </w:rPr>
      </w:pPr>
    </w:p>
    <w:p>
      <w:pPr>
        <w:jc w:val="both"/>
        <w:ind w:left="340" w:right="360"/>
        <w:spacing w:after="0" w:line="249" w:lineRule="auto"/>
        <w:rPr>
          <w:sz w:val="20"/>
          <w:szCs w:val="20"/>
          <w:color w:val="auto"/>
        </w:rPr>
      </w:pPr>
      <w:r>
        <w:rPr>
          <w:rFonts w:ascii="Arial" w:cs="Arial" w:eastAsia="Arial" w:hAnsi="Arial"/>
          <w:sz w:val="16"/>
          <w:szCs w:val="16"/>
          <w:color w:val="auto"/>
        </w:rPr>
        <w:t>As incentive for future performance, in April 2021, Messrs. Gleason, Eckl, and Nuggihalli were granted PRSUs that give them the opportunity to earn shares based on our Company’s future performance. As in prior years, each named executive officer also received a grant of timed-based RSUs that generally vest over four years, so the value an executive officer may actually realize depends on our future stock performance.</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262626"/>
        </w:rPr>
        <w:t>18 • CECO Environmental</w:t>
      </w:r>
    </w:p>
    <w:p>
      <w:pPr>
        <w:sectPr>
          <w:pgSz w:w="11900" w:h="16838" w:orient="portrait"/>
          <w:cols w:equalWidth="0" w:num="1">
            <w:col w:w="10900"/>
          </w:cols>
          <w:pgMar w:left="320" w:top="443" w:right="6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4" w:lineRule="exact"/>
        <w:rPr>
          <w:sz w:val="20"/>
          <w:szCs w:val="20"/>
          <w:color w:val="auto"/>
        </w:rPr>
      </w:pPr>
    </w:p>
    <w:p>
      <w:pPr>
        <w:ind w:left="340" w:right="80"/>
        <w:spacing w:after="0" w:line="249" w:lineRule="auto"/>
        <w:rPr>
          <w:sz w:val="20"/>
          <w:szCs w:val="20"/>
          <w:color w:val="auto"/>
        </w:rPr>
      </w:pPr>
      <w:r>
        <w:rPr>
          <w:rFonts w:ascii="Arial" w:cs="Arial" w:eastAsia="Arial" w:hAnsi="Arial"/>
          <w:sz w:val="16"/>
          <w:szCs w:val="16"/>
          <w:color w:val="auto"/>
        </w:rPr>
        <w:t>The charts below show the proportion of base salary and cash bonus payments for 2021 and the RSUs and PRSUs granted in the first half of 2021 for each of Messrs. Gleason, Eckl, and Nuggihalli. The compensation of Mr. Gleason is discussed in further detail below. The PRSUs noted below represent the grant date fair value and assume probable achievement with respect to performance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1234440</wp:posOffset>
            </wp:positionH>
            <wp:positionV relativeFrom="paragraph">
              <wp:posOffset>210820</wp:posOffset>
            </wp:positionV>
            <wp:extent cx="4681855" cy="11417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681855" cy="1141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Key Elements of 2021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89" w:lineRule="exact"/>
        <w:rPr>
          <w:sz w:val="20"/>
          <w:szCs w:val="20"/>
          <w:color w:val="auto"/>
        </w:rPr>
      </w:pPr>
    </w:p>
    <w:p>
      <w:pPr>
        <w:ind w:left="340" w:right="60"/>
        <w:spacing w:after="0" w:line="262" w:lineRule="auto"/>
        <w:rPr>
          <w:sz w:val="20"/>
          <w:szCs w:val="20"/>
          <w:color w:val="auto"/>
        </w:rPr>
      </w:pPr>
      <w:r>
        <w:rPr>
          <w:rFonts w:ascii="Arial" w:cs="Arial" w:eastAsia="Arial" w:hAnsi="Arial"/>
          <w:sz w:val="16"/>
          <w:szCs w:val="16"/>
          <w:color w:val="auto"/>
        </w:rPr>
        <w:t>Our 2021 executive compensation program consisted primarily of cash, with a fixed base salary and bonus, and equity generally in the form of RSUs and PRSUs.</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41659C"/>
        </w:rPr>
        <w:t>2021 Base Salary</w:t>
      </w:r>
    </w:p>
    <w:p>
      <w:pPr>
        <w:spacing w:after="0" w:line="109" w:lineRule="exact"/>
        <w:rPr>
          <w:sz w:val="20"/>
          <w:szCs w:val="20"/>
          <w:color w:val="auto"/>
        </w:rPr>
      </w:pPr>
    </w:p>
    <w:p>
      <w:pPr>
        <w:ind w:left="340" w:right="160"/>
        <w:spacing w:after="0" w:line="245" w:lineRule="auto"/>
        <w:rPr>
          <w:sz w:val="20"/>
          <w:szCs w:val="20"/>
          <w:color w:val="auto"/>
        </w:rPr>
      </w:pPr>
      <w:r>
        <w:rPr>
          <w:rFonts w:ascii="Arial" w:cs="Arial" w:eastAsia="Arial" w:hAnsi="Arial"/>
          <w:sz w:val="16"/>
          <w:szCs w:val="16"/>
          <w:color w:val="auto"/>
        </w:rPr>
        <w:t>We provide our named executive officers with a base salary to compensate them for the expertise and value they bring to us. Base salary is determined for each individual based on the executive’s position and responsibility, taking into account the executive’s impact level, external market data, scope of responsibility, prior experience, past accomplishments and other similar factors (including negotiation when joining the Company), and whether the particular base salary is subject to any existing employment agreement.</w:t>
      </w:r>
    </w:p>
    <w:p>
      <w:pPr>
        <w:spacing w:after="0" w:line="180" w:lineRule="exact"/>
        <w:rPr>
          <w:sz w:val="20"/>
          <w:szCs w:val="20"/>
          <w:color w:val="auto"/>
        </w:rPr>
      </w:pPr>
    </w:p>
    <w:p>
      <w:pPr>
        <w:ind w:left="340"/>
        <w:spacing w:after="0" w:line="282" w:lineRule="auto"/>
        <w:rPr>
          <w:sz w:val="20"/>
          <w:szCs w:val="20"/>
          <w:color w:val="auto"/>
        </w:rPr>
      </w:pPr>
      <w:r>
        <w:rPr>
          <w:rFonts w:ascii="Arial" w:cs="Arial" w:eastAsia="Arial" w:hAnsi="Arial"/>
          <w:sz w:val="14"/>
          <w:szCs w:val="14"/>
          <w:color w:val="auto"/>
        </w:rPr>
        <w:t>Salary levels for our named executive officers are reviewed and approved by the Compensation Committee annually as well as upon joining the Company or upon a promotion or other change in job responsibility. The salary levels, including any increases, are also based on our Compensation Committee’s evaluation of the individual’s strengths, development, and expected future contributions with respect to the corporate goals and objectives relevant to the individual’s compensation, including individual performance. In 2021, our Compensation Committee approved a 2% merit increase to the base salaries for each of Messrs. Gleason and Eckl to help achieve market competitiveness and address retention considerations following a year of no merit increases or pay adjustments in 2020. In 2021, Mr. Nuggihalli’s base salary was newly negotiated when he joined the Company.</w:t>
      </w:r>
    </w:p>
    <w:p>
      <w:pPr>
        <w:spacing w:after="0" w:line="162"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4240" w:type="dxa"/>
            <w:vAlign w:val="bottom"/>
            <w:shd w:val="clear" w:color="auto" w:fill="41659C"/>
          </w:tcPr>
          <w:p>
            <w:pPr>
              <w:spacing w:after="0"/>
              <w:rPr>
                <w:sz w:val="15"/>
                <w:szCs w:val="15"/>
                <w:color w:val="auto"/>
              </w:rPr>
            </w:pPr>
          </w:p>
        </w:tc>
        <w:tc>
          <w:tcPr>
            <w:tcW w:w="3640" w:type="dxa"/>
            <w:vAlign w:val="bottom"/>
            <w:shd w:val="clear" w:color="auto" w:fill="41659C"/>
          </w:tcPr>
          <w:p>
            <w:pPr>
              <w:jc w:val="center"/>
              <w:ind w:left="2087"/>
              <w:spacing w:after="0"/>
              <w:rPr>
                <w:sz w:val="20"/>
                <w:szCs w:val="20"/>
                <w:color w:val="auto"/>
              </w:rPr>
            </w:pPr>
            <w:r>
              <w:rPr>
                <w:rFonts w:ascii="Arial" w:cs="Arial" w:eastAsia="Arial" w:hAnsi="Arial"/>
                <w:sz w:val="15"/>
                <w:szCs w:val="15"/>
                <w:b w:val="1"/>
                <w:bCs w:val="1"/>
                <w:color w:val="FFFFFF"/>
                <w:w w:val="98"/>
              </w:rPr>
              <w:t>Base Salary</w:t>
            </w:r>
          </w:p>
        </w:tc>
        <w:tc>
          <w:tcPr>
            <w:tcW w:w="1400" w:type="dxa"/>
            <w:vAlign w:val="bottom"/>
            <w:shd w:val="clear" w:color="auto" w:fill="41659C"/>
          </w:tcPr>
          <w:p>
            <w:pPr>
              <w:jc w:val="center"/>
              <w:spacing w:after="0"/>
              <w:rPr>
                <w:sz w:val="20"/>
                <w:szCs w:val="20"/>
                <w:color w:val="auto"/>
              </w:rPr>
            </w:pPr>
            <w:r>
              <w:rPr>
                <w:rFonts w:ascii="Arial" w:cs="Arial" w:eastAsia="Arial" w:hAnsi="Arial"/>
                <w:sz w:val="15"/>
                <w:szCs w:val="15"/>
                <w:b w:val="1"/>
                <w:bCs w:val="1"/>
                <w:color w:val="FFFFFF"/>
                <w:w w:val="96"/>
              </w:rPr>
              <w:t>Base Salary</w:t>
            </w:r>
          </w:p>
        </w:tc>
        <w:tc>
          <w:tcPr>
            <w:tcW w:w="1260" w:type="dxa"/>
            <w:vAlign w:val="bottom"/>
            <w:shd w:val="clear" w:color="auto" w:fill="41659C"/>
          </w:tcPr>
          <w:p>
            <w:pPr>
              <w:spacing w:after="0"/>
              <w:rPr>
                <w:sz w:val="15"/>
                <w:szCs w:val="15"/>
                <w:color w:val="auto"/>
              </w:rPr>
            </w:pPr>
          </w:p>
        </w:tc>
      </w:tr>
      <w:tr>
        <w:trPr>
          <w:trHeight w:val="155"/>
        </w:trPr>
        <w:tc>
          <w:tcPr>
            <w:tcW w:w="4240" w:type="dxa"/>
            <w:vAlign w:val="bottom"/>
            <w:shd w:val="clear" w:color="auto" w:fill="41659C"/>
          </w:tcPr>
          <w:p>
            <w:pPr>
              <w:spacing w:after="0"/>
              <w:rPr>
                <w:sz w:val="13"/>
                <w:szCs w:val="13"/>
                <w:color w:val="auto"/>
              </w:rPr>
            </w:pPr>
          </w:p>
        </w:tc>
        <w:tc>
          <w:tcPr>
            <w:tcW w:w="3640" w:type="dxa"/>
            <w:vAlign w:val="bottom"/>
            <w:shd w:val="clear" w:color="auto" w:fill="41659C"/>
          </w:tcPr>
          <w:p>
            <w:pPr>
              <w:jc w:val="center"/>
              <w:ind w:left="2087"/>
              <w:spacing w:after="0" w:line="155" w:lineRule="exact"/>
              <w:rPr>
                <w:sz w:val="20"/>
                <w:szCs w:val="20"/>
                <w:color w:val="auto"/>
              </w:rPr>
            </w:pPr>
            <w:r>
              <w:rPr>
                <w:rFonts w:ascii="Arial" w:cs="Arial" w:eastAsia="Arial" w:hAnsi="Arial"/>
                <w:sz w:val="15"/>
                <w:szCs w:val="15"/>
                <w:b w:val="1"/>
                <w:bCs w:val="1"/>
                <w:color w:val="FFFFFF"/>
                <w:w w:val="94"/>
              </w:rPr>
              <w:t>Rate ($)</w:t>
            </w:r>
          </w:p>
        </w:tc>
        <w:tc>
          <w:tcPr>
            <w:tcW w:w="1400" w:type="dxa"/>
            <w:vAlign w:val="bottom"/>
            <w:shd w:val="clear" w:color="auto" w:fill="41659C"/>
          </w:tcPr>
          <w:p>
            <w:pPr>
              <w:jc w:val="center"/>
              <w:spacing w:after="0" w:line="155" w:lineRule="exact"/>
              <w:rPr>
                <w:sz w:val="20"/>
                <w:szCs w:val="20"/>
                <w:color w:val="auto"/>
              </w:rPr>
            </w:pPr>
            <w:r>
              <w:rPr>
                <w:rFonts w:ascii="Arial" w:cs="Arial" w:eastAsia="Arial" w:hAnsi="Arial"/>
                <w:sz w:val="15"/>
                <w:szCs w:val="15"/>
                <w:b w:val="1"/>
                <w:bCs w:val="1"/>
                <w:color w:val="FFFFFF"/>
                <w:w w:val="98"/>
              </w:rPr>
              <w:t>Rate ($)</w:t>
            </w:r>
          </w:p>
        </w:tc>
        <w:tc>
          <w:tcPr>
            <w:tcW w:w="1260" w:type="dxa"/>
            <w:vAlign w:val="bottom"/>
            <w:shd w:val="clear" w:color="auto" w:fill="41659C"/>
          </w:tcPr>
          <w:p>
            <w:pPr>
              <w:spacing w:after="0"/>
              <w:rPr>
                <w:sz w:val="13"/>
                <w:szCs w:val="13"/>
                <w:color w:val="auto"/>
              </w:rPr>
            </w:pPr>
          </w:p>
        </w:tc>
      </w:tr>
      <w:tr>
        <w:trPr>
          <w:trHeight w:val="211"/>
        </w:trPr>
        <w:tc>
          <w:tcPr>
            <w:tcW w:w="4240" w:type="dxa"/>
            <w:vAlign w:val="bottom"/>
            <w:shd w:val="clear" w:color="auto" w:fill="41659C"/>
          </w:tcPr>
          <w:p>
            <w:pPr>
              <w:ind w:left="120"/>
              <w:spacing w:after="0"/>
              <w:rPr>
                <w:sz w:val="20"/>
                <w:szCs w:val="20"/>
                <w:color w:val="auto"/>
              </w:rPr>
            </w:pPr>
            <w:r>
              <w:rPr>
                <w:rFonts w:ascii="Arial" w:cs="Arial" w:eastAsia="Arial" w:hAnsi="Arial"/>
                <w:sz w:val="15"/>
                <w:szCs w:val="15"/>
                <w:b w:val="1"/>
                <w:bCs w:val="1"/>
                <w:color w:val="FFFFFF"/>
              </w:rPr>
              <w:t>Named Executive Officer</w:t>
            </w:r>
          </w:p>
        </w:tc>
        <w:tc>
          <w:tcPr>
            <w:tcW w:w="3640" w:type="dxa"/>
            <w:vAlign w:val="bottom"/>
            <w:shd w:val="clear" w:color="auto" w:fill="41659C"/>
          </w:tcPr>
          <w:p>
            <w:pPr>
              <w:jc w:val="center"/>
              <w:ind w:left="2087"/>
              <w:spacing w:after="0"/>
              <w:rPr>
                <w:sz w:val="20"/>
                <w:szCs w:val="20"/>
                <w:color w:val="auto"/>
              </w:rPr>
            </w:pPr>
            <w:r>
              <w:rPr>
                <w:rFonts w:ascii="Arial" w:cs="Arial" w:eastAsia="Arial" w:hAnsi="Arial"/>
                <w:sz w:val="15"/>
                <w:szCs w:val="15"/>
                <w:b w:val="1"/>
                <w:bCs w:val="1"/>
                <w:color w:val="FFFFFF"/>
                <w:w w:val="96"/>
              </w:rPr>
              <w:t>(as of 12/31/20)</w:t>
            </w:r>
          </w:p>
        </w:tc>
        <w:tc>
          <w:tcPr>
            <w:tcW w:w="1400" w:type="dxa"/>
            <w:vAlign w:val="bottom"/>
            <w:shd w:val="clear" w:color="auto" w:fill="41659C"/>
          </w:tcPr>
          <w:p>
            <w:pPr>
              <w:jc w:val="center"/>
              <w:spacing w:after="0"/>
              <w:rPr>
                <w:sz w:val="20"/>
                <w:szCs w:val="20"/>
                <w:color w:val="auto"/>
              </w:rPr>
            </w:pPr>
            <w:r>
              <w:rPr>
                <w:rFonts w:ascii="Arial" w:cs="Arial" w:eastAsia="Arial" w:hAnsi="Arial"/>
                <w:sz w:val="15"/>
                <w:szCs w:val="15"/>
                <w:b w:val="1"/>
                <w:bCs w:val="1"/>
                <w:color w:val="FFFFFF"/>
                <w:w w:val="98"/>
              </w:rPr>
              <w:t>(as of 12/31/21)</w:t>
            </w:r>
          </w:p>
        </w:tc>
        <w:tc>
          <w:tcPr>
            <w:tcW w:w="1260" w:type="dxa"/>
            <w:vAlign w:val="bottom"/>
            <w:shd w:val="clear" w:color="auto" w:fill="41659C"/>
          </w:tcPr>
          <w:p>
            <w:pPr>
              <w:jc w:val="right"/>
              <w:ind w:right="207"/>
              <w:spacing w:after="0"/>
              <w:rPr>
                <w:sz w:val="20"/>
                <w:szCs w:val="20"/>
                <w:color w:val="auto"/>
              </w:rPr>
            </w:pPr>
            <w:r>
              <w:rPr>
                <w:rFonts w:ascii="Arial" w:cs="Arial" w:eastAsia="Arial" w:hAnsi="Arial"/>
                <w:sz w:val="15"/>
                <w:szCs w:val="15"/>
                <w:b w:val="1"/>
                <w:bCs w:val="1"/>
                <w:color w:val="FFFFFF"/>
              </w:rPr>
              <w:t>% Increase</w:t>
            </w:r>
          </w:p>
        </w:tc>
      </w:tr>
      <w:tr>
        <w:trPr>
          <w:trHeight w:val="211"/>
        </w:trPr>
        <w:tc>
          <w:tcPr>
            <w:tcW w:w="4240" w:type="dxa"/>
            <w:vAlign w:val="bottom"/>
            <w:shd w:val="clear" w:color="auto" w:fill="E8EED3"/>
          </w:tcPr>
          <w:p>
            <w:pPr>
              <w:ind w:left="120"/>
              <w:spacing w:after="0"/>
              <w:rPr>
                <w:sz w:val="20"/>
                <w:szCs w:val="20"/>
                <w:color w:val="auto"/>
              </w:rPr>
            </w:pPr>
            <w:r>
              <w:rPr>
                <w:rFonts w:ascii="Arial" w:cs="Arial" w:eastAsia="Arial" w:hAnsi="Arial"/>
                <w:sz w:val="15"/>
                <w:szCs w:val="15"/>
                <w:color w:val="auto"/>
              </w:rPr>
              <w:t>Todd Gleason</w:t>
            </w:r>
          </w:p>
        </w:tc>
        <w:tc>
          <w:tcPr>
            <w:tcW w:w="3640" w:type="dxa"/>
            <w:vAlign w:val="bottom"/>
            <w:shd w:val="clear" w:color="auto" w:fill="E8EED3"/>
          </w:tcPr>
          <w:p>
            <w:pPr>
              <w:jc w:val="right"/>
              <w:ind w:right="87"/>
              <w:spacing w:after="0"/>
              <w:rPr>
                <w:sz w:val="20"/>
                <w:szCs w:val="20"/>
                <w:color w:val="auto"/>
              </w:rPr>
            </w:pPr>
            <w:r>
              <w:rPr>
                <w:rFonts w:ascii="Arial" w:cs="Arial" w:eastAsia="Arial" w:hAnsi="Arial"/>
                <w:sz w:val="15"/>
                <w:szCs w:val="15"/>
                <w:color w:val="auto"/>
              </w:rPr>
              <w:t>450,000</w:t>
            </w:r>
          </w:p>
        </w:tc>
        <w:tc>
          <w:tcPr>
            <w:tcW w:w="1400" w:type="dxa"/>
            <w:vAlign w:val="bottom"/>
            <w:shd w:val="clear" w:color="auto" w:fill="E8EED3"/>
          </w:tcPr>
          <w:p>
            <w:pPr>
              <w:jc w:val="right"/>
              <w:ind w:right="207"/>
              <w:spacing w:after="0"/>
              <w:rPr>
                <w:sz w:val="20"/>
                <w:szCs w:val="20"/>
                <w:color w:val="auto"/>
              </w:rPr>
            </w:pPr>
            <w:r>
              <w:rPr>
                <w:rFonts w:ascii="Arial" w:cs="Arial" w:eastAsia="Arial" w:hAnsi="Arial"/>
                <w:sz w:val="15"/>
                <w:szCs w:val="15"/>
                <w:color w:val="auto"/>
              </w:rPr>
              <w:t>459,000</w:t>
            </w:r>
          </w:p>
        </w:tc>
        <w:tc>
          <w:tcPr>
            <w:tcW w:w="1260" w:type="dxa"/>
            <w:vAlign w:val="bottom"/>
            <w:shd w:val="clear" w:color="auto" w:fill="E8EED3"/>
          </w:tcPr>
          <w:p>
            <w:pPr>
              <w:jc w:val="right"/>
              <w:ind w:right="47"/>
              <w:spacing w:after="0"/>
              <w:rPr>
                <w:sz w:val="20"/>
                <w:szCs w:val="20"/>
                <w:color w:val="auto"/>
              </w:rPr>
            </w:pPr>
            <w:r>
              <w:rPr>
                <w:rFonts w:ascii="Arial" w:cs="Arial" w:eastAsia="Arial" w:hAnsi="Arial"/>
                <w:sz w:val="15"/>
                <w:szCs w:val="15"/>
                <w:color w:val="auto"/>
              </w:rPr>
              <w:t>2%</w:t>
            </w:r>
          </w:p>
        </w:tc>
      </w:tr>
      <w:tr>
        <w:trPr>
          <w:trHeight w:val="229"/>
        </w:trPr>
        <w:tc>
          <w:tcPr>
            <w:tcW w:w="4240" w:type="dxa"/>
            <w:vAlign w:val="bottom"/>
            <w:shd w:val="clear" w:color="auto" w:fill="D2DEA7"/>
          </w:tcPr>
          <w:p>
            <w:pPr>
              <w:ind w:left="120"/>
              <w:spacing w:after="0"/>
              <w:rPr>
                <w:sz w:val="20"/>
                <w:szCs w:val="20"/>
                <w:color w:val="auto"/>
              </w:rPr>
            </w:pPr>
            <w:r>
              <w:rPr>
                <w:rFonts w:ascii="Arial" w:cs="Arial" w:eastAsia="Arial" w:hAnsi="Arial"/>
                <w:sz w:val="15"/>
                <w:szCs w:val="15"/>
                <w:color w:val="auto"/>
              </w:rPr>
              <w:t>Matthew Eckl</w:t>
            </w:r>
          </w:p>
        </w:tc>
        <w:tc>
          <w:tcPr>
            <w:tcW w:w="3640" w:type="dxa"/>
            <w:vAlign w:val="bottom"/>
            <w:shd w:val="clear" w:color="auto" w:fill="D2DEA7"/>
          </w:tcPr>
          <w:p>
            <w:pPr>
              <w:jc w:val="right"/>
              <w:ind w:right="87"/>
              <w:spacing w:after="0"/>
              <w:rPr>
                <w:sz w:val="20"/>
                <w:szCs w:val="20"/>
                <w:color w:val="auto"/>
              </w:rPr>
            </w:pPr>
            <w:r>
              <w:rPr>
                <w:rFonts w:ascii="Arial" w:cs="Arial" w:eastAsia="Arial" w:hAnsi="Arial"/>
                <w:sz w:val="15"/>
                <w:szCs w:val="15"/>
                <w:color w:val="auto"/>
              </w:rPr>
              <w:t>342,000</w:t>
            </w:r>
          </w:p>
        </w:tc>
        <w:tc>
          <w:tcPr>
            <w:tcW w:w="1400" w:type="dxa"/>
            <w:vAlign w:val="bottom"/>
            <w:shd w:val="clear" w:color="auto" w:fill="D2DEA7"/>
          </w:tcPr>
          <w:p>
            <w:pPr>
              <w:jc w:val="right"/>
              <w:ind w:right="207"/>
              <w:spacing w:after="0"/>
              <w:rPr>
                <w:sz w:val="20"/>
                <w:szCs w:val="20"/>
                <w:color w:val="auto"/>
              </w:rPr>
            </w:pPr>
            <w:r>
              <w:rPr>
                <w:rFonts w:ascii="Arial" w:cs="Arial" w:eastAsia="Arial" w:hAnsi="Arial"/>
                <w:sz w:val="15"/>
                <w:szCs w:val="15"/>
                <w:color w:val="auto"/>
              </w:rPr>
              <w:t>348,840</w:t>
            </w:r>
          </w:p>
        </w:tc>
        <w:tc>
          <w:tcPr>
            <w:tcW w:w="1260" w:type="dxa"/>
            <w:vAlign w:val="bottom"/>
            <w:shd w:val="clear" w:color="auto" w:fill="D2DEA7"/>
          </w:tcPr>
          <w:p>
            <w:pPr>
              <w:jc w:val="right"/>
              <w:ind w:right="47"/>
              <w:spacing w:after="0"/>
              <w:rPr>
                <w:sz w:val="20"/>
                <w:szCs w:val="20"/>
                <w:color w:val="auto"/>
              </w:rPr>
            </w:pPr>
            <w:r>
              <w:rPr>
                <w:rFonts w:ascii="Arial" w:cs="Arial" w:eastAsia="Arial" w:hAnsi="Arial"/>
                <w:sz w:val="15"/>
                <w:szCs w:val="15"/>
                <w:color w:val="auto"/>
              </w:rPr>
              <w:t>2%</w:t>
            </w:r>
          </w:p>
        </w:tc>
      </w:tr>
      <w:tr>
        <w:trPr>
          <w:trHeight w:val="220"/>
        </w:trPr>
        <w:tc>
          <w:tcPr>
            <w:tcW w:w="4240" w:type="dxa"/>
            <w:vAlign w:val="bottom"/>
            <w:shd w:val="clear" w:color="auto" w:fill="E8EED3"/>
          </w:tcPr>
          <w:p>
            <w:pPr>
              <w:ind w:left="120"/>
              <w:spacing w:after="0"/>
              <w:rPr>
                <w:sz w:val="20"/>
                <w:szCs w:val="20"/>
                <w:color w:val="auto"/>
              </w:rPr>
            </w:pPr>
            <w:r>
              <w:rPr>
                <w:rFonts w:ascii="Arial" w:cs="Arial" w:eastAsia="Arial" w:hAnsi="Arial"/>
                <w:sz w:val="15"/>
                <w:szCs w:val="15"/>
                <w:color w:val="auto"/>
              </w:rPr>
              <w:t>Ramesh Nuggihalli</w:t>
            </w:r>
          </w:p>
        </w:tc>
        <w:tc>
          <w:tcPr>
            <w:tcW w:w="3640" w:type="dxa"/>
            <w:vAlign w:val="bottom"/>
            <w:shd w:val="clear" w:color="auto" w:fill="E8EED3"/>
          </w:tcPr>
          <w:p>
            <w:pPr>
              <w:jc w:val="right"/>
              <w:ind w:right="87"/>
              <w:spacing w:after="0"/>
              <w:rPr>
                <w:sz w:val="20"/>
                <w:szCs w:val="20"/>
                <w:color w:val="auto"/>
              </w:rPr>
            </w:pPr>
            <w:r>
              <w:rPr>
                <w:rFonts w:ascii="Arial" w:cs="Arial" w:eastAsia="Arial" w:hAnsi="Arial"/>
                <w:sz w:val="15"/>
                <w:szCs w:val="15"/>
                <w:color w:val="auto"/>
              </w:rPr>
              <w:t>N/A</w:t>
            </w:r>
          </w:p>
        </w:tc>
        <w:tc>
          <w:tcPr>
            <w:tcW w:w="1400" w:type="dxa"/>
            <w:vAlign w:val="bottom"/>
            <w:shd w:val="clear" w:color="auto" w:fill="E8EED3"/>
          </w:tcPr>
          <w:p>
            <w:pPr>
              <w:jc w:val="right"/>
              <w:ind w:right="207"/>
              <w:spacing w:after="0"/>
              <w:rPr>
                <w:sz w:val="20"/>
                <w:szCs w:val="20"/>
                <w:color w:val="auto"/>
              </w:rPr>
            </w:pPr>
            <w:r>
              <w:rPr>
                <w:rFonts w:ascii="Arial" w:cs="Arial" w:eastAsia="Arial" w:hAnsi="Arial"/>
                <w:sz w:val="15"/>
                <w:szCs w:val="15"/>
                <w:color w:val="auto"/>
              </w:rPr>
              <w:t>375,000</w:t>
            </w:r>
          </w:p>
        </w:tc>
        <w:tc>
          <w:tcPr>
            <w:tcW w:w="1260" w:type="dxa"/>
            <w:vAlign w:val="bottom"/>
            <w:shd w:val="clear" w:color="auto" w:fill="E8EED3"/>
          </w:tcPr>
          <w:p>
            <w:pPr>
              <w:jc w:val="right"/>
              <w:ind w:right="207"/>
              <w:spacing w:after="0"/>
              <w:rPr>
                <w:sz w:val="20"/>
                <w:szCs w:val="20"/>
                <w:color w:val="auto"/>
              </w:rPr>
            </w:pPr>
            <w:r>
              <w:rPr>
                <w:rFonts w:ascii="Arial" w:cs="Arial" w:eastAsia="Arial" w:hAnsi="Arial"/>
                <w:sz w:val="15"/>
                <w:szCs w:val="15"/>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-738505</wp:posOffset>
            </wp:positionV>
            <wp:extent cx="8255" cy="7391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739140"/>
                    </a:xfrm>
                    <a:prstGeom prst="rect">
                      <a:avLst/>
                    </a:prstGeom>
                    <a:noFill/>
                  </pic:spPr>
                </pic:pic>
              </a:graphicData>
            </a:graphic>
          </wp:anchor>
        </w:drawing>
        <w:drawing>
          <wp:anchor simplePos="0" relativeHeight="251657728" behindDoc="1" locked="0" layoutInCell="0" allowOverlap="1">
            <wp:simplePos x="0" y="0"/>
            <wp:positionH relativeFrom="column">
              <wp:posOffset>5218430</wp:posOffset>
            </wp:positionH>
            <wp:positionV relativeFrom="paragraph">
              <wp:posOffset>-738505</wp:posOffset>
            </wp:positionV>
            <wp:extent cx="8255" cy="7391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739140"/>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-738505</wp:posOffset>
            </wp:positionV>
            <wp:extent cx="8255" cy="7391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739140"/>
                    </a:xfrm>
                    <a:prstGeom prst="rect">
                      <a:avLst/>
                    </a:prstGeom>
                    <a:noFill/>
                  </pic:spPr>
                </pic:pic>
              </a:graphicData>
            </a:graphic>
          </wp:anchor>
        </w:drawing>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41659C"/>
        </w:rPr>
        <w:t>2021 Cash Incentive Compensation</w:t>
      </w:r>
    </w:p>
    <w:p>
      <w:pPr>
        <w:spacing w:after="0" w:line="109" w:lineRule="exact"/>
        <w:rPr>
          <w:sz w:val="20"/>
          <w:szCs w:val="20"/>
          <w:color w:val="auto"/>
        </w:rPr>
      </w:pPr>
    </w:p>
    <w:p>
      <w:pPr>
        <w:ind w:left="340" w:right="120"/>
        <w:spacing w:after="0" w:line="245" w:lineRule="auto"/>
        <w:rPr>
          <w:sz w:val="20"/>
          <w:szCs w:val="20"/>
          <w:color w:val="auto"/>
        </w:rPr>
      </w:pPr>
      <w:r>
        <w:rPr>
          <w:rFonts w:ascii="Arial" w:cs="Arial" w:eastAsia="Arial" w:hAnsi="Arial"/>
          <w:sz w:val="16"/>
          <w:szCs w:val="16"/>
          <w:color w:val="auto"/>
        </w:rPr>
        <w:t>We believe that, in typical circumstances, a portion of our named executive officers’ cash compensation should be earned based on our annual performance, so that our executive officers are appropriately motivated to maximize our financial and operating performance each year. Early each year, our Compensation Committee typically selects executive officers to participate in the annual incentive program and determines the amount of the award opportunity and the performance goals for the participant.</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2022 Proxy Statement • 19</w:t>
      </w:r>
    </w:p>
    <w:p>
      <w:pPr>
        <w:sectPr>
          <w:pgSz w:w="11900" w:h="16838" w:orient="portrait"/>
          <w:cols w:equalWidth="0" w:num="1">
            <w:col w:w="10900"/>
          </w:cols>
          <w:pgMar w:left="320" w:top="443" w:right="6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4" w:lineRule="exact"/>
        <w:rPr>
          <w:sz w:val="20"/>
          <w:szCs w:val="20"/>
          <w:color w:val="auto"/>
        </w:rPr>
      </w:pPr>
    </w:p>
    <w:p>
      <w:pPr>
        <w:ind w:left="340" w:right="40"/>
        <w:spacing w:after="0" w:line="242" w:lineRule="auto"/>
        <w:rPr>
          <w:sz w:val="20"/>
          <w:szCs w:val="20"/>
          <w:color w:val="auto"/>
        </w:rPr>
      </w:pPr>
      <w:r>
        <w:rPr>
          <w:rFonts w:ascii="Arial" w:cs="Arial" w:eastAsia="Arial" w:hAnsi="Arial"/>
          <w:sz w:val="16"/>
          <w:szCs w:val="16"/>
          <w:color w:val="auto"/>
        </w:rPr>
        <w:t>For 2021, the performance objectives under our annual incentive program were established in the first quarter of 2021 by our Compensation Committee after consultation with our Chief Executive Officer and Senior Vice President of Human Resources and consisted of equally-weighted objectives of bookings, Adjusted EBITDA, revenue and free cash flow, in each case established by reference to the Company’s annual operating plan. The payout with respect to each metric could range from 0% to a maximum of 200% of target (which was 100%, 55% and 55% of base salary for Messrs. Gleason, Eckl and Nuggihalli, respectively), as set forth in the table below:</w:t>
      </w:r>
    </w:p>
    <w:p>
      <w:pPr>
        <w:spacing w:after="0" w:line="188"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3660" w:type="dxa"/>
            <w:vAlign w:val="bottom"/>
            <w:vMerge w:val="restart"/>
            <w:shd w:val="clear" w:color="auto" w:fill="41659C"/>
          </w:tcPr>
          <w:p>
            <w:pPr>
              <w:ind w:left="60"/>
              <w:spacing w:after="0"/>
              <w:rPr>
                <w:sz w:val="20"/>
                <w:szCs w:val="20"/>
                <w:color w:val="auto"/>
              </w:rPr>
            </w:pPr>
            <w:r>
              <w:rPr>
                <w:rFonts w:ascii="Arial" w:cs="Arial" w:eastAsia="Arial" w:hAnsi="Arial"/>
                <w:sz w:val="15"/>
                <w:szCs w:val="15"/>
                <w:b w:val="1"/>
                <w:bCs w:val="1"/>
                <w:color w:val="FFFFFF"/>
              </w:rPr>
              <w:t>Performance Measures ($ in millions)</w:t>
            </w:r>
          </w:p>
        </w:tc>
        <w:tc>
          <w:tcPr>
            <w:tcW w:w="1120" w:type="dxa"/>
            <w:vAlign w:val="bottom"/>
            <w:shd w:val="clear" w:color="auto" w:fill="41659C"/>
          </w:tcPr>
          <w:p>
            <w:pPr>
              <w:spacing w:after="0"/>
              <w:rPr>
                <w:sz w:val="14"/>
                <w:szCs w:val="14"/>
                <w:color w:val="auto"/>
              </w:rPr>
            </w:pPr>
          </w:p>
        </w:tc>
        <w:tc>
          <w:tcPr>
            <w:tcW w:w="1500" w:type="dxa"/>
            <w:vAlign w:val="bottom"/>
            <w:shd w:val="clear" w:color="auto" w:fill="41659C"/>
          </w:tcPr>
          <w:p>
            <w:pPr>
              <w:jc w:val="right"/>
              <w:ind w:right="687"/>
              <w:spacing w:after="0"/>
              <w:rPr>
                <w:sz w:val="20"/>
                <w:szCs w:val="20"/>
                <w:color w:val="auto"/>
              </w:rPr>
            </w:pPr>
            <w:r>
              <w:rPr>
                <w:rFonts w:ascii="Arial" w:cs="Arial" w:eastAsia="Arial" w:hAnsi="Arial"/>
                <w:sz w:val="15"/>
                <w:szCs w:val="15"/>
                <w:b w:val="1"/>
                <w:bCs w:val="1"/>
                <w:color w:val="FFFFFF"/>
                <w:w w:val="99"/>
              </w:rPr>
              <w:t>Threshold</w:t>
            </w:r>
          </w:p>
        </w:tc>
        <w:tc>
          <w:tcPr>
            <w:tcW w:w="820" w:type="dxa"/>
            <w:vAlign w:val="bottom"/>
            <w:shd w:val="clear" w:color="auto" w:fill="41659C"/>
          </w:tcPr>
          <w:p>
            <w:pPr>
              <w:spacing w:after="0"/>
              <w:rPr>
                <w:sz w:val="14"/>
                <w:szCs w:val="14"/>
                <w:color w:val="auto"/>
              </w:rPr>
            </w:pPr>
          </w:p>
        </w:tc>
        <w:tc>
          <w:tcPr>
            <w:tcW w:w="1580" w:type="dxa"/>
            <w:vAlign w:val="bottom"/>
            <w:shd w:val="clear" w:color="auto" w:fill="41659C"/>
          </w:tcPr>
          <w:p>
            <w:pPr>
              <w:jc w:val="right"/>
              <w:ind w:right="907"/>
              <w:spacing w:after="0"/>
              <w:rPr>
                <w:sz w:val="20"/>
                <w:szCs w:val="20"/>
                <w:color w:val="auto"/>
              </w:rPr>
            </w:pPr>
            <w:r>
              <w:rPr>
                <w:rFonts w:ascii="Arial" w:cs="Arial" w:eastAsia="Arial" w:hAnsi="Arial"/>
                <w:sz w:val="15"/>
                <w:szCs w:val="15"/>
                <w:b w:val="1"/>
                <w:bCs w:val="1"/>
                <w:color w:val="FFFFFF"/>
              </w:rPr>
              <w:t>Target</w:t>
            </w:r>
          </w:p>
        </w:tc>
        <w:tc>
          <w:tcPr>
            <w:tcW w:w="760" w:type="dxa"/>
            <w:vAlign w:val="bottom"/>
            <w:shd w:val="clear" w:color="auto" w:fill="41659C"/>
          </w:tcPr>
          <w:p>
            <w:pPr>
              <w:spacing w:after="0"/>
              <w:rPr>
                <w:sz w:val="14"/>
                <w:szCs w:val="14"/>
                <w:color w:val="auto"/>
              </w:rPr>
            </w:pPr>
          </w:p>
        </w:tc>
        <w:tc>
          <w:tcPr>
            <w:tcW w:w="1100" w:type="dxa"/>
            <w:vAlign w:val="bottom"/>
            <w:shd w:val="clear" w:color="auto" w:fill="41659C"/>
          </w:tcPr>
          <w:p>
            <w:pPr>
              <w:jc w:val="right"/>
              <w:ind w:right="247"/>
              <w:spacing w:after="0"/>
              <w:rPr>
                <w:sz w:val="20"/>
                <w:szCs w:val="20"/>
                <w:color w:val="auto"/>
              </w:rPr>
            </w:pPr>
            <w:r>
              <w:rPr>
                <w:rFonts w:ascii="Arial" w:cs="Arial" w:eastAsia="Arial" w:hAnsi="Arial"/>
                <w:sz w:val="15"/>
                <w:szCs w:val="15"/>
                <w:b w:val="1"/>
                <w:bCs w:val="1"/>
                <w:color w:val="FFFFFF"/>
              </w:rPr>
              <w:t>Maximum</w:t>
            </w:r>
          </w:p>
        </w:tc>
        <w:tc>
          <w:tcPr>
            <w:tcW w:w="0" w:type="dxa"/>
            <w:vAlign w:val="bottom"/>
          </w:tcPr>
          <w:p>
            <w:pPr>
              <w:spacing w:after="0"/>
              <w:rPr>
                <w:sz w:val="1"/>
                <w:szCs w:val="1"/>
                <w:color w:val="auto"/>
              </w:rPr>
            </w:pPr>
          </w:p>
        </w:tc>
      </w:tr>
      <w:tr>
        <w:trPr>
          <w:trHeight w:val="198"/>
        </w:trPr>
        <w:tc>
          <w:tcPr>
            <w:tcW w:w="3660" w:type="dxa"/>
            <w:vAlign w:val="bottom"/>
            <w:vMerge w:val="continue"/>
            <w:shd w:val="clear" w:color="auto" w:fill="41659C"/>
          </w:tcPr>
          <w:p>
            <w:pPr>
              <w:spacing w:after="0"/>
              <w:rPr>
                <w:sz w:val="17"/>
                <w:szCs w:val="17"/>
                <w:color w:val="auto"/>
              </w:rPr>
            </w:pPr>
          </w:p>
        </w:tc>
        <w:tc>
          <w:tcPr>
            <w:tcW w:w="2620" w:type="dxa"/>
            <w:vAlign w:val="bottom"/>
            <w:gridSpan w:val="2"/>
            <w:shd w:val="clear" w:color="auto" w:fill="41659C"/>
          </w:tcPr>
          <w:p>
            <w:pPr>
              <w:ind w:left="980"/>
              <w:spacing w:after="0"/>
              <w:rPr>
                <w:sz w:val="20"/>
                <w:szCs w:val="20"/>
                <w:color w:val="auto"/>
              </w:rPr>
            </w:pPr>
            <w:r>
              <w:rPr>
                <w:rFonts w:ascii="Arial" w:cs="Arial" w:eastAsia="Arial" w:hAnsi="Arial"/>
                <w:sz w:val="15"/>
                <w:szCs w:val="15"/>
                <w:b w:val="1"/>
                <w:bCs w:val="1"/>
                <w:color w:val="FFFFFF"/>
              </w:rPr>
              <w:t>(0% Payout) ($)</w:t>
            </w:r>
          </w:p>
        </w:tc>
        <w:tc>
          <w:tcPr>
            <w:tcW w:w="2400" w:type="dxa"/>
            <w:vAlign w:val="bottom"/>
            <w:gridSpan w:val="2"/>
            <w:shd w:val="clear" w:color="auto" w:fill="41659C"/>
          </w:tcPr>
          <w:p>
            <w:pPr>
              <w:ind w:left="600"/>
              <w:spacing w:after="0"/>
              <w:rPr>
                <w:sz w:val="20"/>
                <w:szCs w:val="20"/>
                <w:color w:val="auto"/>
              </w:rPr>
            </w:pPr>
            <w:r>
              <w:rPr>
                <w:rFonts w:ascii="Arial" w:cs="Arial" w:eastAsia="Arial" w:hAnsi="Arial"/>
                <w:sz w:val="15"/>
                <w:szCs w:val="15"/>
                <w:b w:val="1"/>
                <w:bCs w:val="1"/>
                <w:color w:val="FFFFFF"/>
              </w:rPr>
              <w:t>(100% Payout) ($)</w:t>
            </w:r>
          </w:p>
        </w:tc>
        <w:tc>
          <w:tcPr>
            <w:tcW w:w="1860" w:type="dxa"/>
            <w:vAlign w:val="bottom"/>
            <w:gridSpan w:val="2"/>
            <w:shd w:val="clear" w:color="auto" w:fill="41659C"/>
          </w:tcPr>
          <w:p>
            <w:pPr>
              <w:ind w:left="580"/>
              <w:spacing w:after="0"/>
              <w:rPr>
                <w:sz w:val="20"/>
                <w:szCs w:val="20"/>
                <w:color w:val="auto"/>
              </w:rPr>
            </w:pPr>
            <w:r>
              <w:rPr>
                <w:rFonts w:ascii="Arial" w:cs="Arial" w:eastAsia="Arial" w:hAnsi="Arial"/>
                <w:sz w:val="15"/>
                <w:szCs w:val="15"/>
                <w:b w:val="1"/>
                <w:bCs w:val="1"/>
                <w:color w:val="FFFFFF"/>
              </w:rPr>
              <w:t>(200% Payout) ($)</w:t>
            </w:r>
          </w:p>
        </w:tc>
        <w:tc>
          <w:tcPr>
            <w:tcW w:w="0" w:type="dxa"/>
            <w:vAlign w:val="bottom"/>
          </w:tcPr>
          <w:p>
            <w:pPr>
              <w:spacing w:after="0"/>
              <w:rPr>
                <w:sz w:val="1"/>
                <w:szCs w:val="1"/>
                <w:color w:val="auto"/>
              </w:rPr>
            </w:pPr>
          </w:p>
        </w:tc>
      </w:tr>
      <w:tr>
        <w:trPr>
          <w:trHeight w:val="211"/>
        </w:trPr>
        <w:tc>
          <w:tcPr>
            <w:tcW w:w="3660" w:type="dxa"/>
            <w:vAlign w:val="bottom"/>
            <w:shd w:val="clear" w:color="auto" w:fill="E8EED3"/>
          </w:tcPr>
          <w:p>
            <w:pPr>
              <w:ind w:left="60"/>
              <w:spacing w:after="0"/>
              <w:rPr>
                <w:sz w:val="20"/>
                <w:szCs w:val="20"/>
                <w:color w:val="auto"/>
              </w:rPr>
            </w:pPr>
            <w:r>
              <w:rPr>
                <w:rFonts w:ascii="Arial" w:cs="Arial" w:eastAsia="Arial" w:hAnsi="Arial"/>
                <w:sz w:val="15"/>
                <w:szCs w:val="15"/>
                <w:color w:val="auto"/>
              </w:rPr>
              <w:t>Bookings</w:t>
            </w:r>
          </w:p>
        </w:tc>
        <w:tc>
          <w:tcPr>
            <w:tcW w:w="1120" w:type="dxa"/>
            <w:vAlign w:val="bottom"/>
            <w:shd w:val="clear" w:color="auto" w:fill="E8EED3"/>
          </w:tcPr>
          <w:p>
            <w:pPr>
              <w:ind w:left="980"/>
              <w:spacing w:after="0"/>
              <w:rPr>
                <w:sz w:val="20"/>
                <w:szCs w:val="20"/>
                <w:color w:val="auto"/>
              </w:rPr>
            </w:pPr>
            <w:r>
              <w:rPr>
                <w:rFonts w:ascii="Arial" w:cs="Arial" w:eastAsia="Arial" w:hAnsi="Arial"/>
                <w:sz w:val="15"/>
                <w:szCs w:val="15"/>
                <w:color w:val="auto"/>
              </w:rPr>
              <w:t>$</w:t>
            </w:r>
          </w:p>
        </w:tc>
        <w:tc>
          <w:tcPr>
            <w:tcW w:w="1500" w:type="dxa"/>
            <w:vAlign w:val="bottom"/>
            <w:shd w:val="clear" w:color="auto" w:fill="E8EED3"/>
          </w:tcPr>
          <w:p>
            <w:pPr>
              <w:jc w:val="right"/>
              <w:ind w:right="587"/>
              <w:spacing w:after="0"/>
              <w:rPr>
                <w:sz w:val="20"/>
                <w:szCs w:val="20"/>
                <w:color w:val="auto"/>
              </w:rPr>
            </w:pPr>
            <w:r>
              <w:rPr>
                <w:rFonts w:ascii="Arial" w:cs="Arial" w:eastAsia="Arial" w:hAnsi="Arial"/>
                <w:sz w:val="15"/>
                <w:szCs w:val="15"/>
                <w:color w:val="auto"/>
              </w:rPr>
              <w:t>287.9</w:t>
            </w:r>
          </w:p>
        </w:tc>
        <w:tc>
          <w:tcPr>
            <w:tcW w:w="820" w:type="dxa"/>
            <w:vAlign w:val="bottom"/>
            <w:shd w:val="clear" w:color="auto" w:fill="E8EED3"/>
          </w:tcPr>
          <w:p>
            <w:pPr>
              <w:ind w:left="580"/>
              <w:spacing w:after="0"/>
              <w:rPr>
                <w:sz w:val="20"/>
                <w:szCs w:val="20"/>
                <w:color w:val="auto"/>
              </w:rPr>
            </w:pPr>
            <w:r>
              <w:rPr>
                <w:rFonts w:ascii="Arial" w:cs="Arial" w:eastAsia="Arial" w:hAnsi="Arial"/>
                <w:sz w:val="15"/>
                <w:szCs w:val="15"/>
                <w:color w:val="auto"/>
              </w:rPr>
              <w:t>$</w:t>
            </w:r>
          </w:p>
        </w:tc>
        <w:tc>
          <w:tcPr>
            <w:tcW w:w="1580" w:type="dxa"/>
            <w:vAlign w:val="bottom"/>
            <w:shd w:val="clear" w:color="auto" w:fill="E8EED3"/>
          </w:tcPr>
          <w:p>
            <w:pPr>
              <w:jc w:val="right"/>
              <w:ind w:right="587"/>
              <w:spacing w:after="0"/>
              <w:rPr>
                <w:sz w:val="20"/>
                <w:szCs w:val="20"/>
                <w:color w:val="auto"/>
              </w:rPr>
            </w:pPr>
            <w:r>
              <w:rPr>
                <w:rFonts w:ascii="Arial" w:cs="Arial" w:eastAsia="Arial" w:hAnsi="Arial"/>
                <w:sz w:val="15"/>
                <w:szCs w:val="15"/>
                <w:color w:val="auto"/>
              </w:rPr>
              <w:t>359.9</w:t>
            </w:r>
          </w:p>
        </w:tc>
        <w:tc>
          <w:tcPr>
            <w:tcW w:w="760" w:type="dxa"/>
            <w:vAlign w:val="bottom"/>
            <w:shd w:val="clear" w:color="auto" w:fill="E8EED3"/>
          </w:tcPr>
          <w:p>
            <w:pPr>
              <w:ind w:left="580"/>
              <w:spacing w:after="0"/>
              <w:rPr>
                <w:sz w:val="20"/>
                <w:szCs w:val="20"/>
                <w:color w:val="auto"/>
              </w:rPr>
            </w:pPr>
            <w:r>
              <w:rPr>
                <w:rFonts w:ascii="Arial" w:cs="Arial" w:eastAsia="Arial" w:hAnsi="Arial"/>
                <w:sz w:val="15"/>
                <w:szCs w:val="15"/>
                <w:color w:val="auto"/>
              </w:rPr>
              <w:t>$</w:t>
            </w:r>
          </w:p>
        </w:tc>
        <w:tc>
          <w:tcPr>
            <w:tcW w:w="1100" w:type="dxa"/>
            <w:vAlign w:val="bottom"/>
            <w:shd w:val="clear" w:color="auto" w:fill="E8EED3"/>
          </w:tcPr>
          <w:p>
            <w:pPr>
              <w:jc w:val="right"/>
              <w:ind w:right="67"/>
              <w:spacing w:after="0"/>
              <w:rPr>
                <w:sz w:val="20"/>
                <w:szCs w:val="20"/>
                <w:color w:val="auto"/>
              </w:rPr>
            </w:pPr>
            <w:r>
              <w:rPr>
                <w:rFonts w:ascii="Arial" w:cs="Arial" w:eastAsia="Arial" w:hAnsi="Arial"/>
                <w:sz w:val="15"/>
                <w:szCs w:val="15"/>
                <w:color w:val="auto"/>
              </w:rPr>
              <w:t>431.9</w:t>
            </w:r>
          </w:p>
        </w:tc>
        <w:tc>
          <w:tcPr>
            <w:tcW w:w="0" w:type="dxa"/>
            <w:vAlign w:val="bottom"/>
          </w:tcPr>
          <w:p>
            <w:pPr>
              <w:spacing w:after="0"/>
              <w:rPr>
                <w:sz w:val="1"/>
                <w:szCs w:val="1"/>
                <w:color w:val="auto"/>
              </w:rPr>
            </w:pPr>
          </w:p>
        </w:tc>
      </w:tr>
      <w:tr>
        <w:trPr>
          <w:trHeight w:val="229"/>
        </w:trPr>
        <w:tc>
          <w:tcPr>
            <w:tcW w:w="3660" w:type="dxa"/>
            <w:vAlign w:val="bottom"/>
            <w:shd w:val="clear" w:color="auto" w:fill="D2DEA7"/>
          </w:tcPr>
          <w:p>
            <w:pPr>
              <w:ind w:left="60"/>
              <w:spacing w:after="0"/>
              <w:rPr>
                <w:sz w:val="20"/>
                <w:szCs w:val="20"/>
                <w:color w:val="auto"/>
              </w:rPr>
            </w:pPr>
            <w:r>
              <w:rPr>
                <w:rFonts w:ascii="Arial" w:cs="Arial" w:eastAsia="Arial" w:hAnsi="Arial"/>
                <w:sz w:val="15"/>
                <w:szCs w:val="15"/>
                <w:color w:val="auto"/>
              </w:rPr>
              <w:t>Revenue</w:t>
            </w:r>
          </w:p>
        </w:tc>
        <w:tc>
          <w:tcPr>
            <w:tcW w:w="1120" w:type="dxa"/>
            <w:vAlign w:val="bottom"/>
            <w:shd w:val="clear" w:color="auto" w:fill="D2DEA7"/>
          </w:tcPr>
          <w:p>
            <w:pPr>
              <w:ind w:left="980"/>
              <w:spacing w:after="0"/>
              <w:rPr>
                <w:sz w:val="20"/>
                <w:szCs w:val="20"/>
                <w:color w:val="auto"/>
              </w:rPr>
            </w:pPr>
            <w:r>
              <w:rPr>
                <w:rFonts w:ascii="Arial" w:cs="Arial" w:eastAsia="Arial" w:hAnsi="Arial"/>
                <w:sz w:val="15"/>
                <w:szCs w:val="15"/>
                <w:color w:val="auto"/>
              </w:rPr>
              <w:t>$</w:t>
            </w:r>
          </w:p>
        </w:tc>
        <w:tc>
          <w:tcPr>
            <w:tcW w:w="1500" w:type="dxa"/>
            <w:vAlign w:val="bottom"/>
            <w:shd w:val="clear" w:color="auto" w:fill="D2DEA7"/>
          </w:tcPr>
          <w:p>
            <w:pPr>
              <w:jc w:val="right"/>
              <w:ind w:right="587"/>
              <w:spacing w:after="0"/>
              <w:rPr>
                <w:sz w:val="20"/>
                <w:szCs w:val="20"/>
                <w:color w:val="auto"/>
              </w:rPr>
            </w:pPr>
            <w:r>
              <w:rPr>
                <w:rFonts w:ascii="Arial" w:cs="Arial" w:eastAsia="Arial" w:hAnsi="Arial"/>
                <w:sz w:val="15"/>
                <w:szCs w:val="15"/>
                <w:color w:val="auto"/>
              </w:rPr>
              <w:t>267.3</w:t>
            </w:r>
          </w:p>
        </w:tc>
        <w:tc>
          <w:tcPr>
            <w:tcW w:w="820" w:type="dxa"/>
            <w:vAlign w:val="bottom"/>
            <w:shd w:val="clear" w:color="auto" w:fill="D2DEA7"/>
          </w:tcPr>
          <w:p>
            <w:pPr>
              <w:ind w:left="580"/>
              <w:spacing w:after="0"/>
              <w:rPr>
                <w:sz w:val="20"/>
                <w:szCs w:val="20"/>
                <w:color w:val="auto"/>
              </w:rPr>
            </w:pPr>
            <w:r>
              <w:rPr>
                <w:rFonts w:ascii="Arial" w:cs="Arial" w:eastAsia="Arial" w:hAnsi="Arial"/>
                <w:sz w:val="15"/>
                <w:szCs w:val="15"/>
                <w:color w:val="auto"/>
              </w:rPr>
              <w:t>$</w:t>
            </w:r>
          </w:p>
        </w:tc>
        <w:tc>
          <w:tcPr>
            <w:tcW w:w="1580" w:type="dxa"/>
            <w:vAlign w:val="bottom"/>
            <w:shd w:val="clear" w:color="auto" w:fill="D2DEA7"/>
          </w:tcPr>
          <w:p>
            <w:pPr>
              <w:jc w:val="right"/>
              <w:ind w:right="587"/>
              <w:spacing w:after="0"/>
              <w:rPr>
                <w:sz w:val="20"/>
                <w:szCs w:val="20"/>
                <w:color w:val="auto"/>
              </w:rPr>
            </w:pPr>
            <w:r>
              <w:rPr>
                <w:rFonts w:ascii="Arial" w:cs="Arial" w:eastAsia="Arial" w:hAnsi="Arial"/>
                <w:sz w:val="15"/>
                <w:szCs w:val="15"/>
                <w:color w:val="auto"/>
              </w:rPr>
              <w:t>334.1</w:t>
            </w:r>
          </w:p>
        </w:tc>
        <w:tc>
          <w:tcPr>
            <w:tcW w:w="760" w:type="dxa"/>
            <w:vAlign w:val="bottom"/>
            <w:shd w:val="clear" w:color="auto" w:fill="D2DEA7"/>
          </w:tcPr>
          <w:p>
            <w:pPr>
              <w:ind w:left="580"/>
              <w:spacing w:after="0"/>
              <w:rPr>
                <w:sz w:val="20"/>
                <w:szCs w:val="20"/>
                <w:color w:val="auto"/>
              </w:rPr>
            </w:pPr>
            <w:r>
              <w:rPr>
                <w:rFonts w:ascii="Arial" w:cs="Arial" w:eastAsia="Arial" w:hAnsi="Arial"/>
                <w:sz w:val="15"/>
                <w:szCs w:val="15"/>
                <w:color w:val="auto"/>
              </w:rPr>
              <w:t>$</w:t>
            </w:r>
          </w:p>
        </w:tc>
        <w:tc>
          <w:tcPr>
            <w:tcW w:w="1100" w:type="dxa"/>
            <w:vAlign w:val="bottom"/>
            <w:shd w:val="clear" w:color="auto" w:fill="D2DEA7"/>
          </w:tcPr>
          <w:p>
            <w:pPr>
              <w:jc w:val="right"/>
              <w:ind w:right="67"/>
              <w:spacing w:after="0"/>
              <w:rPr>
                <w:sz w:val="20"/>
                <w:szCs w:val="20"/>
                <w:color w:val="auto"/>
              </w:rPr>
            </w:pPr>
            <w:r>
              <w:rPr>
                <w:rFonts w:ascii="Arial" w:cs="Arial" w:eastAsia="Arial" w:hAnsi="Arial"/>
                <w:sz w:val="15"/>
                <w:szCs w:val="15"/>
                <w:color w:val="auto"/>
              </w:rPr>
              <w:t>401.0</w:t>
            </w:r>
          </w:p>
        </w:tc>
        <w:tc>
          <w:tcPr>
            <w:tcW w:w="0" w:type="dxa"/>
            <w:vAlign w:val="bottom"/>
          </w:tcPr>
          <w:p>
            <w:pPr>
              <w:spacing w:after="0"/>
              <w:rPr>
                <w:sz w:val="1"/>
                <w:szCs w:val="1"/>
                <w:color w:val="auto"/>
              </w:rPr>
            </w:pPr>
          </w:p>
        </w:tc>
      </w:tr>
      <w:tr>
        <w:trPr>
          <w:trHeight w:val="211"/>
        </w:trPr>
        <w:tc>
          <w:tcPr>
            <w:tcW w:w="3660" w:type="dxa"/>
            <w:vAlign w:val="bottom"/>
            <w:shd w:val="clear" w:color="auto" w:fill="E8EED3"/>
          </w:tcPr>
          <w:p>
            <w:pPr>
              <w:ind w:left="60"/>
              <w:spacing w:after="0"/>
              <w:rPr>
                <w:sz w:val="20"/>
                <w:szCs w:val="20"/>
                <w:color w:val="auto"/>
              </w:rPr>
            </w:pPr>
            <w:r>
              <w:rPr>
                <w:rFonts w:ascii="Arial" w:cs="Arial" w:eastAsia="Arial" w:hAnsi="Arial"/>
                <w:sz w:val="15"/>
                <w:szCs w:val="15"/>
                <w:color w:val="auto"/>
              </w:rPr>
              <w:t>Adjusted EBITDA</w:t>
            </w:r>
          </w:p>
        </w:tc>
        <w:tc>
          <w:tcPr>
            <w:tcW w:w="1120" w:type="dxa"/>
            <w:vAlign w:val="bottom"/>
            <w:shd w:val="clear" w:color="auto" w:fill="E8EED3"/>
          </w:tcPr>
          <w:p>
            <w:pPr>
              <w:ind w:left="980"/>
              <w:spacing w:after="0"/>
              <w:rPr>
                <w:sz w:val="20"/>
                <w:szCs w:val="20"/>
                <w:color w:val="auto"/>
              </w:rPr>
            </w:pPr>
            <w:r>
              <w:rPr>
                <w:rFonts w:ascii="Arial" w:cs="Arial" w:eastAsia="Arial" w:hAnsi="Arial"/>
                <w:sz w:val="15"/>
                <w:szCs w:val="15"/>
                <w:color w:val="auto"/>
              </w:rPr>
              <w:t>$</w:t>
            </w:r>
          </w:p>
        </w:tc>
        <w:tc>
          <w:tcPr>
            <w:tcW w:w="1500" w:type="dxa"/>
            <w:vAlign w:val="bottom"/>
            <w:shd w:val="clear" w:color="auto" w:fill="E8EED3"/>
          </w:tcPr>
          <w:p>
            <w:pPr>
              <w:jc w:val="right"/>
              <w:ind w:right="587"/>
              <w:spacing w:after="0"/>
              <w:rPr>
                <w:sz w:val="20"/>
                <w:szCs w:val="20"/>
                <w:color w:val="auto"/>
              </w:rPr>
            </w:pPr>
            <w:r>
              <w:rPr>
                <w:rFonts w:ascii="Arial" w:cs="Arial" w:eastAsia="Arial" w:hAnsi="Arial"/>
                <w:sz w:val="15"/>
                <w:szCs w:val="15"/>
                <w:color w:val="auto"/>
              </w:rPr>
              <w:t>26.2</w:t>
            </w:r>
          </w:p>
        </w:tc>
        <w:tc>
          <w:tcPr>
            <w:tcW w:w="820" w:type="dxa"/>
            <w:vAlign w:val="bottom"/>
            <w:shd w:val="clear" w:color="auto" w:fill="E8EED3"/>
          </w:tcPr>
          <w:p>
            <w:pPr>
              <w:ind w:left="580"/>
              <w:spacing w:after="0"/>
              <w:rPr>
                <w:sz w:val="20"/>
                <w:szCs w:val="20"/>
                <w:color w:val="auto"/>
              </w:rPr>
            </w:pPr>
            <w:r>
              <w:rPr>
                <w:rFonts w:ascii="Arial" w:cs="Arial" w:eastAsia="Arial" w:hAnsi="Arial"/>
                <w:sz w:val="15"/>
                <w:szCs w:val="15"/>
                <w:color w:val="auto"/>
              </w:rPr>
              <w:t>$</w:t>
            </w:r>
          </w:p>
        </w:tc>
        <w:tc>
          <w:tcPr>
            <w:tcW w:w="1580" w:type="dxa"/>
            <w:vAlign w:val="bottom"/>
            <w:shd w:val="clear" w:color="auto" w:fill="E8EED3"/>
          </w:tcPr>
          <w:p>
            <w:pPr>
              <w:jc w:val="right"/>
              <w:ind w:right="587"/>
              <w:spacing w:after="0"/>
              <w:rPr>
                <w:sz w:val="20"/>
                <w:szCs w:val="20"/>
                <w:color w:val="auto"/>
              </w:rPr>
            </w:pPr>
            <w:r>
              <w:rPr>
                <w:rFonts w:ascii="Arial" w:cs="Arial" w:eastAsia="Arial" w:hAnsi="Arial"/>
                <w:sz w:val="15"/>
                <w:szCs w:val="15"/>
                <w:color w:val="auto"/>
              </w:rPr>
              <w:t>32.8</w:t>
            </w:r>
          </w:p>
        </w:tc>
        <w:tc>
          <w:tcPr>
            <w:tcW w:w="760" w:type="dxa"/>
            <w:vAlign w:val="bottom"/>
            <w:shd w:val="clear" w:color="auto" w:fill="E8EED3"/>
          </w:tcPr>
          <w:p>
            <w:pPr>
              <w:ind w:left="580"/>
              <w:spacing w:after="0"/>
              <w:rPr>
                <w:sz w:val="20"/>
                <w:szCs w:val="20"/>
                <w:color w:val="auto"/>
              </w:rPr>
            </w:pPr>
            <w:r>
              <w:rPr>
                <w:rFonts w:ascii="Arial" w:cs="Arial" w:eastAsia="Arial" w:hAnsi="Arial"/>
                <w:sz w:val="15"/>
                <w:szCs w:val="15"/>
                <w:color w:val="auto"/>
              </w:rPr>
              <w:t>$</w:t>
            </w:r>
          </w:p>
        </w:tc>
        <w:tc>
          <w:tcPr>
            <w:tcW w:w="1100" w:type="dxa"/>
            <w:vAlign w:val="bottom"/>
            <w:shd w:val="clear" w:color="auto" w:fill="E8EED3"/>
          </w:tcPr>
          <w:p>
            <w:pPr>
              <w:jc w:val="right"/>
              <w:ind w:right="67"/>
              <w:spacing w:after="0"/>
              <w:rPr>
                <w:sz w:val="20"/>
                <w:szCs w:val="20"/>
                <w:color w:val="auto"/>
              </w:rPr>
            </w:pPr>
            <w:r>
              <w:rPr>
                <w:rFonts w:ascii="Arial" w:cs="Arial" w:eastAsia="Arial" w:hAnsi="Arial"/>
                <w:sz w:val="15"/>
                <w:szCs w:val="15"/>
                <w:color w:val="auto"/>
              </w:rPr>
              <w:t>39.4</w:t>
            </w:r>
          </w:p>
        </w:tc>
        <w:tc>
          <w:tcPr>
            <w:tcW w:w="0" w:type="dxa"/>
            <w:vAlign w:val="bottom"/>
          </w:tcPr>
          <w:p>
            <w:pPr>
              <w:spacing w:after="0"/>
              <w:rPr>
                <w:sz w:val="1"/>
                <w:szCs w:val="1"/>
                <w:color w:val="auto"/>
              </w:rPr>
            </w:pPr>
          </w:p>
        </w:tc>
      </w:tr>
      <w:tr>
        <w:trPr>
          <w:trHeight w:val="229"/>
        </w:trPr>
        <w:tc>
          <w:tcPr>
            <w:tcW w:w="3660" w:type="dxa"/>
            <w:vAlign w:val="bottom"/>
            <w:shd w:val="clear" w:color="auto" w:fill="D2DEA7"/>
          </w:tcPr>
          <w:p>
            <w:pPr>
              <w:ind w:left="60"/>
              <w:spacing w:after="0"/>
              <w:rPr>
                <w:sz w:val="20"/>
                <w:szCs w:val="20"/>
                <w:color w:val="auto"/>
              </w:rPr>
            </w:pPr>
            <w:r>
              <w:rPr>
                <w:rFonts w:ascii="Arial" w:cs="Arial" w:eastAsia="Arial" w:hAnsi="Arial"/>
                <w:sz w:val="15"/>
                <w:szCs w:val="15"/>
                <w:color w:val="auto"/>
              </w:rPr>
              <w:t>Free Cash Flow</w:t>
            </w:r>
          </w:p>
        </w:tc>
        <w:tc>
          <w:tcPr>
            <w:tcW w:w="1120" w:type="dxa"/>
            <w:vAlign w:val="bottom"/>
            <w:shd w:val="clear" w:color="auto" w:fill="D2DEA7"/>
          </w:tcPr>
          <w:p>
            <w:pPr>
              <w:ind w:left="980"/>
              <w:spacing w:after="0"/>
              <w:rPr>
                <w:sz w:val="20"/>
                <w:szCs w:val="20"/>
                <w:color w:val="auto"/>
              </w:rPr>
            </w:pPr>
            <w:r>
              <w:rPr>
                <w:rFonts w:ascii="Arial" w:cs="Arial" w:eastAsia="Arial" w:hAnsi="Arial"/>
                <w:sz w:val="15"/>
                <w:szCs w:val="15"/>
                <w:color w:val="auto"/>
              </w:rPr>
              <w:t>$</w:t>
            </w:r>
          </w:p>
        </w:tc>
        <w:tc>
          <w:tcPr>
            <w:tcW w:w="1500" w:type="dxa"/>
            <w:vAlign w:val="bottom"/>
            <w:shd w:val="clear" w:color="auto" w:fill="D2DEA7"/>
          </w:tcPr>
          <w:p>
            <w:pPr>
              <w:jc w:val="right"/>
              <w:ind w:right="587"/>
              <w:spacing w:after="0"/>
              <w:rPr>
                <w:sz w:val="20"/>
                <w:szCs w:val="20"/>
                <w:color w:val="auto"/>
              </w:rPr>
            </w:pPr>
            <w:r>
              <w:rPr>
                <w:rFonts w:ascii="Arial" w:cs="Arial" w:eastAsia="Arial" w:hAnsi="Arial"/>
                <w:sz w:val="15"/>
                <w:szCs w:val="15"/>
                <w:color w:val="auto"/>
              </w:rPr>
              <w:t>12.9</w:t>
            </w:r>
          </w:p>
        </w:tc>
        <w:tc>
          <w:tcPr>
            <w:tcW w:w="820" w:type="dxa"/>
            <w:vAlign w:val="bottom"/>
            <w:shd w:val="clear" w:color="auto" w:fill="D2DEA7"/>
          </w:tcPr>
          <w:p>
            <w:pPr>
              <w:ind w:left="580"/>
              <w:spacing w:after="0"/>
              <w:rPr>
                <w:sz w:val="20"/>
                <w:szCs w:val="20"/>
                <w:color w:val="auto"/>
              </w:rPr>
            </w:pPr>
            <w:r>
              <w:rPr>
                <w:rFonts w:ascii="Arial" w:cs="Arial" w:eastAsia="Arial" w:hAnsi="Arial"/>
                <w:sz w:val="15"/>
                <w:szCs w:val="15"/>
                <w:color w:val="auto"/>
              </w:rPr>
              <w:t>$</w:t>
            </w:r>
          </w:p>
        </w:tc>
        <w:tc>
          <w:tcPr>
            <w:tcW w:w="1580" w:type="dxa"/>
            <w:vAlign w:val="bottom"/>
            <w:shd w:val="clear" w:color="auto" w:fill="D2DEA7"/>
          </w:tcPr>
          <w:p>
            <w:pPr>
              <w:jc w:val="right"/>
              <w:ind w:right="587"/>
              <w:spacing w:after="0"/>
              <w:rPr>
                <w:sz w:val="20"/>
                <w:szCs w:val="20"/>
                <w:color w:val="auto"/>
              </w:rPr>
            </w:pPr>
            <w:r>
              <w:rPr>
                <w:rFonts w:ascii="Arial" w:cs="Arial" w:eastAsia="Arial" w:hAnsi="Arial"/>
                <w:sz w:val="15"/>
                <w:szCs w:val="15"/>
                <w:color w:val="auto"/>
              </w:rPr>
              <w:t>16.1</w:t>
            </w:r>
          </w:p>
        </w:tc>
        <w:tc>
          <w:tcPr>
            <w:tcW w:w="760" w:type="dxa"/>
            <w:vAlign w:val="bottom"/>
            <w:shd w:val="clear" w:color="auto" w:fill="D2DEA7"/>
          </w:tcPr>
          <w:p>
            <w:pPr>
              <w:ind w:left="580"/>
              <w:spacing w:after="0"/>
              <w:rPr>
                <w:sz w:val="20"/>
                <w:szCs w:val="20"/>
                <w:color w:val="auto"/>
              </w:rPr>
            </w:pPr>
            <w:r>
              <w:rPr>
                <w:rFonts w:ascii="Arial" w:cs="Arial" w:eastAsia="Arial" w:hAnsi="Arial"/>
                <w:sz w:val="15"/>
                <w:szCs w:val="15"/>
                <w:color w:val="auto"/>
              </w:rPr>
              <w:t>$</w:t>
            </w:r>
          </w:p>
        </w:tc>
        <w:tc>
          <w:tcPr>
            <w:tcW w:w="1100" w:type="dxa"/>
            <w:vAlign w:val="bottom"/>
            <w:shd w:val="clear" w:color="auto" w:fill="D2DEA7"/>
          </w:tcPr>
          <w:p>
            <w:pPr>
              <w:jc w:val="right"/>
              <w:ind w:right="67"/>
              <w:spacing w:after="0"/>
              <w:rPr>
                <w:sz w:val="20"/>
                <w:szCs w:val="20"/>
                <w:color w:val="auto"/>
              </w:rPr>
            </w:pPr>
            <w:r>
              <w:rPr>
                <w:rFonts w:ascii="Arial" w:cs="Arial" w:eastAsia="Arial" w:hAnsi="Arial"/>
                <w:sz w:val="15"/>
                <w:szCs w:val="15"/>
                <w:color w:val="auto"/>
              </w:rPr>
              <w:t>19.3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5407025</wp:posOffset>
            </wp:positionH>
            <wp:positionV relativeFrom="paragraph">
              <wp:posOffset>-771525</wp:posOffset>
            </wp:positionV>
            <wp:extent cx="8255" cy="772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772160"/>
                    </a:xfrm>
                    <a:prstGeom prst="rect">
                      <a:avLst/>
                    </a:prstGeom>
                    <a:noFill/>
                  </pic:spPr>
                </pic:pic>
              </a:graphicData>
            </a:graphic>
          </wp:anchor>
        </w:drawing>
        <w:drawing>
          <wp:anchor simplePos="0" relativeHeight="251657728" behindDoc="1" locked="0" layoutInCell="0" allowOverlap="1">
            <wp:simplePos x="0" y="0"/>
            <wp:positionH relativeFrom="column">
              <wp:posOffset>3887470</wp:posOffset>
            </wp:positionH>
            <wp:positionV relativeFrom="paragraph">
              <wp:posOffset>-771525</wp:posOffset>
            </wp:positionV>
            <wp:extent cx="8255" cy="772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77216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-771525</wp:posOffset>
            </wp:positionV>
            <wp:extent cx="8255" cy="772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772160"/>
                    </a:xfrm>
                    <a:prstGeom prst="rect">
                      <a:avLst/>
                    </a:prstGeom>
                    <a:noFill/>
                  </pic:spPr>
                </pic:pic>
              </a:graphicData>
            </a:graphic>
          </wp:anchor>
        </w:drawing>
      </w:r>
    </w:p>
    <w:p>
      <w:pPr>
        <w:spacing w:after="0" w:line="175" w:lineRule="exact"/>
        <w:rPr>
          <w:sz w:val="20"/>
          <w:szCs w:val="20"/>
          <w:color w:val="auto"/>
        </w:rPr>
      </w:pPr>
    </w:p>
    <w:p>
      <w:pPr>
        <w:ind w:left="340" w:right="220"/>
        <w:spacing w:after="0" w:line="262" w:lineRule="auto"/>
        <w:rPr>
          <w:sz w:val="20"/>
          <w:szCs w:val="20"/>
          <w:color w:val="auto"/>
        </w:rPr>
      </w:pPr>
      <w:r>
        <w:rPr>
          <w:rFonts w:ascii="Arial" w:cs="Arial" w:eastAsia="Arial" w:hAnsi="Arial"/>
          <w:sz w:val="16"/>
          <w:szCs w:val="16"/>
          <w:color w:val="auto"/>
        </w:rPr>
        <w:t>In early 2022, the Compensation Committee determined that the Company’s performance in 2021 resulted in total formulaic payout of 46% of target for each named executive officer under the annual incentive program as shown below:</w:t>
      </w:r>
    </w:p>
    <w:p>
      <w:pPr>
        <w:spacing w:after="0" w:line="171"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5340" w:type="dxa"/>
            <w:vAlign w:val="bottom"/>
            <w:vMerge w:val="restart"/>
            <w:shd w:val="clear" w:color="auto" w:fill="41659C"/>
          </w:tcPr>
          <w:p>
            <w:pPr>
              <w:ind w:left="60"/>
              <w:spacing w:after="0"/>
              <w:rPr>
                <w:sz w:val="20"/>
                <w:szCs w:val="20"/>
                <w:color w:val="auto"/>
              </w:rPr>
            </w:pPr>
            <w:r>
              <w:rPr>
                <w:rFonts w:ascii="Arial" w:cs="Arial" w:eastAsia="Arial" w:hAnsi="Arial"/>
                <w:sz w:val="15"/>
                <w:szCs w:val="15"/>
                <w:b w:val="1"/>
                <w:bCs w:val="1"/>
                <w:color w:val="FFFFFF"/>
              </w:rPr>
              <w:t>Performance Measures ($ in millions)</w:t>
            </w:r>
          </w:p>
        </w:tc>
        <w:tc>
          <w:tcPr>
            <w:tcW w:w="2820" w:type="dxa"/>
            <w:vAlign w:val="bottom"/>
            <w:gridSpan w:val="2"/>
            <w:vMerge w:val="restart"/>
            <w:shd w:val="clear" w:color="auto" w:fill="41659C"/>
          </w:tcPr>
          <w:p>
            <w:pPr>
              <w:ind w:left="780"/>
              <w:spacing w:after="0"/>
              <w:rPr>
                <w:sz w:val="20"/>
                <w:szCs w:val="20"/>
                <w:color w:val="auto"/>
              </w:rPr>
            </w:pPr>
            <w:r>
              <w:rPr>
                <w:rFonts w:ascii="Arial" w:cs="Arial" w:eastAsia="Arial" w:hAnsi="Arial"/>
                <w:sz w:val="15"/>
                <w:szCs w:val="15"/>
                <w:b w:val="1"/>
                <w:bCs w:val="1"/>
                <w:color w:val="FFFFFF"/>
              </w:rPr>
              <w:t>Actual Achievement</w:t>
            </w:r>
          </w:p>
        </w:tc>
        <w:tc>
          <w:tcPr>
            <w:tcW w:w="2380" w:type="dxa"/>
            <w:vAlign w:val="bottom"/>
            <w:gridSpan w:val="3"/>
            <w:shd w:val="clear" w:color="auto" w:fill="41659C"/>
          </w:tcPr>
          <w:p>
            <w:pPr>
              <w:jc w:val="center"/>
              <w:ind w:left="147"/>
              <w:spacing w:after="0"/>
              <w:rPr>
                <w:sz w:val="20"/>
                <w:szCs w:val="20"/>
                <w:color w:val="auto"/>
              </w:rPr>
            </w:pPr>
            <w:r>
              <w:rPr>
                <w:rFonts w:ascii="Arial" w:cs="Arial" w:eastAsia="Arial" w:hAnsi="Arial"/>
                <w:sz w:val="15"/>
                <w:szCs w:val="15"/>
                <w:b w:val="1"/>
                <w:bCs w:val="1"/>
                <w:color w:val="FFFFFF"/>
                <w:w w:val="97"/>
              </w:rPr>
              <w:t>Percentage Payout</w:t>
            </w:r>
          </w:p>
        </w:tc>
        <w:tc>
          <w:tcPr>
            <w:tcW w:w="0" w:type="dxa"/>
            <w:vAlign w:val="bottom"/>
          </w:tcPr>
          <w:p>
            <w:pPr>
              <w:spacing w:after="0"/>
              <w:rPr>
                <w:sz w:val="1"/>
                <w:szCs w:val="1"/>
                <w:color w:val="auto"/>
              </w:rPr>
            </w:pPr>
          </w:p>
        </w:tc>
      </w:tr>
      <w:tr>
        <w:trPr>
          <w:trHeight w:val="198"/>
        </w:trPr>
        <w:tc>
          <w:tcPr>
            <w:tcW w:w="5340" w:type="dxa"/>
            <w:vAlign w:val="bottom"/>
            <w:vMerge w:val="continue"/>
            <w:shd w:val="clear" w:color="auto" w:fill="41659C"/>
          </w:tcPr>
          <w:p>
            <w:pPr>
              <w:spacing w:after="0"/>
              <w:rPr>
                <w:sz w:val="17"/>
                <w:szCs w:val="17"/>
                <w:color w:val="auto"/>
              </w:rPr>
            </w:pPr>
          </w:p>
        </w:tc>
        <w:tc>
          <w:tcPr>
            <w:tcW w:w="2820" w:type="dxa"/>
            <w:vAlign w:val="bottom"/>
            <w:gridSpan w:val="2"/>
            <w:vMerge w:val="continue"/>
            <w:shd w:val="clear" w:color="auto" w:fill="41659C"/>
          </w:tcPr>
          <w:p>
            <w:pPr>
              <w:spacing w:after="0"/>
              <w:rPr>
                <w:sz w:val="17"/>
                <w:szCs w:val="17"/>
                <w:color w:val="auto"/>
              </w:rPr>
            </w:pPr>
          </w:p>
        </w:tc>
        <w:tc>
          <w:tcPr>
            <w:tcW w:w="640" w:type="dxa"/>
            <w:vAlign w:val="bottom"/>
            <w:shd w:val="clear" w:color="auto" w:fill="41659C"/>
          </w:tcPr>
          <w:p>
            <w:pPr>
              <w:spacing w:after="0"/>
              <w:rPr>
                <w:sz w:val="17"/>
                <w:szCs w:val="17"/>
                <w:color w:val="auto"/>
              </w:rPr>
            </w:pPr>
          </w:p>
        </w:tc>
        <w:tc>
          <w:tcPr>
            <w:tcW w:w="1740" w:type="dxa"/>
            <w:vAlign w:val="bottom"/>
            <w:gridSpan w:val="2"/>
            <w:shd w:val="clear" w:color="auto" w:fill="41659C"/>
          </w:tcPr>
          <w:p>
            <w:pPr>
              <w:jc w:val="center"/>
              <w:ind w:right="440"/>
              <w:spacing w:after="0"/>
              <w:rPr>
                <w:sz w:val="20"/>
                <w:szCs w:val="20"/>
                <w:color w:val="auto"/>
              </w:rPr>
            </w:pPr>
            <w:r>
              <w:rPr>
                <w:rFonts w:ascii="Arial" w:cs="Arial" w:eastAsia="Arial" w:hAnsi="Arial"/>
                <w:sz w:val="15"/>
                <w:szCs w:val="15"/>
                <w:b w:val="1"/>
                <w:bCs w:val="1"/>
                <w:color w:val="FFFFFF"/>
                <w:w w:val="98"/>
              </w:rPr>
              <w:t>Earned</w:t>
            </w:r>
          </w:p>
        </w:tc>
        <w:tc>
          <w:tcPr>
            <w:tcW w:w="0" w:type="dxa"/>
            <w:vAlign w:val="bottom"/>
          </w:tcPr>
          <w:p>
            <w:pPr>
              <w:spacing w:after="0"/>
              <w:rPr>
                <w:sz w:val="1"/>
                <w:szCs w:val="1"/>
                <w:color w:val="auto"/>
              </w:rPr>
            </w:pPr>
          </w:p>
        </w:tc>
      </w:tr>
      <w:tr>
        <w:trPr>
          <w:trHeight w:val="211"/>
        </w:trPr>
        <w:tc>
          <w:tcPr>
            <w:tcW w:w="5340" w:type="dxa"/>
            <w:vAlign w:val="bottom"/>
            <w:shd w:val="clear" w:color="auto" w:fill="E8EED3"/>
          </w:tcPr>
          <w:p>
            <w:pPr>
              <w:ind w:left="60"/>
              <w:spacing w:after="0"/>
              <w:rPr>
                <w:sz w:val="20"/>
                <w:szCs w:val="20"/>
                <w:color w:val="auto"/>
              </w:rPr>
            </w:pPr>
            <w:r>
              <w:rPr>
                <w:rFonts w:ascii="Arial" w:cs="Arial" w:eastAsia="Arial" w:hAnsi="Arial"/>
                <w:sz w:val="15"/>
                <w:szCs w:val="15"/>
                <w:color w:val="auto"/>
              </w:rPr>
              <w:t>Bookings</w:t>
            </w:r>
          </w:p>
        </w:tc>
        <w:tc>
          <w:tcPr>
            <w:tcW w:w="1340" w:type="dxa"/>
            <w:vAlign w:val="bottom"/>
            <w:shd w:val="clear" w:color="auto" w:fill="E8EED3"/>
          </w:tcPr>
          <w:p>
            <w:pPr>
              <w:ind w:left="780"/>
              <w:spacing w:after="0"/>
              <w:rPr>
                <w:sz w:val="20"/>
                <w:szCs w:val="20"/>
                <w:color w:val="auto"/>
              </w:rPr>
            </w:pPr>
            <w:r>
              <w:rPr>
                <w:rFonts w:ascii="Arial" w:cs="Arial" w:eastAsia="Arial" w:hAnsi="Arial"/>
                <w:sz w:val="15"/>
                <w:szCs w:val="15"/>
                <w:color w:val="auto"/>
              </w:rPr>
              <w:t>$</w:t>
            </w:r>
          </w:p>
        </w:tc>
        <w:tc>
          <w:tcPr>
            <w:tcW w:w="1480" w:type="dxa"/>
            <w:vAlign w:val="bottom"/>
            <w:shd w:val="clear" w:color="auto" w:fill="E8EED3"/>
          </w:tcPr>
          <w:p>
            <w:pPr>
              <w:jc w:val="right"/>
              <w:ind w:right="567"/>
              <w:spacing w:after="0"/>
              <w:rPr>
                <w:sz w:val="20"/>
                <w:szCs w:val="20"/>
                <w:color w:val="auto"/>
              </w:rPr>
            </w:pPr>
            <w:r>
              <w:rPr>
                <w:rFonts w:ascii="Arial" w:cs="Arial" w:eastAsia="Arial" w:hAnsi="Arial"/>
                <w:sz w:val="15"/>
                <w:szCs w:val="15"/>
                <w:color w:val="auto"/>
              </w:rPr>
              <w:t>360.8</w:t>
            </w:r>
          </w:p>
        </w:tc>
        <w:tc>
          <w:tcPr>
            <w:tcW w:w="1960" w:type="dxa"/>
            <w:vAlign w:val="bottom"/>
            <w:gridSpan w:val="2"/>
            <w:shd w:val="clear" w:color="auto" w:fill="E8EED3"/>
          </w:tcPr>
          <w:p>
            <w:pPr>
              <w:jc w:val="right"/>
              <w:spacing w:after="0"/>
              <w:rPr>
                <w:sz w:val="20"/>
                <w:szCs w:val="20"/>
                <w:color w:val="auto"/>
              </w:rPr>
            </w:pPr>
            <w:r>
              <w:rPr>
                <w:rFonts w:ascii="Arial" w:cs="Arial" w:eastAsia="Arial" w:hAnsi="Arial"/>
                <w:sz w:val="15"/>
                <w:szCs w:val="15"/>
                <w:color w:val="auto"/>
              </w:rPr>
              <w:t>100%</w:t>
            </w:r>
          </w:p>
        </w:tc>
        <w:tc>
          <w:tcPr>
            <w:tcW w:w="420" w:type="dxa"/>
            <w:vAlign w:val="bottom"/>
            <w:shd w:val="clear" w:color="auto" w:fill="E8EED3"/>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D2DEA7"/>
          </w:tcPr>
          <w:p>
            <w:pPr>
              <w:ind w:left="60"/>
              <w:spacing w:after="0"/>
              <w:rPr>
                <w:sz w:val="20"/>
                <w:szCs w:val="20"/>
                <w:color w:val="auto"/>
              </w:rPr>
            </w:pPr>
            <w:r>
              <w:rPr>
                <w:rFonts w:ascii="Arial" w:cs="Arial" w:eastAsia="Arial" w:hAnsi="Arial"/>
                <w:sz w:val="15"/>
                <w:szCs w:val="15"/>
                <w:color w:val="auto"/>
              </w:rPr>
              <w:t>Revenue</w:t>
            </w:r>
          </w:p>
        </w:tc>
        <w:tc>
          <w:tcPr>
            <w:tcW w:w="1340" w:type="dxa"/>
            <w:vAlign w:val="bottom"/>
            <w:shd w:val="clear" w:color="auto" w:fill="D2DEA7"/>
          </w:tcPr>
          <w:p>
            <w:pPr>
              <w:ind w:left="780"/>
              <w:spacing w:after="0"/>
              <w:rPr>
                <w:sz w:val="20"/>
                <w:szCs w:val="20"/>
                <w:color w:val="auto"/>
              </w:rPr>
            </w:pPr>
            <w:r>
              <w:rPr>
                <w:rFonts w:ascii="Arial" w:cs="Arial" w:eastAsia="Arial" w:hAnsi="Arial"/>
                <w:sz w:val="15"/>
                <w:szCs w:val="15"/>
                <w:color w:val="auto"/>
              </w:rPr>
              <w:t>$</w:t>
            </w:r>
          </w:p>
        </w:tc>
        <w:tc>
          <w:tcPr>
            <w:tcW w:w="1480" w:type="dxa"/>
            <w:vAlign w:val="bottom"/>
            <w:shd w:val="clear" w:color="auto" w:fill="D2DEA7"/>
          </w:tcPr>
          <w:p>
            <w:pPr>
              <w:jc w:val="right"/>
              <w:ind w:right="567"/>
              <w:spacing w:after="0"/>
              <w:rPr>
                <w:sz w:val="20"/>
                <w:szCs w:val="20"/>
                <w:color w:val="auto"/>
              </w:rPr>
            </w:pPr>
            <w:r>
              <w:rPr>
                <w:rFonts w:ascii="Arial" w:cs="Arial" w:eastAsia="Arial" w:hAnsi="Arial"/>
                <w:sz w:val="15"/>
                <w:szCs w:val="15"/>
                <w:color w:val="auto"/>
              </w:rPr>
              <w:t>324.1</w:t>
            </w:r>
          </w:p>
        </w:tc>
        <w:tc>
          <w:tcPr>
            <w:tcW w:w="1960" w:type="dxa"/>
            <w:vAlign w:val="bottom"/>
            <w:gridSpan w:val="2"/>
            <w:shd w:val="clear" w:color="auto" w:fill="D2DEA7"/>
          </w:tcPr>
          <w:p>
            <w:pPr>
              <w:jc w:val="right"/>
              <w:spacing w:after="0"/>
              <w:rPr>
                <w:sz w:val="20"/>
                <w:szCs w:val="20"/>
                <w:color w:val="auto"/>
              </w:rPr>
            </w:pPr>
            <w:r>
              <w:rPr>
                <w:rFonts w:ascii="Arial" w:cs="Arial" w:eastAsia="Arial" w:hAnsi="Arial"/>
                <w:sz w:val="15"/>
                <w:szCs w:val="15"/>
                <w:color w:val="auto"/>
              </w:rPr>
              <w:t>85%</w:t>
            </w:r>
          </w:p>
        </w:tc>
        <w:tc>
          <w:tcPr>
            <w:tcW w:w="420" w:type="dxa"/>
            <w:vAlign w:val="bottom"/>
            <w:shd w:val="clear" w:color="auto" w:fill="D2DEA7"/>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340" w:type="dxa"/>
            <w:vAlign w:val="bottom"/>
            <w:shd w:val="clear" w:color="auto" w:fill="E8EED3"/>
          </w:tcPr>
          <w:p>
            <w:pPr>
              <w:ind w:left="60"/>
              <w:spacing w:after="0"/>
              <w:rPr>
                <w:sz w:val="20"/>
                <w:szCs w:val="20"/>
                <w:color w:val="auto"/>
              </w:rPr>
            </w:pPr>
            <w:r>
              <w:rPr>
                <w:rFonts w:ascii="Arial" w:cs="Arial" w:eastAsia="Arial" w:hAnsi="Arial"/>
                <w:sz w:val="15"/>
                <w:szCs w:val="15"/>
                <w:color w:val="auto"/>
              </w:rPr>
              <w:t>Adjusted EBITDA</w:t>
            </w:r>
          </w:p>
        </w:tc>
        <w:tc>
          <w:tcPr>
            <w:tcW w:w="1340" w:type="dxa"/>
            <w:vAlign w:val="bottom"/>
            <w:shd w:val="clear" w:color="auto" w:fill="E8EED3"/>
          </w:tcPr>
          <w:p>
            <w:pPr>
              <w:ind w:left="780"/>
              <w:spacing w:after="0"/>
              <w:rPr>
                <w:sz w:val="20"/>
                <w:szCs w:val="20"/>
                <w:color w:val="auto"/>
              </w:rPr>
            </w:pPr>
            <w:r>
              <w:rPr>
                <w:rFonts w:ascii="Arial" w:cs="Arial" w:eastAsia="Arial" w:hAnsi="Arial"/>
                <w:sz w:val="15"/>
                <w:szCs w:val="15"/>
                <w:color w:val="auto"/>
              </w:rPr>
              <w:t>$</w:t>
            </w:r>
          </w:p>
        </w:tc>
        <w:tc>
          <w:tcPr>
            <w:tcW w:w="1480" w:type="dxa"/>
            <w:vAlign w:val="bottom"/>
            <w:shd w:val="clear" w:color="auto" w:fill="E8EED3"/>
          </w:tcPr>
          <w:p>
            <w:pPr>
              <w:jc w:val="right"/>
              <w:ind w:right="567"/>
              <w:spacing w:after="0"/>
              <w:rPr>
                <w:sz w:val="20"/>
                <w:szCs w:val="20"/>
                <w:color w:val="auto"/>
              </w:rPr>
            </w:pPr>
            <w:r>
              <w:rPr>
                <w:rFonts w:ascii="Arial" w:cs="Arial" w:eastAsia="Arial" w:hAnsi="Arial"/>
                <w:sz w:val="15"/>
                <w:szCs w:val="15"/>
                <w:color w:val="auto"/>
              </w:rPr>
              <w:t>25.0</w:t>
            </w:r>
          </w:p>
        </w:tc>
        <w:tc>
          <w:tcPr>
            <w:tcW w:w="1960" w:type="dxa"/>
            <w:vAlign w:val="bottom"/>
            <w:gridSpan w:val="2"/>
            <w:shd w:val="clear" w:color="auto" w:fill="E8EED3"/>
          </w:tcPr>
          <w:p>
            <w:pPr>
              <w:jc w:val="right"/>
              <w:spacing w:after="0"/>
              <w:rPr>
                <w:sz w:val="20"/>
                <w:szCs w:val="20"/>
                <w:color w:val="auto"/>
              </w:rPr>
            </w:pPr>
            <w:r>
              <w:rPr>
                <w:rFonts w:ascii="Arial" w:cs="Arial" w:eastAsia="Arial" w:hAnsi="Arial"/>
                <w:sz w:val="15"/>
                <w:szCs w:val="15"/>
                <w:color w:val="auto"/>
              </w:rPr>
              <w:t>0%</w:t>
            </w:r>
          </w:p>
        </w:tc>
        <w:tc>
          <w:tcPr>
            <w:tcW w:w="420" w:type="dxa"/>
            <w:vAlign w:val="bottom"/>
            <w:shd w:val="clear" w:color="auto" w:fill="E8EED3"/>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40" w:type="dxa"/>
            <w:vAlign w:val="bottom"/>
            <w:tcBorders>
              <w:bottom w:val="single" w:sz="8" w:color="E8EED3"/>
            </w:tcBorders>
            <w:shd w:val="clear" w:color="auto" w:fill="D2DEA7"/>
          </w:tcPr>
          <w:p>
            <w:pPr>
              <w:ind w:left="60"/>
              <w:spacing w:after="0"/>
              <w:rPr>
                <w:sz w:val="20"/>
                <w:szCs w:val="20"/>
                <w:color w:val="auto"/>
              </w:rPr>
            </w:pPr>
            <w:r>
              <w:rPr>
                <w:rFonts w:ascii="Arial" w:cs="Arial" w:eastAsia="Arial" w:hAnsi="Arial"/>
                <w:sz w:val="15"/>
                <w:szCs w:val="15"/>
                <w:color w:val="auto"/>
              </w:rPr>
              <w:t>Free Cash Flow</w:t>
            </w:r>
          </w:p>
        </w:tc>
        <w:tc>
          <w:tcPr>
            <w:tcW w:w="1340" w:type="dxa"/>
            <w:vAlign w:val="bottom"/>
            <w:tcBorders>
              <w:bottom w:val="single" w:sz="8" w:color="E8EED3"/>
            </w:tcBorders>
            <w:shd w:val="clear" w:color="auto" w:fill="D2DEA7"/>
          </w:tcPr>
          <w:p>
            <w:pPr>
              <w:ind w:left="780"/>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E8EED3"/>
            </w:tcBorders>
            <w:shd w:val="clear" w:color="auto" w:fill="D2DEA7"/>
          </w:tcPr>
          <w:p>
            <w:pPr>
              <w:jc w:val="right"/>
              <w:ind w:right="567"/>
              <w:spacing w:after="0"/>
              <w:rPr>
                <w:sz w:val="20"/>
                <w:szCs w:val="20"/>
                <w:color w:val="auto"/>
              </w:rPr>
            </w:pPr>
            <w:r>
              <w:rPr>
                <w:rFonts w:ascii="Arial" w:cs="Arial" w:eastAsia="Arial" w:hAnsi="Arial"/>
                <w:sz w:val="15"/>
                <w:szCs w:val="15"/>
                <w:color w:val="auto"/>
              </w:rPr>
              <w:t>11.3</w:t>
            </w:r>
          </w:p>
        </w:tc>
        <w:tc>
          <w:tcPr>
            <w:tcW w:w="640" w:type="dxa"/>
            <w:vAlign w:val="bottom"/>
            <w:tcBorders>
              <w:bottom w:val="single" w:sz="8" w:color="E8EED3"/>
            </w:tcBorders>
            <w:shd w:val="clear" w:color="auto" w:fill="D2DEA7"/>
          </w:tcPr>
          <w:p>
            <w:pPr>
              <w:spacing w:after="0"/>
              <w:rPr>
                <w:sz w:val="19"/>
                <w:szCs w:val="19"/>
                <w:color w:val="auto"/>
              </w:rPr>
            </w:pPr>
          </w:p>
        </w:tc>
        <w:tc>
          <w:tcPr>
            <w:tcW w:w="1320" w:type="dxa"/>
            <w:vAlign w:val="bottom"/>
            <w:tcBorders>
              <w:bottom w:val="single" w:sz="8" w:color="auto"/>
            </w:tcBorders>
            <w:shd w:val="clear" w:color="auto" w:fill="D2DEA7"/>
          </w:tcPr>
          <w:p>
            <w:pPr>
              <w:jc w:val="right"/>
              <w:spacing w:after="0"/>
              <w:rPr>
                <w:sz w:val="20"/>
                <w:szCs w:val="20"/>
                <w:color w:val="auto"/>
              </w:rPr>
            </w:pPr>
            <w:r>
              <w:rPr>
                <w:rFonts w:ascii="Arial" w:cs="Arial" w:eastAsia="Arial" w:hAnsi="Arial"/>
                <w:sz w:val="15"/>
                <w:szCs w:val="15"/>
                <w:color w:val="auto"/>
              </w:rPr>
              <w:t>0%</w:t>
            </w:r>
          </w:p>
        </w:tc>
        <w:tc>
          <w:tcPr>
            <w:tcW w:w="420" w:type="dxa"/>
            <w:vAlign w:val="bottom"/>
            <w:tcBorders>
              <w:bottom w:val="single" w:sz="8" w:color="E8EED3"/>
            </w:tcBorders>
            <w:shd w:val="clear" w:color="auto" w:fill="D2DEA7"/>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E8EED3"/>
          </w:tcPr>
          <w:p>
            <w:pPr>
              <w:spacing w:after="0"/>
              <w:rPr>
                <w:sz w:val="18"/>
                <w:szCs w:val="18"/>
                <w:color w:val="auto"/>
              </w:rPr>
            </w:pPr>
          </w:p>
        </w:tc>
        <w:tc>
          <w:tcPr>
            <w:tcW w:w="1340" w:type="dxa"/>
            <w:vAlign w:val="bottom"/>
            <w:shd w:val="clear" w:color="auto" w:fill="E8EED3"/>
          </w:tcPr>
          <w:p>
            <w:pPr>
              <w:spacing w:after="0"/>
              <w:rPr>
                <w:sz w:val="18"/>
                <w:szCs w:val="18"/>
                <w:color w:val="auto"/>
              </w:rPr>
            </w:pPr>
          </w:p>
        </w:tc>
        <w:tc>
          <w:tcPr>
            <w:tcW w:w="1480" w:type="dxa"/>
            <w:vAlign w:val="bottom"/>
            <w:shd w:val="clear" w:color="auto" w:fill="E8EED3"/>
          </w:tcPr>
          <w:p>
            <w:pPr>
              <w:spacing w:after="0"/>
              <w:rPr>
                <w:sz w:val="18"/>
                <w:szCs w:val="18"/>
                <w:color w:val="auto"/>
              </w:rPr>
            </w:pPr>
          </w:p>
        </w:tc>
        <w:tc>
          <w:tcPr>
            <w:tcW w:w="1960" w:type="dxa"/>
            <w:vAlign w:val="bottom"/>
            <w:gridSpan w:val="2"/>
            <w:shd w:val="clear" w:color="auto" w:fill="E8EED3"/>
          </w:tcPr>
          <w:p>
            <w:pPr>
              <w:jc w:val="right"/>
              <w:spacing w:after="0"/>
              <w:rPr>
                <w:sz w:val="20"/>
                <w:szCs w:val="20"/>
                <w:color w:val="auto"/>
              </w:rPr>
            </w:pPr>
            <w:r>
              <w:rPr>
                <w:rFonts w:ascii="Arial" w:cs="Arial" w:eastAsia="Arial" w:hAnsi="Arial"/>
                <w:sz w:val="15"/>
                <w:szCs w:val="15"/>
                <w:color w:val="auto"/>
              </w:rPr>
              <w:t>185%</w:t>
            </w:r>
          </w:p>
        </w:tc>
        <w:tc>
          <w:tcPr>
            <w:tcW w:w="420" w:type="dxa"/>
            <w:vAlign w:val="bottom"/>
            <w:shd w:val="clear" w:color="auto" w:fill="E8EED3"/>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40" w:type="dxa"/>
            <w:vAlign w:val="bottom"/>
            <w:tcBorders>
              <w:bottom w:val="single" w:sz="8" w:color="E8EED3"/>
            </w:tcBorders>
            <w:shd w:val="clear" w:color="auto" w:fill="D2DEA7"/>
          </w:tcPr>
          <w:p>
            <w:pPr>
              <w:ind w:left="200"/>
              <w:spacing w:after="0"/>
              <w:rPr>
                <w:sz w:val="20"/>
                <w:szCs w:val="20"/>
                <w:color w:val="auto"/>
              </w:rPr>
            </w:pPr>
            <w:r>
              <w:rPr>
                <w:rFonts w:ascii="Arial" w:cs="Arial" w:eastAsia="Arial" w:hAnsi="Arial"/>
                <w:sz w:val="15"/>
                <w:szCs w:val="15"/>
                <w:color w:val="auto"/>
              </w:rPr>
              <w:t>Average (for equal weighting)</w:t>
            </w:r>
          </w:p>
        </w:tc>
        <w:tc>
          <w:tcPr>
            <w:tcW w:w="1340" w:type="dxa"/>
            <w:vAlign w:val="bottom"/>
            <w:tcBorders>
              <w:bottom w:val="single" w:sz="8" w:color="E8EED3"/>
            </w:tcBorders>
            <w:shd w:val="clear" w:color="auto" w:fill="D2DEA7"/>
          </w:tcPr>
          <w:p>
            <w:pPr>
              <w:spacing w:after="0"/>
              <w:rPr>
                <w:sz w:val="19"/>
                <w:szCs w:val="19"/>
                <w:color w:val="auto"/>
              </w:rPr>
            </w:pPr>
          </w:p>
        </w:tc>
        <w:tc>
          <w:tcPr>
            <w:tcW w:w="1480" w:type="dxa"/>
            <w:vAlign w:val="bottom"/>
            <w:tcBorders>
              <w:bottom w:val="single" w:sz="8" w:color="E8EED3"/>
            </w:tcBorders>
            <w:shd w:val="clear" w:color="auto" w:fill="D2DEA7"/>
          </w:tcPr>
          <w:p>
            <w:pPr>
              <w:spacing w:after="0"/>
              <w:rPr>
                <w:sz w:val="19"/>
                <w:szCs w:val="19"/>
                <w:color w:val="auto"/>
              </w:rPr>
            </w:pPr>
          </w:p>
        </w:tc>
        <w:tc>
          <w:tcPr>
            <w:tcW w:w="640" w:type="dxa"/>
            <w:vAlign w:val="bottom"/>
            <w:tcBorders>
              <w:bottom w:val="single" w:sz="8" w:color="E8EED3"/>
            </w:tcBorders>
            <w:shd w:val="clear" w:color="auto" w:fill="D2DEA7"/>
          </w:tcPr>
          <w:p>
            <w:pPr>
              <w:spacing w:after="0"/>
              <w:rPr>
                <w:sz w:val="19"/>
                <w:szCs w:val="19"/>
                <w:color w:val="auto"/>
              </w:rPr>
            </w:pPr>
          </w:p>
        </w:tc>
        <w:tc>
          <w:tcPr>
            <w:tcW w:w="1320" w:type="dxa"/>
            <w:vAlign w:val="bottom"/>
            <w:tcBorders>
              <w:bottom w:val="single" w:sz="8" w:color="auto"/>
            </w:tcBorders>
            <w:shd w:val="clear" w:color="auto" w:fill="D2DEA7"/>
          </w:tcPr>
          <w:p>
            <w:pPr>
              <w:jc w:val="right"/>
              <w:spacing w:after="0"/>
              <w:rPr>
                <w:sz w:val="20"/>
                <w:szCs w:val="20"/>
                <w:color w:val="auto"/>
              </w:rPr>
            </w:pPr>
            <w:r>
              <w:rPr>
                <w:rFonts w:ascii="Arial" w:cs="Arial" w:eastAsia="Arial" w:hAnsi="Arial"/>
                <w:sz w:val="15"/>
                <w:szCs w:val="15"/>
                <w:color w:val="auto"/>
              </w:rPr>
              <w:t>x0.25</w:t>
            </w:r>
          </w:p>
        </w:tc>
        <w:tc>
          <w:tcPr>
            <w:tcW w:w="420" w:type="dxa"/>
            <w:vAlign w:val="bottom"/>
            <w:tcBorders>
              <w:bottom w:val="single" w:sz="8" w:color="E8EED3"/>
            </w:tcBorders>
            <w:shd w:val="clear" w:color="auto" w:fill="D2DEA7"/>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40" w:type="dxa"/>
            <w:vAlign w:val="bottom"/>
            <w:shd w:val="clear" w:color="auto" w:fill="E8EED3"/>
          </w:tcPr>
          <w:p>
            <w:pPr>
              <w:ind w:left="220"/>
              <w:spacing w:after="0"/>
              <w:rPr>
                <w:sz w:val="20"/>
                <w:szCs w:val="20"/>
                <w:color w:val="auto"/>
              </w:rPr>
            </w:pPr>
            <w:r>
              <w:rPr>
                <w:rFonts w:ascii="Arial" w:cs="Arial" w:eastAsia="Arial" w:hAnsi="Arial"/>
                <w:sz w:val="15"/>
                <w:szCs w:val="15"/>
                <w:b w:val="1"/>
                <w:bCs w:val="1"/>
                <w:color w:val="auto"/>
              </w:rPr>
              <w:t>Total Formulaic Payout Percentage</w:t>
            </w:r>
          </w:p>
        </w:tc>
        <w:tc>
          <w:tcPr>
            <w:tcW w:w="1340" w:type="dxa"/>
            <w:vAlign w:val="bottom"/>
            <w:shd w:val="clear" w:color="auto" w:fill="E8EED3"/>
          </w:tcPr>
          <w:p>
            <w:pPr>
              <w:spacing w:after="0"/>
              <w:rPr>
                <w:sz w:val="19"/>
                <w:szCs w:val="19"/>
                <w:color w:val="auto"/>
              </w:rPr>
            </w:pPr>
          </w:p>
        </w:tc>
        <w:tc>
          <w:tcPr>
            <w:tcW w:w="1480" w:type="dxa"/>
            <w:vAlign w:val="bottom"/>
            <w:shd w:val="clear" w:color="auto" w:fill="E8EED3"/>
          </w:tcPr>
          <w:p>
            <w:pPr>
              <w:spacing w:after="0"/>
              <w:rPr>
                <w:sz w:val="19"/>
                <w:szCs w:val="19"/>
                <w:color w:val="auto"/>
              </w:rPr>
            </w:pPr>
          </w:p>
        </w:tc>
        <w:tc>
          <w:tcPr>
            <w:tcW w:w="1960" w:type="dxa"/>
            <w:vAlign w:val="bottom"/>
            <w:gridSpan w:val="2"/>
            <w:shd w:val="clear" w:color="auto" w:fill="E8EED3"/>
          </w:tcPr>
          <w:p>
            <w:pPr>
              <w:jc w:val="right"/>
              <w:spacing w:after="0"/>
              <w:rPr>
                <w:sz w:val="20"/>
                <w:szCs w:val="20"/>
                <w:color w:val="auto"/>
              </w:rPr>
            </w:pPr>
            <w:r>
              <w:rPr>
                <w:rFonts w:ascii="Arial" w:cs="Arial" w:eastAsia="Arial" w:hAnsi="Arial"/>
                <w:sz w:val="15"/>
                <w:szCs w:val="15"/>
                <w:b w:val="1"/>
                <w:bCs w:val="1"/>
                <w:color w:val="auto"/>
              </w:rPr>
              <w:t>46%</w:t>
            </w:r>
          </w:p>
        </w:tc>
        <w:tc>
          <w:tcPr>
            <w:tcW w:w="420" w:type="dxa"/>
            <w:vAlign w:val="bottom"/>
            <w:shd w:val="clear" w:color="auto" w:fill="E8EED3"/>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5275580</wp:posOffset>
            </wp:positionH>
            <wp:positionV relativeFrom="paragraph">
              <wp:posOffset>-1223010</wp:posOffset>
            </wp:positionV>
            <wp:extent cx="8255" cy="12236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1223645"/>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-1223010</wp:posOffset>
            </wp:positionV>
            <wp:extent cx="8255" cy="12236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1223645"/>
                    </a:xfrm>
                    <a:prstGeom prst="rect">
                      <a:avLst/>
                    </a:prstGeom>
                    <a:noFill/>
                  </pic:spPr>
                </pic:pic>
              </a:graphicData>
            </a:graphic>
          </wp:anchor>
        </w:drawing>
      </w:r>
    </w:p>
    <w:p>
      <w:pPr>
        <w:spacing w:after="0" w:line="175" w:lineRule="exact"/>
        <w:rPr>
          <w:sz w:val="20"/>
          <w:szCs w:val="20"/>
          <w:color w:val="auto"/>
        </w:rPr>
      </w:pPr>
    </w:p>
    <w:p>
      <w:pPr>
        <w:ind w:left="340" w:right="80"/>
        <w:spacing w:after="0" w:line="242" w:lineRule="auto"/>
        <w:rPr>
          <w:sz w:val="20"/>
          <w:szCs w:val="20"/>
          <w:color w:val="auto"/>
        </w:rPr>
      </w:pPr>
      <w:r>
        <w:rPr>
          <w:rFonts w:ascii="Arial" w:cs="Arial" w:eastAsia="Arial" w:hAnsi="Arial"/>
          <w:sz w:val="16"/>
          <w:szCs w:val="16"/>
          <w:color w:val="auto"/>
        </w:rPr>
        <w:t>At the time the performance goals were established in early 2021, we expected that a decline in the COVID-19 pandemic would lead to the business aggressively returning to pre-pandemic levels. However, during 2021, with the introduction of new COVID-19 variants, the Company’s operations and the global community were once again impacted as businesses remained out of office, the supply chain was disrupted, and the labor shortages affected day to day business operations. Throughout 2021, however, the management team remained focused on growth and effectively managed through significant market challenges, organizational change, and the competition for talent.</w:t>
      </w:r>
    </w:p>
    <w:p>
      <w:pPr>
        <w:spacing w:after="0" w:line="185" w:lineRule="exact"/>
        <w:rPr>
          <w:sz w:val="20"/>
          <w:szCs w:val="20"/>
          <w:color w:val="auto"/>
        </w:rPr>
      </w:pPr>
    </w:p>
    <w:p>
      <w:pPr>
        <w:jc w:val="both"/>
        <w:ind w:left="340" w:right="20"/>
        <w:spacing w:after="0" w:line="249" w:lineRule="auto"/>
        <w:rPr>
          <w:sz w:val="20"/>
          <w:szCs w:val="20"/>
          <w:color w:val="auto"/>
        </w:rPr>
      </w:pPr>
      <w:r>
        <w:rPr>
          <w:rFonts w:ascii="Arial" w:cs="Arial" w:eastAsia="Arial" w:hAnsi="Arial"/>
          <w:sz w:val="16"/>
          <w:szCs w:val="16"/>
          <w:color w:val="auto"/>
        </w:rPr>
        <w:t>In 2022, in connection with certifying the results of the corporate performance objectives described above, the Compensation Committee also subjectively evaluated the Company’s performance and the performance of the management team (including individual NEOs), with a particular focus on the following key 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62865</wp:posOffset>
            </wp:positionV>
            <wp:extent cx="6702425" cy="13392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02425" cy="1339215"/>
                    </a:xfrm>
                    <a:prstGeom prst="rect">
                      <a:avLst/>
                    </a:prstGeom>
                    <a:noFill/>
                  </pic:spPr>
                </pic:pic>
              </a:graphicData>
            </a:graphic>
          </wp:anchor>
        </w:drawing>
      </w:r>
    </w:p>
    <w:p>
      <w:pPr>
        <w:spacing w:after="0" w:line="261" w:lineRule="exact"/>
        <w:rPr>
          <w:sz w:val="20"/>
          <w:szCs w:val="20"/>
          <w:color w:val="auto"/>
        </w:rPr>
      </w:pPr>
    </w:p>
    <w:p>
      <w:pPr>
        <w:ind w:left="740" w:right="980" w:hanging="154"/>
        <w:spacing w:after="0" w:line="262" w:lineRule="auto"/>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Management was disciplined in developing and applying COVID-19 policies and procedures to protect the safety of our workforce and</w:t>
      </w:r>
      <w:r>
        <w:rPr>
          <w:rFonts w:ascii="Arial" w:cs="Arial" w:eastAsia="Arial" w:hAnsi="Arial"/>
          <w:sz w:val="16"/>
          <w:szCs w:val="16"/>
          <w:color w:val="41659C"/>
        </w:rPr>
        <w:t xml:space="preserve"> </w:t>
      </w:r>
      <w:r>
        <w:rPr>
          <w:rFonts w:ascii="Arial" w:cs="Arial" w:eastAsia="Arial" w:hAnsi="Arial"/>
          <w:sz w:val="16"/>
          <w:szCs w:val="16"/>
          <w:color w:val="000000"/>
        </w:rPr>
        <w:t>maintain our plant operations, all of which remained open throughout the pandemic;</w:t>
      </w:r>
    </w:p>
    <w:p>
      <w:pPr>
        <w:spacing w:after="0" w:line="155" w:lineRule="exact"/>
        <w:rPr>
          <w:sz w:val="20"/>
          <w:szCs w:val="20"/>
          <w:color w:val="auto"/>
        </w:rPr>
      </w:pPr>
    </w:p>
    <w:p>
      <w:pPr>
        <w:ind w:left="740" w:right="460" w:hanging="154"/>
        <w:spacing w:after="0" w:line="262" w:lineRule="auto"/>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Management addressed the challenges in the markets by realigning the organizational design to drive greater growth and accountability while</w:t>
      </w:r>
      <w:r>
        <w:rPr>
          <w:rFonts w:ascii="Arial" w:cs="Arial" w:eastAsia="Arial" w:hAnsi="Arial"/>
          <w:sz w:val="16"/>
          <w:szCs w:val="16"/>
          <w:color w:val="41659C"/>
        </w:rPr>
        <w:t xml:space="preserve"> </w:t>
      </w:r>
      <w:r>
        <w:rPr>
          <w:rFonts w:ascii="Arial" w:cs="Arial" w:eastAsia="Arial" w:hAnsi="Arial"/>
          <w:sz w:val="16"/>
          <w:szCs w:val="16"/>
          <w:color w:val="000000"/>
        </w:rPr>
        <w:t>adding key talent to mitigate risk and investing in existing talent through development to retain top performers;</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Management delivered balanced results with appropriate investments and focus to put the Company in a position for 2022 growth; and</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Management maintained the Company’s strong liquidity and balance sheet.</w:t>
      </w:r>
    </w:p>
    <w:p>
      <w:pPr>
        <w:spacing w:after="0" w:line="385" w:lineRule="exact"/>
        <w:rPr>
          <w:sz w:val="20"/>
          <w:szCs w:val="20"/>
          <w:color w:val="auto"/>
        </w:rPr>
      </w:pPr>
    </w:p>
    <w:p>
      <w:pPr>
        <w:ind w:left="340"/>
        <w:spacing w:after="0"/>
        <w:rPr>
          <w:sz w:val="20"/>
          <w:szCs w:val="20"/>
          <w:color w:val="auto"/>
        </w:rPr>
      </w:pPr>
      <w:r>
        <w:rPr>
          <w:rFonts w:ascii="Arial" w:cs="Arial" w:eastAsia="Arial" w:hAnsi="Arial"/>
          <w:sz w:val="16"/>
          <w:szCs w:val="16"/>
          <w:color w:val="262626"/>
        </w:rPr>
        <w:t>20 • CECO Environmental</w:t>
      </w:r>
    </w:p>
    <w:p>
      <w:pPr>
        <w:sectPr>
          <w:pgSz w:w="11900" w:h="16838" w:orient="portrait"/>
          <w:cols w:equalWidth="0" w:num="1">
            <w:col w:w="10900"/>
          </w:cols>
          <w:pgMar w:left="320" w:top="443" w:right="6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4" w:lineRule="exact"/>
        <w:rPr>
          <w:sz w:val="20"/>
          <w:szCs w:val="20"/>
          <w:color w:val="auto"/>
        </w:rPr>
      </w:pPr>
    </w:p>
    <w:p>
      <w:pPr>
        <w:ind w:left="340" w:right="60"/>
        <w:spacing w:after="0"/>
        <w:rPr>
          <w:sz w:val="20"/>
          <w:szCs w:val="20"/>
          <w:color w:val="auto"/>
        </w:rPr>
      </w:pPr>
      <w:r>
        <w:rPr>
          <w:rFonts w:ascii="Arial" w:cs="Arial" w:eastAsia="Arial" w:hAnsi="Arial"/>
          <w:sz w:val="16"/>
          <w:szCs w:val="16"/>
          <w:color w:val="auto"/>
        </w:rPr>
        <w:t>Recognizing the extraordinary actions undertaken by management to deliver uninterrupted performance, help ensure sustained employee engagement, and drive key business results, and with input from the COVID-19 Committee, the Compensation Committee approved 2021 annual cash incentive program awards for our NEOs equal to 80% of each such NEO’s target award under our 2021 annual cash incentive program, consistent with the Company’s approach for other participants in the annual incentive program. This represented an addition of 34 percentage points to the formulaic level of achievement. The Compensation Committee believes the 2021 cash bonus payments reflect a strong correlation with the short-term financial performance of the Company. We believe that investors evaluate companies in our industry in part based on their ability to grow their businesses profitably while maintaining adequate returns on their invested capital. The Compensation Committee believes that the 2021 annual incentive award payouts help to align the interests of our executives with those of our stockholders.</w:t>
      </w:r>
    </w:p>
    <w:p>
      <w:pPr>
        <w:spacing w:after="0" w:line="184" w:lineRule="exact"/>
        <w:rPr>
          <w:sz w:val="20"/>
          <w:szCs w:val="20"/>
          <w:color w:val="auto"/>
        </w:rPr>
      </w:pPr>
    </w:p>
    <w:p>
      <w:pPr>
        <w:ind w:left="340" w:right="200"/>
        <w:spacing w:after="0" w:line="262" w:lineRule="auto"/>
        <w:rPr>
          <w:sz w:val="20"/>
          <w:szCs w:val="20"/>
          <w:color w:val="auto"/>
        </w:rPr>
      </w:pPr>
      <w:r>
        <w:rPr>
          <w:rFonts w:ascii="Arial" w:cs="Arial" w:eastAsia="Arial" w:hAnsi="Arial"/>
          <w:sz w:val="16"/>
          <w:szCs w:val="16"/>
          <w:color w:val="auto"/>
        </w:rPr>
        <w:t>The payouts of the annual incentive awards for 2021 are set forth in the table below and reflected in our 2021 Summary Compensation Table under the column captioned “Bonus” and “Non-Equity Incentive Plan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130810</wp:posOffset>
            </wp:positionV>
            <wp:extent cx="6702425" cy="805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02425" cy="805180"/>
                    </a:xfrm>
                    <a:prstGeom prst="rect">
                      <a:avLst/>
                    </a:prstGeom>
                    <a:noFill/>
                  </pic:spPr>
                </pic:pic>
              </a:graphicData>
            </a:graphic>
          </wp:anchor>
        </w:drawing>
      </w:r>
    </w:p>
    <w:p>
      <w:pPr>
        <w:sectPr>
          <w:pgSz w:w="11900" w:h="16838" w:orient="portrait"/>
          <w:cols w:equalWidth="0" w:num="1">
            <w:col w:w="10900"/>
          </w:cols>
          <w:pgMar w:left="320" w:top="443" w:right="679" w:bottom="1440" w:gutter="0" w:footer="0" w:header="0"/>
        </w:sectPr>
      </w:pPr>
    </w:p>
    <w:p>
      <w:pPr>
        <w:spacing w:after="0" w:line="395"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FFFFFF"/>
        </w:rPr>
        <w:t>Named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40005</wp:posOffset>
            </wp:positionV>
            <wp:extent cx="5420995" cy="1809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20995" cy="180975"/>
                    </a:xfrm>
                    <a:prstGeom prst="rect">
                      <a:avLst/>
                    </a:prstGeom>
                    <a:noFill/>
                  </pic:spPr>
                </pic:pic>
              </a:graphicData>
            </a:graphic>
          </wp:anchor>
        </w:drawing>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41275</wp:posOffset>
            </wp:positionV>
            <wp:extent cx="5420995" cy="1809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20995" cy="180975"/>
                    </a:xfrm>
                    <a:prstGeom prst="rect">
                      <a:avLst/>
                    </a:prstGeom>
                    <a:noFill/>
                  </pic:spPr>
                </pic:pic>
              </a:graphicData>
            </a:graphic>
          </wp:anchor>
        </w:drawing>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41275</wp:posOffset>
            </wp:positionV>
            <wp:extent cx="5420995" cy="1809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20995" cy="180975"/>
                    </a:xfrm>
                    <a:prstGeom prst="rect">
                      <a:avLst/>
                    </a:prstGeom>
                    <a:noFill/>
                  </pic:spPr>
                </pic:pic>
              </a:graphicData>
            </a:graphic>
          </wp:anchor>
        </w:drawing>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Ramesh Nuggihalli</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FFFFFF"/>
        </w:rPr>
        <w:t>Amount of Final</w:t>
      </w:r>
    </w:p>
    <w:p>
      <w:pPr>
        <w:spacing w:after="0" w:line="8" w:lineRule="exact"/>
        <w:rPr>
          <w:sz w:val="20"/>
          <w:szCs w:val="20"/>
          <w:color w:val="auto"/>
        </w:rPr>
      </w:pPr>
    </w:p>
    <w:p>
      <w:pPr>
        <w:jc w:val="center"/>
        <w:ind w:right="440"/>
        <w:spacing w:after="0"/>
        <w:rPr>
          <w:sz w:val="20"/>
          <w:szCs w:val="20"/>
          <w:color w:val="auto"/>
        </w:rPr>
      </w:pPr>
      <w:r>
        <w:rPr>
          <w:rFonts w:ascii="Arial" w:cs="Arial" w:eastAsia="Arial" w:hAnsi="Arial"/>
          <w:sz w:val="15"/>
          <w:szCs w:val="15"/>
          <w:b w:val="1"/>
          <w:bCs w:val="1"/>
          <w:color w:val="FFFFFF"/>
        </w:rPr>
        <w:t>Payment ($)</w:t>
      </w:r>
    </w:p>
    <w:p>
      <w:pPr>
        <w:spacing w:after="0" w:line="85" w:lineRule="exact"/>
        <w:rPr>
          <w:sz w:val="20"/>
          <w:szCs w:val="20"/>
          <w:color w:val="auto"/>
        </w:rPr>
      </w:pPr>
    </w:p>
    <w:p>
      <w:pPr>
        <w:jc w:val="right"/>
        <w:ind w:right="80"/>
        <w:spacing w:after="0"/>
        <w:rPr>
          <w:sz w:val="20"/>
          <w:szCs w:val="20"/>
          <w:color w:val="auto"/>
        </w:rPr>
      </w:pPr>
      <w:r>
        <w:rPr>
          <w:rFonts w:ascii="Arial" w:cs="Arial" w:eastAsia="Arial" w:hAnsi="Arial"/>
          <w:sz w:val="15"/>
          <w:szCs w:val="15"/>
          <w:color w:val="auto"/>
        </w:rPr>
        <w:t>367,200</w:t>
      </w:r>
    </w:p>
    <w:p>
      <w:pPr>
        <w:spacing w:after="0" w:line="112" w:lineRule="exact"/>
        <w:rPr>
          <w:sz w:val="20"/>
          <w:szCs w:val="20"/>
          <w:color w:val="auto"/>
        </w:rPr>
      </w:pPr>
    </w:p>
    <w:p>
      <w:pPr>
        <w:jc w:val="right"/>
        <w:ind w:right="80"/>
        <w:spacing w:after="0"/>
        <w:rPr>
          <w:sz w:val="20"/>
          <w:szCs w:val="20"/>
          <w:color w:val="auto"/>
        </w:rPr>
      </w:pPr>
      <w:r>
        <w:rPr>
          <w:rFonts w:ascii="Arial" w:cs="Arial" w:eastAsia="Arial" w:hAnsi="Arial"/>
          <w:sz w:val="15"/>
          <w:szCs w:val="15"/>
          <w:color w:val="auto"/>
        </w:rPr>
        <w:t>153,490</w:t>
      </w:r>
    </w:p>
    <w:p>
      <w:pPr>
        <w:spacing w:after="0" w:line="112" w:lineRule="exact"/>
        <w:rPr>
          <w:sz w:val="20"/>
          <w:szCs w:val="20"/>
          <w:color w:val="auto"/>
        </w:rPr>
      </w:pPr>
    </w:p>
    <w:p>
      <w:pPr>
        <w:jc w:val="right"/>
        <w:ind w:right="80"/>
        <w:spacing w:after="0"/>
        <w:rPr>
          <w:sz w:val="20"/>
          <w:szCs w:val="20"/>
          <w:color w:val="auto"/>
        </w:rPr>
      </w:pPr>
      <w:r>
        <w:rPr>
          <w:rFonts w:ascii="Arial" w:cs="Arial" w:eastAsia="Arial" w:hAnsi="Arial"/>
          <w:sz w:val="15"/>
          <w:szCs w:val="15"/>
          <w:color w:val="auto"/>
        </w:rPr>
        <w:t>122,055</w:t>
      </w:r>
    </w:p>
    <w:p>
      <w:pPr>
        <w:spacing w:after="0" w:line="200" w:lineRule="exact"/>
        <w:rPr>
          <w:sz w:val="20"/>
          <w:szCs w:val="20"/>
          <w:color w:val="auto"/>
        </w:rPr>
      </w:pPr>
    </w:p>
    <w:p>
      <w:pPr>
        <w:sectPr>
          <w:pgSz w:w="11900" w:h="16838" w:orient="portrait"/>
          <w:cols w:equalWidth="0" w:num="2">
            <w:col w:w="8620" w:space="720"/>
            <w:col w:w="1560"/>
          </w:cols>
          <w:pgMar w:left="320" w:top="443" w:right="679" w:bottom="1440" w:gutter="0" w:footer="0" w:header="0"/>
          <w:type w:val="continuous"/>
        </w:sectPr>
      </w:pPr>
    </w:p>
    <w:p>
      <w:pPr>
        <w:spacing w:after="0" w:line="156"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41659C"/>
        </w:rPr>
        <w:t>Long-Term Equity Compensation</w:t>
      </w:r>
    </w:p>
    <w:p>
      <w:pPr>
        <w:spacing w:after="0" w:line="109" w:lineRule="exact"/>
        <w:rPr>
          <w:sz w:val="20"/>
          <w:szCs w:val="20"/>
          <w:color w:val="auto"/>
        </w:rPr>
      </w:pPr>
    </w:p>
    <w:p>
      <w:pPr>
        <w:ind w:left="340" w:right="40"/>
        <w:spacing w:after="0" w:line="242" w:lineRule="auto"/>
        <w:rPr>
          <w:sz w:val="20"/>
          <w:szCs w:val="20"/>
          <w:color w:val="auto"/>
        </w:rPr>
      </w:pPr>
      <w:r>
        <w:rPr>
          <w:rFonts w:ascii="Arial" w:cs="Arial" w:eastAsia="Arial" w:hAnsi="Arial"/>
          <w:sz w:val="16"/>
          <w:szCs w:val="16"/>
          <w:color w:val="auto"/>
        </w:rPr>
        <w:t>Our Compensation Committee believes that granting stock-based awards from time to time provides our executive officers with a strong economic interest in maximizing stockholder returns over the longer term and is important in retaining and recruiting the key talent necessary to ensure our Company’s continued success. As a result, our equity compensation programs have been designed to promote the long-term financial interests and growth of our Company by helping attract and retain management with the ability to contribute to the success of the business, by providing an opportunity for increased equity ownership by our executive officers and by maintaining competitive levels of total compensation.</w:t>
      </w:r>
    </w:p>
    <w:p>
      <w:pPr>
        <w:spacing w:after="0" w:line="185" w:lineRule="exact"/>
        <w:rPr>
          <w:sz w:val="20"/>
          <w:szCs w:val="20"/>
          <w:color w:val="auto"/>
        </w:rPr>
      </w:pPr>
    </w:p>
    <w:p>
      <w:pPr>
        <w:ind w:left="340" w:right="60"/>
        <w:spacing w:after="0" w:line="245" w:lineRule="auto"/>
        <w:rPr>
          <w:sz w:val="20"/>
          <w:szCs w:val="20"/>
          <w:color w:val="auto"/>
        </w:rPr>
      </w:pPr>
      <w:r>
        <w:rPr>
          <w:rFonts w:ascii="Arial" w:cs="Arial" w:eastAsia="Arial" w:hAnsi="Arial"/>
          <w:sz w:val="16"/>
          <w:szCs w:val="16"/>
          <w:color w:val="auto"/>
        </w:rPr>
        <w:t>Under our 2021 Equity and Incentive Compensation Plan, awards may take the form of restricted stock grants, bonus stock grants without restrictions, non-qualified stock options, incentive stock options, RSUs, performance-based awards and certain other awards. Our Compensation Committee believes that the ability to grant various types of equity awards offers more flexibility in designing the overall compensation packages. Our Compensation Committee administers our equity compensation plans.</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41659C"/>
        </w:rPr>
        <w:t>2021 Equity Grants</w:t>
      </w:r>
    </w:p>
    <w:p>
      <w:pPr>
        <w:spacing w:after="0" w:line="109" w:lineRule="exact"/>
        <w:rPr>
          <w:sz w:val="20"/>
          <w:szCs w:val="20"/>
          <w:color w:val="auto"/>
        </w:rPr>
      </w:pPr>
    </w:p>
    <w:p>
      <w:pPr>
        <w:ind w:left="340" w:right="100"/>
        <w:spacing w:after="0" w:line="242" w:lineRule="auto"/>
        <w:rPr>
          <w:sz w:val="20"/>
          <w:szCs w:val="20"/>
          <w:color w:val="auto"/>
        </w:rPr>
      </w:pPr>
      <w:r>
        <w:rPr>
          <w:rFonts w:ascii="Arial" w:cs="Arial" w:eastAsia="Arial" w:hAnsi="Arial"/>
          <w:sz w:val="16"/>
          <w:szCs w:val="16"/>
          <w:color w:val="auto"/>
        </w:rPr>
        <w:t>Our Compensation Committee changed our Company’s long-term equity incentive practices in 2018 to provide for grants of long-term incentive awards that generally consist of RSUs that generally vest over time and PRSUs that generally vest only to the extent our Company attains the performance goal established by our Compensation Committee. To the extent stock units vest, the recipient receives one share of our common stock for each vested stock unit and an amount in cash equal to the dividends, if any, that would have been paid on the underlying common stock since the date of the stock unit grant.</w:t>
      </w:r>
    </w:p>
    <w:p>
      <w:pPr>
        <w:spacing w:after="0" w:line="185" w:lineRule="exact"/>
        <w:rPr>
          <w:sz w:val="20"/>
          <w:szCs w:val="20"/>
          <w:color w:val="auto"/>
        </w:rPr>
      </w:pPr>
    </w:p>
    <w:p>
      <w:pPr>
        <w:ind w:left="340" w:right="20"/>
        <w:spacing w:after="0" w:line="280" w:lineRule="auto"/>
        <w:rPr>
          <w:sz w:val="20"/>
          <w:szCs w:val="20"/>
          <w:color w:val="auto"/>
        </w:rPr>
      </w:pPr>
      <w:r>
        <w:rPr>
          <w:rFonts w:ascii="Arial" w:cs="Arial" w:eastAsia="Arial" w:hAnsi="Arial"/>
          <w:sz w:val="14"/>
          <w:szCs w:val="14"/>
          <w:color w:val="auto"/>
        </w:rPr>
        <w:t>For 2021, the value of the total stock units awarded to each named executive officer serving at the beginning of the year was based on a fixed dollar amount determined by our Compensation Committee with Meridian’s guidance. To determine the number of stock units, we divided the value of the award by $8.16, the closing stock price on the date of grant for Messrs. Gleason and Eckl. To determine the number of stock units for Mr. Nuggihalli we divided the value of his reward by $8.18 the closing stock price on the date of grant. For Mr. Eckl, our Compensation Committee determined that his equity awards would have an aggregate value of approximately $250,000 and allocated the award equally between RSUs and PRSUs. For Mr. Nuggihalli, our Compensation Committee determined that his equity awards would have an aggregate value of approximately $300,000 and allocated the award equally between RSUs and PRSUs. Additionally, Mr. Nuggihalli received a one-time sign-on equity grant of $200,000 in RSUs when he joined the Company.</w:t>
      </w:r>
    </w:p>
    <w:p>
      <w:pPr>
        <w:spacing w:after="0" w:line="160" w:lineRule="exact"/>
        <w:rPr>
          <w:sz w:val="20"/>
          <w:szCs w:val="20"/>
          <w:color w:val="auto"/>
        </w:rPr>
      </w:pPr>
    </w:p>
    <w:p>
      <w:pPr>
        <w:ind w:left="340"/>
        <w:spacing w:after="0" w:line="249" w:lineRule="auto"/>
        <w:rPr>
          <w:sz w:val="20"/>
          <w:szCs w:val="20"/>
          <w:color w:val="auto"/>
        </w:rPr>
      </w:pPr>
      <w:r>
        <w:rPr>
          <w:rFonts w:ascii="Arial" w:cs="Arial" w:eastAsia="Arial" w:hAnsi="Arial"/>
          <w:sz w:val="16"/>
          <w:szCs w:val="16"/>
          <w:color w:val="auto"/>
        </w:rPr>
        <w:t>The RSUs that were granted to the named executive officers in April 2021 generally vest in four substantially equal annual installments on each of the first four anniversaries of the grant date. All of the 2021 RSU awards granted to our named executive officers are shown in the “2021 Grants of Plan-Based Awards Table” below in this Proxy Statement.</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2022 Proxy Statement • 21</w:t>
      </w:r>
    </w:p>
    <w:p>
      <w:pPr>
        <w:sectPr>
          <w:pgSz w:w="11900" w:h="16838" w:orient="portrait"/>
          <w:cols w:equalWidth="0" w:num="1">
            <w:col w:w="10900"/>
          </w:cols>
          <w:pgMar w:left="320" w:top="443" w:right="67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4" w:lineRule="exact"/>
        <w:rPr>
          <w:sz w:val="20"/>
          <w:szCs w:val="20"/>
          <w:color w:val="auto"/>
        </w:rPr>
      </w:pPr>
    </w:p>
    <w:p>
      <w:pPr>
        <w:ind w:left="340" w:right="20"/>
        <w:spacing w:after="0" w:line="286" w:lineRule="auto"/>
        <w:rPr>
          <w:sz w:val="20"/>
          <w:szCs w:val="20"/>
          <w:color w:val="auto"/>
        </w:rPr>
      </w:pPr>
      <w:r>
        <w:rPr>
          <w:rFonts w:ascii="Arial" w:cs="Arial" w:eastAsia="Arial" w:hAnsi="Arial"/>
          <w:sz w:val="14"/>
          <w:szCs w:val="14"/>
          <w:color w:val="auto"/>
        </w:rPr>
        <w:t>The long-term performance awards that were granted in 2021 were designated as PRSUs that generally vest on March 15, 2024, to the extent our Company attains the Relative TSR (as defined below) goal for the performance period beginning on January 1, 2021, and ending on December 31, 2023, as established by our Compensation Committee. The Compensation Committee determined to use Relative TSR for the 2021 PRSU awards because this metric keeps the focus on creating value (i.e. alignment with shareholder interests) even in challenging times. Messrs. Gleason, Eckl and Nuggihalli were granted the following target PRSU awards (which can be earned from 0% to 150% of target levels based on actual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121285</wp:posOffset>
            </wp:positionV>
            <wp:extent cx="4550410" cy="3448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550410" cy="344805"/>
                    </a:xfrm>
                    <a:prstGeom prst="rect">
                      <a:avLst/>
                    </a:prstGeom>
                    <a:noFill/>
                  </pic:spPr>
                </pic:pic>
              </a:graphicData>
            </a:graphic>
          </wp:anchor>
        </w:drawing>
      </w:r>
    </w:p>
    <w:p>
      <w:pPr>
        <w:spacing w:after="0" w:line="180" w:lineRule="exact"/>
        <w:rPr>
          <w:sz w:val="20"/>
          <w:szCs w:val="20"/>
          <w:color w:val="auto"/>
        </w:rPr>
      </w:pPr>
    </w:p>
    <w:p>
      <w:pPr>
        <w:jc w:val="center"/>
        <w:ind w:right="-359"/>
        <w:spacing w:after="0"/>
        <w:rPr>
          <w:sz w:val="20"/>
          <w:szCs w:val="20"/>
          <w:color w:val="auto"/>
        </w:rPr>
      </w:pPr>
      <w:r>
        <w:rPr>
          <w:rFonts w:ascii="Arial" w:cs="Arial" w:eastAsia="Arial" w:hAnsi="Arial"/>
          <w:sz w:val="15"/>
          <w:szCs w:val="15"/>
          <w:b w:val="1"/>
          <w:bCs w:val="1"/>
          <w:color w:val="FFFFFF"/>
        </w:rPr>
        <w:t>PRSU Target Opportunity (Shares)</w:t>
      </w:r>
    </w:p>
    <w:p>
      <w:pPr>
        <w:spacing w:after="0" w:line="9" w:lineRule="exact"/>
        <w:rPr>
          <w:sz w:val="20"/>
          <w:szCs w:val="20"/>
          <w:color w:val="auto"/>
        </w:rPr>
      </w:pPr>
    </w:p>
    <w:tbl>
      <w:tblPr>
        <w:tblLayout w:type="fixed"/>
        <w:tblInd w:w="2040" w:type="dxa"/>
        <w:tblCellMar>
          <w:top w:w="0" w:type="dxa"/>
          <w:left w:w="0" w:type="dxa"/>
          <w:bottom w:w="0" w:type="dxa"/>
          <w:right w:w="0" w:type="dxa"/>
        </w:tblCellMar>
      </w:tblPr>
      <w:tr>
        <w:trPr>
          <w:trHeight w:val="172"/>
        </w:trPr>
        <w:tc>
          <w:tcPr>
            <w:tcW w:w="2520" w:type="dxa"/>
            <w:vAlign w:val="bottom"/>
            <w:shd w:val="clear" w:color="auto" w:fill="41659C"/>
          </w:tcPr>
          <w:p>
            <w:pPr>
              <w:jc w:val="center"/>
              <w:ind w:left="7"/>
              <w:spacing w:after="0"/>
              <w:rPr>
                <w:sz w:val="20"/>
                <w:szCs w:val="20"/>
                <w:color w:val="auto"/>
              </w:rPr>
            </w:pPr>
            <w:r>
              <w:rPr>
                <w:rFonts w:ascii="Arial" w:cs="Arial" w:eastAsia="Arial" w:hAnsi="Arial"/>
                <w:sz w:val="15"/>
                <w:szCs w:val="15"/>
                <w:b w:val="1"/>
                <w:bCs w:val="1"/>
                <w:color w:val="FFFFFF"/>
                <w:w w:val="95"/>
              </w:rPr>
              <w:t>Todd Gleason</w:t>
            </w:r>
          </w:p>
        </w:tc>
        <w:tc>
          <w:tcPr>
            <w:tcW w:w="2300" w:type="dxa"/>
            <w:vAlign w:val="bottom"/>
            <w:shd w:val="clear" w:color="auto" w:fill="41659C"/>
          </w:tcPr>
          <w:p>
            <w:pPr>
              <w:jc w:val="right"/>
              <w:ind w:right="567"/>
              <w:spacing w:after="0"/>
              <w:rPr>
                <w:sz w:val="20"/>
                <w:szCs w:val="20"/>
                <w:color w:val="auto"/>
              </w:rPr>
            </w:pPr>
            <w:r>
              <w:rPr>
                <w:rFonts w:ascii="Arial" w:cs="Arial" w:eastAsia="Arial" w:hAnsi="Arial"/>
                <w:sz w:val="15"/>
                <w:szCs w:val="15"/>
                <w:b w:val="1"/>
                <w:bCs w:val="1"/>
                <w:color w:val="FFFFFF"/>
              </w:rPr>
              <w:t>Matthew Eckl</w:t>
            </w:r>
          </w:p>
        </w:tc>
        <w:tc>
          <w:tcPr>
            <w:tcW w:w="2360" w:type="dxa"/>
            <w:vAlign w:val="bottom"/>
            <w:shd w:val="clear" w:color="auto" w:fill="41659C"/>
          </w:tcPr>
          <w:p>
            <w:pPr>
              <w:jc w:val="right"/>
              <w:ind w:right="347"/>
              <w:spacing w:after="0"/>
              <w:rPr>
                <w:sz w:val="20"/>
                <w:szCs w:val="20"/>
                <w:color w:val="auto"/>
              </w:rPr>
            </w:pPr>
            <w:r>
              <w:rPr>
                <w:rFonts w:ascii="Arial" w:cs="Arial" w:eastAsia="Arial" w:hAnsi="Arial"/>
                <w:sz w:val="15"/>
                <w:szCs w:val="15"/>
                <w:b w:val="1"/>
                <w:bCs w:val="1"/>
                <w:color w:val="FFFFFF"/>
              </w:rPr>
              <w:t>Ramesh Nuggihalli</w:t>
            </w:r>
          </w:p>
        </w:tc>
      </w:tr>
      <w:tr>
        <w:trPr>
          <w:trHeight w:val="181"/>
        </w:trPr>
        <w:tc>
          <w:tcPr>
            <w:tcW w:w="2520" w:type="dxa"/>
            <w:vAlign w:val="bottom"/>
            <w:shd w:val="clear" w:color="auto" w:fill="E8EED3"/>
          </w:tcPr>
          <w:p>
            <w:pPr>
              <w:jc w:val="right"/>
              <w:ind w:right="927"/>
              <w:spacing w:after="0"/>
              <w:rPr>
                <w:sz w:val="20"/>
                <w:szCs w:val="20"/>
                <w:color w:val="auto"/>
              </w:rPr>
            </w:pPr>
            <w:r>
              <w:rPr>
                <w:rFonts w:ascii="Arial" w:cs="Arial" w:eastAsia="Arial" w:hAnsi="Arial"/>
                <w:sz w:val="15"/>
                <w:szCs w:val="15"/>
                <w:color w:val="auto"/>
              </w:rPr>
              <w:t>85,785</w:t>
            </w:r>
          </w:p>
        </w:tc>
        <w:tc>
          <w:tcPr>
            <w:tcW w:w="2300" w:type="dxa"/>
            <w:vAlign w:val="bottom"/>
            <w:shd w:val="clear" w:color="auto" w:fill="E8EED3"/>
          </w:tcPr>
          <w:p>
            <w:pPr>
              <w:jc w:val="right"/>
              <w:ind w:right="847"/>
              <w:spacing w:after="0"/>
              <w:rPr>
                <w:sz w:val="20"/>
                <w:szCs w:val="20"/>
                <w:color w:val="auto"/>
              </w:rPr>
            </w:pPr>
            <w:r>
              <w:rPr>
                <w:rFonts w:ascii="Arial" w:cs="Arial" w:eastAsia="Arial" w:hAnsi="Arial"/>
                <w:sz w:val="15"/>
                <w:szCs w:val="15"/>
                <w:color w:val="auto"/>
              </w:rPr>
              <w:t>15,319</w:t>
            </w:r>
          </w:p>
        </w:tc>
        <w:tc>
          <w:tcPr>
            <w:tcW w:w="2360" w:type="dxa"/>
            <w:vAlign w:val="bottom"/>
            <w:shd w:val="clear" w:color="auto" w:fill="E8EED3"/>
          </w:tcPr>
          <w:p>
            <w:pPr>
              <w:jc w:val="right"/>
              <w:ind w:right="827"/>
              <w:spacing w:after="0"/>
              <w:rPr>
                <w:sz w:val="20"/>
                <w:szCs w:val="20"/>
                <w:color w:val="auto"/>
              </w:rPr>
            </w:pPr>
            <w:r>
              <w:rPr>
                <w:rFonts w:ascii="Arial" w:cs="Arial" w:eastAsia="Arial" w:hAnsi="Arial"/>
                <w:sz w:val="15"/>
                <w:szCs w:val="15"/>
                <w:color w:val="auto"/>
              </w:rPr>
              <w:t>18,338</w:t>
            </w:r>
          </w:p>
        </w:tc>
      </w:tr>
    </w:tbl>
    <w:p>
      <w:pPr>
        <w:spacing w:after="0" w:line="195" w:lineRule="exact"/>
        <w:rPr>
          <w:sz w:val="20"/>
          <w:szCs w:val="20"/>
          <w:color w:val="auto"/>
        </w:rPr>
      </w:pPr>
    </w:p>
    <w:p>
      <w:pPr>
        <w:ind w:left="340" w:right="120"/>
        <w:spacing w:after="0" w:line="241" w:lineRule="auto"/>
        <w:rPr>
          <w:sz w:val="20"/>
          <w:szCs w:val="20"/>
          <w:color w:val="auto"/>
        </w:rPr>
      </w:pPr>
      <w:r>
        <w:rPr>
          <w:rFonts w:ascii="Arial" w:cs="Arial" w:eastAsia="Arial" w:hAnsi="Arial"/>
          <w:sz w:val="16"/>
          <w:szCs w:val="16"/>
          <w:color w:val="auto"/>
        </w:rPr>
        <w:t>For purposes of the 2021 PRSU awards, Relative TSR is the percentile rank of the Company’s total shareholder return as compared to (and included in) the total shareholder returns of all members of a designated peer group at the end of the 2021-2023 performance period. “Total shareholder return” is a rate of return reflecting stock price appreciation, plus the reinvestment of dividends in additional shares of stock (with appropriate adjustments for certain changes in capital structure), from the beginning of the performance period through the end of the performance period, where (1) the beginning stock price is based on the average closing stock price for the 20 calendar days preceding January 1, 2021 and (2) the ending stock price is based on the average closing stock price for the 20 calendar days preceding January 1, 2024.</w:t>
      </w:r>
    </w:p>
    <w:p>
      <w:pPr>
        <w:spacing w:after="0" w:line="185" w:lineRule="exact"/>
        <w:rPr>
          <w:sz w:val="20"/>
          <w:szCs w:val="20"/>
          <w:color w:val="auto"/>
        </w:rPr>
      </w:pPr>
    </w:p>
    <w:p>
      <w:pPr>
        <w:ind w:left="340" w:right="60"/>
        <w:spacing w:after="0" w:line="242" w:lineRule="auto"/>
        <w:rPr>
          <w:sz w:val="20"/>
          <w:szCs w:val="20"/>
          <w:color w:val="auto"/>
        </w:rPr>
      </w:pPr>
      <w:r>
        <w:rPr>
          <w:rFonts w:ascii="Arial" w:cs="Arial" w:eastAsia="Arial" w:hAnsi="Arial"/>
          <w:sz w:val="16"/>
          <w:szCs w:val="16"/>
          <w:color w:val="auto"/>
        </w:rPr>
        <w:t>For purposes of Relative TSR, the Company’s total shareholder return will be compared against a peer group of 90 publicly traded companies that, at the time of selection by the Compensation Committee, were classified in the Materials or Industrials sector with a market capitalization from $100 million to $500 million. The list of Relative TSR peer companies is included with this Proxy Statement as Appendix I. The peer group is subject to adjustment in the event of certain significant events that occur with respect to a peer company, including bankruptcy, delisting, liquidation, certain acquisitions, or “going private” transactions.</w:t>
      </w:r>
    </w:p>
    <w:p>
      <w:pPr>
        <w:spacing w:after="0" w:line="185" w:lineRule="exact"/>
        <w:rPr>
          <w:sz w:val="20"/>
          <w:szCs w:val="20"/>
          <w:color w:val="auto"/>
        </w:rPr>
      </w:pPr>
    </w:p>
    <w:p>
      <w:pPr>
        <w:ind w:left="340" w:right="120"/>
        <w:spacing w:after="0" w:line="262" w:lineRule="auto"/>
        <w:rPr>
          <w:sz w:val="20"/>
          <w:szCs w:val="20"/>
          <w:color w:val="auto"/>
        </w:rPr>
      </w:pPr>
      <w:r>
        <w:rPr>
          <w:rFonts w:ascii="Arial" w:cs="Arial" w:eastAsia="Arial" w:hAnsi="Arial"/>
          <w:sz w:val="16"/>
          <w:szCs w:val="16"/>
          <w:color w:val="auto"/>
        </w:rPr>
        <w:t>Based on our Relative TSR achievement during the 2021-2023 performance period, the PRSUs can be earned as follows (with straight-line interpolation between performance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5078730</wp:posOffset>
            </wp:positionH>
            <wp:positionV relativeFrom="paragraph">
              <wp:posOffset>130810</wp:posOffset>
            </wp:positionV>
            <wp:extent cx="8255" cy="772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772160"/>
                    </a:xfrm>
                    <a:prstGeom prst="rect">
                      <a:avLst/>
                    </a:prstGeom>
                    <a:noFill/>
                  </pic:spPr>
                </pic:pic>
              </a:graphicData>
            </a:graphic>
          </wp:anchor>
        </w:drawing>
        <w:drawing>
          <wp:anchor simplePos="0" relativeHeight="251657728" behindDoc="1" locked="0" layoutInCell="0" allowOverlap="1">
            <wp:simplePos x="0" y="0"/>
            <wp:positionH relativeFrom="column">
              <wp:posOffset>3443605</wp:posOffset>
            </wp:positionH>
            <wp:positionV relativeFrom="paragraph">
              <wp:posOffset>130810</wp:posOffset>
            </wp:positionV>
            <wp:extent cx="8255" cy="772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772160"/>
                    </a:xfrm>
                    <a:prstGeom prst="rect">
                      <a:avLst/>
                    </a:prstGeom>
                    <a:noFill/>
                  </pic:spPr>
                </pic:pic>
              </a:graphicData>
            </a:graphic>
          </wp:anchor>
        </w:drawing>
      </w:r>
    </w:p>
    <w:p>
      <w:pPr>
        <w:spacing w:after="0" w:line="186" w:lineRule="exact"/>
        <w:rPr>
          <w:sz w:val="20"/>
          <w:szCs w:val="20"/>
          <w:color w:val="auto"/>
        </w:rPr>
      </w:pPr>
    </w:p>
    <w:tbl>
      <w:tblPr>
        <w:tblLayout w:type="fixed"/>
        <w:tblInd w:w="360" w:type="dxa"/>
        <w:tblCellMar>
          <w:top w:w="0" w:type="dxa"/>
          <w:left w:w="0" w:type="dxa"/>
          <w:bottom w:w="0" w:type="dxa"/>
          <w:right w:w="0" w:type="dxa"/>
        </w:tblCellMar>
      </w:tblPr>
      <w:tr>
        <w:trPr>
          <w:trHeight w:val="233"/>
        </w:trPr>
        <w:tc>
          <w:tcPr>
            <w:tcW w:w="5060" w:type="dxa"/>
            <w:vAlign w:val="bottom"/>
            <w:shd w:val="clear" w:color="auto" w:fill="41659C"/>
          </w:tcPr>
          <w:p>
            <w:pPr>
              <w:ind w:left="60"/>
              <w:spacing w:after="0"/>
              <w:rPr>
                <w:sz w:val="20"/>
                <w:szCs w:val="20"/>
                <w:color w:val="auto"/>
              </w:rPr>
            </w:pPr>
            <w:r>
              <w:rPr>
                <w:rFonts w:ascii="Arial" w:cs="Arial" w:eastAsia="Arial" w:hAnsi="Arial"/>
                <w:sz w:val="15"/>
                <w:szCs w:val="15"/>
                <w:b w:val="1"/>
                <w:bCs w:val="1"/>
                <w:color w:val="FFFFFF"/>
              </w:rPr>
              <w:t>Performance Level</w:t>
            </w:r>
          </w:p>
        </w:tc>
        <w:tc>
          <w:tcPr>
            <w:tcW w:w="2840" w:type="dxa"/>
            <w:vAlign w:val="bottom"/>
            <w:shd w:val="clear" w:color="auto" w:fill="41659C"/>
          </w:tcPr>
          <w:p>
            <w:pPr>
              <w:jc w:val="center"/>
              <w:ind w:right="147"/>
              <w:spacing w:after="0"/>
              <w:rPr>
                <w:sz w:val="20"/>
                <w:szCs w:val="20"/>
                <w:color w:val="auto"/>
              </w:rPr>
            </w:pPr>
            <w:r>
              <w:rPr>
                <w:rFonts w:ascii="Arial" w:cs="Arial" w:eastAsia="Arial" w:hAnsi="Arial"/>
                <w:sz w:val="15"/>
                <w:szCs w:val="15"/>
                <w:b w:val="1"/>
                <w:bCs w:val="1"/>
                <w:color w:val="FFFFFF"/>
                <w:w w:val="98"/>
              </w:rPr>
              <w:t>Relative TSR</w:t>
            </w:r>
          </w:p>
        </w:tc>
        <w:tc>
          <w:tcPr>
            <w:tcW w:w="2640" w:type="dxa"/>
            <w:vAlign w:val="bottom"/>
            <w:shd w:val="clear" w:color="auto" w:fill="41659C"/>
          </w:tcPr>
          <w:p>
            <w:pPr>
              <w:jc w:val="right"/>
              <w:ind w:right="67"/>
              <w:spacing w:after="0"/>
              <w:rPr>
                <w:sz w:val="20"/>
                <w:szCs w:val="20"/>
                <w:color w:val="auto"/>
              </w:rPr>
            </w:pPr>
            <w:r>
              <w:rPr>
                <w:rFonts w:ascii="Arial" w:cs="Arial" w:eastAsia="Arial" w:hAnsi="Arial"/>
                <w:sz w:val="15"/>
                <w:szCs w:val="15"/>
                <w:b w:val="1"/>
                <w:bCs w:val="1"/>
                <w:color w:val="FFFFFF"/>
              </w:rPr>
              <w:t>% of Target PRSUs Earned</w:t>
            </w:r>
          </w:p>
        </w:tc>
        <w:tc>
          <w:tcPr>
            <w:tcW w:w="0" w:type="dxa"/>
            <w:vAlign w:val="bottom"/>
          </w:tcPr>
          <w:p>
            <w:pPr>
              <w:spacing w:after="0"/>
              <w:rPr>
                <w:sz w:val="1"/>
                <w:szCs w:val="1"/>
                <w:color w:val="auto"/>
              </w:rPr>
            </w:pPr>
          </w:p>
        </w:tc>
      </w:tr>
      <w:tr>
        <w:trPr>
          <w:trHeight w:val="207"/>
        </w:trPr>
        <w:tc>
          <w:tcPr>
            <w:tcW w:w="5060" w:type="dxa"/>
            <w:vAlign w:val="bottom"/>
            <w:shd w:val="clear" w:color="auto" w:fill="E8EED3"/>
          </w:tcPr>
          <w:p>
            <w:pPr>
              <w:ind w:left="60"/>
              <w:spacing w:after="0"/>
              <w:rPr>
                <w:sz w:val="20"/>
                <w:szCs w:val="20"/>
                <w:color w:val="auto"/>
              </w:rPr>
            </w:pPr>
            <w:r>
              <w:rPr>
                <w:rFonts w:ascii="Arial" w:cs="Arial" w:eastAsia="Arial" w:hAnsi="Arial"/>
                <w:sz w:val="15"/>
                <w:szCs w:val="15"/>
                <w:b w:val="1"/>
                <w:bCs w:val="1"/>
                <w:color w:val="auto"/>
              </w:rPr>
              <w:t>Below Threshold</w:t>
            </w:r>
          </w:p>
        </w:tc>
        <w:tc>
          <w:tcPr>
            <w:tcW w:w="2840" w:type="dxa"/>
            <w:vAlign w:val="bottom"/>
            <w:shd w:val="clear" w:color="auto" w:fill="E8EED3"/>
          </w:tcPr>
          <w:p>
            <w:pPr>
              <w:jc w:val="center"/>
              <w:ind w:right="147"/>
              <w:spacing w:after="0"/>
              <w:rPr>
                <w:sz w:val="20"/>
                <w:szCs w:val="20"/>
                <w:color w:val="auto"/>
              </w:rPr>
            </w:pPr>
            <w:r>
              <w:rPr>
                <w:rFonts w:ascii="Arial" w:cs="Arial" w:eastAsia="Arial" w:hAnsi="Arial"/>
                <w:sz w:val="15"/>
                <w:szCs w:val="15"/>
                <w:color w:val="auto"/>
                <w:w w:val="97"/>
              </w:rPr>
              <w:t>Below 25</w:t>
            </w:r>
            <w:r>
              <w:rPr>
                <w:rFonts w:ascii="Arial" w:cs="Arial" w:eastAsia="Arial" w:hAnsi="Arial"/>
                <w:sz w:val="12"/>
                <w:szCs w:val="12"/>
                <w:color w:val="auto"/>
                <w:w w:val="97"/>
              </w:rPr>
              <w:t>th</w:t>
            </w:r>
            <w:r>
              <w:rPr>
                <w:rFonts w:ascii="Arial" w:cs="Arial" w:eastAsia="Arial" w:hAnsi="Arial"/>
                <w:sz w:val="15"/>
                <w:szCs w:val="15"/>
                <w:color w:val="auto"/>
                <w:w w:val="97"/>
              </w:rPr>
              <w:t xml:space="preserve"> percentile</w:t>
            </w:r>
          </w:p>
        </w:tc>
        <w:tc>
          <w:tcPr>
            <w:tcW w:w="2640" w:type="dxa"/>
            <w:vAlign w:val="bottom"/>
            <w:shd w:val="clear" w:color="auto" w:fill="E8EED3"/>
          </w:tcPr>
          <w:p>
            <w:pPr>
              <w:jc w:val="right"/>
              <w:ind w:right="67"/>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207"/>
        </w:trPr>
        <w:tc>
          <w:tcPr>
            <w:tcW w:w="5060" w:type="dxa"/>
            <w:vAlign w:val="bottom"/>
            <w:shd w:val="clear" w:color="auto" w:fill="D2DEA7"/>
          </w:tcPr>
          <w:p>
            <w:pPr>
              <w:ind w:left="60"/>
              <w:spacing w:after="0"/>
              <w:rPr>
                <w:sz w:val="20"/>
                <w:szCs w:val="20"/>
                <w:color w:val="auto"/>
              </w:rPr>
            </w:pPr>
            <w:r>
              <w:rPr>
                <w:rFonts w:ascii="Arial" w:cs="Arial" w:eastAsia="Arial" w:hAnsi="Arial"/>
                <w:sz w:val="15"/>
                <w:szCs w:val="15"/>
                <w:b w:val="1"/>
                <w:bCs w:val="1"/>
                <w:color w:val="auto"/>
              </w:rPr>
              <w:t>Threshold</w:t>
            </w:r>
          </w:p>
        </w:tc>
        <w:tc>
          <w:tcPr>
            <w:tcW w:w="2840" w:type="dxa"/>
            <w:vAlign w:val="bottom"/>
            <w:shd w:val="clear" w:color="auto" w:fill="D2DEA7"/>
          </w:tcPr>
          <w:p>
            <w:pPr>
              <w:jc w:val="center"/>
              <w:ind w:right="127"/>
              <w:spacing w:after="0"/>
              <w:rPr>
                <w:sz w:val="20"/>
                <w:szCs w:val="20"/>
                <w:color w:val="auto"/>
              </w:rPr>
            </w:pPr>
            <w:r>
              <w:rPr>
                <w:rFonts w:ascii="Arial" w:cs="Arial" w:eastAsia="Arial" w:hAnsi="Arial"/>
                <w:sz w:val="15"/>
                <w:szCs w:val="15"/>
                <w:color w:val="auto"/>
                <w:w w:val="98"/>
              </w:rPr>
              <w:t>At 25</w:t>
            </w:r>
            <w:r>
              <w:rPr>
                <w:rFonts w:ascii="Arial" w:cs="Arial" w:eastAsia="Arial" w:hAnsi="Arial"/>
                <w:sz w:val="12"/>
                <w:szCs w:val="12"/>
                <w:color w:val="auto"/>
                <w:w w:val="98"/>
              </w:rPr>
              <w:t>th</w:t>
            </w:r>
            <w:r>
              <w:rPr>
                <w:rFonts w:ascii="Arial" w:cs="Arial" w:eastAsia="Arial" w:hAnsi="Arial"/>
                <w:sz w:val="15"/>
                <w:szCs w:val="15"/>
                <w:color w:val="auto"/>
                <w:w w:val="98"/>
              </w:rPr>
              <w:t xml:space="preserve"> percentile</w:t>
            </w:r>
          </w:p>
        </w:tc>
        <w:tc>
          <w:tcPr>
            <w:tcW w:w="2640" w:type="dxa"/>
            <w:vAlign w:val="bottom"/>
            <w:shd w:val="clear" w:color="auto" w:fill="D2DEA7"/>
          </w:tcPr>
          <w:p>
            <w:pPr>
              <w:jc w:val="right"/>
              <w:ind w:right="67"/>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207"/>
        </w:trPr>
        <w:tc>
          <w:tcPr>
            <w:tcW w:w="5060" w:type="dxa"/>
            <w:vAlign w:val="bottom"/>
            <w:shd w:val="clear" w:color="auto" w:fill="E8EED3"/>
          </w:tcPr>
          <w:p>
            <w:pPr>
              <w:ind w:left="60"/>
              <w:spacing w:after="0"/>
              <w:rPr>
                <w:sz w:val="20"/>
                <w:szCs w:val="20"/>
                <w:color w:val="auto"/>
              </w:rPr>
            </w:pPr>
            <w:r>
              <w:rPr>
                <w:rFonts w:ascii="Arial" w:cs="Arial" w:eastAsia="Arial" w:hAnsi="Arial"/>
                <w:sz w:val="15"/>
                <w:szCs w:val="15"/>
                <w:b w:val="1"/>
                <w:bCs w:val="1"/>
                <w:color w:val="auto"/>
              </w:rPr>
              <w:t>Target</w:t>
            </w:r>
          </w:p>
        </w:tc>
        <w:tc>
          <w:tcPr>
            <w:tcW w:w="2840" w:type="dxa"/>
            <w:vAlign w:val="bottom"/>
            <w:shd w:val="clear" w:color="auto" w:fill="E8EED3"/>
          </w:tcPr>
          <w:p>
            <w:pPr>
              <w:jc w:val="center"/>
              <w:ind w:right="127"/>
              <w:spacing w:after="0"/>
              <w:rPr>
                <w:sz w:val="20"/>
                <w:szCs w:val="20"/>
                <w:color w:val="auto"/>
              </w:rPr>
            </w:pPr>
            <w:r>
              <w:rPr>
                <w:rFonts w:ascii="Arial" w:cs="Arial" w:eastAsia="Arial" w:hAnsi="Arial"/>
                <w:sz w:val="15"/>
                <w:szCs w:val="15"/>
                <w:color w:val="auto"/>
                <w:w w:val="98"/>
              </w:rPr>
              <w:t>At 50</w:t>
            </w:r>
            <w:r>
              <w:rPr>
                <w:rFonts w:ascii="Arial" w:cs="Arial" w:eastAsia="Arial" w:hAnsi="Arial"/>
                <w:sz w:val="12"/>
                <w:szCs w:val="12"/>
                <w:color w:val="auto"/>
                <w:w w:val="98"/>
              </w:rPr>
              <w:t>th</w:t>
            </w:r>
            <w:r>
              <w:rPr>
                <w:rFonts w:ascii="Arial" w:cs="Arial" w:eastAsia="Arial" w:hAnsi="Arial"/>
                <w:sz w:val="15"/>
                <w:szCs w:val="15"/>
                <w:color w:val="auto"/>
                <w:w w:val="98"/>
              </w:rPr>
              <w:t xml:space="preserve"> percentile</w:t>
            </w:r>
          </w:p>
        </w:tc>
        <w:tc>
          <w:tcPr>
            <w:tcW w:w="2640" w:type="dxa"/>
            <w:vAlign w:val="bottom"/>
            <w:shd w:val="clear" w:color="auto" w:fill="E8EED3"/>
          </w:tcPr>
          <w:p>
            <w:pPr>
              <w:jc w:val="right"/>
              <w:ind w:right="67"/>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09"/>
        </w:trPr>
        <w:tc>
          <w:tcPr>
            <w:tcW w:w="5060" w:type="dxa"/>
            <w:vAlign w:val="bottom"/>
            <w:shd w:val="clear" w:color="auto" w:fill="D2DEA7"/>
          </w:tcPr>
          <w:p>
            <w:pPr>
              <w:ind w:left="60"/>
              <w:spacing w:after="0"/>
              <w:rPr>
                <w:sz w:val="20"/>
                <w:szCs w:val="20"/>
                <w:color w:val="auto"/>
              </w:rPr>
            </w:pPr>
            <w:r>
              <w:rPr>
                <w:rFonts w:ascii="Arial" w:cs="Arial" w:eastAsia="Arial" w:hAnsi="Arial"/>
                <w:sz w:val="15"/>
                <w:szCs w:val="15"/>
                <w:b w:val="1"/>
                <w:bCs w:val="1"/>
                <w:color w:val="auto"/>
              </w:rPr>
              <w:t>Maximum</w:t>
            </w:r>
          </w:p>
        </w:tc>
        <w:tc>
          <w:tcPr>
            <w:tcW w:w="2840" w:type="dxa"/>
            <w:vAlign w:val="bottom"/>
            <w:shd w:val="clear" w:color="auto" w:fill="D2DEA7"/>
          </w:tcPr>
          <w:p>
            <w:pPr>
              <w:jc w:val="center"/>
              <w:ind w:right="107"/>
              <w:spacing w:after="0"/>
              <w:rPr>
                <w:sz w:val="20"/>
                <w:szCs w:val="20"/>
                <w:color w:val="auto"/>
              </w:rPr>
            </w:pPr>
            <w:r>
              <w:rPr>
                <w:rFonts w:ascii="Arial" w:cs="Arial" w:eastAsia="Arial" w:hAnsi="Arial"/>
                <w:sz w:val="15"/>
                <w:szCs w:val="15"/>
                <w:color w:val="auto"/>
                <w:w w:val="98"/>
              </w:rPr>
              <w:t>At or above 75</w:t>
            </w:r>
            <w:r>
              <w:rPr>
                <w:rFonts w:ascii="Arial" w:cs="Arial" w:eastAsia="Arial" w:hAnsi="Arial"/>
                <w:sz w:val="12"/>
                <w:szCs w:val="12"/>
                <w:color w:val="auto"/>
                <w:w w:val="98"/>
              </w:rPr>
              <w:t>th</w:t>
            </w:r>
            <w:r>
              <w:rPr>
                <w:rFonts w:ascii="Arial" w:cs="Arial" w:eastAsia="Arial" w:hAnsi="Arial"/>
                <w:sz w:val="15"/>
                <w:szCs w:val="15"/>
                <w:color w:val="auto"/>
                <w:w w:val="98"/>
              </w:rPr>
              <w:t xml:space="preserve"> percentile</w:t>
            </w:r>
          </w:p>
        </w:tc>
        <w:tc>
          <w:tcPr>
            <w:tcW w:w="2640" w:type="dxa"/>
            <w:vAlign w:val="bottom"/>
            <w:vMerge w:val="restart"/>
            <w:shd w:val="clear" w:color="auto" w:fill="D2DEA7"/>
          </w:tcPr>
          <w:p>
            <w:pPr>
              <w:jc w:val="right"/>
              <w:ind w:right="67"/>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153"/>
        </w:trPr>
        <w:tc>
          <w:tcPr>
            <w:tcW w:w="5060" w:type="dxa"/>
            <w:vAlign w:val="bottom"/>
            <w:shd w:val="clear" w:color="auto" w:fill="D2DEA7"/>
          </w:tcPr>
          <w:p>
            <w:pPr>
              <w:spacing w:after="0"/>
              <w:rPr>
                <w:sz w:val="13"/>
                <w:szCs w:val="13"/>
                <w:color w:val="auto"/>
              </w:rPr>
            </w:pPr>
          </w:p>
        </w:tc>
        <w:tc>
          <w:tcPr>
            <w:tcW w:w="2840" w:type="dxa"/>
            <w:vAlign w:val="bottom"/>
            <w:shd w:val="clear" w:color="auto" w:fill="D2DEA7"/>
          </w:tcPr>
          <w:p>
            <w:pPr>
              <w:spacing w:after="0"/>
              <w:rPr>
                <w:sz w:val="13"/>
                <w:szCs w:val="13"/>
                <w:color w:val="auto"/>
              </w:rPr>
            </w:pPr>
          </w:p>
        </w:tc>
        <w:tc>
          <w:tcPr>
            <w:tcW w:w="2640" w:type="dxa"/>
            <w:vAlign w:val="bottom"/>
            <w:vMerge w:val="continue"/>
            <w:shd w:val="clear" w:color="auto" w:fill="D2DEA7"/>
          </w:tcPr>
          <w:p>
            <w:pPr>
              <w:spacing w:after="0"/>
              <w:rPr>
                <w:sz w:val="13"/>
                <w:szCs w:val="13"/>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340" w:right="500"/>
        <w:spacing w:after="0" w:line="262" w:lineRule="auto"/>
        <w:rPr>
          <w:sz w:val="20"/>
          <w:szCs w:val="20"/>
          <w:color w:val="auto"/>
        </w:rPr>
      </w:pPr>
      <w:r>
        <w:rPr>
          <w:rFonts w:ascii="Arial" w:cs="Arial" w:eastAsia="Arial" w:hAnsi="Arial"/>
          <w:sz w:val="16"/>
          <w:szCs w:val="16"/>
          <w:color w:val="auto"/>
        </w:rPr>
        <w:t>However, regardless of the level of Relative TSR performance, if the Company’s absolute total shareholder return during the performance period is negative, the percentage of target PRSUs earned will not exceed 100% of target.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Under the terms of Mr. Gleason’s employment agreement, for calendar years following 2020, Mr. Gleason is generally eligible for annual awards under</w:t>
      </w:r>
    </w:p>
    <w:p>
      <w:pPr>
        <w:spacing w:after="0" w:line="3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our equity compensation arrangements as reasonably determined by the Compensation Committee. His total annual equity award target opportunity for</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each such calendar year will have an aggregate grant date value (as reasonably determined by the Compensation Committee) of no less than</w:t>
      </w:r>
    </w:p>
    <w:p>
      <w:pPr>
        <w:ind w:left="340"/>
        <w:spacing w:after="0"/>
        <w:rPr>
          <w:sz w:val="20"/>
          <w:szCs w:val="20"/>
          <w:color w:val="auto"/>
        </w:rPr>
      </w:pPr>
      <w:r>
        <w:rPr>
          <w:rFonts w:ascii="Arial" w:cs="Arial" w:eastAsia="Arial" w:hAnsi="Arial"/>
          <w:sz w:val="14"/>
          <w:szCs w:val="14"/>
          <w:color w:val="auto"/>
        </w:rPr>
        <w:t>$1,000,000. For 2021, Mr. Gleason’s Grant Date fair value award was valued at $1,126,112. Mr. Gleason’s annual equity awards will be made in the form</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of time-based RSUs and/or PRSUs, or in such other forms as determined by the Compensation Committee after consideration of competitive market data</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provided by its independent compensation consultant. However, no less than 60% of Mr. Gleason’s annual equity awards will be subject to the</w:t>
      </w:r>
    </w:p>
    <w:p>
      <w:pPr>
        <w:ind w:left="340"/>
        <w:spacing w:after="0"/>
        <w:rPr>
          <w:sz w:val="20"/>
          <w:szCs w:val="20"/>
          <w:color w:val="auto"/>
        </w:rPr>
      </w:pPr>
      <w:r>
        <w:rPr>
          <w:rFonts w:ascii="Arial" w:cs="Arial" w:eastAsia="Arial" w:hAnsi="Arial"/>
          <w:sz w:val="14"/>
          <w:szCs w:val="14"/>
          <w:color w:val="auto"/>
        </w:rPr>
        <w:t>achievement of performance objectives determined by the Compensation Committee. Currently 70% of Mr. Gleason’s annual equity awards are subject to</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achievement of performance objectives determined by the Compensation Committee.</w:t>
      </w:r>
    </w:p>
    <w:p>
      <w:pPr>
        <w:spacing w:after="0" w:line="28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41659C"/>
        </w:rPr>
        <w:t>Performance-Based Awards Granted in Prior Years</w:t>
      </w:r>
    </w:p>
    <w:p>
      <w:pPr>
        <w:spacing w:after="0" w:line="109" w:lineRule="exact"/>
        <w:rPr>
          <w:sz w:val="20"/>
          <w:szCs w:val="20"/>
          <w:color w:val="auto"/>
        </w:rPr>
      </w:pPr>
    </w:p>
    <w:p>
      <w:pPr>
        <w:ind w:left="340" w:right="200"/>
        <w:spacing w:after="0" w:line="249" w:lineRule="auto"/>
        <w:rPr>
          <w:sz w:val="20"/>
          <w:szCs w:val="20"/>
          <w:color w:val="auto"/>
        </w:rPr>
      </w:pPr>
      <w:r>
        <w:rPr>
          <w:rFonts w:ascii="Arial" w:cs="Arial" w:eastAsia="Arial" w:hAnsi="Arial"/>
          <w:sz w:val="16"/>
          <w:szCs w:val="16"/>
          <w:color w:val="auto"/>
        </w:rPr>
        <w:t>In 2019, we granted PRSUs to Mr. Eckl that were generally scheduled to vest on March 15, 2022, to the extent the Company attained a single Adjusted EBITDA target-level for the 2021 fiscal year established by the Compensation Committee. Messrs. Gleason and Nuggihalli were not serving with the Company when these PRSUs were granted, and did not receive an award</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262626"/>
        </w:rPr>
        <w:t>22 • CECO Environmental</w:t>
      </w:r>
    </w:p>
    <w:p>
      <w:pPr>
        <w:sectPr>
          <w:pgSz w:w="11900" w:h="16838" w:orient="portrait"/>
          <w:cols w:equalWidth="0" w:num="1">
            <w:col w:w="10900"/>
          </w:cols>
          <w:pgMar w:left="320" w:top="443" w:right="6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4" w:lineRule="exact"/>
        <w:rPr>
          <w:sz w:val="20"/>
          <w:szCs w:val="20"/>
          <w:color w:val="auto"/>
        </w:rPr>
      </w:pPr>
    </w:p>
    <w:p>
      <w:pPr>
        <w:ind w:left="340" w:right="20"/>
        <w:spacing w:after="0" w:line="249" w:lineRule="auto"/>
        <w:rPr>
          <w:sz w:val="20"/>
          <w:szCs w:val="20"/>
          <w:color w:val="auto"/>
        </w:rPr>
      </w:pPr>
      <w:r>
        <w:rPr>
          <w:rFonts w:ascii="Arial" w:cs="Arial" w:eastAsia="Arial" w:hAnsi="Arial"/>
          <w:sz w:val="16"/>
          <w:szCs w:val="16"/>
          <w:color w:val="auto"/>
        </w:rPr>
        <w:t>opportunity for this particular cycle. For purposes of this award to Mr. Eckl, Adjusted EBITDA was defined as calculated for purposes of the Company’s quarterly financial reports. Based on 2021 Adjusted EBITDA achievement, Mr. Eckl was eligible to earn either 0% of 100% of his target PRSUs as follows, with no interpolation above or below the performance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137160</wp:posOffset>
            </wp:positionV>
            <wp:extent cx="1503045" cy="4845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03045" cy="484505"/>
                    </a:xfrm>
                    <a:prstGeom prst="rect">
                      <a:avLst/>
                    </a:prstGeom>
                    <a:noFill/>
                  </pic:spPr>
                </pic:pic>
              </a:graphicData>
            </a:graphic>
          </wp:anchor>
        </w:drawing>
      </w:r>
    </w:p>
    <w:p>
      <w:pPr>
        <w:spacing w:after="0" w:line="196"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8200" w:type="dxa"/>
            <w:vAlign w:val="bottom"/>
            <w:shd w:val="clear" w:color="auto" w:fill="41659C"/>
          </w:tcPr>
          <w:p>
            <w:pPr>
              <w:spacing w:after="0"/>
              <w:rPr>
                <w:sz w:val="19"/>
                <w:szCs w:val="19"/>
                <w:color w:val="auto"/>
              </w:rPr>
            </w:pPr>
          </w:p>
        </w:tc>
        <w:tc>
          <w:tcPr>
            <w:tcW w:w="2340" w:type="dxa"/>
            <w:vAlign w:val="bottom"/>
            <w:shd w:val="clear" w:color="auto" w:fill="41659C"/>
          </w:tcPr>
          <w:p>
            <w:pPr>
              <w:jc w:val="right"/>
              <w:ind w:right="387"/>
              <w:spacing w:after="0"/>
              <w:rPr>
                <w:sz w:val="20"/>
                <w:szCs w:val="20"/>
                <w:color w:val="auto"/>
              </w:rPr>
            </w:pPr>
            <w:r>
              <w:rPr>
                <w:rFonts w:ascii="Arial" w:cs="Arial" w:eastAsia="Arial" w:hAnsi="Arial"/>
                <w:sz w:val="15"/>
                <w:szCs w:val="15"/>
                <w:b w:val="1"/>
                <w:bCs w:val="1"/>
                <w:color w:val="FFFFFF"/>
              </w:rPr>
              <w:t>Target PRSUs (#)</w:t>
            </w:r>
          </w:p>
        </w:tc>
      </w:tr>
      <w:tr>
        <w:trPr>
          <w:trHeight w:val="314"/>
        </w:trPr>
        <w:tc>
          <w:tcPr>
            <w:tcW w:w="8200" w:type="dxa"/>
            <w:vAlign w:val="bottom"/>
            <w:tcBorders>
              <w:bottom w:val="single" w:sz="8" w:color="41659C"/>
            </w:tcBorders>
            <w:shd w:val="clear" w:color="auto" w:fill="41659C"/>
          </w:tcPr>
          <w:p>
            <w:pPr>
              <w:ind w:left="60"/>
              <w:spacing w:after="0"/>
              <w:rPr>
                <w:sz w:val="20"/>
                <w:szCs w:val="20"/>
                <w:color w:val="auto"/>
              </w:rPr>
            </w:pPr>
            <w:r>
              <w:rPr>
                <w:rFonts w:ascii="Arial" w:cs="Arial" w:eastAsia="Arial" w:hAnsi="Arial"/>
                <w:sz w:val="15"/>
                <w:szCs w:val="15"/>
                <w:b w:val="1"/>
                <w:bCs w:val="1"/>
                <w:color w:val="FFFFFF"/>
              </w:rPr>
              <w:t>2021 Adjusted EBITDA Performance Level</w:t>
            </w:r>
          </w:p>
        </w:tc>
        <w:tc>
          <w:tcPr>
            <w:tcW w:w="2340" w:type="dxa"/>
            <w:vAlign w:val="bottom"/>
            <w:tcBorders>
              <w:bottom w:val="single" w:sz="8" w:color="41659C"/>
            </w:tcBorders>
            <w:shd w:val="clear" w:color="auto" w:fill="41659C"/>
          </w:tcPr>
          <w:p>
            <w:pPr>
              <w:jc w:val="right"/>
              <w:ind w:right="547"/>
              <w:spacing w:after="0"/>
              <w:rPr>
                <w:sz w:val="20"/>
                <w:szCs w:val="20"/>
                <w:color w:val="auto"/>
              </w:rPr>
            </w:pPr>
            <w:r>
              <w:rPr>
                <w:rFonts w:ascii="Arial" w:cs="Arial" w:eastAsia="Arial" w:hAnsi="Arial"/>
                <w:sz w:val="15"/>
                <w:szCs w:val="15"/>
                <w:b w:val="1"/>
                <w:bCs w:val="1"/>
                <w:color w:val="FFFFFF"/>
              </w:rPr>
              <w:t>Matthew Eckl</w:t>
            </w:r>
          </w:p>
        </w:tc>
      </w:tr>
      <w:tr>
        <w:trPr>
          <w:trHeight w:val="207"/>
        </w:trPr>
        <w:tc>
          <w:tcPr>
            <w:tcW w:w="8200" w:type="dxa"/>
            <w:vAlign w:val="bottom"/>
            <w:shd w:val="clear" w:color="auto" w:fill="E8EED3"/>
          </w:tcPr>
          <w:p>
            <w:pPr>
              <w:ind w:left="60"/>
              <w:spacing w:after="0"/>
              <w:rPr>
                <w:sz w:val="20"/>
                <w:szCs w:val="20"/>
                <w:color w:val="auto"/>
              </w:rPr>
            </w:pPr>
            <w:r>
              <w:rPr>
                <w:rFonts w:ascii="Arial" w:cs="Arial" w:eastAsia="Arial" w:hAnsi="Arial"/>
                <w:sz w:val="15"/>
                <w:szCs w:val="15"/>
                <w:color w:val="auto"/>
              </w:rPr>
              <w:t>Target: $51,000,000</w:t>
            </w:r>
          </w:p>
        </w:tc>
        <w:tc>
          <w:tcPr>
            <w:tcW w:w="2340" w:type="dxa"/>
            <w:vAlign w:val="bottom"/>
            <w:shd w:val="clear" w:color="auto" w:fill="E8EED3"/>
          </w:tcPr>
          <w:p>
            <w:pPr>
              <w:jc w:val="right"/>
              <w:ind w:right="307"/>
              <w:spacing w:after="0"/>
              <w:rPr>
                <w:sz w:val="20"/>
                <w:szCs w:val="20"/>
                <w:color w:val="auto"/>
              </w:rPr>
            </w:pPr>
            <w:r>
              <w:rPr>
                <w:rFonts w:ascii="Arial" w:cs="Arial" w:eastAsia="Arial" w:hAnsi="Arial"/>
                <w:sz w:val="15"/>
                <w:szCs w:val="15"/>
                <w:color w:val="auto"/>
              </w:rPr>
              <w:t>17,266</w:t>
            </w:r>
          </w:p>
        </w:tc>
      </w:tr>
    </w:tbl>
    <w:p>
      <w:pPr>
        <w:spacing w:after="0" w:line="195" w:lineRule="exact"/>
        <w:rPr>
          <w:sz w:val="20"/>
          <w:szCs w:val="20"/>
          <w:color w:val="auto"/>
        </w:rPr>
      </w:pPr>
    </w:p>
    <w:p>
      <w:pPr>
        <w:ind w:left="340" w:right="180"/>
        <w:spacing w:after="0" w:line="302" w:lineRule="auto"/>
        <w:rPr>
          <w:sz w:val="20"/>
          <w:szCs w:val="20"/>
          <w:color w:val="auto"/>
        </w:rPr>
      </w:pPr>
      <w:r>
        <w:rPr>
          <w:rFonts w:ascii="Arial" w:cs="Arial" w:eastAsia="Arial" w:hAnsi="Arial"/>
          <w:sz w:val="14"/>
          <w:szCs w:val="14"/>
          <w:color w:val="auto"/>
        </w:rPr>
        <w:t>The Company’s actual Adjusted EBITDA for 2021 was $25.0 million. As a result, none of Mr. Eckl’s PRSUs were earned. In addition, target PRSUs granted to Mr. Eckl in 2020 to be earned based on Relative TSR performance for a performance period beginning on January 1, 2020 and ending on December 31, 2022 remain outstanding due to the ongoing performance period, and applicable payout (if any) will be determined after the end of 2022.</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41659C"/>
        </w:rPr>
        <w:t>Personal Benefits and Perquisites</w:t>
      </w:r>
    </w:p>
    <w:p>
      <w:pPr>
        <w:spacing w:after="0" w:line="109" w:lineRule="exact"/>
        <w:rPr>
          <w:sz w:val="20"/>
          <w:szCs w:val="20"/>
          <w:color w:val="auto"/>
        </w:rPr>
      </w:pPr>
    </w:p>
    <w:p>
      <w:pPr>
        <w:ind w:left="340" w:right="120"/>
        <w:spacing w:after="0" w:line="291" w:lineRule="auto"/>
        <w:rPr>
          <w:sz w:val="20"/>
          <w:szCs w:val="20"/>
          <w:color w:val="auto"/>
        </w:rPr>
      </w:pPr>
      <w:r>
        <w:rPr>
          <w:rFonts w:ascii="Arial" w:cs="Arial" w:eastAsia="Arial" w:hAnsi="Arial"/>
          <w:sz w:val="14"/>
          <w:szCs w:val="14"/>
          <w:color w:val="auto"/>
        </w:rPr>
        <w:t>We provide our named executive officers with a limited number of perquisites that we believe are reasonable and consistent with our overall compensation program and better enable us to attract and retain employees for key positions. These perquisites generally consist of car allowances and payment of life insurance premiums. In connection with his appointment as CEO, Mr. Gleason is also entitled to reimbursement through December 31, 2021, for up to $2,500 per month for apartment or comparable rental expenses incurred by him, pursuant to the terms of his employment agreement.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41659C"/>
        </w:rPr>
        <w:t>Retirement and Post-Employment Benefits</w:t>
      </w:r>
    </w:p>
    <w:p>
      <w:pPr>
        <w:spacing w:after="0" w:line="109" w:lineRule="exact"/>
        <w:rPr>
          <w:sz w:val="20"/>
          <w:szCs w:val="20"/>
          <w:color w:val="auto"/>
        </w:rPr>
      </w:pPr>
    </w:p>
    <w:p>
      <w:pPr>
        <w:ind w:left="340" w:right="40"/>
        <w:spacing w:after="0"/>
        <w:rPr>
          <w:sz w:val="20"/>
          <w:szCs w:val="20"/>
          <w:color w:val="auto"/>
        </w:rPr>
      </w:pPr>
      <w:r>
        <w:rPr>
          <w:rFonts w:ascii="Arial" w:cs="Arial" w:eastAsia="Arial" w:hAnsi="Arial"/>
          <w:sz w:val="16"/>
          <w:szCs w:val="16"/>
          <w:color w:val="auto"/>
        </w:rPr>
        <w:t>Our Company sponsors a 401(k) retirement plan for substantially all of our U.S. employees (the “401(k) Plan”), pursuant to which we generally match contributions each pay period at 100% of the employee’s contributions for the first 3% of eligible compensation, and 50% of the employee’s contribution on the next 3% of eligible compensation, for a maximum match of 4.5% of eligible compensation. Our named executive officers generally participate in the 401(k) Plan on the same terms as our other eligible employees. However, as a cost savings measure in response to the COVID-19 pandemic, during 2021 we suspended the match contributions for highly compensated employees, which included our NEOs. We believe the 401(k) Plan, which has limited cost to our Company, is set at a reasonable level, is highly valued by participants, and is part of a competitive compensation program consistent with our overall goal of attracting and retaining qualified employees.</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Agreements with Individual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individual employment agreements with Mr. Gleason and Mr. Eckl.</w:t>
      </w:r>
    </w:p>
    <w:p>
      <w:pPr>
        <w:spacing w:after="0" w:line="204" w:lineRule="exact"/>
        <w:rPr>
          <w:sz w:val="20"/>
          <w:szCs w:val="20"/>
          <w:color w:val="auto"/>
        </w:rPr>
      </w:pPr>
    </w:p>
    <w:p>
      <w:pPr>
        <w:ind w:left="340" w:right="40"/>
        <w:spacing w:after="0"/>
        <w:rPr>
          <w:sz w:val="20"/>
          <w:szCs w:val="20"/>
          <w:color w:val="auto"/>
        </w:rPr>
      </w:pPr>
      <w:r>
        <w:rPr>
          <w:rFonts w:ascii="Arial" w:cs="Arial" w:eastAsia="Arial" w:hAnsi="Arial"/>
          <w:sz w:val="16"/>
          <w:szCs w:val="16"/>
          <w:color w:val="auto"/>
        </w:rPr>
        <w:t>Effective July 6, 2020, we entered into an employment agreement with Mr. Gleason in connection with his appointment as our CEO. We entered into an employment agreement with Mr. Eckl effective as of January 9, 2017, when he joined our Company as our CFO. These employment agreements set forth the basic terms and conditions of employment for such named executive officers, including initial base salary, annual incentive opportunity, and long-term incentive opportunity, as well as certain sign-on equity and cash bonus compensation and certain perquisites and personal benefits. The employment agreements also include customary restrictive covenants and provide for certain severance compensation and benefits in the event of a qualifying termination of employment. The terms of these employment agreements reflect the product of arms’ length negotiations between the individual and the Company.</w:t>
      </w:r>
    </w:p>
    <w:p>
      <w:pPr>
        <w:spacing w:after="0" w:line="187" w:lineRule="exact"/>
        <w:rPr>
          <w:sz w:val="20"/>
          <w:szCs w:val="20"/>
          <w:color w:val="auto"/>
        </w:rPr>
      </w:pPr>
    </w:p>
    <w:p>
      <w:pPr>
        <w:ind w:left="340" w:right="20"/>
        <w:spacing w:after="0" w:line="262" w:lineRule="auto"/>
        <w:rPr>
          <w:sz w:val="20"/>
          <w:szCs w:val="20"/>
          <w:color w:val="auto"/>
        </w:rPr>
      </w:pPr>
      <w:r>
        <w:rPr>
          <w:rFonts w:ascii="Arial" w:cs="Arial" w:eastAsia="Arial" w:hAnsi="Arial"/>
          <w:sz w:val="16"/>
          <w:szCs w:val="16"/>
          <w:color w:val="auto"/>
        </w:rPr>
        <w:t>For more information regarding these individual arrangements and the benefits provided thereunder, please see “Potential Payments Upon Termination or Change in Control” below.</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2022 Proxy Statement • 23</w:t>
      </w:r>
    </w:p>
    <w:p>
      <w:pPr>
        <w:sectPr>
          <w:pgSz w:w="11900" w:h="16838" w:orient="portrait"/>
          <w:cols w:equalWidth="0" w:num="1">
            <w:col w:w="10900"/>
          </w:cols>
          <w:pgMar w:left="320" w:top="443" w:right="6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9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89" w:lineRule="exact"/>
        <w:rPr>
          <w:sz w:val="20"/>
          <w:szCs w:val="20"/>
          <w:color w:val="auto"/>
        </w:rPr>
      </w:pPr>
    </w:p>
    <w:p>
      <w:pPr>
        <w:ind w:left="340" w:right="40"/>
        <w:spacing w:after="0" w:line="245" w:lineRule="auto"/>
        <w:rPr>
          <w:sz w:val="20"/>
          <w:szCs w:val="20"/>
          <w:color w:val="auto"/>
        </w:rPr>
      </w:pPr>
      <w:r>
        <w:rPr>
          <w:rFonts w:ascii="Arial" w:cs="Arial" w:eastAsia="Arial" w:hAnsi="Arial"/>
          <w:sz w:val="16"/>
          <w:szCs w:val="16"/>
          <w:color w:val="auto"/>
        </w:rPr>
        <w:t>To reinforce the alignment of our CEO’s long-term financial interest with the interests of our stockholders, we have required our CEO to own shares of our common stock having a value equal to at least five times his base salary. During 2018, our Compensation Committee revised our stock ownership guidelines to require our other executive officers to own shares of our common stock having values equal to the applicable multiple of base salary set forth in the table below:</w:t>
      </w:r>
    </w:p>
    <w:p>
      <w:pPr>
        <w:spacing w:after="0" w:line="184"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8320" w:type="dxa"/>
            <w:vAlign w:val="bottom"/>
            <w:vMerge w:val="restart"/>
            <w:shd w:val="clear" w:color="auto" w:fill="41659C"/>
          </w:tcPr>
          <w:p>
            <w:pPr>
              <w:ind w:left="60"/>
              <w:spacing w:after="0"/>
              <w:rPr>
                <w:sz w:val="20"/>
                <w:szCs w:val="20"/>
                <w:color w:val="auto"/>
              </w:rPr>
            </w:pPr>
            <w:r>
              <w:rPr>
                <w:rFonts w:ascii="Arial" w:cs="Arial" w:eastAsia="Arial" w:hAnsi="Arial"/>
                <w:sz w:val="15"/>
                <w:szCs w:val="15"/>
                <w:b w:val="1"/>
                <w:bCs w:val="1"/>
                <w:color w:val="FFFFFF"/>
              </w:rPr>
              <w:t>Named Executive Officer</w:t>
            </w:r>
          </w:p>
        </w:tc>
        <w:tc>
          <w:tcPr>
            <w:tcW w:w="2220" w:type="dxa"/>
            <w:vAlign w:val="bottom"/>
            <w:shd w:val="clear" w:color="auto" w:fill="41659C"/>
          </w:tcPr>
          <w:p>
            <w:pPr>
              <w:ind w:left="440"/>
              <w:spacing w:after="0"/>
              <w:rPr>
                <w:sz w:val="20"/>
                <w:szCs w:val="20"/>
                <w:color w:val="auto"/>
              </w:rPr>
            </w:pPr>
            <w:r>
              <w:rPr>
                <w:rFonts w:ascii="Arial" w:cs="Arial" w:eastAsia="Arial" w:hAnsi="Arial"/>
                <w:sz w:val="15"/>
                <w:szCs w:val="15"/>
                <w:b w:val="1"/>
                <w:bCs w:val="1"/>
                <w:color w:val="FFFFFF"/>
              </w:rPr>
              <w:t>Ownership Requirement</w:t>
            </w:r>
          </w:p>
        </w:tc>
        <w:tc>
          <w:tcPr>
            <w:tcW w:w="0" w:type="dxa"/>
            <w:vAlign w:val="bottom"/>
          </w:tcPr>
          <w:p>
            <w:pPr>
              <w:spacing w:after="0"/>
              <w:rPr>
                <w:sz w:val="1"/>
                <w:szCs w:val="1"/>
                <w:color w:val="auto"/>
              </w:rPr>
            </w:pPr>
          </w:p>
        </w:tc>
      </w:tr>
      <w:tr>
        <w:trPr>
          <w:trHeight w:val="204"/>
        </w:trPr>
        <w:tc>
          <w:tcPr>
            <w:tcW w:w="8320" w:type="dxa"/>
            <w:vAlign w:val="bottom"/>
            <w:tcBorders>
              <w:bottom w:val="single" w:sz="8" w:color="41659C"/>
            </w:tcBorders>
            <w:vMerge w:val="continue"/>
            <w:shd w:val="clear" w:color="auto" w:fill="41659C"/>
          </w:tcPr>
          <w:p>
            <w:pPr>
              <w:spacing w:after="0"/>
              <w:rPr>
                <w:sz w:val="17"/>
                <w:szCs w:val="17"/>
                <w:color w:val="auto"/>
              </w:rPr>
            </w:pPr>
          </w:p>
        </w:tc>
        <w:tc>
          <w:tcPr>
            <w:tcW w:w="2220" w:type="dxa"/>
            <w:vAlign w:val="bottom"/>
            <w:tcBorders>
              <w:bottom w:val="single" w:sz="8" w:color="41659C"/>
            </w:tcBorders>
            <w:shd w:val="clear" w:color="auto" w:fill="41659C"/>
          </w:tcPr>
          <w:p>
            <w:pPr>
              <w:ind w:left="460"/>
              <w:spacing w:after="0"/>
              <w:rPr>
                <w:sz w:val="20"/>
                <w:szCs w:val="20"/>
                <w:color w:val="auto"/>
              </w:rPr>
            </w:pPr>
            <w:r>
              <w:rPr>
                <w:rFonts w:ascii="Arial" w:cs="Arial" w:eastAsia="Arial" w:hAnsi="Arial"/>
                <w:sz w:val="15"/>
                <w:szCs w:val="15"/>
                <w:b w:val="1"/>
                <w:bCs w:val="1"/>
                <w:color w:val="FFFFFF"/>
              </w:rPr>
              <w:t>(Multiple of base salary)</w:t>
            </w:r>
          </w:p>
        </w:tc>
        <w:tc>
          <w:tcPr>
            <w:tcW w:w="0" w:type="dxa"/>
            <w:vAlign w:val="bottom"/>
          </w:tcPr>
          <w:p>
            <w:pPr>
              <w:spacing w:after="0"/>
              <w:rPr>
                <w:sz w:val="1"/>
                <w:szCs w:val="1"/>
                <w:color w:val="auto"/>
              </w:rPr>
            </w:pPr>
          </w:p>
        </w:tc>
      </w:tr>
      <w:tr>
        <w:trPr>
          <w:trHeight w:val="204"/>
        </w:trPr>
        <w:tc>
          <w:tcPr>
            <w:tcW w:w="8320" w:type="dxa"/>
            <w:vAlign w:val="bottom"/>
            <w:shd w:val="clear" w:color="auto" w:fill="E8EED3"/>
          </w:tcPr>
          <w:p>
            <w:pPr>
              <w:ind w:left="60"/>
              <w:spacing w:after="0"/>
              <w:rPr>
                <w:sz w:val="20"/>
                <w:szCs w:val="20"/>
                <w:color w:val="auto"/>
              </w:rPr>
            </w:pPr>
            <w:r>
              <w:rPr>
                <w:rFonts w:ascii="Arial" w:cs="Arial" w:eastAsia="Arial" w:hAnsi="Arial"/>
                <w:sz w:val="15"/>
                <w:szCs w:val="15"/>
                <w:color w:val="auto"/>
              </w:rPr>
              <w:t>Chief Executive Officer</w:t>
            </w:r>
          </w:p>
        </w:tc>
        <w:tc>
          <w:tcPr>
            <w:tcW w:w="2220" w:type="dxa"/>
            <w:vAlign w:val="bottom"/>
            <w:shd w:val="clear" w:color="auto" w:fill="E8EED3"/>
          </w:tcPr>
          <w:p>
            <w:pPr>
              <w:ind w:left="1240"/>
              <w:spacing w:after="0"/>
              <w:rPr>
                <w:sz w:val="20"/>
                <w:szCs w:val="20"/>
                <w:color w:val="auto"/>
              </w:rPr>
            </w:pPr>
            <w:r>
              <w:rPr>
                <w:rFonts w:ascii="Arial" w:cs="Arial" w:eastAsia="Arial" w:hAnsi="Arial"/>
                <w:sz w:val="15"/>
                <w:szCs w:val="15"/>
                <w:color w:val="auto"/>
              </w:rPr>
              <w:t>5X</w:t>
            </w:r>
          </w:p>
        </w:tc>
        <w:tc>
          <w:tcPr>
            <w:tcW w:w="0" w:type="dxa"/>
            <w:vAlign w:val="bottom"/>
          </w:tcPr>
          <w:p>
            <w:pPr>
              <w:spacing w:after="0"/>
              <w:rPr>
                <w:sz w:val="1"/>
                <w:szCs w:val="1"/>
                <w:color w:val="auto"/>
              </w:rPr>
            </w:pPr>
          </w:p>
        </w:tc>
      </w:tr>
      <w:tr>
        <w:trPr>
          <w:trHeight w:val="210"/>
        </w:trPr>
        <w:tc>
          <w:tcPr>
            <w:tcW w:w="8320" w:type="dxa"/>
            <w:vAlign w:val="bottom"/>
            <w:shd w:val="clear" w:color="auto" w:fill="D2DEA7"/>
          </w:tcPr>
          <w:p>
            <w:pPr>
              <w:ind w:left="60"/>
              <w:spacing w:after="0"/>
              <w:rPr>
                <w:sz w:val="20"/>
                <w:szCs w:val="20"/>
                <w:color w:val="auto"/>
              </w:rPr>
            </w:pPr>
            <w:r>
              <w:rPr>
                <w:rFonts w:ascii="Arial" w:cs="Arial" w:eastAsia="Arial" w:hAnsi="Arial"/>
                <w:sz w:val="15"/>
                <w:szCs w:val="15"/>
                <w:color w:val="auto"/>
              </w:rPr>
              <w:t>Chief Financial Officer and Chief Operating Officer</w:t>
            </w:r>
          </w:p>
        </w:tc>
        <w:tc>
          <w:tcPr>
            <w:tcW w:w="2220" w:type="dxa"/>
            <w:vAlign w:val="bottom"/>
            <w:shd w:val="clear" w:color="auto" w:fill="D2DEA7"/>
          </w:tcPr>
          <w:p>
            <w:pPr>
              <w:ind w:left="1240"/>
              <w:spacing w:after="0"/>
              <w:rPr>
                <w:sz w:val="20"/>
                <w:szCs w:val="20"/>
                <w:color w:val="auto"/>
              </w:rPr>
            </w:pPr>
            <w:r>
              <w:rPr>
                <w:rFonts w:ascii="Arial" w:cs="Arial" w:eastAsia="Arial" w:hAnsi="Arial"/>
                <w:sz w:val="15"/>
                <w:szCs w:val="15"/>
                <w:color w:val="auto"/>
              </w:rPr>
              <w:t>3X</w:t>
            </w:r>
          </w:p>
        </w:tc>
        <w:tc>
          <w:tcPr>
            <w:tcW w:w="0" w:type="dxa"/>
            <w:vAlign w:val="bottom"/>
          </w:tcPr>
          <w:p>
            <w:pPr>
              <w:spacing w:after="0"/>
              <w:rPr>
                <w:sz w:val="1"/>
                <w:szCs w:val="1"/>
                <w:color w:val="auto"/>
              </w:rPr>
            </w:pPr>
          </w:p>
        </w:tc>
      </w:tr>
      <w:tr>
        <w:trPr>
          <w:trHeight w:val="207"/>
        </w:trPr>
        <w:tc>
          <w:tcPr>
            <w:tcW w:w="8320" w:type="dxa"/>
            <w:vAlign w:val="bottom"/>
            <w:shd w:val="clear" w:color="auto" w:fill="E8EED3"/>
          </w:tcPr>
          <w:p>
            <w:pPr>
              <w:ind w:left="60"/>
              <w:spacing w:after="0"/>
              <w:rPr>
                <w:sz w:val="20"/>
                <w:szCs w:val="20"/>
                <w:color w:val="auto"/>
              </w:rPr>
            </w:pPr>
            <w:r>
              <w:rPr>
                <w:rFonts w:ascii="Arial" w:cs="Arial" w:eastAsia="Arial" w:hAnsi="Arial"/>
                <w:sz w:val="15"/>
                <w:szCs w:val="15"/>
                <w:color w:val="auto"/>
              </w:rPr>
              <w:t>Other Executives Officers</w:t>
            </w:r>
          </w:p>
        </w:tc>
        <w:tc>
          <w:tcPr>
            <w:tcW w:w="2220" w:type="dxa"/>
            <w:vAlign w:val="bottom"/>
            <w:shd w:val="clear" w:color="auto" w:fill="E8EED3"/>
          </w:tcPr>
          <w:p>
            <w:pPr>
              <w:ind w:left="1240"/>
              <w:spacing w:after="0"/>
              <w:rPr>
                <w:sz w:val="20"/>
                <w:szCs w:val="20"/>
                <w:color w:val="auto"/>
              </w:rPr>
            </w:pPr>
            <w:r>
              <w:rPr>
                <w:rFonts w:ascii="Arial" w:cs="Arial" w:eastAsia="Arial" w:hAnsi="Arial"/>
                <w:sz w:val="15"/>
                <w:szCs w:val="15"/>
                <w:color w:val="auto"/>
              </w:rPr>
              <w:t>1X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5513705</wp:posOffset>
            </wp:positionH>
            <wp:positionV relativeFrom="paragraph">
              <wp:posOffset>-623570</wp:posOffset>
            </wp:positionV>
            <wp:extent cx="8255" cy="6242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624205"/>
                    </a:xfrm>
                    <a:prstGeom prst="rect">
                      <a:avLst/>
                    </a:prstGeom>
                    <a:noFill/>
                  </pic:spPr>
                </pic:pic>
              </a:graphicData>
            </a:graphic>
          </wp:anchor>
        </w:drawing>
      </w:r>
    </w:p>
    <w:p>
      <w:pPr>
        <w:spacing w:after="0" w:line="175" w:lineRule="exact"/>
        <w:rPr>
          <w:sz w:val="20"/>
          <w:szCs w:val="20"/>
          <w:color w:val="auto"/>
        </w:rPr>
      </w:pPr>
    </w:p>
    <w:p>
      <w:pPr>
        <w:ind w:left="340"/>
        <w:spacing w:after="0" w:line="279" w:lineRule="auto"/>
        <w:rPr>
          <w:sz w:val="20"/>
          <w:szCs w:val="20"/>
          <w:color w:val="auto"/>
        </w:rPr>
      </w:pPr>
      <w:r>
        <w:rPr>
          <w:rFonts w:ascii="Arial" w:cs="Arial" w:eastAsia="Arial" w:hAnsi="Arial"/>
          <w:sz w:val="14"/>
          <w:szCs w:val="14"/>
          <w:color w:val="auto"/>
        </w:rPr>
        <w:t>Our executive officers have five years after becoming subject to these guidelines to achieve the stock ownership required. Our Compensation Committee in its discretion may extend the period of time for attainment of such ownership levels in appropriate circumstances. For purposes of this requirement, stock ownership includes all shares of our common stock owned by the named executive officer directly or held in trust for the executive or the executive’s immediate family. In addition, restricted stock and RSUs are also included in determining whether the required level of ownership has been attained. For purposes of the stock ownership requirements, the value of a share is measured as the greater of the then current market price or the closing price of a share of the common stock on the grant date. As of December 31, 2021, Mr. Eckl met the stock ownership requirement. Mr. Gleason, who has served as our Chief Executive Officer only since July 2020, and Mr. Nuggihalli, who has served as our Chief Operating Officer only since April 2021, were not yet in compliance with their stock ownership requirements, but both are still within the applicable five-year compliance period.</w:t>
      </w:r>
    </w:p>
    <w:p>
      <w:pPr>
        <w:spacing w:after="0" w:line="159" w:lineRule="exact"/>
        <w:rPr>
          <w:sz w:val="20"/>
          <w:szCs w:val="20"/>
          <w:color w:val="auto"/>
        </w:rPr>
      </w:pPr>
    </w:p>
    <w:p>
      <w:pPr>
        <w:jc w:val="both"/>
        <w:ind w:left="340" w:right="140"/>
        <w:spacing w:after="0" w:line="249" w:lineRule="auto"/>
        <w:rPr>
          <w:sz w:val="20"/>
          <w:szCs w:val="20"/>
          <w:color w:val="auto"/>
        </w:rPr>
      </w:pPr>
      <w:r>
        <w:rPr>
          <w:rFonts w:ascii="Arial" w:cs="Arial" w:eastAsia="Arial" w:hAnsi="Arial"/>
          <w:sz w:val="16"/>
          <w:szCs w:val="16"/>
          <w:color w:val="auto"/>
        </w:rPr>
        <w:t>Our executive officers are prohibited under our Insider Trading Policy from engaging in certain transaction in our securities, including short sales against the box, buying or selling puts or calls and frequent trading to take advantage of fluctuations in stock price. Our Insider Trading Policy is described in the “Insider Trading Policy” paragraph under “Our Board and Its Committees” section above.</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89" w:lineRule="exact"/>
        <w:rPr>
          <w:sz w:val="20"/>
          <w:szCs w:val="20"/>
          <w:color w:val="auto"/>
        </w:rPr>
      </w:pPr>
    </w:p>
    <w:p>
      <w:pPr>
        <w:ind w:left="340" w:right="80"/>
        <w:spacing w:after="0" w:line="242" w:lineRule="auto"/>
        <w:rPr>
          <w:sz w:val="20"/>
          <w:szCs w:val="20"/>
          <w:color w:val="auto"/>
        </w:rPr>
      </w:pPr>
      <w:r>
        <w:rPr>
          <w:rFonts w:ascii="Arial" w:cs="Arial" w:eastAsia="Arial" w:hAnsi="Arial"/>
          <w:sz w:val="16"/>
          <w:szCs w:val="16"/>
          <w:color w:val="auto"/>
        </w:rPr>
        <w:t>Our Board adopted a clawback policy that provides if (1) our Company is required to prepare an accounting restatement due to its material noncompliance with any financial reporting requirement under the U.S. federal securities laws and (2) our Board reasonably in good faith determines that any current or former “Section 16 officer” of our Company willfully committed an act of fraud, dishonesty or recklessness that contributed to the noncompliance or benefitted materially from excessive incentive-based compensation, then our Board may direct the Company to use prompt and reasonable efforts to recover the excessive incentive-based compensation paid to the individual.</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Risk Considerations in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76" w:lineRule="exact"/>
        <w:rPr>
          <w:sz w:val="20"/>
          <w:szCs w:val="20"/>
          <w:color w:val="auto"/>
        </w:rPr>
      </w:pPr>
    </w:p>
    <w:p>
      <w:pPr>
        <w:ind w:left="340"/>
        <w:spacing w:after="0" w:line="238" w:lineRule="auto"/>
        <w:rPr>
          <w:sz w:val="20"/>
          <w:szCs w:val="20"/>
          <w:color w:val="auto"/>
        </w:rPr>
      </w:pPr>
      <w:r>
        <w:rPr>
          <w:rFonts w:ascii="Arial" w:cs="Arial" w:eastAsia="Arial" w:hAnsi="Arial"/>
          <w:sz w:val="16"/>
          <w:szCs w:val="16"/>
          <w:color w:val="auto"/>
        </w:rPr>
        <w:t>Our executive compensation consists of both fixed and variable compensation. The fixed (or salary) portion of compensation is designed to provide a steady income so our executive officers are not pressured to focus exclusively on short-term gains, which may be detrimental to long-term stock price appreciation and other business metrics. The variable portions of compensation consist of cash incentives or discretionary cash bonuses and long-term equity incentives (time-based RSUs and PRSUs). In a typical year, incentive compensation is generally tied to the achievement of corporate performance goals based on metrics established by our Compensation Committee. For 2021, we used a Relative TSR goal for long-term equity incentives. Although 2021 cash bonuses were determined on a discretionary basis by the Compensation Committee, we believe that the level of such bonuses was appropriate in light of our 2021 performance. For 2021, we made a decision to add an additional metric, bookings, to our usual incentive program metrics of Adjusted EBITDA, revenue and free cash flow. We did this because rebuilding our backlog was a priority in 2021 and it will continue to be a priority in 2022. We believe that the variable components of compensation motivate our executive officers to produce short- and long-term corporate results while the fixed element of compensation helps provide security so that management is not encouraged to take unnecessary or excessive risks in working to produce such results. Periodically, our Compensation Committee conducts a risk review of the compensation programs for all employees, including our named executive officers. In 2021, a market pay analysis study was conducted, and following discussions held in Compensation Committee meetings that addressed risks associated with our plans and metrics, we believe our compensation policies and practices do not create risks that are reasonably likely to have a material adverse effect on our Company.</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6"/>
          <w:szCs w:val="16"/>
          <w:color w:val="262626"/>
        </w:rPr>
        <w:t>24 • CECO Environmental</w:t>
      </w:r>
    </w:p>
    <w:p>
      <w:pPr>
        <w:sectPr>
          <w:pgSz w:w="11900" w:h="16838" w:orient="portrait"/>
          <w:cols w:equalWidth="0" w:num="1">
            <w:col w:w="10900"/>
          </w:cols>
          <w:pgMar w:left="320" w:top="443" w:right="6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9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Tax and Accounting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89" w:lineRule="exact"/>
        <w:rPr>
          <w:sz w:val="20"/>
          <w:szCs w:val="20"/>
          <w:color w:val="auto"/>
        </w:rPr>
      </w:pPr>
    </w:p>
    <w:p>
      <w:pPr>
        <w:ind w:left="340" w:right="40"/>
        <w:spacing w:after="0" w:line="242" w:lineRule="auto"/>
        <w:rPr>
          <w:sz w:val="20"/>
          <w:szCs w:val="20"/>
          <w:color w:val="auto"/>
        </w:rPr>
      </w:pPr>
      <w:r>
        <w:rPr>
          <w:rFonts w:ascii="Arial" w:cs="Arial" w:eastAsia="Arial" w:hAnsi="Arial"/>
          <w:sz w:val="16"/>
          <w:szCs w:val="16"/>
          <w:color w:val="auto"/>
        </w:rPr>
        <w:t>We recognize a charge to earnings for accounting purposes for equity awards over their requisite service period. With respect to the tax deductibility of compensation, although the “performance-based compensation” exception under Section 162(m) of the Internal Revenue Code was repealed as part of the late 2017 U.S. tax reform, generally effective as of January 1, 2018, our Compensation Committee still very generally considers the tax deductibility of compensation. However, our Compensation Committee is fully authorized to approve compensation that may not be deductible when it believes that such payments are appropriate to attract and retain executive talent.</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89" w:lineRule="exact"/>
        <w:rPr>
          <w:sz w:val="20"/>
          <w:szCs w:val="20"/>
          <w:color w:val="auto"/>
        </w:rPr>
      </w:pPr>
    </w:p>
    <w:p>
      <w:pPr>
        <w:ind w:left="340"/>
        <w:spacing w:after="0" w:line="241" w:lineRule="auto"/>
        <w:rPr>
          <w:sz w:val="20"/>
          <w:szCs w:val="20"/>
          <w:color w:val="auto"/>
        </w:rPr>
      </w:pPr>
      <w:r>
        <w:rPr>
          <w:rFonts w:ascii="Arial" w:cs="Arial" w:eastAsia="Arial" w:hAnsi="Arial"/>
          <w:sz w:val="16"/>
          <w:szCs w:val="16"/>
          <w:color w:val="auto"/>
        </w:rPr>
        <w:t>We recognize the importance of attracting, motivating, retaining and rewarding executive talent who can effectively lead our business. Our Compensation Committee continues to analyze and adjust our compensation programs to emphasize the alignment of our named executive officers’ interests with the long-term interests of our stockholders. It seeks to incentivize our named executive officers to maximize our Company’s performance and reward them for their achievements. With the various components of our executive compensation programs, our Compensation Committee seeks a balance between fixed and at-risk compensation, cash and equity, and short-term and long-term rewards with the ultimate objective of creating long-term value for our stockholders.</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41659C"/>
        </w:rPr>
        <w:t>Compensation Committee Report</w:t>
      </w:r>
    </w:p>
    <w:p>
      <w:pPr>
        <w:spacing w:after="0" w:line="212" w:lineRule="exact"/>
        <w:rPr>
          <w:sz w:val="20"/>
          <w:szCs w:val="20"/>
          <w:color w:val="auto"/>
        </w:rPr>
      </w:pPr>
    </w:p>
    <w:p>
      <w:pPr>
        <w:ind w:left="340" w:right="200"/>
        <w:spacing w:after="0" w:line="249" w:lineRule="auto"/>
        <w:rPr>
          <w:sz w:val="20"/>
          <w:szCs w:val="20"/>
          <w:color w:val="auto"/>
        </w:rPr>
      </w:pPr>
      <w:r>
        <w:rPr>
          <w:rFonts w:ascii="Arial" w:cs="Arial" w:eastAsia="Arial" w:hAnsi="Arial"/>
          <w:sz w:val="16"/>
          <w:szCs w:val="16"/>
          <w:color w:val="auto"/>
        </w:rPr>
        <w:t>The Compensation Committee has reviewed and discussed the Compensation Discussion with management. Based on this review and discussion, the Compensation Committee recommended to the Board of Directors that the Compensation Discussion be included in this Proxy Statement and, by incorporation by reference, in the Company’s Annual Report on Form 10-K for the fiscal year ended December 31, 2021.</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report is submitted on behalf of the members of the Compensation Committee:</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Valerie Gentile Sachs, Chair</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Eric M. Goldberg</w:t>
      </w:r>
    </w:p>
    <w:p>
      <w:pPr>
        <w:ind w:left="340"/>
        <w:spacing w:after="0"/>
        <w:rPr>
          <w:sz w:val="20"/>
          <w:szCs w:val="20"/>
          <w:color w:val="auto"/>
        </w:rPr>
      </w:pPr>
      <w:r>
        <w:rPr>
          <w:rFonts w:ascii="Arial" w:cs="Arial" w:eastAsia="Arial" w:hAnsi="Arial"/>
          <w:sz w:val="17"/>
          <w:szCs w:val="17"/>
          <w:color w:val="auto"/>
        </w:rPr>
        <w:t>David B. Liner</w:t>
      </w:r>
    </w:p>
    <w:p>
      <w:pPr>
        <w:spacing w:after="0" w:line="387"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41659C"/>
        </w:rPr>
        <w:t>2021 Summary Compensation Table</w:t>
      </w:r>
    </w:p>
    <w:p>
      <w:pPr>
        <w:spacing w:after="0" w:line="212" w:lineRule="exact"/>
        <w:rPr>
          <w:sz w:val="20"/>
          <w:szCs w:val="20"/>
          <w:color w:val="auto"/>
        </w:rPr>
      </w:pPr>
    </w:p>
    <w:p>
      <w:pPr>
        <w:ind w:left="340" w:right="40"/>
        <w:spacing w:after="0" w:line="262" w:lineRule="auto"/>
        <w:rPr>
          <w:sz w:val="20"/>
          <w:szCs w:val="20"/>
          <w:color w:val="auto"/>
        </w:rPr>
      </w:pPr>
      <w:r>
        <w:rPr>
          <w:rFonts w:ascii="Arial" w:cs="Arial" w:eastAsia="Arial" w:hAnsi="Arial"/>
          <w:sz w:val="16"/>
          <w:szCs w:val="16"/>
          <w:color w:val="auto"/>
        </w:rPr>
        <w:t>The following table sets forth certain information with respect to the compensation for the years indicated for Mr. Gleason, Mr. Eckl and Mr. Nuggihalli. We refer to these executive officers collectively as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6294120</wp:posOffset>
            </wp:positionH>
            <wp:positionV relativeFrom="paragraph">
              <wp:posOffset>130810</wp:posOffset>
            </wp:positionV>
            <wp:extent cx="8255" cy="14541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1454150"/>
                    </a:xfrm>
                    <a:prstGeom prst="rect">
                      <a:avLst/>
                    </a:prstGeom>
                    <a:noFill/>
                  </pic:spPr>
                </pic:pic>
              </a:graphicData>
            </a:graphic>
          </wp:anchor>
        </w:drawing>
        <w:drawing>
          <wp:anchor simplePos="0" relativeHeight="251657728" behindDoc="1" locked="0" layoutInCell="0" allowOverlap="1">
            <wp:simplePos x="0" y="0"/>
            <wp:positionH relativeFrom="column">
              <wp:posOffset>5505450</wp:posOffset>
            </wp:positionH>
            <wp:positionV relativeFrom="paragraph">
              <wp:posOffset>130810</wp:posOffset>
            </wp:positionV>
            <wp:extent cx="8255" cy="14541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1454150"/>
                    </a:xfrm>
                    <a:prstGeom prst="rect">
                      <a:avLst/>
                    </a:prstGeom>
                    <a:noFill/>
                  </pic:spPr>
                </pic:pic>
              </a:graphicData>
            </a:graphic>
          </wp:anchor>
        </w:drawing>
        <w:drawing>
          <wp:anchor simplePos="0" relativeHeight="251657728" behindDoc="1" locked="0" layoutInCell="0" allowOverlap="1">
            <wp:simplePos x="0" y="0"/>
            <wp:positionH relativeFrom="column">
              <wp:posOffset>4733290</wp:posOffset>
            </wp:positionH>
            <wp:positionV relativeFrom="paragraph">
              <wp:posOffset>130810</wp:posOffset>
            </wp:positionV>
            <wp:extent cx="8255" cy="14541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1454150"/>
                    </a:xfrm>
                    <a:prstGeom prst="rect">
                      <a:avLst/>
                    </a:prstGeom>
                    <a:noFill/>
                  </pic:spPr>
                </pic:pic>
              </a:graphicData>
            </a:graphic>
          </wp:anchor>
        </w:drawing>
        <w:drawing>
          <wp:anchor simplePos="0" relativeHeight="251657728" behindDoc="1" locked="0" layoutInCell="0" allowOverlap="1">
            <wp:simplePos x="0" y="0"/>
            <wp:positionH relativeFrom="column">
              <wp:posOffset>4100830</wp:posOffset>
            </wp:positionH>
            <wp:positionV relativeFrom="paragraph">
              <wp:posOffset>130810</wp:posOffset>
            </wp:positionV>
            <wp:extent cx="8255" cy="14541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145415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130810</wp:posOffset>
            </wp:positionV>
            <wp:extent cx="8255" cy="14541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1454150"/>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130810</wp:posOffset>
            </wp:positionV>
            <wp:extent cx="8255" cy="14541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1454150"/>
                    </a:xfrm>
                    <a:prstGeom prst="rect">
                      <a:avLst/>
                    </a:prstGeom>
                    <a:noFill/>
                  </pic:spPr>
                </pic:pic>
              </a:graphicData>
            </a:graphic>
          </wp:anchor>
        </w:drawing>
        <w:drawing>
          <wp:anchor simplePos="0" relativeHeight="251657728" behindDoc="1" locked="0" layoutInCell="0" allowOverlap="1">
            <wp:simplePos x="0" y="0"/>
            <wp:positionH relativeFrom="column">
              <wp:posOffset>2376170</wp:posOffset>
            </wp:positionH>
            <wp:positionV relativeFrom="paragraph">
              <wp:posOffset>130810</wp:posOffset>
            </wp:positionV>
            <wp:extent cx="8255" cy="14541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1454150"/>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130810</wp:posOffset>
            </wp:positionV>
            <wp:extent cx="8255" cy="14541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1454150"/>
                    </a:xfrm>
                    <a:prstGeom prst="rect">
                      <a:avLst/>
                    </a:prstGeom>
                    <a:noFill/>
                  </pic:spPr>
                </pic:pic>
              </a:graphicData>
            </a:graphic>
          </wp:anchor>
        </w:drawing>
      </w:r>
    </w:p>
    <w:p>
      <w:pPr>
        <w:spacing w:after="0" w:line="164"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2700" w:type="dxa"/>
            <w:vAlign w:val="bottom"/>
            <w:shd w:val="clear" w:color="auto" w:fill="41659C"/>
          </w:tcPr>
          <w:p>
            <w:pPr>
              <w:spacing w:after="0"/>
              <w:rPr>
                <w:sz w:val="15"/>
                <w:szCs w:val="15"/>
                <w:color w:val="auto"/>
              </w:rPr>
            </w:pPr>
          </w:p>
        </w:tc>
        <w:tc>
          <w:tcPr>
            <w:tcW w:w="160" w:type="dxa"/>
            <w:vAlign w:val="bottom"/>
            <w:shd w:val="clear" w:color="auto" w:fill="41659C"/>
          </w:tcPr>
          <w:p>
            <w:pPr>
              <w:spacing w:after="0"/>
              <w:rPr>
                <w:sz w:val="15"/>
                <w:szCs w:val="15"/>
                <w:color w:val="auto"/>
              </w:rPr>
            </w:pPr>
          </w:p>
        </w:tc>
        <w:tc>
          <w:tcPr>
            <w:tcW w:w="560" w:type="dxa"/>
            <w:vAlign w:val="bottom"/>
            <w:shd w:val="clear" w:color="auto" w:fill="41659C"/>
          </w:tcPr>
          <w:p>
            <w:pPr>
              <w:spacing w:after="0"/>
              <w:rPr>
                <w:sz w:val="15"/>
                <w:szCs w:val="15"/>
                <w:color w:val="auto"/>
              </w:rPr>
            </w:pPr>
          </w:p>
        </w:tc>
        <w:tc>
          <w:tcPr>
            <w:tcW w:w="860" w:type="dxa"/>
            <w:vAlign w:val="bottom"/>
            <w:shd w:val="clear" w:color="auto" w:fill="41659C"/>
          </w:tcPr>
          <w:p>
            <w:pPr>
              <w:spacing w:after="0"/>
              <w:rPr>
                <w:sz w:val="15"/>
                <w:szCs w:val="15"/>
                <w:color w:val="auto"/>
              </w:rPr>
            </w:pPr>
          </w:p>
        </w:tc>
        <w:tc>
          <w:tcPr>
            <w:tcW w:w="880" w:type="dxa"/>
            <w:vAlign w:val="bottom"/>
            <w:shd w:val="clear" w:color="auto" w:fill="41659C"/>
          </w:tcPr>
          <w:p>
            <w:pPr>
              <w:spacing w:after="0"/>
              <w:rPr>
                <w:sz w:val="15"/>
                <w:szCs w:val="15"/>
                <w:color w:val="auto"/>
              </w:rPr>
            </w:pPr>
          </w:p>
        </w:tc>
        <w:tc>
          <w:tcPr>
            <w:tcW w:w="980" w:type="dxa"/>
            <w:vAlign w:val="bottom"/>
            <w:vMerge w:val="restart"/>
            <w:shd w:val="clear" w:color="auto" w:fill="41659C"/>
          </w:tcPr>
          <w:p>
            <w:pPr>
              <w:jc w:val="center"/>
              <w:spacing w:after="0"/>
              <w:rPr>
                <w:sz w:val="20"/>
                <w:szCs w:val="20"/>
                <w:color w:val="auto"/>
              </w:rPr>
            </w:pPr>
            <w:r>
              <w:rPr>
                <w:rFonts w:ascii="Arial" w:cs="Arial" w:eastAsia="Arial" w:hAnsi="Arial"/>
                <w:sz w:val="15"/>
                <w:szCs w:val="15"/>
                <w:b w:val="1"/>
                <w:bCs w:val="1"/>
                <w:color w:val="FFFFFF"/>
                <w:w w:val="97"/>
              </w:rPr>
              <w:t>Stock</w:t>
            </w:r>
          </w:p>
        </w:tc>
        <w:tc>
          <w:tcPr>
            <w:tcW w:w="960" w:type="dxa"/>
            <w:vAlign w:val="bottom"/>
            <w:vMerge w:val="restart"/>
            <w:shd w:val="clear" w:color="auto" w:fill="41659C"/>
          </w:tcPr>
          <w:p>
            <w:pPr>
              <w:jc w:val="center"/>
              <w:ind w:left="27"/>
              <w:spacing w:after="0"/>
              <w:rPr>
                <w:sz w:val="20"/>
                <w:szCs w:val="20"/>
                <w:color w:val="auto"/>
              </w:rPr>
            </w:pPr>
            <w:r>
              <w:rPr>
                <w:rFonts w:ascii="Arial" w:cs="Arial" w:eastAsia="Arial" w:hAnsi="Arial"/>
                <w:sz w:val="15"/>
                <w:szCs w:val="15"/>
                <w:b w:val="1"/>
                <w:bCs w:val="1"/>
                <w:color w:val="FFFFFF"/>
                <w:w w:val="95"/>
              </w:rPr>
              <w:t>Option</w:t>
            </w:r>
          </w:p>
        </w:tc>
        <w:tc>
          <w:tcPr>
            <w:tcW w:w="240" w:type="dxa"/>
            <w:vAlign w:val="bottom"/>
            <w:shd w:val="clear" w:color="auto" w:fill="41659C"/>
          </w:tcPr>
          <w:p>
            <w:pPr>
              <w:spacing w:after="0"/>
              <w:rPr>
                <w:sz w:val="15"/>
                <w:szCs w:val="15"/>
                <w:color w:val="auto"/>
              </w:rPr>
            </w:pPr>
          </w:p>
        </w:tc>
        <w:tc>
          <w:tcPr>
            <w:tcW w:w="980" w:type="dxa"/>
            <w:vAlign w:val="bottom"/>
            <w:shd w:val="clear" w:color="auto" w:fill="41659C"/>
          </w:tcPr>
          <w:p>
            <w:pPr>
              <w:jc w:val="right"/>
              <w:ind w:right="107"/>
              <w:spacing w:after="0"/>
              <w:rPr>
                <w:sz w:val="20"/>
                <w:szCs w:val="20"/>
                <w:color w:val="auto"/>
              </w:rPr>
            </w:pPr>
            <w:r>
              <w:rPr>
                <w:rFonts w:ascii="Arial" w:cs="Arial" w:eastAsia="Arial" w:hAnsi="Arial"/>
                <w:sz w:val="15"/>
                <w:szCs w:val="15"/>
                <w:b w:val="1"/>
                <w:bCs w:val="1"/>
                <w:color w:val="FFFFFF"/>
                <w:w w:val="97"/>
              </w:rPr>
              <w:t>Non-Equity</w:t>
            </w:r>
          </w:p>
        </w:tc>
        <w:tc>
          <w:tcPr>
            <w:tcW w:w="1280" w:type="dxa"/>
            <w:vAlign w:val="bottom"/>
            <w:vMerge w:val="restart"/>
            <w:shd w:val="clear" w:color="auto" w:fill="41659C"/>
          </w:tcPr>
          <w:p>
            <w:pPr>
              <w:jc w:val="center"/>
              <w:ind w:right="27"/>
              <w:spacing w:after="0"/>
              <w:rPr>
                <w:sz w:val="20"/>
                <w:szCs w:val="20"/>
                <w:color w:val="auto"/>
              </w:rPr>
            </w:pPr>
            <w:r>
              <w:rPr>
                <w:rFonts w:ascii="Arial" w:cs="Arial" w:eastAsia="Arial" w:hAnsi="Arial"/>
                <w:sz w:val="15"/>
                <w:szCs w:val="15"/>
                <w:b w:val="1"/>
                <w:bCs w:val="1"/>
                <w:color w:val="FFFFFF"/>
                <w:w w:val="97"/>
              </w:rPr>
              <w:t>All Other</w:t>
            </w:r>
          </w:p>
        </w:tc>
        <w:tc>
          <w:tcPr>
            <w:tcW w:w="940" w:type="dxa"/>
            <w:vAlign w:val="bottom"/>
            <w:shd w:val="clear" w:color="auto" w:fill="41659C"/>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700" w:type="dxa"/>
            <w:vAlign w:val="bottom"/>
            <w:vMerge w:val="restart"/>
            <w:shd w:val="clear" w:color="auto" w:fill="41659C"/>
          </w:tcPr>
          <w:p>
            <w:pPr>
              <w:ind w:left="60"/>
              <w:spacing w:after="0"/>
              <w:rPr>
                <w:sz w:val="20"/>
                <w:szCs w:val="20"/>
                <w:color w:val="auto"/>
              </w:rPr>
            </w:pPr>
            <w:r>
              <w:rPr>
                <w:rFonts w:ascii="Arial" w:cs="Arial" w:eastAsia="Arial" w:hAnsi="Arial"/>
                <w:sz w:val="15"/>
                <w:szCs w:val="15"/>
                <w:b w:val="1"/>
                <w:bCs w:val="1"/>
                <w:color w:val="FFFFFF"/>
              </w:rPr>
              <w:t>Name and Principal</w:t>
            </w:r>
          </w:p>
        </w:tc>
        <w:tc>
          <w:tcPr>
            <w:tcW w:w="160" w:type="dxa"/>
            <w:vAlign w:val="bottom"/>
            <w:shd w:val="clear" w:color="auto" w:fill="41659C"/>
          </w:tcPr>
          <w:p>
            <w:pPr>
              <w:spacing w:after="0"/>
              <w:rPr>
                <w:sz w:val="12"/>
                <w:szCs w:val="12"/>
                <w:color w:val="auto"/>
              </w:rPr>
            </w:pPr>
          </w:p>
        </w:tc>
        <w:tc>
          <w:tcPr>
            <w:tcW w:w="560" w:type="dxa"/>
            <w:vAlign w:val="bottom"/>
            <w:shd w:val="clear" w:color="auto" w:fill="41659C"/>
          </w:tcPr>
          <w:p>
            <w:pPr>
              <w:spacing w:after="0"/>
              <w:rPr>
                <w:sz w:val="12"/>
                <w:szCs w:val="12"/>
                <w:color w:val="auto"/>
              </w:rPr>
            </w:pPr>
          </w:p>
        </w:tc>
        <w:tc>
          <w:tcPr>
            <w:tcW w:w="860" w:type="dxa"/>
            <w:vAlign w:val="bottom"/>
            <w:vMerge w:val="restart"/>
            <w:shd w:val="clear" w:color="auto" w:fill="41659C"/>
          </w:tcPr>
          <w:p>
            <w:pPr>
              <w:jc w:val="right"/>
              <w:ind w:right="107"/>
              <w:spacing w:after="0"/>
              <w:rPr>
                <w:sz w:val="20"/>
                <w:szCs w:val="20"/>
                <w:color w:val="auto"/>
              </w:rPr>
            </w:pPr>
            <w:r>
              <w:rPr>
                <w:rFonts w:ascii="Arial" w:cs="Arial" w:eastAsia="Arial" w:hAnsi="Arial"/>
                <w:sz w:val="15"/>
                <w:szCs w:val="15"/>
                <w:b w:val="1"/>
                <w:bCs w:val="1"/>
                <w:color w:val="FFFFFF"/>
              </w:rPr>
              <w:t>Salary</w:t>
            </w:r>
          </w:p>
        </w:tc>
        <w:tc>
          <w:tcPr>
            <w:tcW w:w="880" w:type="dxa"/>
            <w:vAlign w:val="bottom"/>
            <w:vMerge w:val="restart"/>
            <w:shd w:val="clear" w:color="auto" w:fill="41659C"/>
          </w:tcPr>
          <w:p>
            <w:pPr>
              <w:jc w:val="right"/>
              <w:ind w:right="107"/>
              <w:spacing w:after="0"/>
              <w:rPr>
                <w:sz w:val="20"/>
                <w:szCs w:val="20"/>
                <w:color w:val="auto"/>
              </w:rPr>
            </w:pPr>
            <w:r>
              <w:rPr>
                <w:rFonts w:ascii="Arial" w:cs="Arial" w:eastAsia="Arial" w:hAnsi="Arial"/>
                <w:sz w:val="15"/>
                <w:szCs w:val="15"/>
                <w:b w:val="1"/>
                <w:bCs w:val="1"/>
                <w:color w:val="FFFFFF"/>
              </w:rPr>
              <w:t>Bonus</w:t>
            </w:r>
          </w:p>
        </w:tc>
        <w:tc>
          <w:tcPr>
            <w:tcW w:w="980" w:type="dxa"/>
            <w:vAlign w:val="bottom"/>
            <w:vMerge w:val="continue"/>
            <w:shd w:val="clear" w:color="auto" w:fill="41659C"/>
          </w:tcPr>
          <w:p>
            <w:pPr>
              <w:spacing w:after="0"/>
              <w:rPr>
                <w:sz w:val="12"/>
                <w:szCs w:val="12"/>
                <w:color w:val="auto"/>
              </w:rPr>
            </w:pPr>
          </w:p>
        </w:tc>
        <w:tc>
          <w:tcPr>
            <w:tcW w:w="960" w:type="dxa"/>
            <w:vAlign w:val="bottom"/>
            <w:vMerge w:val="continue"/>
            <w:shd w:val="clear" w:color="auto" w:fill="41659C"/>
          </w:tcPr>
          <w:p>
            <w:pPr>
              <w:spacing w:after="0"/>
              <w:rPr>
                <w:sz w:val="12"/>
                <w:szCs w:val="12"/>
                <w:color w:val="auto"/>
              </w:rPr>
            </w:pPr>
          </w:p>
        </w:tc>
        <w:tc>
          <w:tcPr>
            <w:tcW w:w="1220" w:type="dxa"/>
            <w:vAlign w:val="bottom"/>
            <w:gridSpan w:val="2"/>
            <w:shd w:val="clear" w:color="auto" w:fill="41659C"/>
          </w:tcPr>
          <w:p>
            <w:pPr>
              <w:ind w:left="160"/>
              <w:spacing w:after="0" w:line="147" w:lineRule="exact"/>
              <w:rPr>
                <w:sz w:val="20"/>
                <w:szCs w:val="20"/>
                <w:color w:val="auto"/>
              </w:rPr>
            </w:pPr>
            <w:r>
              <w:rPr>
                <w:rFonts w:ascii="Arial" w:cs="Arial" w:eastAsia="Arial" w:hAnsi="Arial"/>
                <w:sz w:val="15"/>
                <w:szCs w:val="15"/>
                <w:b w:val="1"/>
                <w:bCs w:val="1"/>
                <w:color w:val="FFFFFF"/>
              </w:rPr>
              <w:t>Incentive Plan</w:t>
            </w:r>
          </w:p>
        </w:tc>
        <w:tc>
          <w:tcPr>
            <w:tcW w:w="1280" w:type="dxa"/>
            <w:vAlign w:val="bottom"/>
            <w:vMerge w:val="continue"/>
            <w:shd w:val="clear" w:color="auto" w:fill="41659C"/>
          </w:tcPr>
          <w:p>
            <w:pPr>
              <w:spacing w:after="0"/>
              <w:rPr>
                <w:sz w:val="12"/>
                <w:szCs w:val="12"/>
                <w:color w:val="auto"/>
              </w:rPr>
            </w:pPr>
          </w:p>
        </w:tc>
        <w:tc>
          <w:tcPr>
            <w:tcW w:w="940" w:type="dxa"/>
            <w:vAlign w:val="bottom"/>
            <w:vMerge w:val="restart"/>
            <w:shd w:val="clear" w:color="auto" w:fill="41659C"/>
          </w:tcPr>
          <w:p>
            <w:pPr>
              <w:jc w:val="right"/>
              <w:ind w:right="247"/>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55"/>
        </w:trPr>
        <w:tc>
          <w:tcPr>
            <w:tcW w:w="2700" w:type="dxa"/>
            <w:vAlign w:val="bottom"/>
            <w:vMerge w:val="continue"/>
            <w:shd w:val="clear" w:color="auto" w:fill="41659C"/>
          </w:tcPr>
          <w:p>
            <w:pPr>
              <w:spacing w:after="0"/>
              <w:rPr>
                <w:sz w:val="13"/>
                <w:szCs w:val="13"/>
                <w:color w:val="auto"/>
              </w:rPr>
            </w:pPr>
          </w:p>
        </w:tc>
        <w:tc>
          <w:tcPr>
            <w:tcW w:w="160" w:type="dxa"/>
            <w:vAlign w:val="bottom"/>
            <w:shd w:val="clear" w:color="auto" w:fill="41659C"/>
          </w:tcPr>
          <w:p>
            <w:pPr>
              <w:spacing w:after="0"/>
              <w:rPr>
                <w:sz w:val="13"/>
                <w:szCs w:val="13"/>
                <w:color w:val="auto"/>
              </w:rPr>
            </w:pPr>
          </w:p>
        </w:tc>
        <w:tc>
          <w:tcPr>
            <w:tcW w:w="560" w:type="dxa"/>
            <w:vAlign w:val="bottom"/>
            <w:vMerge w:val="restart"/>
            <w:shd w:val="clear" w:color="auto" w:fill="41659C"/>
          </w:tcPr>
          <w:p>
            <w:pPr>
              <w:jc w:val="right"/>
              <w:ind w:right="147"/>
              <w:spacing w:after="0"/>
              <w:rPr>
                <w:sz w:val="20"/>
                <w:szCs w:val="20"/>
                <w:color w:val="auto"/>
              </w:rPr>
            </w:pPr>
            <w:r>
              <w:rPr>
                <w:rFonts w:ascii="Arial" w:cs="Arial" w:eastAsia="Arial" w:hAnsi="Arial"/>
                <w:sz w:val="15"/>
                <w:szCs w:val="15"/>
                <w:b w:val="1"/>
                <w:bCs w:val="1"/>
                <w:color w:val="FFFFFF"/>
                <w:w w:val="98"/>
              </w:rPr>
              <w:t>Year</w:t>
            </w:r>
          </w:p>
        </w:tc>
        <w:tc>
          <w:tcPr>
            <w:tcW w:w="860" w:type="dxa"/>
            <w:vAlign w:val="bottom"/>
            <w:vMerge w:val="continue"/>
            <w:shd w:val="clear" w:color="auto" w:fill="41659C"/>
          </w:tcPr>
          <w:p>
            <w:pPr>
              <w:spacing w:after="0"/>
              <w:rPr>
                <w:sz w:val="13"/>
                <w:szCs w:val="13"/>
                <w:color w:val="auto"/>
              </w:rPr>
            </w:pPr>
          </w:p>
        </w:tc>
        <w:tc>
          <w:tcPr>
            <w:tcW w:w="880" w:type="dxa"/>
            <w:vAlign w:val="bottom"/>
            <w:vMerge w:val="continue"/>
            <w:shd w:val="clear" w:color="auto" w:fill="41659C"/>
          </w:tcPr>
          <w:p>
            <w:pPr>
              <w:spacing w:after="0"/>
              <w:rPr>
                <w:sz w:val="13"/>
                <w:szCs w:val="13"/>
                <w:color w:val="auto"/>
              </w:rPr>
            </w:pPr>
          </w:p>
        </w:tc>
        <w:tc>
          <w:tcPr>
            <w:tcW w:w="980" w:type="dxa"/>
            <w:vAlign w:val="bottom"/>
            <w:shd w:val="clear" w:color="auto" w:fill="41659C"/>
          </w:tcPr>
          <w:p>
            <w:pPr>
              <w:jc w:val="center"/>
              <w:spacing w:after="0" w:line="155" w:lineRule="exact"/>
              <w:rPr>
                <w:sz w:val="20"/>
                <w:szCs w:val="20"/>
                <w:color w:val="auto"/>
              </w:rPr>
            </w:pPr>
            <w:r>
              <w:rPr>
                <w:rFonts w:ascii="Arial" w:cs="Arial" w:eastAsia="Arial" w:hAnsi="Arial"/>
                <w:sz w:val="15"/>
                <w:szCs w:val="15"/>
                <w:b w:val="1"/>
                <w:bCs w:val="1"/>
                <w:color w:val="FFFFFF"/>
                <w:w w:val="95"/>
              </w:rPr>
              <w:t>Awards</w:t>
            </w:r>
          </w:p>
        </w:tc>
        <w:tc>
          <w:tcPr>
            <w:tcW w:w="960" w:type="dxa"/>
            <w:vAlign w:val="bottom"/>
            <w:shd w:val="clear" w:color="auto" w:fill="41659C"/>
          </w:tcPr>
          <w:p>
            <w:pPr>
              <w:jc w:val="center"/>
              <w:ind w:left="27"/>
              <w:spacing w:after="0" w:line="155" w:lineRule="exact"/>
              <w:rPr>
                <w:sz w:val="20"/>
                <w:szCs w:val="20"/>
                <w:color w:val="auto"/>
              </w:rPr>
            </w:pPr>
            <w:r>
              <w:rPr>
                <w:rFonts w:ascii="Arial" w:cs="Arial" w:eastAsia="Arial" w:hAnsi="Arial"/>
                <w:sz w:val="15"/>
                <w:szCs w:val="15"/>
                <w:b w:val="1"/>
                <w:bCs w:val="1"/>
                <w:color w:val="FFFFFF"/>
                <w:w w:val="99"/>
              </w:rPr>
              <w:t>Awards</w:t>
            </w:r>
          </w:p>
        </w:tc>
        <w:tc>
          <w:tcPr>
            <w:tcW w:w="1220" w:type="dxa"/>
            <w:vAlign w:val="bottom"/>
            <w:gridSpan w:val="2"/>
            <w:shd w:val="clear" w:color="auto" w:fill="41659C"/>
          </w:tcPr>
          <w:p>
            <w:pPr>
              <w:ind w:left="140"/>
              <w:spacing w:after="0" w:line="155" w:lineRule="exact"/>
              <w:rPr>
                <w:sz w:val="20"/>
                <w:szCs w:val="20"/>
                <w:color w:val="auto"/>
              </w:rPr>
            </w:pPr>
            <w:r>
              <w:rPr>
                <w:rFonts w:ascii="Arial" w:cs="Arial" w:eastAsia="Arial" w:hAnsi="Arial"/>
                <w:sz w:val="15"/>
                <w:szCs w:val="15"/>
                <w:b w:val="1"/>
                <w:bCs w:val="1"/>
                <w:color w:val="FFFFFF"/>
              </w:rPr>
              <w:t>Compensation</w:t>
            </w:r>
          </w:p>
        </w:tc>
        <w:tc>
          <w:tcPr>
            <w:tcW w:w="1280" w:type="dxa"/>
            <w:vAlign w:val="bottom"/>
            <w:shd w:val="clear" w:color="auto" w:fill="41659C"/>
          </w:tcPr>
          <w:p>
            <w:pPr>
              <w:jc w:val="center"/>
              <w:ind w:right="27"/>
              <w:spacing w:after="0" w:line="155" w:lineRule="exact"/>
              <w:rPr>
                <w:sz w:val="20"/>
                <w:szCs w:val="20"/>
                <w:color w:val="auto"/>
              </w:rPr>
            </w:pPr>
            <w:r>
              <w:rPr>
                <w:rFonts w:ascii="Arial" w:cs="Arial" w:eastAsia="Arial" w:hAnsi="Arial"/>
                <w:sz w:val="15"/>
                <w:szCs w:val="15"/>
                <w:b w:val="1"/>
                <w:bCs w:val="1"/>
                <w:color w:val="FFFFFF"/>
                <w:w w:val="97"/>
              </w:rPr>
              <w:t>Compensation</w:t>
            </w:r>
          </w:p>
        </w:tc>
        <w:tc>
          <w:tcPr>
            <w:tcW w:w="940" w:type="dxa"/>
            <w:vAlign w:val="bottom"/>
            <w:vMerge w:val="continue"/>
            <w:shd w:val="clear" w:color="auto" w:fill="41659C"/>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2700" w:type="dxa"/>
            <w:vAlign w:val="bottom"/>
            <w:tcBorders>
              <w:bottom w:val="single" w:sz="8" w:color="41659C"/>
            </w:tcBorders>
            <w:shd w:val="clear" w:color="auto" w:fill="41659C"/>
          </w:tcPr>
          <w:p>
            <w:pPr>
              <w:ind w:left="60"/>
              <w:spacing w:after="0"/>
              <w:rPr>
                <w:sz w:val="20"/>
                <w:szCs w:val="20"/>
                <w:color w:val="auto"/>
              </w:rPr>
            </w:pPr>
            <w:r>
              <w:rPr>
                <w:rFonts w:ascii="Arial" w:cs="Arial" w:eastAsia="Arial" w:hAnsi="Arial"/>
                <w:sz w:val="15"/>
                <w:szCs w:val="15"/>
                <w:b w:val="1"/>
                <w:bCs w:val="1"/>
                <w:color w:val="FFFFFF"/>
              </w:rPr>
              <w:t>Position</w:t>
            </w:r>
          </w:p>
        </w:tc>
        <w:tc>
          <w:tcPr>
            <w:tcW w:w="160" w:type="dxa"/>
            <w:vAlign w:val="bottom"/>
            <w:tcBorders>
              <w:bottom w:val="single" w:sz="8" w:color="41659C"/>
            </w:tcBorders>
            <w:shd w:val="clear" w:color="auto" w:fill="41659C"/>
          </w:tcPr>
          <w:p>
            <w:pPr>
              <w:spacing w:after="0"/>
              <w:rPr>
                <w:sz w:val="19"/>
                <w:szCs w:val="19"/>
                <w:color w:val="auto"/>
              </w:rPr>
            </w:pPr>
          </w:p>
        </w:tc>
        <w:tc>
          <w:tcPr>
            <w:tcW w:w="560" w:type="dxa"/>
            <w:vAlign w:val="bottom"/>
            <w:tcBorders>
              <w:bottom w:val="single" w:sz="8" w:color="41659C"/>
            </w:tcBorders>
            <w:vMerge w:val="continue"/>
            <w:shd w:val="clear" w:color="auto" w:fill="41659C"/>
          </w:tcPr>
          <w:p>
            <w:pPr>
              <w:spacing w:after="0"/>
              <w:rPr>
                <w:sz w:val="19"/>
                <w:szCs w:val="19"/>
                <w:color w:val="auto"/>
              </w:rPr>
            </w:pPr>
          </w:p>
        </w:tc>
        <w:tc>
          <w:tcPr>
            <w:tcW w:w="860" w:type="dxa"/>
            <w:vAlign w:val="bottom"/>
            <w:tcBorders>
              <w:bottom w:val="single" w:sz="8" w:color="41659C"/>
            </w:tcBorders>
            <w:shd w:val="clear" w:color="auto" w:fill="41659C"/>
          </w:tcPr>
          <w:p>
            <w:pPr>
              <w:jc w:val="right"/>
              <w:ind w:right="227"/>
              <w:spacing w:after="0"/>
              <w:rPr>
                <w:sz w:val="20"/>
                <w:szCs w:val="20"/>
                <w:color w:val="auto"/>
              </w:rPr>
            </w:pPr>
            <w:r>
              <w:rPr>
                <w:rFonts w:ascii="Arial" w:cs="Arial" w:eastAsia="Arial" w:hAnsi="Arial"/>
                <w:sz w:val="15"/>
                <w:szCs w:val="15"/>
                <w:b w:val="1"/>
                <w:bCs w:val="1"/>
                <w:color w:val="FFFFFF"/>
              </w:rPr>
              <w:t>($)</w:t>
            </w:r>
          </w:p>
        </w:tc>
        <w:tc>
          <w:tcPr>
            <w:tcW w:w="880" w:type="dxa"/>
            <w:vAlign w:val="bottom"/>
            <w:tcBorders>
              <w:bottom w:val="single" w:sz="8" w:color="41659C"/>
            </w:tcBorders>
            <w:shd w:val="clear" w:color="auto" w:fill="41659C"/>
          </w:tcPr>
          <w:p>
            <w:pPr>
              <w:jc w:val="right"/>
              <w:ind w:right="167"/>
              <w:spacing w:after="0"/>
              <w:rPr>
                <w:sz w:val="20"/>
                <w:szCs w:val="20"/>
                <w:color w:val="auto"/>
              </w:rPr>
            </w:pPr>
            <w:r>
              <w:rPr>
                <w:rFonts w:ascii="Arial" w:cs="Arial" w:eastAsia="Arial" w:hAnsi="Arial"/>
                <w:sz w:val="15"/>
                <w:szCs w:val="15"/>
                <w:b w:val="1"/>
                <w:bCs w:val="1"/>
                <w:color w:val="FFFFFF"/>
              </w:rPr>
              <w:t>($)</w:t>
            </w:r>
            <w:r>
              <w:rPr>
                <w:rFonts w:ascii="Arial" w:cs="Arial" w:eastAsia="Arial" w:hAnsi="Arial"/>
                <w:sz w:val="12"/>
                <w:szCs w:val="12"/>
                <w:b w:val="1"/>
                <w:bCs w:val="1"/>
                <w:color w:val="FFFFFF"/>
              </w:rPr>
              <w:t>(1)</w:t>
            </w:r>
          </w:p>
        </w:tc>
        <w:tc>
          <w:tcPr>
            <w:tcW w:w="980" w:type="dxa"/>
            <w:vAlign w:val="bottom"/>
            <w:tcBorders>
              <w:bottom w:val="single" w:sz="8" w:color="41659C"/>
            </w:tcBorders>
            <w:shd w:val="clear" w:color="auto" w:fill="41659C"/>
          </w:tcPr>
          <w:p>
            <w:pPr>
              <w:jc w:val="center"/>
              <w:spacing w:after="0"/>
              <w:rPr>
                <w:sz w:val="20"/>
                <w:szCs w:val="20"/>
                <w:color w:val="auto"/>
              </w:rPr>
            </w:pPr>
            <w:r>
              <w:rPr>
                <w:rFonts w:ascii="Arial" w:cs="Arial" w:eastAsia="Arial" w:hAnsi="Arial"/>
                <w:sz w:val="15"/>
                <w:szCs w:val="15"/>
                <w:b w:val="1"/>
                <w:bCs w:val="1"/>
                <w:color w:val="FFFFFF"/>
                <w:w w:val="96"/>
              </w:rPr>
              <w:t>($)</w:t>
            </w:r>
            <w:r>
              <w:rPr>
                <w:rFonts w:ascii="Arial" w:cs="Arial" w:eastAsia="Arial" w:hAnsi="Arial"/>
                <w:sz w:val="12"/>
                <w:szCs w:val="12"/>
                <w:b w:val="1"/>
                <w:bCs w:val="1"/>
                <w:color w:val="FFFFFF"/>
                <w:w w:val="96"/>
              </w:rPr>
              <w:t>(2)</w:t>
            </w:r>
          </w:p>
        </w:tc>
        <w:tc>
          <w:tcPr>
            <w:tcW w:w="960" w:type="dxa"/>
            <w:vAlign w:val="bottom"/>
            <w:tcBorders>
              <w:bottom w:val="single" w:sz="8" w:color="41659C"/>
            </w:tcBorders>
            <w:shd w:val="clear" w:color="auto" w:fill="41659C"/>
          </w:tcPr>
          <w:p>
            <w:pPr>
              <w:jc w:val="center"/>
              <w:ind w:left="27"/>
              <w:spacing w:after="0"/>
              <w:rPr>
                <w:sz w:val="20"/>
                <w:szCs w:val="20"/>
                <w:color w:val="auto"/>
              </w:rPr>
            </w:pPr>
            <w:r>
              <w:rPr>
                <w:rFonts w:ascii="Arial" w:cs="Arial" w:eastAsia="Arial" w:hAnsi="Arial"/>
                <w:sz w:val="15"/>
                <w:szCs w:val="15"/>
                <w:b w:val="1"/>
                <w:bCs w:val="1"/>
                <w:color w:val="FFFFFF"/>
                <w:w w:val="97"/>
              </w:rPr>
              <w:t>($)</w:t>
            </w:r>
          </w:p>
        </w:tc>
        <w:tc>
          <w:tcPr>
            <w:tcW w:w="240" w:type="dxa"/>
            <w:vAlign w:val="bottom"/>
            <w:tcBorders>
              <w:bottom w:val="single" w:sz="8" w:color="41659C"/>
            </w:tcBorders>
            <w:shd w:val="clear" w:color="auto" w:fill="41659C"/>
          </w:tcPr>
          <w:p>
            <w:pPr>
              <w:spacing w:after="0"/>
              <w:rPr>
                <w:sz w:val="19"/>
                <w:szCs w:val="19"/>
                <w:color w:val="auto"/>
              </w:rPr>
            </w:pPr>
          </w:p>
        </w:tc>
        <w:tc>
          <w:tcPr>
            <w:tcW w:w="980" w:type="dxa"/>
            <w:vAlign w:val="bottom"/>
            <w:tcBorders>
              <w:bottom w:val="single" w:sz="8" w:color="41659C"/>
            </w:tcBorders>
            <w:shd w:val="clear" w:color="auto" w:fill="41659C"/>
          </w:tcPr>
          <w:p>
            <w:pPr>
              <w:jc w:val="right"/>
              <w:ind w:right="307"/>
              <w:spacing w:after="0"/>
              <w:rPr>
                <w:sz w:val="20"/>
                <w:szCs w:val="20"/>
                <w:color w:val="auto"/>
              </w:rPr>
            </w:pPr>
            <w:r>
              <w:rPr>
                <w:rFonts w:ascii="Arial" w:cs="Arial" w:eastAsia="Arial" w:hAnsi="Arial"/>
                <w:sz w:val="15"/>
                <w:szCs w:val="15"/>
                <w:b w:val="1"/>
                <w:bCs w:val="1"/>
                <w:color w:val="FFFFFF"/>
              </w:rPr>
              <w:t>($)</w:t>
            </w:r>
            <w:r>
              <w:rPr>
                <w:rFonts w:ascii="Arial" w:cs="Arial" w:eastAsia="Arial" w:hAnsi="Arial"/>
                <w:sz w:val="12"/>
                <w:szCs w:val="12"/>
                <w:b w:val="1"/>
                <w:bCs w:val="1"/>
                <w:color w:val="FFFFFF"/>
              </w:rPr>
              <w:t>(3)</w:t>
            </w:r>
          </w:p>
        </w:tc>
        <w:tc>
          <w:tcPr>
            <w:tcW w:w="1280" w:type="dxa"/>
            <w:vAlign w:val="bottom"/>
            <w:tcBorders>
              <w:bottom w:val="single" w:sz="8" w:color="41659C"/>
            </w:tcBorders>
            <w:shd w:val="clear" w:color="auto" w:fill="41659C"/>
          </w:tcPr>
          <w:p>
            <w:pPr>
              <w:jc w:val="center"/>
              <w:spacing w:after="0"/>
              <w:rPr>
                <w:sz w:val="20"/>
                <w:szCs w:val="20"/>
                <w:color w:val="auto"/>
              </w:rPr>
            </w:pPr>
            <w:r>
              <w:rPr>
                <w:rFonts w:ascii="Arial" w:cs="Arial" w:eastAsia="Arial" w:hAnsi="Arial"/>
                <w:sz w:val="15"/>
                <w:szCs w:val="15"/>
                <w:b w:val="1"/>
                <w:bCs w:val="1"/>
                <w:color w:val="FFFFFF"/>
              </w:rPr>
              <w:t>($)</w:t>
            </w:r>
            <w:r>
              <w:rPr>
                <w:rFonts w:ascii="Arial" w:cs="Arial" w:eastAsia="Arial" w:hAnsi="Arial"/>
                <w:sz w:val="12"/>
                <w:szCs w:val="12"/>
                <w:b w:val="1"/>
                <w:bCs w:val="1"/>
                <w:color w:val="FFFFFF"/>
              </w:rPr>
              <w:t>(4)</w:t>
            </w:r>
          </w:p>
        </w:tc>
        <w:tc>
          <w:tcPr>
            <w:tcW w:w="940" w:type="dxa"/>
            <w:vAlign w:val="bottom"/>
            <w:tcBorders>
              <w:bottom w:val="single" w:sz="8" w:color="41659C"/>
            </w:tcBorders>
            <w:shd w:val="clear" w:color="auto" w:fill="41659C"/>
          </w:tcPr>
          <w:p>
            <w:pPr>
              <w:jc w:val="right"/>
              <w:ind w:right="327"/>
              <w:spacing w:after="0"/>
              <w:rPr>
                <w:sz w:val="20"/>
                <w:szCs w:val="20"/>
                <w:color w:val="auto"/>
              </w:rPr>
            </w:pPr>
            <w:r>
              <w:rPr>
                <w:rFonts w:ascii="Arial" w:cs="Arial" w:eastAsia="Arial" w:hAnsi="Arial"/>
                <w:sz w:val="15"/>
                <w:szCs w:val="15"/>
                <w:b w:val="1"/>
                <w:bCs w:val="1"/>
                <w:color w:val="FFFFFF"/>
              </w:rPr>
              <w:t>($)</w:t>
            </w:r>
          </w:p>
        </w:tc>
        <w:tc>
          <w:tcPr>
            <w:tcW w:w="0" w:type="dxa"/>
            <w:vAlign w:val="bottom"/>
          </w:tcPr>
          <w:p>
            <w:pPr>
              <w:spacing w:after="0"/>
              <w:rPr>
                <w:sz w:val="1"/>
                <w:szCs w:val="1"/>
                <w:color w:val="auto"/>
              </w:rPr>
            </w:pPr>
          </w:p>
        </w:tc>
      </w:tr>
      <w:tr>
        <w:trPr>
          <w:trHeight w:val="214"/>
        </w:trPr>
        <w:tc>
          <w:tcPr>
            <w:tcW w:w="2700" w:type="dxa"/>
            <w:vAlign w:val="bottom"/>
            <w:shd w:val="clear" w:color="auto" w:fill="E8EED3"/>
          </w:tcPr>
          <w:p>
            <w:pPr>
              <w:ind w:left="60"/>
              <w:spacing w:after="0"/>
              <w:rPr>
                <w:sz w:val="20"/>
                <w:szCs w:val="20"/>
                <w:color w:val="auto"/>
              </w:rPr>
            </w:pPr>
            <w:r>
              <w:rPr>
                <w:rFonts w:ascii="Arial" w:cs="Arial" w:eastAsia="Arial" w:hAnsi="Arial"/>
                <w:sz w:val="15"/>
                <w:szCs w:val="15"/>
                <w:color w:val="auto"/>
              </w:rPr>
              <w:t>Todd Gleason</w:t>
            </w:r>
          </w:p>
        </w:tc>
        <w:tc>
          <w:tcPr>
            <w:tcW w:w="160" w:type="dxa"/>
            <w:vAlign w:val="bottom"/>
            <w:shd w:val="clear" w:color="auto" w:fill="E8EED3"/>
          </w:tcPr>
          <w:p>
            <w:pPr>
              <w:spacing w:after="0"/>
              <w:rPr>
                <w:sz w:val="18"/>
                <w:szCs w:val="18"/>
                <w:color w:val="auto"/>
              </w:rPr>
            </w:pPr>
          </w:p>
        </w:tc>
        <w:tc>
          <w:tcPr>
            <w:tcW w:w="560" w:type="dxa"/>
            <w:vAlign w:val="bottom"/>
            <w:shd w:val="clear" w:color="auto" w:fill="E8EED3"/>
          </w:tcPr>
          <w:p>
            <w:pPr>
              <w:jc w:val="right"/>
              <w:ind w:right="107"/>
              <w:spacing w:after="0"/>
              <w:rPr>
                <w:sz w:val="20"/>
                <w:szCs w:val="20"/>
                <w:color w:val="auto"/>
              </w:rPr>
            </w:pPr>
            <w:r>
              <w:rPr>
                <w:rFonts w:ascii="Arial" w:cs="Arial" w:eastAsia="Arial" w:hAnsi="Arial"/>
                <w:sz w:val="15"/>
                <w:szCs w:val="15"/>
                <w:color w:val="auto"/>
              </w:rPr>
              <w:t>2021</w:t>
            </w:r>
          </w:p>
        </w:tc>
        <w:tc>
          <w:tcPr>
            <w:tcW w:w="860" w:type="dxa"/>
            <w:vAlign w:val="bottom"/>
            <w:shd w:val="clear" w:color="auto" w:fill="E8EED3"/>
          </w:tcPr>
          <w:p>
            <w:pPr>
              <w:jc w:val="right"/>
              <w:ind w:right="87"/>
              <w:spacing w:after="0"/>
              <w:rPr>
                <w:sz w:val="20"/>
                <w:szCs w:val="20"/>
                <w:color w:val="auto"/>
              </w:rPr>
            </w:pPr>
            <w:r>
              <w:rPr>
                <w:rFonts w:ascii="Arial" w:cs="Arial" w:eastAsia="Arial" w:hAnsi="Arial"/>
                <w:sz w:val="15"/>
                <w:szCs w:val="15"/>
                <w:color w:val="auto"/>
              </w:rPr>
              <w:t>456,577</w:t>
            </w:r>
          </w:p>
        </w:tc>
        <w:tc>
          <w:tcPr>
            <w:tcW w:w="880" w:type="dxa"/>
            <w:vAlign w:val="bottom"/>
            <w:shd w:val="clear" w:color="auto" w:fill="E8EED3"/>
          </w:tcPr>
          <w:p>
            <w:pPr>
              <w:jc w:val="right"/>
              <w:ind w:right="107"/>
              <w:spacing w:after="0"/>
              <w:rPr>
                <w:sz w:val="20"/>
                <w:szCs w:val="20"/>
                <w:color w:val="auto"/>
              </w:rPr>
            </w:pPr>
            <w:r>
              <w:rPr>
                <w:rFonts w:ascii="Arial" w:cs="Arial" w:eastAsia="Arial" w:hAnsi="Arial"/>
                <w:sz w:val="15"/>
                <w:szCs w:val="15"/>
                <w:color w:val="auto"/>
              </w:rPr>
              <w:t>156,060</w:t>
            </w:r>
          </w:p>
        </w:tc>
        <w:tc>
          <w:tcPr>
            <w:tcW w:w="980" w:type="dxa"/>
            <w:vAlign w:val="bottom"/>
            <w:shd w:val="clear" w:color="auto" w:fill="E8EED3"/>
          </w:tcPr>
          <w:p>
            <w:pPr>
              <w:jc w:val="right"/>
              <w:ind w:right="107"/>
              <w:spacing w:after="0"/>
              <w:rPr>
                <w:sz w:val="20"/>
                <w:szCs w:val="20"/>
                <w:color w:val="auto"/>
              </w:rPr>
            </w:pPr>
            <w:r>
              <w:rPr>
                <w:rFonts w:ascii="Arial" w:cs="Arial" w:eastAsia="Arial" w:hAnsi="Arial"/>
                <w:sz w:val="15"/>
                <w:szCs w:val="15"/>
                <w:color w:val="auto"/>
              </w:rPr>
              <w:t>1,126,112</w:t>
            </w:r>
          </w:p>
        </w:tc>
        <w:tc>
          <w:tcPr>
            <w:tcW w:w="960" w:type="dxa"/>
            <w:vAlign w:val="bottom"/>
            <w:shd w:val="clear" w:color="auto" w:fill="E8EED3"/>
          </w:tcPr>
          <w:p>
            <w:pPr>
              <w:ind w:left="500"/>
              <w:spacing w:after="0"/>
              <w:rPr>
                <w:sz w:val="20"/>
                <w:szCs w:val="20"/>
                <w:color w:val="auto"/>
              </w:rPr>
            </w:pPr>
            <w:r>
              <w:rPr>
                <w:rFonts w:ascii="Arial" w:cs="Arial" w:eastAsia="Arial" w:hAnsi="Arial"/>
                <w:sz w:val="15"/>
                <w:szCs w:val="15"/>
                <w:color w:val="auto"/>
              </w:rPr>
              <w:t>—</w:t>
            </w:r>
          </w:p>
        </w:tc>
        <w:tc>
          <w:tcPr>
            <w:tcW w:w="240" w:type="dxa"/>
            <w:vAlign w:val="bottom"/>
            <w:shd w:val="clear" w:color="auto" w:fill="E8EED3"/>
          </w:tcPr>
          <w:p>
            <w:pPr>
              <w:ind w:left="140"/>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E8EED3"/>
          </w:tcPr>
          <w:p>
            <w:pPr>
              <w:jc w:val="right"/>
              <w:ind w:right="127"/>
              <w:spacing w:after="0"/>
              <w:rPr>
                <w:sz w:val="20"/>
                <w:szCs w:val="20"/>
                <w:color w:val="auto"/>
              </w:rPr>
            </w:pPr>
            <w:r>
              <w:rPr>
                <w:rFonts w:ascii="Arial" w:cs="Arial" w:eastAsia="Arial" w:hAnsi="Arial"/>
                <w:sz w:val="15"/>
                <w:szCs w:val="15"/>
                <w:color w:val="auto"/>
              </w:rPr>
              <w:t>211,140</w:t>
            </w:r>
          </w:p>
        </w:tc>
        <w:tc>
          <w:tcPr>
            <w:tcW w:w="1280" w:type="dxa"/>
            <w:vAlign w:val="bottom"/>
            <w:shd w:val="clear" w:color="auto" w:fill="E8EED3"/>
          </w:tcPr>
          <w:p>
            <w:pPr>
              <w:jc w:val="right"/>
              <w:ind w:right="67"/>
              <w:spacing w:after="0"/>
              <w:rPr>
                <w:sz w:val="20"/>
                <w:szCs w:val="20"/>
                <w:color w:val="auto"/>
              </w:rPr>
            </w:pPr>
            <w:r>
              <w:rPr>
                <w:rFonts w:ascii="Arial" w:cs="Arial" w:eastAsia="Arial" w:hAnsi="Arial"/>
                <w:sz w:val="15"/>
                <w:szCs w:val="15"/>
                <w:color w:val="auto"/>
              </w:rPr>
              <w:t>29,410</w:t>
            </w:r>
          </w:p>
        </w:tc>
        <w:tc>
          <w:tcPr>
            <w:tcW w:w="940" w:type="dxa"/>
            <w:vAlign w:val="bottom"/>
            <w:shd w:val="clear" w:color="auto" w:fill="E8EED3"/>
          </w:tcPr>
          <w:p>
            <w:pPr>
              <w:jc w:val="right"/>
              <w:ind w:right="47"/>
              <w:spacing w:after="0"/>
              <w:rPr>
                <w:sz w:val="20"/>
                <w:szCs w:val="20"/>
                <w:color w:val="auto"/>
              </w:rPr>
            </w:pPr>
            <w:r>
              <w:rPr>
                <w:rFonts w:ascii="Arial" w:cs="Arial" w:eastAsia="Arial" w:hAnsi="Arial"/>
                <w:sz w:val="15"/>
                <w:szCs w:val="15"/>
                <w:color w:val="auto"/>
              </w:rPr>
              <w:t>1,979,299</w:t>
            </w:r>
          </w:p>
        </w:tc>
        <w:tc>
          <w:tcPr>
            <w:tcW w:w="0" w:type="dxa"/>
            <w:vAlign w:val="bottom"/>
          </w:tcPr>
          <w:p>
            <w:pPr>
              <w:spacing w:after="0"/>
              <w:rPr>
                <w:sz w:val="1"/>
                <w:szCs w:val="1"/>
                <w:color w:val="auto"/>
              </w:rPr>
            </w:pPr>
          </w:p>
        </w:tc>
      </w:tr>
      <w:tr>
        <w:trPr>
          <w:trHeight w:val="242"/>
        </w:trPr>
        <w:tc>
          <w:tcPr>
            <w:tcW w:w="2700" w:type="dxa"/>
            <w:vAlign w:val="bottom"/>
            <w:shd w:val="clear" w:color="auto" w:fill="E8EED3"/>
          </w:tcPr>
          <w:p>
            <w:pPr>
              <w:ind w:left="60"/>
              <w:spacing w:after="0"/>
              <w:rPr>
                <w:sz w:val="20"/>
                <w:szCs w:val="20"/>
                <w:color w:val="auto"/>
              </w:rPr>
            </w:pPr>
            <w:r>
              <w:rPr>
                <w:rFonts w:ascii="Arial" w:cs="Arial" w:eastAsia="Arial" w:hAnsi="Arial"/>
                <w:sz w:val="15"/>
                <w:szCs w:val="15"/>
                <w:color w:val="auto"/>
              </w:rPr>
              <w:t>Chief Executive Officer</w:t>
            </w:r>
          </w:p>
        </w:tc>
        <w:tc>
          <w:tcPr>
            <w:tcW w:w="160" w:type="dxa"/>
            <w:vAlign w:val="bottom"/>
            <w:shd w:val="clear" w:color="auto" w:fill="E8EED3"/>
          </w:tcPr>
          <w:p>
            <w:pPr>
              <w:spacing w:after="0"/>
              <w:rPr>
                <w:sz w:val="21"/>
                <w:szCs w:val="21"/>
                <w:color w:val="auto"/>
              </w:rPr>
            </w:pPr>
          </w:p>
        </w:tc>
        <w:tc>
          <w:tcPr>
            <w:tcW w:w="560" w:type="dxa"/>
            <w:vAlign w:val="bottom"/>
            <w:shd w:val="clear" w:color="auto" w:fill="E8EED3"/>
          </w:tcPr>
          <w:p>
            <w:pPr>
              <w:jc w:val="right"/>
              <w:ind w:right="107"/>
              <w:spacing w:after="0"/>
              <w:rPr>
                <w:sz w:val="20"/>
                <w:szCs w:val="20"/>
                <w:color w:val="auto"/>
              </w:rPr>
            </w:pPr>
            <w:r>
              <w:rPr>
                <w:rFonts w:ascii="Arial" w:cs="Arial" w:eastAsia="Arial" w:hAnsi="Arial"/>
                <w:sz w:val="15"/>
                <w:szCs w:val="15"/>
                <w:color w:val="auto"/>
              </w:rPr>
              <w:t>2020</w:t>
            </w:r>
          </w:p>
        </w:tc>
        <w:tc>
          <w:tcPr>
            <w:tcW w:w="860" w:type="dxa"/>
            <w:vAlign w:val="bottom"/>
            <w:shd w:val="clear" w:color="auto" w:fill="E8EED3"/>
          </w:tcPr>
          <w:p>
            <w:pPr>
              <w:jc w:val="right"/>
              <w:ind w:right="87"/>
              <w:spacing w:after="0"/>
              <w:rPr>
                <w:sz w:val="20"/>
                <w:szCs w:val="20"/>
                <w:color w:val="auto"/>
              </w:rPr>
            </w:pPr>
            <w:r>
              <w:rPr>
                <w:rFonts w:ascii="Arial" w:cs="Arial" w:eastAsia="Arial" w:hAnsi="Arial"/>
                <w:sz w:val="15"/>
                <w:szCs w:val="15"/>
                <w:color w:val="auto"/>
              </w:rPr>
              <w:t>216,346</w:t>
            </w:r>
          </w:p>
        </w:tc>
        <w:tc>
          <w:tcPr>
            <w:tcW w:w="880" w:type="dxa"/>
            <w:vAlign w:val="bottom"/>
            <w:shd w:val="clear" w:color="auto" w:fill="E8EED3"/>
          </w:tcPr>
          <w:p>
            <w:pPr>
              <w:jc w:val="right"/>
              <w:ind w:right="107"/>
              <w:spacing w:after="0"/>
              <w:rPr>
                <w:sz w:val="20"/>
                <w:szCs w:val="20"/>
                <w:color w:val="auto"/>
              </w:rPr>
            </w:pPr>
            <w:r>
              <w:rPr>
                <w:rFonts w:ascii="Arial" w:cs="Arial" w:eastAsia="Arial" w:hAnsi="Arial"/>
                <w:sz w:val="15"/>
                <w:szCs w:val="15"/>
                <w:color w:val="auto"/>
              </w:rPr>
              <w:t>300,000</w:t>
            </w:r>
          </w:p>
        </w:tc>
        <w:tc>
          <w:tcPr>
            <w:tcW w:w="980" w:type="dxa"/>
            <w:vAlign w:val="bottom"/>
            <w:shd w:val="clear" w:color="auto" w:fill="E8EED3"/>
          </w:tcPr>
          <w:p>
            <w:pPr>
              <w:jc w:val="right"/>
              <w:ind w:right="107"/>
              <w:spacing w:after="0"/>
              <w:rPr>
                <w:sz w:val="20"/>
                <w:szCs w:val="20"/>
                <w:color w:val="auto"/>
              </w:rPr>
            </w:pPr>
            <w:r>
              <w:rPr>
                <w:rFonts w:ascii="Arial" w:cs="Arial" w:eastAsia="Arial" w:hAnsi="Arial"/>
                <w:sz w:val="15"/>
                <w:szCs w:val="15"/>
                <w:color w:val="auto"/>
              </w:rPr>
              <w:t>599,059</w:t>
            </w:r>
          </w:p>
        </w:tc>
        <w:tc>
          <w:tcPr>
            <w:tcW w:w="960" w:type="dxa"/>
            <w:vAlign w:val="bottom"/>
            <w:shd w:val="clear" w:color="auto" w:fill="E8EED3"/>
          </w:tcPr>
          <w:p>
            <w:pPr>
              <w:ind w:left="160"/>
              <w:spacing w:after="0"/>
              <w:rPr>
                <w:sz w:val="20"/>
                <w:szCs w:val="20"/>
                <w:color w:val="auto"/>
              </w:rPr>
            </w:pPr>
            <w:r>
              <w:rPr>
                <w:rFonts w:ascii="Arial" w:cs="Arial" w:eastAsia="Arial" w:hAnsi="Arial"/>
                <w:sz w:val="15"/>
                <w:szCs w:val="15"/>
                <w:color w:val="auto"/>
              </w:rPr>
              <w:t>2,400,000</w:t>
            </w:r>
          </w:p>
        </w:tc>
        <w:tc>
          <w:tcPr>
            <w:tcW w:w="240" w:type="dxa"/>
            <w:vAlign w:val="bottom"/>
            <w:shd w:val="clear" w:color="auto" w:fill="E8EED3"/>
          </w:tcPr>
          <w:p>
            <w:pPr>
              <w:spacing w:after="0"/>
              <w:rPr>
                <w:sz w:val="21"/>
                <w:szCs w:val="21"/>
                <w:color w:val="auto"/>
              </w:rPr>
            </w:pPr>
          </w:p>
        </w:tc>
        <w:tc>
          <w:tcPr>
            <w:tcW w:w="980" w:type="dxa"/>
            <w:vAlign w:val="bottom"/>
            <w:shd w:val="clear" w:color="auto" w:fill="E8EED3"/>
          </w:tcPr>
          <w:p>
            <w:pPr>
              <w:jc w:val="right"/>
              <w:ind w:right="307"/>
              <w:spacing w:after="0"/>
              <w:rPr>
                <w:sz w:val="20"/>
                <w:szCs w:val="20"/>
                <w:color w:val="auto"/>
              </w:rPr>
            </w:pPr>
            <w:r>
              <w:rPr>
                <w:rFonts w:ascii="Arial" w:cs="Arial" w:eastAsia="Arial" w:hAnsi="Arial"/>
                <w:sz w:val="15"/>
                <w:szCs w:val="15"/>
                <w:color w:val="auto"/>
              </w:rPr>
              <w:t>—</w:t>
            </w:r>
          </w:p>
        </w:tc>
        <w:tc>
          <w:tcPr>
            <w:tcW w:w="1280" w:type="dxa"/>
            <w:vAlign w:val="bottom"/>
            <w:shd w:val="clear" w:color="auto" w:fill="E8EED3"/>
          </w:tcPr>
          <w:p>
            <w:pPr>
              <w:jc w:val="right"/>
              <w:ind w:right="67"/>
              <w:spacing w:after="0"/>
              <w:rPr>
                <w:sz w:val="20"/>
                <w:szCs w:val="20"/>
                <w:color w:val="auto"/>
              </w:rPr>
            </w:pPr>
            <w:r>
              <w:rPr>
                <w:rFonts w:ascii="Arial" w:cs="Arial" w:eastAsia="Arial" w:hAnsi="Arial"/>
                <w:sz w:val="15"/>
                <w:szCs w:val="15"/>
                <w:color w:val="auto"/>
              </w:rPr>
              <w:t>24,376</w:t>
            </w:r>
          </w:p>
        </w:tc>
        <w:tc>
          <w:tcPr>
            <w:tcW w:w="940" w:type="dxa"/>
            <w:vAlign w:val="bottom"/>
            <w:shd w:val="clear" w:color="auto" w:fill="E8EED3"/>
          </w:tcPr>
          <w:p>
            <w:pPr>
              <w:jc w:val="right"/>
              <w:ind w:right="47"/>
              <w:spacing w:after="0"/>
              <w:rPr>
                <w:sz w:val="20"/>
                <w:szCs w:val="20"/>
                <w:color w:val="auto"/>
              </w:rPr>
            </w:pPr>
            <w:r>
              <w:rPr>
                <w:rFonts w:ascii="Arial" w:cs="Arial" w:eastAsia="Arial" w:hAnsi="Arial"/>
                <w:sz w:val="15"/>
                <w:szCs w:val="15"/>
                <w:color w:val="auto"/>
              </w:rPr>
              <w:t>3,539,781</w:t>
            </w:r>
          </w:p>
        </w:tc>
        <w:tc>
          <w:tcPr>
            <w:tcW w:w="0" w:type="dxa"/>
            <w:vAlign w:val="bottom"/>
          </w:tcPr>
          <w:p>
            <w:pPr>
              <w:spacing w:after="0"/>
              <w:rPr>
                <w:sz w:val="1"/>
                <w:szCs w:val="1"/>
                <w:color w:val="auto"/>
              </w:rPr>
            </w:pPr>
          </w:p>
        </w:tc>
      </w:tr>
      <w:tr>
        <w:trPr>
          <w:trHeight w:val="211"/>
        </w:trPr>
        <w:tc>
          <w:tcPr>
            <w:tcW w:w="2700" w:type="dxa"/>
            <w:vAlign w:val="bottom"/>
            <w:shd w:val="clear" w:color="auto" w:fill="D2DEA7"/>
          </w:tcPr>
          <w:p>
            <w:pPr>
              <w:ind w:left="60"/>
              <w:spacing w:after="0"/>
              <w:rPr>
                <w:sz w:val="20"/>
                <w:szCs w:val="20"/>
                <w:color w:val="auto"/>
              </w:rPr>
            </w:pPr>
            <w:r>
              <w:rPr>
                <w:rFonts w:ascii="Arial" w:cs="Arial" w:eastAsia="Arial" w:hAnsi="Arial"/>
                <w:sz w:val="15"/>
                <w:szCs w:val="15"/>
                <w:color w:val="auto"/>
              </w:rPr>
              <w:t>Matthew Eckl</w:t>
            </w:r>
          </w:p>
        </w:tc>
        <w:tc>
          <w:tcPr>
            <w:tcW w:w="160" w:type="dxa"/>
            <w:vAlign w:val="bottom"/>
            <w:shd w:val="clear" w:color="auto" w:fill="D2DEA7"/>
          </w:tcPr>
          <w:p>
            <w:pPr>
              <w:spacing w:after="0"/>
              <w:rPr>
                <w:sz w:val="18"/>
                <w:szCs w:val="18"/>
                <w:color w:val="auto"/>
              </w:rPr>
            </w:pPr>
          </w:p>
        </w:tc>
        <w:tc>
          <w:tcPr>
            <w:tcW w:w="560" w:type="dxa"/>
            <w:vAlign w:val="bottom"/>
            <w:shd w:val="clear" w:color="auto" w:fill="D2DEA7"/>
          </w:tcPr>
          <w:p>
            <w:pPr>
              <w:jc w:val="right"/>
              <w:ind w:right="107"/>
              <w:spacing w:after="0"/>
              <w:rPr>
                <w:sz w:val="20"/>
                <w:szCs w:val="20"/>
                <w:color w:val="auto"/>
              </w:rPr>
            </w:pPr>
            <w:r>
              <w:rPr>
                <w:rFonts w:ascii="Arial" w:cs="Arial" w:eastAsia="Arial" w:hAnsi="Arial"/>
                <w:sz w:val="15"/>
                <w:szCs w:val="15"/>
                <w:color w:val="auto"/>
              </w:rPr>
              <w:t>2021</w:t>
            </w:r>
          </w:p>
        </w:tc>
        <w:tc>
          <w:tcPr>
            <w:tcW w:w="860" w:type="dxa"/>
            <w:vAlign w:val="bottom"/>
            <w:shd w:val="clear" w:color="auto" w:fill="D2DEA7"/>
          </w:tcPr>
          <w:p>
            <w:pPr>
              <w:jc w:val="right"/>
              <w:ind w:right="87"/>
              <w:spacing w:after="0"/>
              <w:rPr>
                <w:sz w:val="20"/>
                <w:szCs w:val="20"/>
                <w:color w:val="auto"/>
              </w:rPr>
            </w:pPr>
            <w:r>
              <w:rPr>
                <w:rFonts w:ascii="Arial" w:cs="Arial" w:eastAsia="Arial" w:hAnsi="Arial"/>
                <w:sz w:val="15"/>
                <w:szCs w:val="15"/>
                <w:color w:val="auto"/>
              </w:rPr>
              <w:t>346,999</w:t>
            </w:r>
          </w:p>
        </w:tc>
        <w:tc>
          <w:tcPr>
            <w:tcW w:w="880" w:type="dxa"/>
            <w:vAlign w:val="bottom"/>
            <w:shd w:val="clear" w:color="auto" w:fill="D2DEA7"/>
          </w:tcPr>
          <w:p>
            <w:pPr>
              <w:jc w:val="right"/>
              <w:ind w:right="107"/>
              <w:spacing w:after="0"/>
              <w:rPr>
                <w:sz w:val="20"/>
                <w:szCs w:val="20"/>
                <w:color w:val="auto"/>
              </w:rPr>
            </w:pPr>
            <w:r>
              <w:rPr>
                <w:rFonts w:ascii="Arial" w:cs="Arial" w:eastAsia="Arial" w:hAnsi="Arial"/>
                <w:sz w:val="15"/>
                <w:szCs w:val="15"/>
                <w:color w:val="auto"/>
              </w:rPr>
              <w:t>65,233</w:t>
            </w:r>
          </w:p>
        </w:tc>
        <w:tc>
          <w:tcPr>
            <w:tcW w:w="980" w:type="dxa"/>
            <w:vAlign w:val="bottom"/>
            <w:shd w:val="clear" w:color="auto" w:fill="D2DEA7"/>
          </w:tcPr>
          <w:p>
            <w:pPr>
              <w:jc w:val="right"/>
              <w:ind w:right="107"/>
              <w:spacing w:after="0"/>
              <w:rPr>
                <w:sz w:val="20"/>
                <w:szCs w:val="20"/>
                <w:color w:val="auto"/>
              </w:rPr>
            </w:pPr>
            <w:r>
              <w:rPr>
                <w:rFonts w:ascii="Arial" w:cs="Arial" w:eastAsia="Arial" w:hAnsi="Arial"/>
                <w:sz w:val="15"/>
                <w:szCs w:val="15"/>
                <w:color w:val="auto"/>
              </w:rPr>
              <w:t>272,525</w:t>
            </w:r>
          </w:p>
        </w:tc>
        <w:tc>
          <w:tcPr>
            <w:tcW w:w="960" w:type="dxa"/>
            <w:vAlign w:val="bottom"/>
            <w:shd w:val="clear" w:color="auto" w:fill="D2DEA7"/>
          </w:tcPr>
          <w:p>
            <w:pPr>
              <w:ind w:left="500"/>
              <w:spacing w:after="0"/>
              <w:rPr>
                <w:sz w:val="20"/>
                <w:szCs w:val="20"/>
                <w:color w:val="auto"/>
              </w:rPr>
            </w:pPr>
            <w:r>
              <w:rPr>
                <w:rFonts w:ascii="Arial" w:cs="Arial" w:eastAsia="Arial" w:hAnsi="Arial"/>
                <w:sz w:val="15"/>
                <w:szCs w:val="15"/>
                <w:color w:val="auto"/>
              </w:rPr>
              <w:t>—</w:t>
            </w:r>
          </w:p>
        </w:tc>
        <w:tc>
          <w:tcPr>
            <w:tcW w:w="240" w:type="dxa"/>
            <w:vAlign w:val="bottom"/>
            <w:shd w:val="clear" w:color="auto" w:fill="D2DEA7"/>
          </w:tcPr>
          <w:p>
            <w:pPr>
              <w:ind w:left="140"/>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D2DEA7"/>
          </w:tcPr>
          <w:p>
            <w:pPr>
              <w:jc w:val="right"/>
              <w:ind w:right="127"/>
              <w:spacing w:after="0"/>
              <w:rPr>
                <w:sz w:val="20"/>
                <w:szCs w:val="20"/>
                <w:color w:val="auto"/>
              </w:rPr>
            </w:pPr>
            <w:r>
              <w:rPr>
                <w:rFonts w:ascii="Arial" w:cs="Arial" w:eastAsia="Arial" w:hAnsi="Arial"/>
                <w:sz w:val="15"/>
                <w:szCs w:val="15"/>
                <w:color w:val="auto"/>
              </w:rPr>
              <w:t>88,257</w:t>
            </w:r>
          </w:p>
        </w:tc>
        <w:tc>
          <w:tcPr>
            <w:tcW w:w="1280" w:type="dxa"/>
            <w:vAlign w:val="bottom"/>
            <w:shd w:val="clear" w:color="auto" w:fill="D2DEA7"/>
          </w:tcPr>
          <w:p>
            <w:pPr>
              <w:jc w:val="right"/>
              <w:ind w:right="67"/>
              <w:spacing w:after="0"/>
              <w:rPr>
                <w:sz w:val="20"/>
                <w:szCs w:val="20"/>
                <w:color w:val="auto"/>
              </w:rPr>
            </w:pPr>
            <w:r>
              <w:rPr>
                <w:rFonts w:ascii="Arial" w:cs="Arial" w:eastAsia="Arial" w:hAnsi="Arial"/>
                <w:sz w:val="15"/>
                <w:szCs w:val="15"/>
                <w:color w:val="auto"/>
              </w:rPr>
              <w:t>16,892</w:t>
            </w:r>
          </w:p>
        </w:tc>
        <w:tc>
          <w:tcPr>
            <w:tcW w:w="940" w:type="dxa"/>
            <w:vAlign w:val="bottom"/>
            <w:shd w:val="clear" w:color="auto" w:fill="D2DEA7"/>
          </w:tcPr>
          <w:p>
            <w:pPr>
              <w:jc w:val="right"/>
              <w:ind w:right="47"/>
              <w:spacing w:after="0"/>
              <w:rPr>
                <w:sz w:val="20"/>
                <w:szCs w:val="20"/>
                <w:color w:val="auto"/>
              </w:rPr>
            </w:pPr>
            <w:r>
              <w:rPr>
                <w:rFonts w:ascii="Arial" w:cs="Arial" w:eastAsia="Arial" w:hAnsi="Arial"/>
                <w:sz w:val="15"/>
                <w:szCs w:val="15"/>
                <w:color w:val="auto"/>
              </w:rPr>
              <w:t>789,906</w:t>
            </w:r>
          </w:p>
        </w:tc>
        <w:tc>
          <w:tcPr>
            <w:tcW w:w="0" w:type="dxa"/>
            <w:vAlign w:val="bottom"/>
          </w:tcPr>
          <w:p>
            <w:pPr>
              <w:spacing w:after="0"/>
              <w:rPr>
                <w:sz w:val="1"/>
                <w:szCs w:val="1"/>
                <w:color w:val="auto"/>
              </w:rPr>
            </w:pPr>
          </w:p>
        </w:tc>
      </w:tr>
      <w:tr>
        <w:trPr>
          <w:trHeight w:val="220"/>
        </w:trPr>
        <w:tc>
          <w:tcPr>
            <w:tcW w:w="2700" w:type="dxa"/>
            <w:vAlign w:val="bottom"/>
            <w:shd w:val="clear" w:color="auto" w:fill="D2DEA7"/>
          </w:tcPr>
          <w:p>
            <w:pPr>
              <w:ind w:left="60"/>
              <w:spacing w:after="0"/>
              <w:rPr>
                <w:sz w:val="20"/>
                <w:szCs w:val="20"/>
                <w:color w:val="auto"/>
              </w:rPr>
            </w:pPr>
            <w:r>
              <w:rPr>
                <w:rFonts w:ascii="Arial" w:cs="Arial" w:eastAsia="Arial" w:hAnsi="Arial"/>
                <w:sz w:val="15"/>
                <w:szCs w:val="15"/>
                <w:color w:val="auto"/>
              </w:rPr>
              <w:t>Chief Financial Officer</w:t>
            </w:r>
          </w:p>
        </w:tc>
        <w:tc>
          <w:tcPr>
            <w:tcW w:w="160" w:type="dxa"/>
            <w:vAlign w:val="bottom"/>
            <w:shd w:val="clear" w:color="auto" w:fill="D2DEA7"/>
          </w:tcPr>
          <w:p>
            <w:pPr>
              <w:spacing w:after="0"/>
              <w:rPr>
                <w:sz w:val="19"/>
                <w:szCs w:val="19"/>
                <w:color w:val="auto"/>
              </w:rPr>
            </w:pPr>
          </w:p>
        </w:tc>
        <w:tc>
          <w:tcPr>
            <w:tcW w:w="560" w:type="dxa"/>
            <w:vAlign w:val="bottom"/>
            <w:shd w:val="clear" w:color="auto" w:fill="D2DEA7"/>
          </w:tcPr>
          <w:p>
            <w:pPr>
              <w:jc w:val="right"/>
              <w:ind w:right="107"/>
              <w:spacing w:after="0"/>
              <w:rPr>
                <w:sz w:val="20"/>
                <w:szCs w:val="20"/>
                <w:color w:val="auto"/>
              </w:rPr>
            </w:pPr>
            <w:r>
              <w:rPr>
                <w:rFonts w:ascii="Arial" w:cs="Arial" w:eastAsia="Arial" w:hAnsi="Arial"/>
                <w:sz w:val="15"/>
                <w:szCs w:val="15"/>
                <w:color w:val="auto"/>
              </w:rPr>
              <w:t>2020</w:t>
            </w:r>
          </w:p>
        </w:tc>
        <w:tc>
          <w:tcPr>
            <w:tcW w:w="860" w:type="dxa"/>
            <w:vAlign w:val="bottom"/>
            <w:shd w:val="clear" w:color="auto" w:fill="D2DEA7"/>
          </w:tcPr>
          <w:p>
            <w:pPr>
              <w:jc w:val="right"/>
              <w:ind w:right="87"/>
              <w:spacing w:after="0"/>
              <w:rPr>
                <w:sz w:val="20"/>
                <w:szCs w:val="20"/>
                <w:color w:val="auto"/>
              </w:rPr>
            </w:pPr>
            <w:r>
              <w:rPr>
                <w:rFonts w:ascii="Arial" w:cs="Arial" w:eastAsia="Arial" w:hAnsi="Arial"/>
                <w:sz w:val="15"/>
                <w:szCs w:val="15"/>
                <w:color w:val="auto"/>
              </w:rPr>
              <w:t>336,739</w:t>
            </w:r>
          </w:p>
        </w:tc>
        <w:tc>
          <w:tcPr>
            <w:tcW w:w="880" w:type="dxa"/>
            <w:vAlign w:val="bottom"/>
            <w:shd w:val="clear" w:color="auto" w:fill="D2DEA7"/>
          </w:tcPr>
          <w:p>
            <w:pPr>
              <w:jc w:val="right"/>
              <w:ind w:right="107"/>
              <w:spacing w:after="0"/>
              <w:rPr>
                <w:sz w:val="20"/>
                <w:szCs w:val="20"/>
                <w:color w:val="auto"/>
              </w:rPr>
            </w:pPr>
            <w:r>
              <w:rPr>
                <w:rFonts w:ascii="Arial" w:cs="Arial" w:eastAsia="Arial" w:hAnsi="Arial"/>
                <w:sz w:val="15"/>
                <w:szCs w:val="15"/>
                <w:color w:val="auto"/>
              </w:rPr>
              <w:t>94,000</w:t>
            </w:r>
          </w:p>
        </w:tc>
        <w:tc>
          <w:tcPr>
            <w:tcW w:w="980" w:type="dxa"/>
            <w:vAlign w:val="bottom"/>
            <w:shd w:val="clear" w:color="auto" w:fill="D2DEA7"/>
          </w:tcPr>
          <w:p>
            <w:pPr>
              <w:jc w:val="right"/>
              <w:ind w:right="107"/>
              <w:spacing w:after="0"/>
              <w:rPr>
                <w:sz w:val="20"/>
                <w:szCs w:val="20"/>
                <w:color w:val="auto"/>
              </w:rPr>
            </w:pPr>
            <w:r>
              <w:rPr>
                <w:rFonts w:ascii="Arial" w:cs="Arial" w:eastAsia="Arial" w:hAnsi="Arial"/>
                <w:sz w:val="15"/>
                <w:szCs w:val="15"/>
                <w:color w:val="auto"/>
              </w:rPr>
              <w:t>570,700</w:t>
            </w:r>
          </w:p>
        </w:tc>
        <w:tc>
          <w:tcPr>
            <w:tcW w:w="960" w:type="dxa"/>
            <w:vAlign w:val="bottom"/>
            <w:shd w:val="clear" w:color="auto" w:fill="D2DEA7"/>
          </w:tcPr>
          <w:p>
            <w:pPr>
              <w:ind w:left="500"/>
              <w:spacing w:after="0"/>
              <w:rPr>
                <w:sz w:val="20"/>
                <w:szCs w:val="20"/>
                <w:color w:val="auto"/>
              </w:rPr>
            </w:pPr>
            <w:r>
              <w:rPr>
                <w:rFonts w:ascii="Arial" w:cs="Arial" w:eastAsia="Arial" w:hAnsi="Arial"/>
                <w:sz w:val="15"/>
                <w:szCs w:val="15"/>
                <w:color w:val="auto"/>
              </w:rPr>
              <w:t>—</w:t>
            </w:r>
          </w:p>
        </w:tc>
        <w:tc>
          <w:tcPr>
            <w:tcW w:w="240" w:type="dxa"/>
            <w:vAlign w:val="bottom"/>
            <w:shd w:val="clear" w:color="auto" w:fill="D2DEA7"/>
          </w:tcPr>
          <w:p>
            <w:pPr>
              <w:spacing w:after="0"/>
              <w:rPr>
                <w:sz w:val="19"/>
                <w:szCs w:val="19"/>
                <w:color w:val="auto"/>
              </w:rPr>
            </w:pPr>
          </w:p>
        </w:tc>
        <w:tc>
          <w:tcPr>
            <w:tcW w:w="980" w:type="dxa"/>
            <w:vAlign w:val="bottom"/>
            <w:shd w:val="clear" w:color="auto" w:fill="D2DEA7"/>
          </w:tcPr>
          <w:p>
            <w:pPr>
              <w:jc w:val="right"/>
              <w:ind w:right="307"/>
              <w:spacing w:after="0"/>
              <w:rPr>
                <w:sz w:val="20"/>
                <w:szCs w:val="20"/>
                <w:color w:val="auto"/>
              </w:rPr>
            </w:pPr>
            <w:r>
              <w:rPr>
                <w:rFonts w:ascii="Arial" w:cs="Arial" w:eastAsia="Arial" w:hAnsi="Arial"/>
                <w:sz w:val="15"/>
                <w:szCs w:val="15"/>
                <w:color w:val="auto"/>
              </w:rPr>
              <w:t>—</w:t>
            </w:r>
          </w:p>
        </w:tc>
        <w:tc>
          <w:tcPr>
            <w:tcW w:w="1280" w:type="dxa"/>
            <w:vAlign w:val="bottom"/>
            <w:shd w:val="clear" w:color="auto" w:fill="D2DEA7"/>
          </w:tcPr>
          <w:p>
            <w:pPr>
              <w:jc w:val="right"/>
              <w:ind w:right="67"/>
              <w:spacing w:after="0"/>
              <w:rPr>
                <w:sz w:val="20"/>
                <w:szCs w:val="20"/>
                <w:color w:val="auto"/>
              </w:rPr>
            </w:pPr>
            <w:r>
              <w:rPr>
                <w:rFonts w:ascii="Arial" w:cs="Arial" w:eastAsia="Arial" w:hAnsi="Arial"/>
                <w:sz w:val="15"/>
                <w:szCs w:val="15"/>
                <w:color w:val="auto"/>
              </w:rPr>
              <w:t>25,165</w:t>
            </w:r>
          </w:p>
        </w:tc>
        <w:tc>
          <w:tcPr>
            <w:tcW w:w="940" w:type="dxa"/>
            <w:vAlign w:val="bottom"/>
            <w:shd w:val="clear" w:color="auto" w:fill="D2DEA7"/>
          </w:tcPr>
          <w:p>
            <w:pPr>
              <w:jc w:val="right"/>
              <w:ind w:right="47"/>
              <w:spacing w:after="0"/>
              <w:rPr>
                <w:sz w:val="20"/>
                <w:szCs w:val="20"/>
                <w:color w:val="auto"/>
              </w:rPr>
            </w:pPr>
            <w:r>
              <w:rPr>
                <w:rFonts w:ascii="Arial" w:cs="Arial" w:eastAsia="Arial" w:hAnsi="Arial"/>
                <w:sz w:val="15"/>
                <w:szCs w:val="15"/>
                <w:color w:val="auto"/>
              </w:rPr>
              <w:t>1,026,604</w:t>
            </w:r>
          </w:p>
        </w:tc>
        <w:tc>
          <w:tcPr>
            <w:tcW w:w="0" w:type="dxa"/>
            <w:vAlign w:val="bottom"/>
          </w:tcPr>
          <w:p>
            <w:pPr>
              <w:spacing w:after="0"/>
              <w:rPr>
                <w:sz w:val="1"/>
                <w:szCs w:val="1"/>
                <w:color w:val="auto"/>
              </w:rPr>
            </w:pPr>
          </w:p>
        </w:tc>
      </w:tr>
      <w:tr>
        <w:trPr>
          <w:trHeight w:val="239"/>
        </w:trPr>
        <w:tc>
          <w:tcPr>
            <w:tcW w:w="2700" w:type="dxa"/>
            <w:vAlign w:val="bottom"/>
            <w:shd w:val="clear" w:color="auto" w:fill="D2DEA7"/>
          </w:tcPr>
          <w:p>
            <w:pPr>
              <w:spacing w:after="0"/>
              <w:rPr>
                <w:sz w:val="20"/>
                <w:szCs w:val="20"/>
                <w:color w:val="auto"/>
              </w:rPr>
            </w:pPr>
          </w:p>
        </w:tc>
        <w:tc>
          <w:tcPr>
            <w:tcW w:w="160" w:type="dxa"/>
            <w:vAlign w:val="bottom"/>
            <w:shd w:val="clear" w:color="auto" w:fill="D2DEA7"/>
          </w:tcPr>
          <w:p>
            <w:pPr>
              <w:spacing w:after="0"/>
              <w:rPr>
                <w:sz w:val="20"/>
                <w:szCs w:val="20"/>
                <w:color w:val="auto"/>
              </w:rPr>
            </w:pPr>
          </w:p>
        </w:tc>
        <w:tc>
          <w:tcPr>
            <w:tcW w:w="560" w:type="dxa"/>
            <w:vAlign w:val="bottom"/>
            <w:shd w:val="clear" w:color="auto" w:fill="D2DEA7"/>
          </w:tcPr>
          <w:p>
            <w:pPr>
              <w:jc w:val="right"/>
              <w:ind w:right="107"/>
              <w:spacing w:after="0"/>
              <w:rPr>
                <w:sz w:val="20"/>
                <w:szCs w:val="20"/>
                <w:color w:val="auto"/>
              </w:rPr>
            </w:pPr>
            <w:r>
              <w:rPr>
                <w:rFonts w:ascii="Arial" w:cs="Arial" w:eastAsia="Arial" w:hAnsi="Arial"/>
                <w:sz w:val="15"/>
                <w:szCs w:val="15"/>
                <w:color w:val="auto"/>
              </w:rPr>
              <w:t>2019</w:t>
            </w:r>
          </w:p>
        </w:tc>
        <w:tc>
          <w:tcPr>
            <w:tcW w:w="860" w:type="dxa"/>
            <w:vAlign w:val="bottom"/>
            <w:shd w:val="clear" w:color="auto" w:fill="D2DEA7"/>
          </w:tcPr>
          <w:p>
            <w:pPr>
              <w:jc w:val="right"/>
              <w:ind w:right="87"/>
              <w:spacing w:after="0"/>
              <w:rPr>
                <w:sz w:val="20"/>
                <w:szCs w:val="20"/>
                <w:color w:val="auto"/>
              </w:rPr>
            </w:pPr>
            <w:r>
              <w:rPr>
                <w:rFonts w:ascii="Arial" w:cs="Arial" w:eastAsia="Arial" w:hAnsi="Arial"/>
                <w:sz w:val="15"/>
                <w:szCs w:val="15"/>
                <w:color w:val="auto"/>
              </w:rPr>
              <w:t>339,846</w:t>
            </w:r>
          </w:p>
        </w:tc>
        <w:tc>
          <w:tcPr>
            <w:tcW w:w="880" w:type="dxa"/>
            <w:vAlign w:val="bottom"/>
            <w:shd w:val="clear" w:color="auto" w:fill="D2DEA7"/>
          </w:tcPr>
          <w:p>
            <w:pPr>
              <w:jc w:val="right"/>
              <w:ind w:right="187"/>
              <w:spacing w:after="0"/>
              <w:rPr>
                <w:sz w:val="20"/>
                <w:szCs w:val="20"/>
                <w:color w:val="auto"/>
              </w:rPr>
            </w:pPr>
            <w:r>
              <w:rPr>
                <w:rFonts w:ascii="Arial" w:cs="Arial" w:eastAsia="Arial" w:hAnsi="Arial"/>
                <w:sz w:val="15"/>
                <w:szCs w:val="15"/>
                <w:color w:val="auto"/>
              </w:rPr>
              <w:t>—</w:t>
            </w:r>
          </w:p>
        </w:tc>
        <w:tc>
          <w:tcPr>
            <w:tcW w:w="980" w:type="dxa"/>
            <w:vAlign w:val="bottom"/>
            <w:shd w:val="clear" w:color="auto" w:fill="D2DEA7"/>
          </w:tcPr>
          <w:p>
            <w:pPr>
              <w:jc w:val="right"/>
              <w:ind w:right="107"/>
              <w:spacing w:after="0"/>
              <w:rPr>
                <w:sz w:val="20"/>
                <w:szCs w:val="20"/>
                <w:color w:val="auto"/>
              </w:rPr>
            </w:pPr>
            <w:r>
              <w:rPr>
                <w:rFonts w:ascii="Arial" w:cs="Arial" w:eastAsia="Arial" w:hAnsi="Arial"/>
                <w:sz w:val="15"/>
                <w:szCs w:val="15"/>
                <w:color w:val="auto"/>
              </w:rPr>
              <w:t>250,000</w:t>
            </w:r>
          </w:p>
        </w:tc>
        <w:tc>
          <w:tcPr>
            <w:tcW w:w="960" w:type="dxa"/>
            <w:vAlign w:val="bottom"/>
            <w:shd w:val="clear" w:color="auto" w:fill="D2DEA7"/>
          </w:tcPr>
          <w:p>
            <w:pPr>
              <w:ind w:left="500"/>
              <w:spacing w:after="0"/>
              <w:rPr>
                <w:sz w:val="20"/>
                <w:szCs w:val="20"/>
                <w:color w:val="auto"/>
              </w:rPr>
            </w:pPr>
            <w:r>
              <w:rPr>
                <w:rFonts w:ascii="Arial" w:cs="Arial" w:eastAsia="Arial" w:hAnsi="Arial"/>
                <w:sz w:val="15"/>
                <w:szCs w:val="15"/>
                <w:color w:val="auto"/>
              </w:rPr>
              <w:t>—</w:t>
            </w:r>
          </w:p>
        </w:tc>
        <w:tc>
          <w:tcPr>
            <w:tcW w:w="240" w:type="dxa"/>
            <w:vAlign w:val="bottom"/>
            <w:shd w:val="clear" w:color="auto" w:fill="D2DEA7"/>
          </w:tcPr>
          <w:p>
            <w:pPr>
              <w:spacing w:after="0"/>
              <w:rPr>
                <w:sz w:val="20"/>
                <w:szCs w:val="20"/>
                <w:color w:val="auto"/>
              </w:rPr>
            </w:pPr>
          </w:p>
        </w:tc>
        <w:tc>
          <w:tcPr>
            <w:tcW w:w="980" w:type="dxa"/>
            <w:vAlign w:val="bottom"/>
            <w:shd w:val="clear" w:color="auto" w:fill="D2DEA7"/>
          </w:tcPr>
          <w:p>
            <w:pPr>
              <w:jc w:val="right"/>
              <w:ind w:right="127"/>
              <w:spacing w:after="0"/>
              <w:rPr>
                <w:sz w:val="20"/>
                <w:szCs w:val="20"/>
                <w:color w:val="auto"/>
              </w:rPr>
            </w:pPr>
            <w:r>
              <w:rPr>
                <w:rFonts w:ascii="Arial" w:cs="Arial" w:eastAsia="Arial" w:hAnsi="Arial"/>
                <w:sz w:val="15"/>
                <w:szCs w:val="15"/>
                <w:color w:val="auto"/>
              </w:rPr>
              <w:t>92,899</w:t>
            </w:r>
          </w:p>
        </w:tc>
        <w:tc>
          <w:tcPr>
            <w:tcW w:w="1280" w:type="dxa"/>
            <w:vAlign w:val="bottom"/>
            <w:shd w:val="clear" w:color="auto" w:fill="D2DEA7"/>
          </w:tcPr>
          <w:p>
            <w:pPr>
              <w:jc w:val="right"/>
              <w:ind w:right="67"/>
              <w:spacing w:after="0"/>
              <w:rPr>
                <w:sz w:val="20"/>
                <w:szCs w:val="20"/>
                <w:color w:val="auto"/>
              </w:rPr>
            </w:pPr>
            <w:r>
              <w:rPr>
                <w:rFonts w:ascii="Arial" w:cs="Arial" w:eastAsia="Arial" w:hAnsi="Arial"/>
                <w:sz w:val="15"/>
                <w:szCs w:val="15"/>
                <w:color w:val="auto"/>
              </w:rPr>
              <w:t>27,352</w:t>
            </w:r>
          </w:p>
        </w:tc>
        <w:tc>
          <w:tcPr>
            <w:tcW w:w="940" w:type="dxa"/>
            <w:vAlign w:val="bottom"/>
            <w:shd w:val="clear" w:color="auto" w:fill="D2DEA7"/>
          </w:tcPr>
          <w:p>
            <w:pPr>
              <w:jc w:val="right"/>
              <w:ind w:right="47"/>
              <w:spacing w:after="0"/>
              <w:rPr>
                <w:sz w:val="20"/>
                <w:szCs w:val="20"/>
                <w:color w:val="auto"/>
              </w:rPr>
            </w:pPr>
            <w:r>
              <w:rPr>
                <w:rFonts w:ascii="Arial" w:cs="Arial" w:eastAsia="Arial" w:hAnsi="Arial"/>
                <w:sz w:val="15"/>
                <w:szCs w:val="15"/>
                <w:color w:val="auto"/>
              </w:rPr>
              <w:t>710,097</w:t>
            </w:r>
          </w:p>
        </w:tc>
        <w:tc>
          <w:tcPr>
            <w:tcW w:w="0" w:type="dxa"/>
            <w:vAlign w:val="bottom"/>
          </w:tcPr>
          <w:p>
            <w:pPr>
              <w:spacing w:after="0"/>
              <w:rPr>
                <w:sz w:val="1"/>
                <w:szCs w:val="1"/>
                <w:color w:val="auto"/>
              </w:rPr>
            </w:pPr>
          </w:p>
        </w:tc>
      </w:tr>
      <w:tr>
        <w:trPr>
          <w:trHeight w:val="201"/>
        </w:trPr>
        <w:tc>
          <w:tcPr>
            <w:tcW w:w="2700" w:type="dxa"/>
            <w:vAlign w:val="bottom"/>
            <w:shd w:val="clear" w:color="auto" w:fill="E8EED3"/>
          </w:tcPr>
          <w:p>
            <w:pPr>
              <w:ind w:left="60"/>
              <w:spacing w:after="0"/>
              <w:rPr>
                <w:sz w:val="20"/>
                <w:szCs w:val="20"/>
                <w:color w:val="auto"/>
              </w:rPr>
            </w:pPr>
            <w:r>
              <w:rPr>
                <w:rFonts w:ascii="Arial" w:cs="Arial" w:eastAsia="Arial" w:hAnsi="Arial"/>
                <w:sz w:val="15"/>
                <w:szCs w:val="15"/>
                <w:color w:val="auto"/>
              </w:rPr>
              <w:t>Ramesh Nuggihalli</w:t>
            </w:r>
          </w:p>
        </w:tc>
        <w:tc>
          <w:tcPr>
            <w:tcW w:w="160" w:type="dxa"/>
            <w:vAlign w:val="bottom"/>
            <w:shd w:val="clear" w:color="auto" w:fill="E8EED3"/>
          </w:tcPr>
          <w:p>
            <w:pPr>
              <w:spacing w:after="0"/>
              <w:rPr>
                <w:sz w:val="17"/>
                <w:szCs w:val="17"/>
                <w:color w:val="auto"/>
              </w:rPr>
            </w:pPr>
          </w:p>
        </w:tc>
        <w:tc>
          <w:tcPr>
            <w:tcW w:w="560" w:type="dxa"/>
            <w:vAlign w:val="bottom"/>
            <w:vMerge w:val="restart"/>
            <w:shd w:val="clear" w:color="auto" w:fill="E8EED3"/>
          </w:tcPr>
          <w:p>
            <w:pPr>
              <w:jc w:val="right"/>
              <w:ind w:right="107"/>
              <w:spacing w:after="0"/>
              <w:rPr>
                <w:sz w:val="20"/>
                <w:szCs w:val="20"/>
                <w:color w:val="auto"/>
              </w:rPr>
            </w:pPr>
            <w:r>
              <w:rPr>
                <w:rFonts w:ascii="Arial" w:cs="Arial" w:eastAsia="Arial" w:hAnsi="Arial"/>
                <w:sz w:val="15"/>
                <w:szCs w:val="15"/>
                <w:color w:val="auto"/>
              </w:rPr>
              <w:t>2021</w:t>
            </w:r>
          </w:p>
        </w:tc>
        <w:tc>
          <w:tcPr>
            <w:tcW w:w="860" w:type="dxa"/>
            <w:vAlign w:val="bottom"/>
            <w:vMerge w:val="restart"/>
            <w:shd w:val="clear" w:color="auto" w:fill="E8EED3"/>
          </w:tcPr>
          <w:p>
            <w:pPr>
              <w:jc w:val="right"/>
              <w:ind w:right="87"/>
              <w:spacing w:after="0"/>
              <w:rPr>
                <w:sz w:val="20"/>
                <w:szCs w:val="20"/>
                <w:color w:val="auto"/>
              </w:rPr>
            </w:pPr>
            <w:r>
              <w:rPr>
                <w:rFonts w:ascii="Arial" w:cs="Arial" w:eastAsia="Arial" w:hAnsi="Arial"/>
                <w:sz w:val="15"/>
                <w:szCs w:val="15"/>
                <w:color w:val="auto"/>
              </w:rPr>
              <w:t>274,039</w:t>
            </w:r>
          </w:p>
        </w:tc>
        <w:tc>
          <w:tcPr>
            <w:tcW w:w="880" w:type="dxa"/>
            <w:vAlign w:val="bottom"/>
            <w:vMerge w:val="restart"/>
            <w:shd w:val="clear" w:color="auto" w:fill="E8EED3"/>
          </w:tcPr>
          <w:p>
            <w:pPr>
              <w:jc w:val="right"/>
              <w:ind w:right="107"/>
              <w:spacing w:after="0"/>
              <w:rPr>
                <w:sz w:val="20"/>
                <w:szCs w:val="20"/>
                <w:color w:val="auto"/>
              </w:rPr>
            </w:pPr>
            <w:r>
              <w:rPr>
                <w:rFonts w:ascii="Arial" w:cs="Arial" w:eastAsia="Arial" w:hAnsi="Arial"/>
                <w:sz w:val="15"/>
                <w:szCs w:val="15"/>
                <w:color w:val="auto"/>
              </w:rPr>
              <w:t>51,873</w:t>
            </w:r>
          </w:p>
        </w:tc>
        <w:tc>
          <w:tcPr>
            <w:tcW w:w="980" w:type="dxa"/>
            <w:vAlign w:val="bottom"/>
            <w:vMerge w:val="restart"/>
            <w:shd w:val="clear" w:color="auto" w:fill="E8EED3"/>
          </w:tcPr>
          <w:p>
            <w:pPr>
              <w:jc w:val="right"/>
              <w:ind w:right="107"/>
              <w:spacing w:after="0"/>
              <w:rPr>
                <w:sz w:val="20"/>
                <w:szCs w:val="20"/>
                <w:color w:val="auto"/>
              </w:rPr>
            </w:pPr>
            <w:r>
              <w:rPr>
                <w:rFonts w:ascii="Arial" w:cs="Arial" w:eastAsia="Arial" w:hAnsi="Arial"/>
                <w:sz w:val="15"/>
                <w:szCs w:val="15"/>
                <w:color w:val="auto"/>
              </w:rPr>
              <w:t>526,601</w:t>
            </w:r>
          </w:p>
        </w:tc>
        <w:tc>
          <w:tcPr>
            <w:tcW w:w="960" w:type="dxa"/>
            <w:vAlign w:val="bottom"/>
            <w:vMerge w:val="restart"/>
            <w:shd w:val="clear" w:color="auto" w:fill="E8EED3"/>
          </w:tcPr>
          <w:p>
            <w:pPr>
              <w:ind w:left="500"/>
              <w:spacing w:after="0"/>
              <w:rPr>
                <w:sz w:val="20"/>
                <w:szCs w:val="20"/>
                <w:color w:val="auto"/>
              </w:rPr>
            </w:pPr>
            <w:r>
              <w:rPr>
                <w:rFonts w:ascii="Arial" w:cs="Arial" w:eastAsia="Arial" w:hAnsi="Arial"/>
                <w:sz w:val="15"/>
                <w:szCs w:val="15"/>
                <w:color w:val="auto"/>
              </w:rPr>
              <w:t>—</w:t>
            </w:r>
          </w:p>
        </w:tc>
        <w:tc>
          <w:tcPr>
            <w:tcW w:w="240" w:type="dxa"/>
            <w:vAlign w:val="bottom"/>
            <w:vMerge w:val="restart"/>
            <w:shd w:val="clear" w:color="auto" w:fill="E8EED3"/>
          </w:tcPr>
          <w:p>
            <w:pPr>
              <w:ind w:left="140"/>
              <w:spacing w:after="0"/>
              <w:rPr>
                <w:sz w:val="20"/>
                <w:szCs w:val="20"/>
                <w:color w:val="auto"/>
              </w:rPr>
            </w:pPr>
            <w:r>
              <w:rPr>
                <w:rFonts w:ascii="Arial" w:cs="Arial" w:eastAsia="Arial" w:hAnsi="Arial"/>
                <w:sz w:val="15"/>
                <w:szCs w:val="15"/>
                <w:color w:val="auto"/>
                <w:w w:val="95"/>
              </w:rPr>
              <w:t>$</w:t>
            </w:r>
          </w:p>
        </w:tc>
        <w:tc>
          <w:tcPr>
            <w:tcW w:w="980" w:type="dxa"/>
            <w:vAlign w:val="bottom"/>
            <w:vMerge w:val="restart"/>
            <w:shd w:val="clear" w:color="auto" w:fill="E8EED3"/>
          </w:tcPr>
          <w:p>
            <w:pPr>
              <w:jc w:val="right"/>
              <w:ind w:right="127"/>
              <w:spacing w:after="0"/>
              <w:rPr>
                <w:sz w:val="20"/>
                <w:szCs w:val="20"/>
                <w:color w:val="auto"/>
              </w:rPr>
            </w:pPr>
            <w:r>
              <w:rPr>
                <w:rFonts w:ascii="Arial" w:cs="Arial" w:eastAsia="Arial" w:hAnsi="Arial"/>
                <w:sz w:val="15"/>
                <w:szCs w:val="15"/>
                <w:color w:val="auto"/>
              </w:rPr>
              <w:t>70,182</w:t>
            </w:r>
          </w:p>
        </w:tc>
        <w:tc>
          <w:tcPr>
            <w:tcW w:w="1280" w:type="dxa"/>
            <w:vAlign w:val="bottom"/>
            <w:vMerge w:val="restart"/>
            <w:shd w:val="clear" w:color="auto" w:fill="E8EED3"/>
          </w:tcPr>
          <w:p>
            <w:pPr>
              <w:jc w:val="right"/>
              <w:ind w:right="67"/>
              <w:spacing w:after="0"/>
              <w:rPr>
                <w:sz w:val="20"/>
                <w:szCs w:val="20"/>
                <w:color w:val="auto"/>
              </w:rPr>
            </w:pPr>
            <w:r>
              <w:rPr>
                <w:rFonts w:ascii="Arial" w:cs="Arial" w:eastAsia="Arial" w:hAnsi="Arial"/>
                <w:sz w:val="15"/>
                <w:szCs w:val="15"/>
                <w:color w:val="auto"/>
              </w:rPr>
              <w:t>15,363</w:t>
            </w:r>
          </w:p>
        </w:tc>
        <w:tc>
          <w:tcPr>
            <w:tcW w:w="940" w:type="dxa"/>
            <w:vAlign w:val="bottom"/>
            <w:vMerge w:val="restart"/>
            <w:shd w:val="clear" w:color="auto" w:fill="E8EED3"/>
          </w:tcPr>
          <w:p>
            <w:pPr>
              <w:jc w:val="right"/>
              <w:ind w:right="47"/>
              <w:spacing w:after="0"/>
              <w:rPr>
                <w:sz w:val="20"/>
                <w:szCs w:val="20"/>
                <w:color w:val="auto"/>
              </w:rPr>
            </w:pPr>
            <w:r>
              <w:rPr>
                <w:rFonts w:ascii="Arial" w:cs="Arial" w:eastAsia="Arial" w:hAnsi="Arial"/>
                <w:sz w:val="15"/>
                <w:szCs w:val="15"/>
                <w:color w:val="auto"/>
              </w:rPr>
              <w:t>938,058</w:t>
            </w:r>
          </w:p>
        </w:tc>
        <w:tc>
          <w:tcPr>
            <w:tcW w:w="0" w:type="dxa"/>
            <w:vAlign w:val="bottom"/>
          </w:tcPr>
          <w:p>
            <w:pPr>
              <w:spacing w:after="0"/>
              <w:rPr>
                <w:sz w:val="1"/>
                <w:szCs w:val="1"/>
                <w:color w:val="auto"/>
              </w:rPr>
            </w:pPr>
          </w:p>
        </w:tc>
      </w:tr>
      <w:tr>
        <w:trPr>
          <w:trHeight w:val="52"/>
        </w:trPr>
        <w:tc>
          <w:tcPr>
            <w:tcW w:w="2700" w:type="dxa"/>
            <w:vAlign w:val="bottom"/>
            <w:vMerge w:val="restart"/>
            <w:shd w:val="clear" w:color="auto" w:fill="E8EED3"/>
          </w:tcPr>
          <w:p>
            <w:pPr>
              <w:ind w:left="60"/>
              <w:spacing w:after="0"/>
              <w:rPr>
                <w:sz w:val="20"/>
                <w:szCs w:val="20"/>
                <w:color w:val="auto"/>
              </w:rPr>
            </w:pPr>
            <w:r>
              <w:rPr>
                <w:rFonts w:ascii="Arial" w:cs="Arial" w:eastAsia="Arial" w:hAnsi="Arial"/>
                <w:sz w:val="15"/>
                <w:szCs w:val="15"/>
                <w:color w:val="auto"/>
              </w:rPr>
              <w:t>Chief Operating Officer</w:t>
            </w:r>
          </w:p>
        </w:tc>
        <w:tc>
          <w:tcPr>
            <w:tcW w:w="160" w:type="dxa"/>
            <w:vAlign w:val="bottom"/>
            <w:shd w:val="clear" w:color="auto" w:fill="E8EED3"/>
          </w:tcPr>
          <w:p>
            <w:pPr>
              <w:spacing w:after="0"/>
              <w:rPr>
                <w:sz w:val="4"/>
                <w:szCs w:val="4"/>
                <w:color w:val="auto"/>
              </w:rPr>
            </w:pPr>
          </w:p>
        </w:tc>
        <w:tc>
          <w:tcPr>
            <w:tcW w:w="560" w:type="dxa"/>
            <w:vAlign w:val="bottom"/>
            <w:vMerge w:val="continue"/>
            <w:shd w:val="clear" w:color="auto" w:fill="E8EED3"/>
          </w:tcPr>
          <w:p>
            <w:pPr>
              <w:spacing w:after="0"/>
              <w:rPr>
                <w:sz w:val="4"/>
                <w:szCs w:val="4"/>
                <w:color w:val="auto"/>
              </w:rPr>
            </w:pPr>
          </w:p>
        </w:tc>
        <w:tc>
          <w:tcPr>
            <w:tcW w:w="860" w:type="dxa"/>
            <w:vAlign w:val="bottom"/>
            <w:vMerge w:val="continue"/>
            <w:shd w:val="clear" w:color="auto" w:fill="E8EED3"/>
          </w:tcPr>
          <w:p>
            <w:pPr>
              <w:spacing w:after="0"/>
              <w:rPr>
                <w:sz w:val="4"/>
                <w:szCs w:val="4"/>
                <w:color w:val="auto"/>
              </w:rPr>
            </w:pPr>
          </w:p>
        </w:tc>
        <w:tc>
          <w:tcPr>
            <w:tcW w:w="880" w:type="dxa"/>
            <w:vAlign w:val="bottom"/>
            <w:vMerge w:val="continue"/>
            <w:shd w:val="clear" w:color="auto" w:fill="E8EED3"/>
          </w:tcPr>
          <w:p>
            <w:pPr>
              <w:spacing w:after="0"/>
              <w:rPr>
                <w:sz w:val="4"/>
                <w:szCs w:val="4"/>
                <w:color w:val="auto"/>
              </w:rPr>
            </w:pPr>
          </w:p>
        </w:tc>
        <w:tc>
          <w:tcPr>
            <w:tcW w:w="980" w:type="dxa"/>
            <w:vAlign w:val="bottom"/>
            <w:vMerge w:val="continue"/>
            <w:shd w:val="clear" w:color="auto" w:fill="E8EED3"/>
          </w:tcPr>
          <w:p>
            <w:pPr>
              <w:spacing w:after="0"/>
              <w:rPr>
                <w:sz w:val="4"/>
                <w:szCs w:val="4"/>
                <w:color w:val="auto"/>
              </w:rPr>
            </w:pPr>
          </w:p>
        </w:tc>
        <w:tc>
          <w:tcPr>
            <w:tcW w:w="960" w:type="dxa"/>
            <w:vAlign w:val="bottom"/>
            <w:vMerge w:val="continue"/>
            <w:shd w:val="clear" w:color="auto" w:fill="E8EED3"/>
          </w:tcPr>
          <w:p>
            <w:pPr>
              <w:spacing w:after="0"/>
              <w:rPr>
                <w:sz w:val="4"/>
                <w:szCs w:val="4"/>
                <w:color w:val="auto"/>
              </w:rPr>
            </w:pPr>
          </w:p>
        </w:tc>
        <w:tc>
          <w:tcPr>
            <w:tcW w:w="240" w:type="dxa"/>
            <w:vAlign w:val="bottom"/>
            <w:vMerge w:val="continue"/>
            <w:shd w:val="clear" w:color="auto" w:fill="E8EED3"/>
          </w:tcPr>
          <w:p>
            <w:pPr>
              <w:spacing w:after="0"/>
              <w:rPr>
                <w:sz w:val="4"/>
                <w:szCs w:val="4"/>
                <w:color w:val="auto"/>
              </w:rPr>
            </w:pPr>
          </w:p>
        </w:tc>
        <w:tc>
          <w:tcPr>
            <w:tcW w:w="980" w:type="dxa"/>
            <w:vAlign w:val="bottom"/>
            <w:vMerge w:val="continue"/>
            <w:shd w:val="clear" w:color="auto" w:fill="E8EED3"/>
          </w:tcPr>
          <w:p>
            <w:pPr>
              <w:spacing w:after="0"/>
              <w:rPr>
                <w:sz w:val="4"/>
                <w:szCs w:val="4"/>
                <w:color w:val="auto"/>
              </w:rPr>
            </w:pPr>
          </w:p>
        </w:tc>
        <w:tc>
          <w:tcPr>
            <w:tcW w:w="1280" w:type="dxa"/>
            <w:vAlign w:val="bottom"/>
            <w:vMerge w:val="continue"/>
            <w:shd w:val="clear" w:color="auto" w:fill="E8EED3"/>
          </w:tcPr>
          <w:p>
            <w:pPr>
              <w:spacing w:after="0"/>
              <w:rPr>
                <w:sz w:val="4"/>
                <w:szCs w:val="4"/>
                <w:color w:val="auto"/>
              </w:rPr>
            </w:pPr>
          </w:p>
        </w:tc>
        <w:tc>
          <w:tcPr>
            <w:tcW w:w="940" w:type="dxa"/>
            <w:vAlign w:val="bottom"/>
            <w:vMerge w:val="continue"/>
            <w:shd w:val="clear" w:color="auto" w:fill="E8EED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700" w:type="dxa"/>
            <w:vAlign w:val="bottom"/>
            <w:vMerge w:val="continue"/>
            <w:shd w:val="clear" w:color="auto" w:fill="E8EED3"/>
          </w:tcPr>
          <w:p>
            <w:pPr>
              <w:spacing w:after="0"/>
              <w:rPr>
                <w:sz w:val="14"/>
                <w:szCs w:val="14"/>
                <w:color w:val="auto"/>
              </w:rPr>
            </w:pPr>
          </w:p>
        </w:tc>
        <w:tc>
          <w:tcPr>
            <w:tcW w:w="160" w:type="dxa"/>
            <w:vAlign w:val="bottom"/>
            <w:shd w:val="clear" w:color="auto" w:fill="E8EED3"/>
          </w:tcPr>
          <w:p>
            <w:pPr>
              <w:spacing w:after="0"/>
              <w:rPr>
                <w:sz w:val="14"/>
                <w:szCs w:val="14"/>
                <w:color w:val="auto"/>
              </w:rPr>
            </w:pPr>
          </w:p>
        </w:tc>
        <w:tc>
          <w:tcPr>
            <w:tcW w:w="560" w:type="dxa"/>
            <w:vAlign w:val="bottom"/>
            <w:shd w:val="clear" w:color="auto" w:fill="E8EED3"/>
          </w:tcPr>
          <w:p>
            <w:pPr>
              <w:spacing w:after="0"/>
              <w:rPr>
                <w:sz w:val="14"/>
                <w:szCs w:val="14"/>
                <w:color w:val="auto"/>
              </w:rPr>
            </w:pPr>
          </w:p>
        </w:tc>
        <w:tc>
          <w:tcPr>
            <w:tcW w:w="860" w:type="dxa"/>
            <w:vAlign w:val="bottom"/>
            <w:shd w:val="clear" w:color="auto" w:fill="E8EED3"/>
          </w:tcPr>
          <w:p>
            <w:pPr>
              <w:spacing w:after="0"/>
              <w:rPr>
                <w:sz w:val="14"/>
                <w:szCs w:val="14"/>
                <w:color w:val="auto"/>
              </w:rPr>
            </w:pPr>
          </w:p>
        </w:tc>
        <w:tc>
          <w:tcPr>
            <w:tcW w:w="880" w:type="dxa"/>
            <w:vAlign w:val="bottom"/>
            <w:shd w:val="clear" w:color="auto" w:fill="E8EED3"/>
          </w:tcPr>
          <w:p>
            <w:pPr>
              <w:spacing w:after="0"/>
              <w:rPr>
                <w:sz w:val="14"/>
                <w:szCs w:val="14"/>
                <w:color w:val="auto"/>
              </w:rPr>
            </w:pPr>
          </w:p>
        </w:tc>
        <w:tc>
          <w:tcPr>
            <w:tcW w:w="980" w:type="dxa"/>
            <w:vAlign w:val="bottom"/>
            <w:shd w:val="clear" w:color="auto" w:fill="E8EED3"/>
          </w:tcPr>
          <w:p>
            <w:pPr>
              <w:spacing w:after="0"/>
              <w:rPr>
                <w:sz w:val="14"/>
                <w:szCs w:val="14"/>
                <w:color w:val="auto"/>
              </w:rPr>
            </w:pPr>
          </w:p>
        </w:tc>
        <w:tc>
          <w:tcPr>
            <w:tcW w:w="960" w:type="dxa"/>
            <w:vAlign w:val="bottom"/>
            <w:shd w:val="clear" w:color="auto" w:fill="E8EED3"/>
          </w:tcPr>
          <w:p>
            <w:pPr>
              <w:spacing w:after="0"/>
              <w:rPr>
                <w:sz w:val="14"/>
                <w:szCs w:val="14"/>
                <w:color w:val="auto"/>
              </w:rPr>
            </w:pPr>
          </w:p>
        </w:tc>
        <w:tc>
          <w:tcPr>
            <w:tcW w:w="240" w:type="dxa"/>
            <w:vAlign w:val="bottom"/>
            <w:shd w:val="clear" w:color="auto" w:fill="E8EED3"/>
          </w:tcPr>
          <w:p>
            <w:pPr>
              <w:spacing w:after="0"/>
              <w:rPr>
                <w:sz w:val="14"/>
                <w:szCs w:val="14"/>
                <w:color w:val="auto"/>
              </w:rPr>
            </w:pPr>
          </w:p>
        </w:tc>
        <w:tc>
          <w:tcPr>
            <w:tcW w:w="980" w:type="dxa"/>
            <w:vAlign w:val="bottom"/>
            <w:shd w:val="clear" w:color="auto" w:fill="E8EED3"/>
          </w:tcPr>
          <w:p>
            <w:pPr>
              <w:spacing w:after="0"/>
              <w:rPr>
                <w:sz w:val="14"/>
                <w:szCs w:val="14"/>
                <w:color w:val="auto"/>
              </w:rPr>
            </w:pPr>
          </w:p>
        </w:tc>
        <w:tc>
          <w:tcPr>
            <w:tcW w:w="1280" w:type="dxa"/>
            <w:vAlign w:val="bottom"/>
            <w:shd w:val="clear" w:color="auto" w:fill="E8EED3"/>
          </w:tcPr>
          <w:p>
            <w:pPr>
              <w:spacing w:after="0"/>
              <w:rPr>
                <w:sz w:val="14"/>
                <w:szCs w:val="14"/>
                <w:color w:val="auto"/>
              </w:rPr>
            </w:pPr>
          </w:p>
        </w:tc>
        <w:tc>
          <w:tcPr>
            <w:tcW w:w="940" w:type="dxa"/>
            <w:vAlign w:val="bottom"/>
            <w:shd w:val="clear" w:color="auto" w:fill="E8EED3"/>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700" w:type="dxa"/>
            <w:vAlign w:val="bottom"/>
            <w:shd w:val="clear" w:color="auto" w:fill="E8EED3"/>
          </w:tcPr>
          <w:p>
            <w:pPr>
              <w:spacing w:after="0"/>
              <w:rPr>
                <w:sz w:val="3"/>
                <w:szCs w:val="3"/>
                <w:color w:val="auto"/>
              </w:rPr>
            </w:pPr>
          </w:p>
        </w:tc>
        <w:tc>
          <w:tcPr>
            <w:tcW w:w="160" w:type="dxa"/>
            <w:vAlign w:val="bottom"/>
            <w:shd w:val="clear" w:color="auto" w:fill="E8EED3"/>
          </w:tcPr>
          <w:p>
            <w:pPr>
              <w:spacing w:after="0"/>
              <w:rPr>
                <w:sz w:val="3"/>
                <w:szCs w:val="3"/>
                <w:color w:val="auto"/>
              </w:rPr>
            </w:pPr>
          </w:p>
        </w:tc>
        <w:tc>
          <w:tcPr>
            <w:tcW w:w="560" w:type="dxa"/>
            <w:vAlign w:val="bottom"/>
            <w:shd w:val="clear" w:color="auto" w:fill="E8EED3"/>
          </w:tcPr>
          <w:p>
            <w:pPr>
              <w:spacing w:after="0"/>
              <w:rPr>
                <w:sz w:val="3"/>
                <w:szCs w:val="3"/>
                <w:color w:val="auto"/>
              </w:rPr>
            </w:pPr>
          </w:p>
        </w:tc>
        <w:tc>
          <w:tcPr>
            <w:tcW w:w="860" w:type="dxa"/>
            <w:vAlign w:val="bottom"/>
            <w:shd w:val="clear" w:color="auto" w:fill="E8EED3"/>
          </w:tcPr>
          <w:p>
            <w:pPr>
              <w:spacing w:after="0"/>
              <w:rPr>
                <w:sz w:val="3"/>
                <w:szCs w:val="3"/>
                <w:color w:val="auto"/>
              </w:rPr>
            </w:pPr>
          </w:p>
        </w:tc>
        <w:tc>
          <w:tcPr>
            <w:tcW w:w="880" w:type="dxa"/>
            <w:vAlign w:val="bottom"/>
            <w:shd w:val="clear" w:color="auto" w:fill="E8EED3"/>
          </w:tcPr>
          <w:p>
            <w:pPr>
              <w:spacing w:after="0"/>
              <w:rPr>
                <w:sz w:val="3"/>
                <w:szCs w:val="3"/>
                <w:color w:val="auto"/>
              </w:rPr>
            </w:pPr>
          </w:p>
        </w:tc>
        <w:tc>
          <w:tcPr>
            <w:tcW w:w="980" w:type="dxa"/>
            <w:vAlign w:val="bottom"/>
            <w:shd w:val="clear" w:color="auto" w:fill="E8EED3"/>
          </w:tcPr>
          <w:p>
            <w:pPr>
              <w:spacing w:after="0"/>
              <w:rPr>
                <w:sz w:val="3"/>
                <w:szCs w:val="3"/>
                <w:color w:val="auto"/>
              </w:rPr>
            </w:pPr>
          </w:p>
        </w:tc>
        <w:tc>
          <w:tcPr>
            <w:tcW w:w="960" w:type="dxa"/>
            <w:vAlign w:val="bottom"/>
            <w:shd w:val="clear" w:color="auto" w:fill="E8EED3"/>
          </w:tcPr>
          <w:p>
            <w:pPr>
              <w:spacing w:after="0"/>
              <w:rPr>
                <w:sz w:val="3"/>
                <w:szCs w:val="3"/>
                <w:color w:val="auto"/>
              </w:rPr>
            </w:pPr>
          </w:p>
        </w:tc>
        <w:tc>
          <w:tcPr>
            <w:tcW w:w="240" w:type="dxa"/>
            <w:vAlign w:val="bottom"/>
            <w:shd w:val="clear" w:color="auto" w:fill="E8EED3"/>
          </w:tcPr>
          <w:p>
            <w:pPr>
              <w:spacing w:after="0"/>
              <w:rPr>
                <w:sz w:val="3"/>
                <w:szCs w:val="3"/>
                <w:color w:val="auto"/>
              </w:rPr>
            </w:pPr>
          </w:p>
        </w:tc>
        <w:tc>
          <w:tcPr>
            <w:tcW w:w="980" w:type="dxa"/>
            <w:vAlign w:val="bottom"/>
            <w:shd w:val="clear" w:color="auto" w:fill="E8EED3"/>
          </w:tcPr>
          <w:p>
            <w:pPr>
              <w:spacing w:after="0"/>
              <w:rPr>
                <w:sz w:val="3"/>
                <w:szCs w:val="3"/>
                <w:color w:val="auto"/>
              </w:rPr>
            </w:pPr>
          </w:p>
        </w:tc>
        <w:tc>
          <w:tcPr>
            <w:tcW w:w="1280" w:type="dxa"/>
            <w:vAlign w:val="bottom"/>
            <w:shd w:val="clear" w:color="auto" w:fill="E8EED3"/>
          </w:tcPr>
          <w:p>
            <w:pPr>
              <w:spacing w:after="0"/>
              <w:rPr>
                <w:sz w:val="3"/>
                <w:szCs w:val="3"/>
                <w:color w:val="auto"/>
              </w:rPr>
            </w:pPr>
          </w:p>
        </w:tc>
        <w:tc>
          <w:tcPr>
            <w:tcW w:w="940" w:type="dxa"/>
            <w:vAlign w:val="bottom"/>
            <w:shd w:val="clear" w:color="auto" w:fill="E8EED3"/>
          </w:tcPr>
          <w:p>
            <w:pPr>
              <w:spacing w:after="0"/>
              <w:rPr>
                <w:sz w:val="3"/>
                <w:szCs w:val="3"/>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760" w:hanging="414"/>
        <w:spacing w:after="0"/>
        <w:tabs>
          <w:tab w:leader="none" w:pos="7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This column reflects for 2021 the discretionary portion of the annual cash incentive awards paid to our named executive officers for 2021, as further described above.</w:t>
      </w:r>
    </w:p>
    <w:p>
      <w:pPr>
        <w:spacing w:after="0" w:line="143" w:lineRule="exact"/>
        <w:rPr>
          <w:rFonts w:ascii="Arial" w:cs="Arial" w:eastAsia="Arial" w:hAnsi="Arial"/>
          <w:sz w:val="13"/>
          <w:szCs w:val="13"/>
          <w:color w:val="auto"/>
        </w:rPr>
      </w:pPr>
    </w:p>
    <w:p>
      <w:pPr>
        <w:ind w:left="9060"/>
        <w:spacing w:after="0"/>
        <w:rPr>
          <w:rFonts w:ascii="Arial" w:cs="Arial" w:eastAsia="Arial" w:hAnsi="Arial"/>
          <w:sz w:val="13"/>
          <w:szCs w:val="13"/>
          <w:color w:val="auto"/>
        </w:rPr>
      </w:pPr>
      <w:r>
        <w:rPr>
          <w:rFonts w:ascii="Arial" w:cs="Arial" w:eastAsia="Arial" w:hAnsi="Arial"/>
          <w:sz w:val="14"/>
          <w:szCs w:val="14"/>
          <w:color w:val="262626"/>
        </w:rPr>
        <w:t>2022 Proxy Statement • 25</w:t>
      </w:r>
    </w:p>
    <w:p>
      <w:pPr>
        <w:sectPr>
          <w:pgSz w:w="11900" w:h="16838" w:orient="portrait"/>
          <w:cols w:equalWidth="0" w:num="1">
            <w:col w:w="10900"/>
          </w:cols>
          <w:pgMar w:left="320" w:top="443" w:right="6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8" w:lineRule="exact"/>
        <w:rPr>
          <w:sz w:val="20"/>
          <w:szCs w:val="20"/>
          <w:color w:val="auto"/>
        </w:rPr>
      </w:pPr>
    </w:p>
    <w:p>
      <w:pPr>
        <w:ind w:left="760" w:right="20" w:hanging="414"/>
        <w:spacing w:after="0" w:line="237" w:lineRule="auto"/>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column reflects for 2021 the aggregate grant date fair value of stock awards granted during 2021 calculated in accordance with FASB ASC Topic 718, disregarding estimated forfeitures. There is no assurance that the named executive officers will realize these amounts. Assumptions used in calculating these amounts are included in Note 9 to the Company’s audited financial statements included in our Annual Report on Form 10-K for the year ended December 31, 2021. For PRSU awards, the grant date fair value represents the probable outcome of the applicable performance conditions. Assuming maximum achievement with respect to the performance metrics applicable to the 2021 PRSU awards, the grant date fair values of such awards would be as follows: $1,239,169, $221,288, and $264,892 for Messrs. Gleason, Eckl, and Nuggihalli, respectively.</w:t>
      </w:r>
    </w:p>
    <w:p>
      <w:pPr>
        <w:spacing w:after="0" w:line="93" w:lineRule="exact"/>
        <w:rPr>
          <w:rFonts w:ascii="Arial" w:cs="Arial" w:eastAsia="Arial" w:hAnsi="Arial"/>
          <w:sz w:val="14"/>
          <w:szCs w:val="14"/>
          <w:color w:val="auto"/>
        </w:rPr>
      </w:pPr>
    </w:p>
    <w:p>
      <w:pPr>
        <w:ind w:left="760" w:right="340" w:hanging="414"/>
        <w:spacing w:after="0" w:line="260" w:lineRule="auto"/>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column reflects for 2021 the portion of the named executive officers’ annual cash incentive awards that was paid based on formulaic performance, as further described above.</w:t>
      </w:r>
    </w:p>
    <w:p>
      <w:pPr>
        <w:spacing w:after="0" w:line="78" w:lineRule="exact"/>
        <w:rPr>
          <w:rFonts w:ascii="Arial" w:cs="Arial" w:eastAsia="Arial" w:hAnsi="Arial"/>
          <w:sz w:val="14"/>
          <w:szCs w:val="14"/>
          <w:color w:val="auto"/>
        </w:rPr>
      </w:pPr>
    </w:p>
    <w:p>
      <w:pPr>
        <w:ind w:left="760" w:hanging="414"/>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Amounts reported in this column for 2021 consist of the following:</w:t>
      </w:r>
    </w:p>
    <w:p>
      <w:pPr>
        <w:spacing w:after="0" w:line="200" w:lineRule="exact"/>
        <w:rPr>
          <w:sz w:val="20"/>
          <w:szCs w:val="20"/>
          <w:color w:val="auto"/>
        </w:rPr>
      </w:pPr>
    </w:p>
    <w:tbl>
      <w:tblPr>
        <w:tblLayout w:type="fixed"/>
        <w:tblInd w:w="780" w:type="dxa"/>
        <w:tblCellMar>
          <w:top w:w="0" w:type="dxa"/>
          <w:left w:w="0" w:type="dxa"/>
          <w:bottom w:w="0" w:type="dxa"/>
          <w:right w:w="0" w:type="dxa"/>
        </w:tblCellMar>
      </w:tblPr>
      <w:tr>
        <w:trPr>
          <w:trHeight w:val="172"/>
        </w:trPr>
        <w:tc>
          <w:tcPr>
            <w:tcW w:w="2880" w:type="dxa"/>
            <w:vAlign w:val="bottom"/>
            <w:shd w:val="clear" w:color="auto" w:fill="41659C"/>
          </w:tcPr>
          <w:p>
            <w:pPr>
              <w:spacing w:after="0"/>
              <w:rPr>
                <w:sz w:val="14"/>
                <w:szCs w:val="14"/>
                <w:color w:val="auto"/>
              </w:rPr>
            </w:pPr>
          </w:p>
        </w:tc>
        <w:tc>
          <w:tcPr>
            <w:tcW w:w="2260" w:type="dxa"/>
            <w:vAlign w:val="bottom"/>
            <w:shd w:val="clear" w:color="auto" w:fill="41659C"/>
          </w:tcPr>
          <w:p>
            <w:pPr>
              <w:jc w:val="center"/>
              <w:ind w:left="647"/>
              <w:spacing w:after="0"/>
              <w:rPr>
                <w:sz w:val="20"/>
                <w:szCs w:val="20"/>
                <w:color w:val="auto"/>
              </w:rPr>
            </w:pPr>
            <w:r>
              <w:rPr>
                <w:rFonts w:ascii="Arial" w:cs="Arial" w:eastAsia="Arial" w:hAnsi="Arial"/>
                <w:sz w:val="15"/>
                <w:szCs w:val="15"/>
                <w:b w:val="1"/>
                <w:bCs w:val="1"/>
                <w:color w:val="FFFFFF"/>
                <w:w w:val="96"/>
              </w:rPr>
              <w:t>401 (k)</w:t>
            </w:r>
          </w:p>
        </w:tc>
        <w:tc>
          <w:tcPr>
            <w:tcW w:w="1300" w:type="dxa"/>
            <w:vAlign w:val="bottom"/>
            <w:shd w:val="clear" w:color="auto" w:fill="41659C"/>
          </w:tcPr>
          <w:p>
            <w:pPr>
              <w:jc w:val="center"/>
              <w:spacing w:after="0"/>
              <w:rPr>
                <w:sz w:val="20"/>
                <w:szCs w:val="20"/>
                <w:color w:val="auto"/>
              </w:rPr>
            </w:pPr>
            <w:r>
              <w:rPr>
                <w:rFonts w:ascii="Arial" w:cs="Arial" w:eastAsia="Arial" w:hAnsi="Arial"/>
                <w:sz w:val="15"/>
                <w:szCs w:val="15"/>
                <w:b w:val="1"/>
                <w:bCs w:val="1"/>
                <w:color w:val="FFFFFF"/>
                <w:w w:val="94"/>
              </w:rPr>
              <w:t>Term Life</w:t>
            </w:r>
          </w:p>
        </w:tc>
        <w:tc>
          <w:tcPr>
            <w:tcW w:w="1320" w:type="dxa"/>
            <w:vAlign w:val="bottom"/>
            <w:vMerge w:val="restart"/>
            <w:shd w:val="clear" w:color="auto" w:fill="41659C"/>
          </w:tcPr>
          <w:p>
            <w:pPr>
              <w:jc w:val="center"/>
              <w:spacing w:after="0"/>
              <w:rPr>
                <w:sz w:val="20"/>
                <w:szCs w:val="20"/>
                <w:color w:val="auto"/>
              </w:rPr>
            </w:pPr>
            <w:r>
              <w:rPr>
                <w:rFonts w:ascii="Arial" w:cs="Arial" w:eastAsia="Arial" w:hAnsi="Arial"/>
                <w:sz w:val="15"/>
                <w:szCs w:val="15"/>
                <w:b w:val="1"/>
                <w:bCs w:val="1"/>
                <w:color w:val="FFFFFF"/>
                <w:w w:val="95"/>
              </w:rPr>
              <w:t>Car</w:t>
            </w:r>
          </w:p>
        </w:tc>
        <w:tc>
          <w:tcPr>
            <w:tcW w:w="1340" w:type="dxa"/>
            <w:vAlign w:val="bottom"/>
            <w:vMerge w:val="restart"/>
            <w:shd w:val="clear" w:color="auto" w:fill="41659C"/>
          </w:tcPr>
          <w:p>
            <w:pPr>
              <w:jc w:val="center"/>
              <w:spacing w:after="0"/>
              <w:rPr>
                <w:sz w:val="20"/>
                <w:szCs w:val="20"/>
                <w:color w:val="auto"/>
              </w:rPr>
            </w:pPr>
            <w:r>
              <w:rPr>
                <w:rFonts w:ascii="Arial" w:cs="Arial" w:eastAsia="Arial" w:hAnsi="Arial"/>
                <w:sz w:val="15"/>
                <w:szCs w:val="15"/>
                <w:b w:val="1"/>
                <w:bCs w:val="1"/>
                <w:color w:val="FFFFFF"/>
                <w:w w:val="95"/>
              </w:rPr>
              <w:t>Rental</w:t>
            </w:r>
          </w:p>
        </w:tc>
        <w:tc>
          <w:tcPr>
            <w:tcW w:w="1020" w:type="dxa"/>
            <w:vAlign w:val="bottom"/>
            <w:shd w:val="clear" w:color="auto" w:fill="41659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80" w:type="dxa"/>
            <w:vAlign w:val="bottom"/>
            <w:shd w:val="clear" w:color="auto" w:fill="41659C"/>
          </w:tcPr>
          <w:p>
            <w:pPr>
              <w:spacing w:after="0"/>
              <w:rPr>
                <w:sz w:val="13"/>
                <w:szCs w:val="13"/>
                <w:color w:val="auto"/>
              </w:rPr>
            </w:pPr>
          </w:p>
        </w:tc>
        <w:tc>
          <w:tcPr>
            <w:tcW w:w="2260" w:type="dxa"/>
            <w:vAlign w:val="bottom"/>
            <w:shd w:val="clear" w:color="auto" w:fill="41659C"/>
          </w:tcPr>
          <w:p>
            <w:pPr>
              <w:jc w:val="center"/>
              <w:ind w:left="667"/>
              <w:spacing w:after="0" w:line="155" w:lineRule="exact"/>
              <w:rPr>
                <w:sz w:val="20"/>
                <w:szCs w:val="20"/>
                <w:color w:val="auto"/>
              </w:rPr>
            </w:pPr>
            <w:r>
              <w:rPr>
                <w:rFonts w:ascii="Arial" w:cs="Arial" w:eastAsia="Arial" w:hAnsi="Arial"/>
                <w:sz w:val="15"/>
                <w:szCs w:val="15"/>
                <w:b w:val="1"/>
                <w:bCs w:val="1"/>
                <w:color w:val="FFFFFF"/>
                <w:w w:val="97"/>
              </w:rPr>
              <w:t>Matching</w:t>
            </w:r>
          </w:p>
        </w:tc>
        <w:tc>
          <w:tcPr>
            <w:tcW w:w="1300" w:type="dxa"/>
            <w:vAlign w:val="bottom"/>
            <w:shd w:val="clear" w:color="auto" w:fill="41659C"/>
          </w:tcPr>
          <w:p>
            <w:pPr>
              <w:jc w:val="center"/>
              <w:spacing w:after="0" w:line="155" w:lineRule="exact"/>
              <w:rPr>
                <w:sz w:val="20"/>
                <w:szCs w:val="20"/>
                <w:color w:val="auto"/>
              </w:rPr>
            </w:pPr>
            <w:r>
              <w:rPr>
                <w:rFonts w:ascii="Arial" w:cs="Arial" w:eastAsia="Arial" w:hAnsi="Arial"/>
                <w:sz w:val="15"/>
                <w:szCs w:val="15"/>
                <w:b w:val="1"/>
                <w:bCs w:val="1"/>
                <w:color w:val="FFFFFF"/>
                <w:w w:val="98"/>
              </w:rPr>
              <w:t>Insurance</w:t>
            </w:r>
          </w:p>
        </w:tc>
        <w:tc>
          <w:tcPr>
            <w:tcW w:w="1320" w:type="dxa"/>
            <w:vAlign w:val="bottom"/>
            <w:vMerge w:val="continue"/>
            <w:shd w:val="clear" w:color="auto" w:fill="41659C"/>
          </w:tcPr>
          <w:p>
            <w:pPr>
              <w:spacing w:after="0"/>
              <w:rPr>
                <w:sz w:val="13"/>
                <w:szCs w:val="13"/>
                <w:color w:val="auto"/>
              </w:rPr>
            </w:pPr>
          </w:p>
        </w:tc>
        <w:tc>
          <w:tcPr>
            <w:tcW w:w="1340" w:type="dxa"/>
            <w:vAlign w:val="bottom"/>
            <w:vMerge w:val="continue"/>
            <w:shd w:val="clear" w:color="auto" w:fill="41659C"/>
          </w:tcPr>
          <w:p>
            <w:pPr>
              <w:spacing w:after="0"/>
              <w:rPr>
                <w:sz w:val="13"/>
                <w:szCs w:val="13"/>
                <w:color w:val="auto"/>
              </w:rPr>
            </w:pPr>
          </w:p>
        </w:tc>
        <w:tc>
          <w:tcPr>
            <w:tcW w:w="1020" w:type="dxa"/>
            <w:vAlign w:val="bottom"/>
            <w:vMerge w:val="restart"/>
            <w:shd w:val="clear" w:color="auto" w:fill="41659C"/>
          </w:tcPr>
          <w:p>
            <w:pPr>
              <w:jc w:val="right"/>
              <w:ind w:right="247"/>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55"/>
        </w:trPr>
        <w:tc>
          <w:tcPr>
            <w:tcW w:w="2880" w:type="dxa"/>
            <w:vAlign w:val="bottom"/>
            <w:shd w:val="clear" w:color="auto" w:fill="41659C"/>
          </w:tcPr>
          <w:p>
            <w:pPr>
              <w:spacing w:after="0"/>
              <w:rPr>
                <w:sz w:val="13"/>
                <w:szCs w:val="13"/>
                <w:color w:val="auto"/>
              </w:rPr>
            </w:pPr>
          </w:p>
        </w:tc>
        <w:tc>
          <w:tcPr>
            <w:tcW w:w="2260" w:type="dxa"/>
            <w:vAlign w:val="bottom"/>
            <w:shd w:val="clear" w:color="auto" w:fill="41659C"/>
          </w:tcPr>
          <w:p>
            <w:pPr>
              <w:jc w:val="center"/>
              <w:ind w:left="667"/>
              <w:spacing w:after="0" w:line="155" w:lineRule="exact"/>
              <w:rPr>
                <w:sz w:val="20"/>
                <w:szCs w:val="20"/>
                <w:color w:val="auto"/>
              </w:rPr>
            </w:pPr>
            <w:r>
              <w:rPr>
                <w:rFonts w:ascii="Arial" w:cs="Arial" w:eastAsia="Arial" w:hAnsi="Arial"/>
                <w:sz w:val="15"/>
                <w:szCs w:val="15"/>
                <w:b w:val="1"/>
                <w:bCs w:val="1"/>
                <w:color w:val="FFFFFF"/>
                <w:w w:val="97"/>
              </w:rPr>
              <w:t>Contributions</w:t>
            </w:r>
          </w:p>
        </w:tc>
        <w:tc>
          <w:tcPr>
            <w:tcW w:w="1300" w:type="dxa"/>
            <w:vAlign w:val="bottom"/>
            <w:shd w:val="clear" w:color="auto" w:fill="41659C"/>
          </w:tcPr>
          <w:p>
            <w:pPr>
              <w:jc w:val="right"/>
              <w:ind w:right="227"/>
              <w:spacing w:after="0" w:line="155" w:lineRule="exact"/>
              <w:rPr>
                <w:sz w:val="20"/>
                <w:szCs w:val="20"/>
                <w:color w:val="auto"/>
              </w:rPr>
            </w:pPr>
            <w:r>
              <w:rPr>
                <w:rFonts w:ascii="Arial" w:cs="Arial" w:eastAsia="Arial" w:hAnsi="Arial"/>
                <w:sz w:val="15"/>
                <w:szCs w:val="15"/>
                <w:b w:val="1"/>
                <w:bCs w:val="1"/>
                <w:color w:val="FFFFFF"/>
              </w:rPr>
              <w:t>Premiums</w:t>
            </w:r>
          </w:p>
        </w:tc>
        <w:tc>
          <w:tcPr>
            <w:tcW w:w="1320" w:type="dxa"/>
            <w:vAlign w:val="bottom"/>
            <w:shd w:val="clear" w:color="auto" w:fill="41659C"/>
          </w:tcPr>
          <w:p>
            <w:pPr>
              <w:jc w:val="center"/>
              <w:spacing w:after="0" w:line="155" w:lineRule="exact"/>
              <w:rPr>
                <w:sz w:val="20"/>
                <w:szCs w:val="20"/>
                <w:color w:val="auto"/>
              </w:rPr>
            </w:pPr>
            <w:r>
              <w:rPr>
                <w:rFonts w:ascii="Arial" w:cs="Arial" w:eastAsia="Arial" w:hAnsi="Arial"/>
                <w:sz w:val="15"/>
                <w:szCs w:val="15"/>
                <w:b w:val="1"/>
                <w:bCs w:val="1"/>
                <w:color w:val="FFFFFF"/>
                <w:w w:val="96"/>
              </w:rPr>
              <w:t>Allowance</w:t>
            </w:r>
          </w:p>
        </w:tc>
        <w:tc>
          <w:tcPr>
            <w:tcW w:w="1340" w:type="dxa"/>
            <w:vAlign w:val="bottom"/>
            <w:shd w:val="clear" w:color="auto" w:fill="41659C"/>
          </w:tcPr>
          <w:p>
            <w:pPr>
              <w:jc w:val="center"/>
              <w:spacing w:after="0" w:line="155" w:lineRule="exact"/>
              <w:rPr>
                <w:sz w:val="20"/>
                <w:szCs w:val="20"/>
                <w:color w:val="auto"/>
              </w:rPr>
            </w:pPr>
            <w:r>
              <w:rPr>
                <w:rFonts w:ascii="Arial" w:cs="Arial" w:eastAsia="Arial" w:hAnsi="Arial"/>
                <w:sz w:val="15"/>
                <w:szCs w:val="15"/>
                <w:b w:val="1"/>
                <w:bCs w:val="1"/>
                <w:color w:val="FFFFFF"/>
                <w:w w:val="96"/>
              </w:rPr>
              <w:t>Allowance</w:t>
            </w:r>
          </w:p>
        </w:tc>
        <w:tc>
          <w:tcPr>
            <w:tcW w:w="1020" w:type="dxa"/>
            <w:vAlign w:val="bottom"/>
            <w:vMerge w:val="continue"/>
            <w:shd w:val="clear" w:color="auto" w:fill="41659C"/>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880" w:type="dxa"/>
            <w:vAlign w:val="bottom"/>
            <w:shd w:val="clear" w:color="auto" w:fill="41659C"/>
          </w:tcPr>
          <w:p>
            <w:pPr>
              <w:ind w:left="140"/>
              <w:spacing w:after="0"/>
              <w:rPr>
                <w:sz w:val="20"/>
                <w:szCs w:val="20"/>
                <w:color w:val="auto"/>
              </w:rPr>
            </w:pPr>
            <w:r>
              <w:rPr>
                <w:rFonts w:ascii="Arial" w:cs="Arial" w:eastAsia="Arial" w:hAnsi="Arial"/>
                <w:sz w:val="15"/>
                <w:szCs w:val="15"/>
                <w:b w:val="1"/>
                <w:bCs w:val="1"/>
                <w:color w:val="FFFFFF"/>
              </w:rPr>
              <w:t>Named Executive Officer</w:t>
            </w:r>
          </w:p>
        </w:tc>
        <w:tc>
          <w:tcPr>
            <w:tcW w:w="2260" w:type="dxa"/>
            <w:vAlign w:val="bottom"/>
            <w:shd w:val="clear" w:color="auto" w:fill="41659C"/>
          </w:tcPr>
          <w:p>
            <w:pPr>
              <w:jc w:val="center"/>
              <w:ind w:left="647"/>
              <w:spacing w:after="0"/>
              <w:rPr>
                <w:sz w:val="20"/>
                <w:szCs w:val="20"/>
                <w:color w:val="auto"/>
              </w:rPr>
            </w:pPr>
            <w:r>
              <w:rPr>
                <w:rFonts w:ascii="Arial" w:cs="Arial" w:eastAsia="Arial" w:hAnsi="Arial"/>
                <w:sz w:val="15"/>
                <w:szCs w:val="15"/>
                <w:b w:val="1"/>
                <w:bCs w:val="1"/>
                <w:color w:val="FFFFFF"/>
              </w:rPr>
              <w:t>($)</w:t>
            </w:r>
            <w:r>
              <w:rPr>
                <w:rFonts w:ascii="Arial" w:cs="Arial" w:eastAsia="Arial" w:hAnsi="Arial"/>
                <w:sz w:val="12"/>
                <w:szCs w:val="12"/>
                <w:b w:val="1"/>
                <w:bCs w:val="1"/>
                <w:color w:val="FFFFFF"/>
              </w:rPr>
              <w:t>(1)</w:t>
            </w:r>
          </w:p>
        </w:tc>
        <w:tc>
          <w:tcPr>
            <w:tcW w:w="1300" w:type="dxa"/>
            <w:vAlign w:val="bottom"/>
            <w:shd w:val="clear" w:color="auto" w:fill="41659C"/>
          </w:tcPr>
          <w:p>
            <w:pPr>
              <w:jc w:val="center"/>
              <w:spacing w:after="0"/>
              <w:rPr>
                <w:sz w:val="20"/>
                <w:szCs w:val="20"/>
                <w:color w:val="auto"/>
              </w:rPr>
            </w:pPr>
            <w:r>
              <w:rPr>
                <w:rFonts w:ascii="Arial" w:cs="Arial" w:eastAsia="Arial" w:hAnsi="Arial"/>
                <w:sz w:val="15"/>
                <w:szCs w:val="15"/>
                <w:b w:val="1"/>
                <w:bCs w:val="1"/>
                <w:color w:val="FFFFFF"/>
                <w:w w:val="97"/>
              </w:rPr>
              <w:t>($)</w:t>
            </w:r>
          </w:p>
        </w:tc>
        <w:tc>
          <w:tcPr>
            <w:tcW w:w="1320" w:type="dxa"/>
            <w:vAlign w:val="bottom"/>
            <w:shd w:val="clear" w:color="auto" w:fill="41659C"/>
          </w:tcPr>
          <w:p>
            <w:pPr>
              <w:jc w:val="center"/>
              <w:spacing w:after="0"/>
              <w:rPr>
                <w:sz w:val="20"/>
                <w:szCs w:val="20"/>
                <w:color w:val="auto"/>
              </w:rPr>
            </w:pPr>
            <w:r>
              <w:rPr>
                <w:rFonts w:ascii="Arial" w:cs="Arial" w:eastAsia="Arial" w:hAnsi="Arial"/>
                <w:sz w:val="15"/>
                <w:szCs w:val="15"/>
                <w:b w:val="1"/>
                <w:bCs w:val="1"/>
                <w:color w:val="FFFFFF"/>
                <w:w w:val="97"/>
              </w:rPr>
              <w:t>($)</w:t>
            </w:r>
          </w:p>
        </w:tc>
        <w:tc>
          <w:tcPr>
            <w:tcW w:w="1340" w:type="dxa"/>
            <w:vAlign w:val="bottom"/>
            <w:shd w:val="clear" w:color="auto" w:fill="41659C"/>
          </w:tcPr>
          <w:p>
            <w:pPr>
              <w:jc w:val="center"/>
              <w:spacing w:after="0"/>
              <w:rPr>
                <w:sz w:val="20"/>
                <w:szCs w:val="20"/>
                <w:color w:val="auto"/>
              </w:rPr>
            </w:pPr>
            <w:r>
              <w:rPr>
                <w:rFonts w:ascii="Arial" w:cs="Arial" w:eastAsia="Arial" w:hAnsi="Arial"/>
                <w:sz w:val="15"/>
                <w:szCs w:val="15"/>
                <w:b w:val="1"/>
                <w:bCs w:val="1"/>
                <w:color w:val="FFFFFF"/>
                <w:w w:val="97"/>
              </w:rPr>
              <w:t>($)</w:t>
            </w:r>
          </w:p>
        </w:tc>
        <w:tc>
          <w:tcPr>
            <w:tcW w:w="1020" w:type="dxa"/>
            <w:vAlign w:val="bottom"/>
            <w:shd w:val="clear" w:color="auto" w:fill="41659C"/>
          </w:tcPr>
          <w:p>
            <w:pPr>
              <w:jc w:val="right"/>
              <w:ind w:right="327"/>
              <w:spacing w:after="0"/>
              <w:rPr>
                <w:sz w:val="20"/>
                <w:szCs w:val="20"/>
                <w:color w:val="auto"/>
              </w:rPr>
            </w:pPr>
            <w:r>
              <w:rPr>
                <w:rFonts w:ascii="Arial" w:cs="Arial" w:eastAsia="Arial" w:hAnsi="Arial"/>
                <w:sz w:val="15"/>
                <w:szCs w:val="15"/>
                <w:b w:val="1"/>
                <w:bCs w:val="1"/>
                <w:color w:val="FFFFFF"/>
              </w:rPr>
              <w:t>($)</w:t>
            </w:r>
          </w:p>
        </w:tc>
        <w:tc>
          <w:tcPr>
            <w:tcW w:w="0" w:type="dxa"/>
            <w:vAlign w:val="bottom"/>
          </w:tcPr>
          <w:p>
            <w:pPr>
              <w:spacing w:after="0"/>
              <w:rPr>
                <w:sz w:val="1"/>
                <w:szCs w:val="1"/>
                <w:color w:val="auto"/>
              </w:rPr>
            </w:pPr>
          </w:p>
        </w:tc>
      </w:tr>
      <w:tr>
        <w:trPr>
          <w:trHeight w:val="211"/>
        </w:trPr>
        <w:tc>
          <w:tcPr>
            <w:tcW w:w="2880" w:type="dxa"/>
            <w:vAlign w:val="bottom"/>
            <w:shd w:val="clear" w:color="auto" w:fill="E8EED3"/>
          </w:tcPr>
          <w:p>
            <w:pPr>
              <w:ind w:left="140"/>
              <w:spacing w:after="0"/>
              <w:rPr>
                <w:sz w:val="20"/>
                <w:szCs w:val="20"/>
                <w:color w:val="auto"/>
              </w:rPr>
            </w:pPr>
            <w:r>
              <w:rPr>
                <w:rFonts w:ascii="Arial" w:cs="Arial" w:eastAsia="Arial" w:hAnsi="Arial"/>
                <w:sz w:val="15"/>
                <w:szCs w:val="15"/>
                <w:color w:val="auto"/>
              </w:rPr>
              <w:t>Todd Gleason</w:t>
            </w:r>
          </w:p>
        </w:tc>
        <w:tc>
          <w:tcPr>
            <w:tcW w:w="2260" w:type="dxa"/>
            <w:vAlign w:val="bottom"/>
            <w:shd w:val="clear" w:color="auto" w:fill="E8EED3"/>
          </w:tcPr>
          <w:p>
            <w:pPr>
              <w:jc w:val="right"/>
              <w:ind w:right="207"/>
              <w:spacing w:after="0"/>
              <w:rPr>
                <w:sz w:val="20"/>
                <w:szCs w:val="20"/>
                <w:color w:val="auto"/>
              </w:rPr>
            </w:pPr>
            <w:r>
              <w:rPr>
                <w:rFonts w:ascii="Arial" w:cs="Arial" w:eastAsia="Arial" w:hAnsi="Arial"/>
                <w:sz w:val="15"/>
                <w:szCs w:val="15"/>
                <w:color w:val="auto"/>
              </w:rPr>
              <w:t>533</w:t>
            </w:r>
          </w:p>
        </w:tc>
        <w:tc>
          <w:tcPr>
            <w:tcW w:w="1300" w:type="dxa"/>
            <w:vAlign w:val="bottom"/>
            <w:shd w:val="clear" w:color="auto" w:fill="E8EED3"/>
          </w:tcPr>
          <w:p>
            <w:pPr>
              <w:jc w:val="right"/>
              <w:ind w:right="207"/>
              <w:spacing w:after="0"/>
              <w:rPr>
                <w:sz w:val="20"/>
                <w:szCs w:val="20"/>
                <w:color w:val="auto"/>
              </w:rPr>
            </w:pPr>
            <w:r>
              <w:rPr>
                <w:rFonts w:ascii="Arial" w:cs="Arial" w:eastAsia="Arial" w:hAnsi="Arial"/>
                <w:sz w:val="15"/>
                <w:szCs w:val="15"/>
                <w:color w:val="auto"/>
              </w:rPr>
              <w:t>6,977</w:t>
            </w:r>
          </w:p>
        </w:tc>
        <w:tc>
          <w:tcPr>
            <w:tcW w:w="1320" w:type="dxa"/>
            <w:vAlign w:val="bottom"/>
            <w:shd w:val="clear" w:color="auto" w:fill="E8EED3"/>
          </w:tcPr>
          <w:p>
            <w:pPr>
              <w:jc w:val="right"/>
              <w:ind w:right="207"/>
              <w:spacing w:after="0"/>
              <w:rPr>
                <w:sz w:val="20"/>
                <w:szCs w:val="20"/>
                <w:color w:val="auto"/>
              </w:rPr>
            </w:pPr>
            <w:r>
              <w:rPr>
                <w:rFonts w:ascii="Arial" w:cs="Arial" w:eastAsia="Arial" w:hAnsi="Arial"/>
                <w:sz w:val="15"/>
                <w:szCs w:val="15"/>
                <w:color w:val="auto"/>
              </w:rPr>
              <w:t>12,000</w:t>
            </w:r>
          </w:p>
        </w:tc>
        <w:tc>
          <w:tcPr>
            <w:tcW w:w="1340" w:type="dxa"/>
            <w:vAlign w:val="bottom"/>
            <w:shd w:val="clear" w:color="auto" w:fill="E8EED3"/>
          </w:tcPr>
          <w:p>
            <w:pPr>
              <w:jc w:val="right"/>
              <w:ind w:right="247"/>
              <w:spacing w:after="0"/>
              <w:rPr>
                <w:sz w:val="20"/>
                <w:szCs w:val="20"/>
                <w:color w:val="auto"/>
              </w:rPr>
            </w:pPr>
            <w:r>
              <w:rPr>
                <w:rFonts w:ascii="Arial" w:cs="Arial" w:eastAsia="Arial" w:hAnsi="Arial"/>
                <w:sz w:val="15"/>
                <w:szCs w:val="15"/>
                <w:color w:val="auto"/>
              </w:rPr>
              <w:t>9,900</w:t>
            </w:r>
          </w:p>
        </w:tc>
        <w:tc>
          <w:tcPr>
            <w:tcW w:w="1020" w:type="dxa"/>
            <w:vAlign w:val="bottom"/>
            <w:shd w:val="clear" w:color="auto" w:fill="E8EED3"/>
          </w:tcPr>
          <w:p>
            <w:pPr>
              <w:jc w:val="right"/>
              <w:ind w:right="167"/>
              <w:spacing w:after="0"/>
              <w:rPr>
                <w:sz w:val="20"/>
                <w:szCs w:val="20"/>
                <w:color w:val="auto"/>
              </w:rPr>
            </w:pPr>
            <w:r>
              <w:rPr>
                <w:rFonts w:ascii="Arial" w:cs="Arial" w:eastAsia="Arial" w:hAnsi="Arial"/>
                <w:sz w:val="15"/>
                <w:szCs w:val="15"/>
                <w:color w:val="auto"/>
              </w:rPr>
              <w:t>29,410</w:t>
            </w:r>
          </w:p>
        </w:tc>
        <w:tc>
          <w:tcPr>
            <w:tcW w:w="0" w:type="dxa"/>
            <w:vAlign w:val="bottom"/>
          </w:tcPr>
          <w:p>
            <w:pPr>
              <w:spacing w:after="0"/>
              <w:rPr>
                <w:sz w:val="1"/>
                <w:szCs w:val="1"/>
                <w:color w:val="auto"/>
              </w:rPr>
            </w:pPr>
          </w:p>
        </w:tc>
      </w:tr>
      <w:tr>
        <w:trPr>
          <w:trHeight w:val="229"/>
        </w:trPr>
        <w:tc>
          <w:tcPr>
            <w:tcW w:w="2880" w:type="dxa"/>
            <w:vAlign w:val="bottom"/>
            <w:shd w:val="clear" w:color="auto" w:fill="D2DEA7"/>
          </w:tcPr>
          <w:p>
            <w:pPr>
              <w:ind w:left="140"/>
              <w:spacing w:after="0"/>
              <w:rPr>
                <w:sz w:val="20"/>
                <w:szCs w:val="20"/>
                <w:color w:val="auto"/>
              </w:rPr>
            </w:pPr>
            <w:r>
              <w:rPr>
                <w:rFonts w:ascii="Arial" w:cs="Arial" w:eastAsia="Arial" w:hAnsi="Arial"/>
                <w:sz w:val="15"/>
                <w:szCs w:val="15"/>
                <w:color w:val="auto"/>
              </w:rPr>
              <w:t>Matthew Eckl</w:t>
            </w:r>
          </w:p>
        </w:tc>
        <w:tc>
          <w:tcPr>
            <w:tcW w:w="2260" w:type="dxa"/>
            <w:vAlign w:val="bottom"/>
            <w:shd w:val="clear" w:color="auto" w:fill="D2DEA7"/>
          </w:tcPr>
          <w:p>
            <w:pPr>
              <w:jc w:val="right"/>
              <w:ind w:right="207"/>
              <w:spacing w:after="0"/>
              <w:rPr>
                <w:sz w:val="20"/>
                <w:szCs w:val="20"/>
                <w:color w:val="auto"/>
              </w:rPr>
            </w:pPr>
            <w:r>
              <w:rPr>
                <w:rFonts w:ascii="Arial" w:cs="Arial" w:eastAsia="Arial" w:hAnsi="Arial"/>
                <w:sz w:val="15"/>
                <w:szCs w:val="15"/>
                <w:color w:val="auto"/>
              </w:rPr>
              <w:t>—</w:t>
            </w:r>
          </w:p>
        </w:tc>
        <w:tc>
          <w:tcPr>
            <w:tcW w:w="1300" w:type="dxa"/>
            <w:vAlign w:val="bottom"/>
            <w:shd w:val="clear" w:color="auto" w:fill="D2DEA7"/>
          </w:tcPr>
          <w:p>
            <w:pPr>
              <w:jc w:val="right"/>
              <w:ind w:right="207"/>
              <w:spacing w:after="0"/>
              <w:rPr>
                <w:sz w:val="20"/>
                <w:szCs w:val="20"/>
                <w:color w:val="auto"/>
              </w:rPr>
            </w:pPr>
            <w:r>
              <w:rPr>
                <w:rFonts w:ascii="Arial" w:cs="Arial" w:eastAsia="Arial" w:hAnsi="Arial"/>
                <w:sz w:val="15"/>
                <w:szCs w:val="15"/>
                <w:color w:val="auto"/>
              </w:rPr>
              <w:t>4,892</w:t>
            </w:r>
          </w:p>
        </w:tc>
        <w:tc>
          <w:tcPr>
            <w:tcW w:w="1320" w:type="dxa"/>
            <w:vAlign w:val="bottom"/>
            <w:shd w:val="clear" w:color="auto" w:fill="D2DEA7"/>
          </w:tcPr>
          <w:p>
            <w:pPr>
              <w:jc w:val="right"/>
              <w:ind w:right="207"/>
              <w:spacing w:after="0"/>
              <w:rPr>
                <w:sz w:val="20"/>
                <w:szCs w:val="20"/>
                <w:color w:val="auto"/>
              </w:rPr>
            </w:pPr>
            <w:r>
              <w:rPr>
                <w:rFonts w:ascii="Arial" w:cs="Arial" w:eastAsia="Arial" w:hAnsi="Arial"/>
                <w:sz w:val="15"/>
                <w:szCs w:val="15"/>
                <w:color w:val="auto"/>
              </w:rPr>
              <w:t>12,000</w:t>
            </w:r>
          </w:p>
        </w:tc>
        <w:tc>
          <w:tcPr>
            <w:tcW w:w="1340" w:type="dxa"/>
            <w:vAlign w:val="bottom"/>
            <w:shd w:val="clear" w:color="auto" w:fill="D2DEA7"/>
          </w:tcPr>
          <w:p>
            <w:pPr>
              <w:jc w:val="right"/>
              <w:ind w:right="247"/>
              <w:spacing w:after="0"/>
              <w:rPr>
                <w:sz w:val="20"/>
                <w:szCs w:val="20"/>
                <w:color w:val="auto"/>
              </w:rPr>
            </w:pPr>
            <w:r>
              <w:rPr>
                <w:rFonts w:ascii="Arial" w:cs="Arial" w:eastAsia="Arial" w:hAnsi="Arial"/>
                <w:sz w:val="15"/>
                <w:szCs w:val="15"/>
                <w:color w:val="auto"/>
              </w:rPr>
              <w:t>—</w:t>
            </w:r>
          </w:p>
        </w:tc>
        <w:tc>
          <w:tcPr>
            <w:tcW w:w="1020" w:type="dxa"/>
            <w:vAlign w:val="bottom"/>
            <w:shd w:val="clear" w:color="auto" w:fill="D2DEA7"/>
          </w:tcPr>
          <w:p>
            <w:pPr>
              <w:jc w:val="right"/>
              <w:ind w:right="167"/>
              <w:spacing w:after="0"/>
              <w:rPr>
                <w:sz w:val="20"/>
                <w:szCs w:val="20"/>
                <w:color w:val="auto"/>
              </w:rPr>
            </w:pPr>
            <w:r>
              <w:rPr>
                <w:rFonts w:ascii="Arial" w:cs="Arial" w:eastAsia="Arial" w:hAnsi="Arial"/>
                <w:sz w:val="15"/>
                <w:szCs w:val="15"/>
                <w:color w:val="auto"/>
              </w:rPr>
              <w:t>16,892</w:t>
            </w:r>
          </w:p>
        </w:tc>
        <w:tc>
          <w:tcPr>
            <w:tcW w:w="0" w:type="dxa"/>
            <w:vAlign w:val="bottom"/>
          </w:tcPr>
          <w:p>
            <w:pPr>
              <w:spacing w:after="0"/>
              <w:rPr>
                <w:sz w:val="1"/>
                <w:szCs w:val="1"/>
                <w:color w:val="auto"/>
              </w:rPr>
            </w:pPr>
          </w:p>
        </w:tc>
      </w:tr>
      <w:tr>
        <w:trPr>
          <w:trHeight w:val="220"/>
        </w:trPr>
        <w:tc>
          <w:tcPr>
            <w:tcW w:w="2880" w:type="dxa"/>
            <w:vAlign w:val="bottom"/>
            <w:shd w:val="clear" w:color="auto" w:fill="E8EED3"/>
          </w:tcPr>
          <w:p>
            <w:pPr>
              <w:ind w:left="140"/>
              <w:spacing w:after="0"/>
              <w:rPr>
                <w:sz w:val="20"/>
                <w:szCs w:val="20"/>
                <w:color w:val="auto"/>
              </w:rPr>
            </w:pPr>
            <w:r>
              <w:rPr>
                <w:rFonts w:ascii="Arial" w:cs="Arial" w:eastAsia="Arial" w:hAnsi="Arial"/>
                <w:sz w:val="15"/>
                <w:szCs w:val="15"/>
                <w:color w:val="auto"/>
              </w:rPr>
              <w:t>Ramesh Nuggihalli</w:t>
            </w:r>
          </w:p>
        </w:tc>
        <w:tc>
          <w:tcPr>
            <w:tcW w:w="2260" w:type="dxa"/>
            <w:vAlign w:val="bottom"/>
            <w:shd w:val="clear" w:color="auto" w:fill="E8EED3"/>
          </w:tcPr>
          <w:p>
            <w:pPr>
              <w:jc w:val="right"/>
              <w:ind w:right="207"/>
              <w:spacing w:after="0"/>
              <w:rPr>
                <w:sz w:val="20"/>
                <w:szCs w:val="20"/>
                <w:color w:val="auto"/>
              </w:rPr>
            </w:pPr>
            <w:r>
              <w:rPr>
                <w:rFonts w:ascii="Arial" w:cs="Arial" w:eastAsia="Arial" w:hAnsi="Arial"/>
                <w:sz w:val="15"/>
                <w:szCs w:val="15"/>
                <w:color w:val="auto"/>
              </w:rPr>
              <w:t>—</w:t>
            </w:r>
          </w:p>
        </w:tc>
        <w:tc>
          <w:tcPr>
            <w:tcW w:w="1300" w:type="dxa"/>
            <w:vAlign w:val="bottom"/>
            <w:shd w:val="clear" w:color="auto" w:fill="E8EED3"/>
          </w:tcPr>
          <w:p>
            <w:pPr>
              <w:jc w:val="right"/>
              <w:ind w:right="207"/>
              <w:spacing w:after="0"/>
              <w:rPr>
                <w:sz w:val="20"/>
                <w:szCs w:val="20"/>
                <w:color w:val="auto"/>
              </w:rPr>
            </w:pPr>
            <w:r>
              <w:rPr>
                <w:rFonts w:ascii="Arial" w:cs="Arial" w:eastAsia="Arial" w:hAnsi="Arial"/>
                <w:sz w:val="15"/>
                <w:szCs w:val="15"/>
                <w:color w:val="auto"/>
              </w:rPr>
              <w:t>6,594</w:t>
            </w:r>
          </w:p>
        </w:tc>
        <w:tc>
          <w:tcPr>
            <w:tcW w:w="1320" w:type="dxa"/>
            <w:vAlign w:val="bottom"/>
            <w:shd w:val="clear" w:color="auto" w:fill="E8EED3"/>
          </w:tcPr>
          <w:p>
            <w:pPr>
              <w:jc w:val="right"/>
              <w:ind w:right="207"/>
              <w:spacing w:after="0"/>
              <w:rPr>
                <w:sz w:val="20"/>
                <w:szCs w:val="20"/>
                <w:color w:val="auto"/>
              </w:rPr>
            </w:pPr>
            <w:r>
              <w:rPr>
                <w:rFonts w:ascii="Arial" w:cs="Arial" w:eastAsia="Arial" w:hAnsi="Arial"/>
                <w:sz w:val="15"/>
                <w:szCs w:val="15"/>
                <w:color w:val="auto"/>
              </w:rPr>
              <w:t>8,769</w:t>
            </w:r>
          </w:p>
        </w:tc>
        <w:tc>
          <w:tcPr>
            <w:tcW w:w="1340" w:type="dxa"/>
            <w:vAlign w:val="bottom"/>
            <w:shd w:val="clear" w:color="auto" w:fill="E8EED3"/>
          </w:tcPr>
          <w:p>
            <w:pPr>
              <w:jc w:val="right"/>
              <w:ind w:right="247"/>
              <w:spacing w:after="0"/>
              <w:rPr>
                <w:sz w:val="20"/>
                <w:szCs w:val="20"/>
                <w:color w:val="auto"/>
              </w:rPr>
            </w:pPr>
            <w:r>
              <w:rPr>
                <w:rFonts w:ascii="Arial" w:cs="Arial" w:eastAsia="Arial" w:hAnsi="Arial"/>
                <w:sz w:val="15"/>
                <w:szCs w:val="15"/>
                <w:color w:val="auto"/>
              </w:rPr>
              <w:t>—</w:t>
            </w:r>
          </w:p>
        </w:tc>
        <w:tc>
          <w:tcPr>
            <w:tcW w:w="1020" w:type="dxa"/>
            <w:vAlign w:val="bottom"/>
            <w:shd w:val="clear" w:color="auto" w:fill="E8EED3"/>
          </w:tcPr>
          <w:p>
            <w:pPr>
              <w:jc w:val="right"/>
              <w:ind w:right="167"/>
              <w:spacing w:after="0"/>
              <w:rPr>
                <w:sz w:val="20"/>
                <w:szCs w:val="20"/>
                <w:color w:val="auto"/>
              </w:rPr>
            </w:pPr>
            <w:r>
              <w:rPr>
                <w:rFonts w:ascii="Arial" w:cs="Arial" w:eastAsia="Arial" w:hAnsi="Arial"/>
                <w:sz w:val="15"/>
                <w:szCs w:val="15"/>
                <w:color w:val="auto"/>
              </w:rPr>
              <w:t>15,363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-821055</wp:posOffset>
            </wp:positionV>
            <wp:extent cx="8255" cy="8216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21690"/>
                    </a:xfrm>
                    <a:prstGeom prst="rect">
                      <a:avLst/>
                    </a:prstGeom>
                    <a:noFill/>
                  </pic:spPr>
                </pic:pic>
              </a:graphicData>
            </a:graphic>
          </wp:anchor>
        </w:drawing>
        <w:drawing>
          <wp:anchor simplePos="0" relativeHeight="251657728" behindDoc="1" locked="0" layoutInCell="0" allowOverlap="1">
            <wp:simplePos x="0" y="0"/>
            <wp:positionH relativeFrom="column">
              <wp:posOffset>5398770</wp:posOffset>
            </wp:positionH>
            <wp:positionV relativeFrom="paragraph">
              <wp:posOffset>-821055</wp:posOffset>
            </wp:positionV>
            <wp:extent cx="8255" cy="8216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821690"/>
                    </a:xfrm>
                    <a:prstGeom prst="rect">
                      <a:avLst/>
                    </a:prstGeom>
                    <a:noFill/>
                  </pic:spPr>
                </pic:pic>
              </a:graphicData>
            </a:graphic>
          </wp:anchor>
        </w:drawing>
        <w:drawing>
          <wp:anchor simplePos="0" relativeHeight="251657728" behindDoc="1" locked="0" layoutInCell="0" allowOverlap="1">
            <wp:simplePos x="0" y="0"/>
            <wp:positionH relativeFrom="column">
              <wp:posOffset>4561205</wp:posOffset>
            </wp:positionH>
            <wp:positionV relativeFrom="paragraph">
              <wp:posOffset>-821055</wp:posOffset>
            </wp:positionV>
            <wp:extent cx="8255" cy="8216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21690"/>
                    </a:xfrm>
                    <a:prstGeom prst="rect">
                      <a:avLst/>
                    </a:prstGeom>
                    <a:noFill/>
                  </pic:spPr>
                </pic:pic>
              </a:graphicData>
            </a:graphic>
          </wp:anchor>
        </w:drawing>
        <w:drawing>
          <wp:anchor simplePos="0" relativeHeight="251657728" behindDoc="1" locked="0" layoutInCell="0" allowOverlap="1">
            <wp:simplePos x="0" y="0"/>
            <wp:positionH relativeFrom="column">
              <wp:posOffset>3739515</wp:posOffset>
            </wp:positionH>
            <wp:positionV relativeFrom="paragraph">
              <wp:posOffset>-821055</wp:posOffset>
            </wp:positionV>
            <wp:extent cx="8255" cy="8216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21690"/>
                    </a:xfrm>
                    <a:prstGeom prst="rect">
                      <a:avLst/>
                    </a:prstGeom>
                    <a:noFill/>
                  </pic:spPr>
                </pic:pic>
              </a:graphicData>
            </a:graphic>
          </wp:anchor>
        </w:drawing>
        <w:drawing>
          <wp:anchor simplePos="0" relativeHeight="251657728" behindDoc="1" locked="0" layoutInCell="0" allowOverlap="1">
            <wp:simplePos x="0" y="0"/>
            <wp:positionH relativeFrom="column">
              <wp:posOffset>2803525</wp:posOffset>
            </wp:positionH>
            <wp:positionV relativeFrom="paragraph">
              <wp:posOffset>-821055</wp:posOffset>
            </wp:positionV>
            <wp:extent cx="8255" cy="821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821690"/>
                    </a:xfrm>
                    <a:prstGeom prst="rect">
                      <a:avLst/>
                    </a:prstGeom>
                    <a:noFill/>
                  </pic:spPr>
                </pic:pic>
              </a:graphicData>
            </a:graphic>
          </wp:anchor>
        </w:drawing>
      </w:r>
    </w:p>
    <w:p>
      <w:pPr>
        <w:spacing w:after="0" w:line="89" w:lineRule="exact"/>
        <w:rPr>
          <w:sz w:val="20"/>
          <w:szCs w:val="20"/>
          <w:color w:val="auto"/>
        </w:rPr>
      </w:pPr>
    </w:p>
    <w:p>
      <w:pPr>
        <w:ind w:left="760" w:hanging="414"/>
        <w:spacing w:after="0"/>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Company matching contributions were suspended for executive officers for plan year 2021 and are expected to resume in 2022.</w:t>
      </w:r>
    </w:p>
    <w:p>
      <w:pPr>
        <w:spacing w:after="0" w:line="389"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41659C"/>
        </w:rPr>
        <w:t>2021 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2720975</wp:posOffset>
            </wp:positionH>
            <wp:positionV relativeFrom="paragraph">
              <wp:posOffset>158750</wp:posOffset>
            </wp:positionV>
            <wp:extent cx="3696335" cy="19875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96335" cy="1987550"/>
                    </a:xfrm>
                    <a:prstGeom prst="rect">
                      <a:avLst/>
                    </a:prstGeom>
                    <a:noFill/>
                  </pic:spPr>
                </pic:pic>
              </a:graphicData>
            </a:graphic>
          </wp:anchor>
        </w:drawing>
      </w:r>
    </w:p>
    <w:p>
      <w:pPr>
        <w:spacing w:after="0" w:line="230" w:lineRule="exact"/>
        <w:rPr>
          <w:sz w:val="20"/>
          <w:szCs w:val="20"/>
          <w:color w:val="auto"/>
        </w:rPr>
      </w:pPr>
    </w:p>
    <w:tbl>
      <w:tblPr>
        <w:tblLayout w:type="fixed"/>
        <w:tblInd w:w="360" w:type="dxa"/>
        <w:tblCellMar>
          <w:top w:w="0" w:type="dxa"/>
          <w:left w:w="0" w:type="dxa"/>
          <w:bottom w:w="0" w:type="dxa"/>
          <w:right w:w="0" w:type="dxa"/>
        </w:tblCellMar>
      </w:tblPr>
      <w:tr>
        <w:trPr>
          <w:trHeight w:val="215"/>
        </w:trPr>
        <w:tc>
          <w:tcPr>
            <w:tcW w:w="3920" w:type="dxa"/>
            <w:vAlign w:val="bottom"/>
            <w:shd w:val="clear" w:color="auto" w:fill="41659C"/>
          </w:tcPr>
          <w:p>
            <w:pPr>
              <w:spacing w:after="0"/>
              <w:rPr>
                <w:sz w:val="18"/>
                <w:szCs w:val="18"/>
                <w:color w:val="auto"/>
              </w:rPr>
            </w:pPr>
          </w:p>
        </w:tc>
        <w:tc>
          <w:tcPr>
            <w:tcW w:w="620" w:type="dxa"/>
            <w:vAlign w:val="bottom"/>
            <w:shd w:val="clear" w:color="auto" w:fill="41659C"/>
          </w:tcPr>
          <w:p>
            <w:pPr>
              <w:spacing w:after="0"/>
              <w:rPr>
                <w:sz w:val="18"/>
                <w:szCs w:val="18"/>
                <w:color w:val="auto"/>
              </w:rPr>
            </w:pPr>
          </w:p>
        </w:tc>
        <w:tc>
          <w:tcPr>
            <w:tcW w:w="760" w:type="dxa"/>
            <w:vAlign w:val="bottom"/>
            <w:shd w:val="clear" w:color="auto" w:fill="41659C"/>
          </w:tcPr>
          <w:p>
            <w:pPr>
              <w:spacing w:after="0"/>
              <w:rPr>
                <w:sz w:val="18"/>
                <w:szCs w:val="18"/>
                <w:color w:val="auto"/>
              </w:rPr>
            </w:pPr>
          </w:p>
        </w:tc>
        <w:tc>
          <w:tcPr>
            <w:tcW w:w="760" w:type="dxa"/>
            <w:vAlign w:val="bottom"/>
            <w:shd w:val="clear" w:color="auto" w:fill="41659C"/>
          </w:tcPr>
          <w:p>
            <w:pPr>
              <w:spacing w:after="0"/>
              <w:rPr>
                <w:sz w:val="18"/>
                <w:szCs w:val="18"/>
                <w:color w:val="auto"/>
              </w:rPr>
            </w:pPr>
          </w:p>
        </w:tc>
        <w:tc>
          <w:tcPr>
            <w:tcW w:w="740" w:type="dxa"/>
            <w:vAlign w:val="bottom"/>
            <w:shd w:val="clear" w:color="auto" w:fill="41659C"/>
          </w:tcPr>
          <w:p>
            <w:pPr>
              <w:spacing w:after="0"/>
              <w:rPr>
                <w:sz w:val="18"/>
                <w:szCs w:val="18"/>
                <w:color w:val="auto"/>
              </w:rPr>
            </w:pPr>
          </w:p>
        </w:tc>
        <w:tc>
          <w:tcPr>
            <w:tcW w:w="740" w:type="dxa"/>
            <w:vAlign w:val="bottom"/>
            <w:shd w:val="clear" w:color="auto" w:fill="41659C"/>
          </w:tcPr>
          <w:p>
            <w:pPr>
              <w:spacing w:after="0"/>
              <w:rPr>
                <w:sz w:val="18"/>
                <w:szCs w:val="18"/>
                <w:color w:val="auto"/>
              </w:rPr>
            </w:pPr>
          </w:p>
        </w:tc>
        <w:tc>
          <w:tcPr>
            <w:tcW w:w="700" w:type="dxa"/>
            <w:vAlign w:val="bottom"/>
            <w:shd w:val="clear" w:color="auto" w:fill="41659C"/>
          </w:tcPr>
          <w:p>
            <w:pPr>
              <w:spacing w:after="0"/>
              <w:rPr>
                <w:sz w:val="18"/>
                <w:szCs w:val="18"/>
                <w:color w:val="auto"/>
              </w:rPr>
            </w:pPr>
          </w:p>
        </w:tc>
        <w:tc>
          <w:tcPr>
            <w:tcW w:w="760" w:type="dxa"/>
            <w:vAlign w:val="bottom"/>
            <w:shd w:val="clear" w:color="auto" w:fill="41659C"/>
          </w:tcPr>
          <w:p>
            <w:pPr>
              <w:spacing w:after="0"/>
              <w:rPr>
                <w:sz w:val="18"/>
                <w:szCs w:val="18"/>
                <w:color w:val="auto"/>
              </w:rPr>
            </w:pPr>
          </w:p>
        </w:tc>
        <w:tc>
          <w:tcPr>
            <w:tcW w:w="720" w:type="dxa"/>
            <w:vAlign w:val="bottom"/>
            <w:shd w:val="clear" w:color="auto" w:fill="41659C"/>
          </w:tcPr>
          <w:p>
            <w:pPr>
              <w:jc w:val="center"/>
              <w:spacing w:after="0"/>
              <w:rPr>
                <w:sz w:val="20"/>
                <w:szCs w:val="20"/>
                <w:color w:val="auto"/>
              </w:rPr>
            </w:pPr>
            <w:r>
              <w:rPr>
                <w:rFonts w:ascii="Arial" w:cs="Arial" w:eastAsia="Arial" w:hAnsi="Arial"/>
                <w:sz w:val="12"/>
                <w:szCs w:val="12"/>
                <w:b w:val="1"/>
                <w:bCs w:val="1"/>
                <w:color w:val="FFFFFF"/>
                <w:w w:val="98"/>
              </w:rPr>
              <w:t>All Other</w:t>
            </w:r>
          </w:p>
        </w:tc>
        <w:tc>
          <w:tcPr>
            <w:tcW w:w="820" w:type="dxa"/>
            <w:vAlign w:val="bottom"/>
            <w:shd w:val="clear" w:color="auto" w:fill="41659C"/>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920" w:type="dxa"/>
            <w:vAlign w:val="bottom"/>
            <w:shd w:val="clear" w:color="auto" w:fill="41659C"/>
          </w:tcPr>
          <w:p>
            <w:pPr>
              <w:spacing w:after="0"/>
              <w:rPr>
                <w:sz w:val="11"/>
                <w:szCs w:val="11"/>
                <w:color w:val="auto"/>
              </w:rPr>
            </w:pPr>
          </w:p>
        </w:tc>
        <w:tc>
          <w:tcPr>
            <w:tcW w:w="620" w:type="dxa"/>
            <w:vAlign w:val="bottom"/>
            <w:shd w:val="clear" w:color="auto" w:fill="41659C"/>
          </w:tcPr>
          <w:p>
            <w:pPr>
              <w:spacing w:after="0"/>
              <w:rPr>
                <w:sz w:val="11"/>
                <w:szCs w:val="11"/>
                <w:color w:val="auto"/>
              </w:rPr>
            </w:pPr>
          </w:p>
        </w:tc>
        <w:tc>
          <w:tcPr>
            <w:tcW w:w="760" w:type="dxa"/>
            <w:vAlign w:val="bottom"/>
            <w:shd w:val="clear" w:color="auto" w:fill="41659C"/>
          </w:tcPr>
          <w:p>
            <w:pPr>
              <w:spacing w:after="0"/>
              <w:rPr>
                <w:sz w:val="11"/>
                <w:szCs w:val="11"/>
                <w:color w:val="auto"/>
              </w:rPr>
            </w:pPr>
          </w:p>
        </w:tc>
        <w:tc>
          <w:tcPr>
            <w:tcW w:w="760" w:type="dxa"/>
            <w:vAlign w:val="bottom"/>
            <w:shd w:val="clear" w:color="auto" w:fill="41659C"/>
          </w:tcPr>
          <w:p>
            <w:pPr>
              <w:spacing w:after="0"/>
              <w:rPr>
                <w:sz w:val="11"/>
                <w:szCs w:val="11"/>
                <w:color w:val="auto"/>
              </w:rPr>
            </w:pPr>
          </w:p>
        </w:tc>
        <w:tc>
          <w:tcPr>
            <w:tcW w:w="740" w:type="dxa"/>
            <w:vAlign w:val="bottom"/>
            <w:shd w:val="clear" w:color="auto" w:fill="41659C"/>
          </w:tcPr>
          <w:p>
            <w:pPr>
              <w:spacing w:after="0"/>
              <w:rPr>
                <w:sz w:val="11"/>
                <w:szCs w:val="11"/>
                <w:color w:val="auto"/>
              </w:rPr>
            </w:pPr>
          </w:p>
        </w:tc>
        <w:tc>
          <w:tcPr>
            <w:tcW w:w="740" w:type="dxa"/>
            <w:vAlign w:val="bottom"/>
            <w:shd w:val="clear" w:color="auto" w:fill="41659C"/>
          </w:tcPr>
          <w:p>
            <w:pPr>
              <w:spacing w:after="0"/>
              <w:rPr>
                <w:sz w:val="11"/>
                <w:szCs w:val="11"/>
                <w:color w:val="auto"/>
              </w:rPr>
            </w:pPr>
          </w:p>
        </w:tc>
        <w:tc>
          <w:tcPr>
            <w:tcW w:w="700" w:type="dxa"/>
            <w:vAlign w:val="bottom"/>
            <w:shd w:val="clear" w:color="auto" w:fill="41659C"/>
          </w:tcPr>
          <w:p>
            <w:pPr>
              <w:spacing w:after="0"/>
              <w:rPr>
                <w:sz w:val="11"/>
                <w:szCs w:val="11"/>
                <w:color w:val="auto"/>
              </w:rPr>
            </w:pPr>
          </w:p>
        </w:tc>
        <w:tc>
          <w:tcPr>
            <w:tcW w:w="760" w:type="dxa"/>
            <w:vAlign w:val="bottom"/>
            <w:shd w:val="clear" w:color="auto" w:fill="41659C"/>
          </w:tcPr>
          <w:p>
            <w:pPr>
              <w:spacing w:after="0"/>
              <w:rPr>
                <w:sz w:val="11"/>
                <w:szCs w:val="11"/>
                <w:color w:val="auto"/>
              </w:rPr>
            </w:pPr>
          </w:p>
        </w:tc>
        <w:tc>
          <w:tcPr>
            <w:tcW w:w="720" w:type="dxa"/>
            <w:vAlign w:val="bottom"/>
            <w:shd w:val="clear" w:color="auto" w:fill="41659C"/>
          </w:tcPr>
          <w:p>
            <w:pPr>
              <w:jc w:val="center"/>
              <w:spacing w:after="0" w:line="129" w:lineRule="exact"/>
              <w:rPr>
                <w:sz w:val="20"/>
                <w:szCs w:val="20"/>
                <w:color w:val="auto"/>
              </w:rPr>
            </w:pPr>
            <w:r>
              <w:rPr>
                <w:rFonts w:ascii="Arial" w:cs="Arial" w:eastAsia="Arial" w:hAnsi="Arial"/>
                <w:sz w:val="12"/>
                <w:szCs w:val="12"/>
                <w:b w:val="1"/>
                <w:bCs w:val="1"/>
                <w:color w:val="FFFFFF"/>
                <w:w w:val="97"/>
              </w:rPr>
              <w:t>Stock</w:t>
            </w:r>
          </w:p>
        </w:tc>
        <w:tc>
          <w:tcPr>
            <w:tcW w:w="820" w:type="dxa"/>
            <w:vAlign w:val="bottom"/>
            <w:vMerge w:val="restart"/>
            <w:shd w:val="clear" w:color="auto" w:fill="41659C"/>
          </w:tcPr>
          <w:p>
            <w:pPr>
              <w:jc w:val="center"/>
              <w:spacing w:after="0"/>
              <w:rPr>
                <w:sz w:val="20"/>
                <w:szCs w:val="20"/>
                <w:color w:val="auto"/>
              </w:rPr>
            </w:pPr>
            <w:r>
              <w:rPr>
                <w:rFonts w:ascii="Arial" w:cs="Arial" w:eastAsia="Arial" w:hAnsi="Arial"/>
                <w:sz w:val="12"/>
                <w:szCs w:val="12"/>
                <w:b w:val="1"/>
                <w:bCs w:val="1"/>
                <w:color w:val="FFFFFF"/>
              </w:rPr>
              <w:t>Grant Date</w:t>
            </w:r>
          </w:p>
        </w:tc>
        <w:tc>
          <w:tcPr>
            <w:tcW w:w="0" w:type="dxa"/>
            <w:vAlign w:val="bottom"/>
          </w:tcPr>
          <w:p>
            <w:pPr>
              <w:spacing w:after="0"/>
              <w:rPr>
                <w:sz w:val="1"/>
                <w:szCs w:val="1"/>
                <w:color w:val="auto"/>
              </w:rPr>
            </w:pPr>
          </w:p>
        </w:tc>
      </w:tr>
      <w:tr>
        <w:trPr>
          <w:trHeight w:val="129"/>
        </w:trPr>
        <w:tc>
          <w:tcPr>
            <w:tcW w:w="3920" w:type="dxa"/>
            <w:vAlign w:val="bottom"/>
            <w:shd w:val="clear" w:color="auto" w:fill="41659C"/>
          </w:tcPr>
          <w:p>
            <w:pPr>
              <w:spacing w:after="0"/>
              <w:rPr>
                <w:sz w:val="11"/>
                <w:szCs w:val="11"/>
                <w:color w:val="auto"/>
              </w:rPr>
            </w:pPr>
          </w:p>
        </w:tc>
        <w:tc>
          <w:tcPr>
            <w:tcW w:w="620" w:type="dxa"/>
            <w:vAlign w:val="bottom"/>
            <w:shd w:val="clear" w:color="auto" w:fill="41659C"/>
          </w:tcPr>
          <w:p>
            <w:pPr>
              <w:spacing w:after="0"/>
              <w:rPr>
                <w:sz w:val="11"/>
                <w:szCs w:val="11"/>
                <w:color w:val="auto"/>
              </w:rPr>
            </w:pPr>
          </w:p>
        </w:tc>
        <w:tc>
          <w:tcPr>
            <w:tcW w:w="2260" w:type="dxa"/>
            <w:vAlign w:val="bottom"/>
            <w:gridSpan w:val="3"/>
            <w:vMerge w:val="restart"/>
            <w:shd w:val="clear" w:color="auto" w:fill="41659C"/>
          </w:tcPr>
          <w:p>
            <w:pPr>
              <w:jc w:val="center"/>
              <w:spacing w:after="0"/>
              <w:rPr>
                <w:sz w:val="20"/>
                <w:szCs w:val="20"/>
                <w:color w:val="auto"/>
              </w:rPr>
            </w:pPr>
            <w:r>
              <w:rPr>
                <w:rFonts w:ascii="Arial" w:cs="Arial" w:eastAsia="Arial" w:hAnsi="Arial"/>
                <w:sz w:val="12"/>
                <w:szCs w:val="12"/>
                <w:b w:val="1"/>
                <w:bCs w:val="1"/>
                <w:color w:val="FFFFFF"/>
                <w:w w:val="99"/>
              </w:rPr>
              <w:t>Estimated Possible Payouts</w:t>
            </w:r>
          </w:p>
        </w:tc>
        <w:tc>
          <w:tcPr>
            <w:tcW w:w="2200" w:type="dxa"/>
            <w:vAlign w:val="bottom"/>
            <w:gridSpan w:val="3"/>
            <w:vMerge w:val="restart"/>
            <w:shd w:val="clear" w:color="auto" w:fill="41659C"/>
          </w:tcPr>
          <w:p>
            <w:pPr>
              <w:jc w:val="center"/>
              <w:spacing w:after="0"/>
              <w:rPr>
                <w:sz w:val="20"/>
                <w:szCs w:val="20"/>
                <w:color w:val="auto"/>
              </w:rPr>
            </w:pPr>
            <w:r>
              <w:rPr>
                <w:rFonts w:ascii="Arial" w:cs="Arial" w:eastAsia="Arial" w:hAnsi="Arial"/>
                <w:sz w:val="12"/>
                <w:szCs w:val="12"/>
                <w:b w:val="1"/>
                <w:bCs w:val="1"/>
                <w:color w:val="FFFFFF"/>
              </w:rPr>
              <w:t>Estimated Future Payouts</w:t>
            </w:r>
          </w:p>
        </w:tc>
        <w:tc>
          <w:tcPr>
            <w:tcW w:w="720" w:type="dxa"/>
            <w:vAlign w:val="bottom"/>
            <w:shd w:val="clear" w:color="auto" w:fill="41659C"/>
          </w:tcPr>
          <w:p>
            <w:pPr>
              <w:jc w:val="center"/>
              <w:spacing w:after="0" w:line="129" w:lineRule="exact"/>
              <w:rPr>
                <w:sz w:val="20"/>
                <w:szCs w:val="20"/>
                <w:color w:val="auto"/>
              </w:rPr>
            </w:pPr>
            <w:r>
              <w:rPr>
                <w:rFonts w:ascii="Arial" w:cs="Arial" w:eastAsia="Arial" w:hAnsi="Arial"/>
                <w:sz w:val="12"/>
                <w:szCs w:val="12"/>
                <w:b w:val="1"/>
                <w:bCs w:val="1"/>
                <w:color w:val="FFFFFF"/>
              </w:rPr>
              <w:t>Awards:</w:t>
            </w:r>
          </w:p>
        </w:tc>
        <w:tc>
          <w:tcPr>
            <w:tcW w:w="820" w:type="dxa"/>
            <w:vAlign w:val="bottom"/>
            <w:vMerge w:val="continue"/>
            <w:shd w:val="clear" w:color="auto" w:fill="41659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920" w:type="dxa"/>
            <w:vAlign w:val="bottom"/>
            <w:shd w:val="clear" w:color="auto" w:fill="41659C"/>
          </w:tcPr>
          <w:p>
            <w:pPr>
              <w:spacing w:after="0"/>
              <w:rPr>
                <w:sz w:val="10"/>
                <w:szCs w:val="10"/>
                <w:color w:val="auto"/>
              </w:rPr>
            </w:pPr>
          </w:p>
        </w:tc>
        <w:tc>
          <w:tcPr>
            <w:tcW w:w="620" w:type="dxa"/>
            <w:vAlign w:val="bottom"/>
            <w:shd w:val="clear" w:color="auto" w:fill="41659C"/>
          </w:tcPr>
          <w:p>
            <w:pPr>
              <w:spacing w:after="0"/>
              <w:rPr>
                <w:sz w:val="10"/>
                <w:szCs w:val="10"/>
                <w:color w:val="auto"/>
              </w:rPr>
            </w:pPr>
          </w:p>
        </w:tc>
        <w:tc>
          <w:tcPr>
            <w:tcW w:w="2260" w:type="dxa"/>
            <w:vAlign w:val="bottom"/>
            <w:gridSpan w:val="3"/>
            <w:vMerge w:val="continue"/>
            <w:shd w:val="clear" w:color="auto" w:fill="41659C"/>
          </w:tcPr>
          <w:p>
            <w:pPr>
              <w:spacing w:after="0"/>
              <w:rPr>
                <w:sz w:val="10"/>
                <w:szCs w:val="10"/>
                <w:color w:val="auto"/>
              </w:rPr>
            </w:pPr>
          </w:p>
        </w:tc>
        <w:tc>
          <w:tcPr>
            <w:tcW w:w="2200" w:type="dxa"/>
            <w:vAlign w:val="bottom"/>
            <w:gridSpan w:val="3"/>
            <w:vMerge w:val="continue"/>
            <w:shd w:val="clear" w:color="auto" w:fill="41659C"/>
          </w:tcPr>
          <w:p>
            <w:pPr>
              <w:spacing w:after="0"/>
              <w:rPr>
                <w:sz w:val="10"/>
                <w:szCs w:val="10"/>
                <w:color w:val="auto"/>
              </w:rPr>
            </w:pPr>
          </w:p>
        </w:tc>
        <w:tc>
          <w:tcPr>
            <w:tcW w:w="720" w:type="dxa"/>
            <w:vAlign w:val="bottom"/>
            <w:shd w:val="clear" w:color="auto" w:fill="41659C"/>
          </w:tcPr>
          <w:p>
            <w:pPr>
              <w:jc w:val="center"/>
              <w:spacing w:after="0" w:line="121" w:lineRule="exact"/>
              <w:rPr>
                <w:sz w:val="20"/>
                <w:szCs w:val="20"/>
                <w:color w:val="auto"/>
              </w:rPr>
            </w:pPr>
            <w:r>
              <w:rPr>
                <w:rFonts w:ascii="Arial" w:cs="Arial" w:eastAsia="Arial" w:hAnsi="Arial"/>
                <w:sz w:val="12"/>
                <w:szCs w:val="12"/>
                <w:b w:val="1"/>
                <w:bCs w:val="1"/>
                <w:color w:val="FFFFFF"/>
              </w:rPr>
              <w:t>Number</w:t>
            </w:r>
          </w:p>
        </w:tc>
        <w:tc>
          <w:tcPr>
            <w:tcW w:w="820" w:type="dxa"/>
            <w:vAlign w:val="bottom"/>
            <w:shd w:val="clear" w:color="auto" w:fill="41659C"/>
          </w:tcPr>
          <w:p>
            <w:pPr>
              <w:jc w:val="center"/>
              <w:spacing w:after="0" w:line="121" w:lineRule="exact"/>
              <w:rPr>
                <w:sz w:val="20"/>
                <w:szCs w:val="20"/>
                <w:color w:val="auto"/>
              </w:rPr>
            </w:pPr>
            <w:r>
              <w:rPr>
                <w:rFonts w:ascii="Arial" w:cs="Arial" w:eastAsia="Arial" w:hAnsi="Arial"/>
                <w:sz w:val="12"/>
                <w:szCs w:val="12"/>
                <w:b w:val="1"/>
                <w:bCs w:val="1"/>
                <w:color w:val="FFFFFF"/>
              </w:rPr>
              <w:t>Fair Value</w:t>
            </w:r>
          </w:p>
        </w:tc>
        <w:tc>
          <w:tcPr>
            <w:tcW w:w="0" w:type="dxa"/>
            <w:vAlign w:val="bottom"/>
          </w:tcPr>
          <w:p>
            <w:pPr>
              <w:spacing w:after="0"/>
              <w:rPr>
                <w:sz w:val="1"/>
                <w:szCs w:val="1"/>
                <w:color w:val="auto"/>
              </w:rPr>
            </w:pPr>
          </w:p>
        </w:tc>
      </w:tr>
      <w:tr>
        <w:trPr>
          <w:trHeight w:val="129"/>
        </w:trPr>
        <w:tc>
          <w:tcPr>
            <w:tcW w:w="3920" w:type="dxa"/>
            <w:vAlign w:val="bottom"/>
            <w:shd w:val="clear" w:color="auto" w:fill="41659C"/>
          </w:tcPr>
          <w:p>
            <w:pPr>
              <w:spacing w:after="0"/>
              <w:rPr>
                <w:sz w:val="11"/>
                <w:szCs w:val="11"/>
                <w:color w:val="auto"/>
              </w:rPr>
            </w:pPr>
          </w:p>
        </w:tc>
        <w:tc>
          <w:tcPr>
            <w:tcW w:w="620" w:type="dxa"/>
            <w:vAlign w:val="bottom"/>
            <w:shd w:val="clear" w:color="auto" w:fill="41659C"/>
          </w:tcPr>
          <w:p>
            <w:pPr>
              <w:spacing w:after="0"/>
              <w:rPr>
                <w:sz w:val="11"/>
                <w:szCs w:val="11"/>
                <w:color w:val="auto"/>
              </w:rPr>
            </w:pPr>
          </w:p>
        </w:tc>
        <w:tc>
          <w:tcPr>
            <w:tcW w:w="2260" w:type="dxa"/>
            <w:vAlign w:val="bottom"/>
            <w:gridSpan w:val="3"/>
            <w:shd w:val="clear" w:color="auto" w:fill="41659C"/>
          </w:tcPr>
          <w:p>
            <w:pPr>
              <w:jc w:val="center"/>
              <w:spacing w:after="0" w:line="129" w:lineRule="exact"/>
              <w:rPr>
                <w:sz w:val="20"/>
                <w:szCs w:val="20"/>
                <w:color w:val="auto"/>
              </w:rPr>
            </w:pPr>
            <w:r>
              <w:rPr>
                <w:rFonts w:ascii="Arial" w:cs="Arial" w:eastAsia="Arial" w:hAnsi="Arial"/>
                <w:sz w:val="12"/>
                <w:szCs w:val="12"/>
                <w:b w:val="1"/>
                <w:bCs w:val="1"/>
                <w:color w:val="FFFFFF"/>
              </w:rPr>
              <w:t>Under Non-Equity Incentive Plan</w:t>
            </w:r>
          </w:p>
        </w:tc>
        <w:tc>
          <w:tcPr>
            <w:tcW w:w="2200" w:type="dxa"/>
            <w:vAlign w:val="bottom"/>
            <w:gridSpan w:val="3"/>
            <w:shd w:val="clear" w:color="auto" w:fill="41659C"/>
          </w:tcPr>
          <w:p>
            <w:pPr>
              <w:jc w:val="center"/>
              <w:spacing w:after="0" w:line="129" w:lineRule="exact"/>
              <w:rPr>
                <w:sz w:val="20"/>
                <w:szCs w:val="20"/>
                <w:color w:val="auto"/>
              </w:rPr>
            </w:pPr>
            <w:r>
              <w:rPr>
                <w:rFonts w:ascii="Arial" w:cs="Arial" w:eastAsia="Arial" w:hAnsi="Arial"/>
                <w:sz w:val="12"/>
                <w:szCs w:val="12"/>
                <w:b w:val="1"/>
                <w:bCs w:val="1"/>
                <w:color w:val="FFFFFF"/>
                <w:w w:val="99"/>
              </w:rPr>
              <w:t>Under Equity Incentive Plan</w:t>
            </w:r>
          </w:p>
        </w:tc>
        <w:tc>
          <w:tcPr>
            <w:tcW w:w="720" w:type="dxa"/>
            <w:vAlign w:val="bottom"/>
            <w:shd w:val="clear" w:color="auto" w:fill="41659C"/>
          </w:tcPr>
          <w:p>
            <w:pPr>
              <w:jc w:val="center"/>
              <w:spacing w:after="0" w:line="129" w:lineRule="exact"/>
              <w:rPr>
                <w:sz w:val="20"/>
                <w:szCs w:val="20"/>
                <w:color w:val="auto"/>
              </w:rPr>
            </w:pPr>
            <w:r>
              <w:rPr>
                <w:rFonts w:ascii="Arial" w:cs="Arial" w:eastAsia="Arial" w:hAnsi="Arial"/>
                <w:sz w:val="12"/>
                <w:szCs w:val="12"/>
                <w:b w:val="1"/>
                <w:bCs w:val="1"/>
                <w:color w:val="FFFFFF"/>
                <w:w w:val="98"/>
              </w:rPr>
              <w:t>of Shares</w:t>
            </w:r>
          </w:p>
        </w:tc>
        <w:tc>
          <w:tcPr>
            <w:tcW w:w="820" w:type="dxa"/>
            <w:vAlign w:val="bottom"/>
            <w:shd w:val="clear" w:color="auto" w:fill="41659C"/>
          </w:tcPr>
          <w:p>
            <w:pPr>
              <w:jc w:val="center"/>
              <w:spacing w:after="0" w:line="129" w:lineRule="exact"/>
              <w:rPr>
                <w:sz w:val="20"/>
                <w:szCs w:val="20"/>
                <w:color w:val="auto"/>
              </w:rPr>
            </w:pPr>
            <w:r>
              <w:rPr>
                <w:rFonts w:ascii="Arial" w:cs="Arial" w:eastAsia="Arial" w:hAnsi="Arial"/>
                <w:sz w:val="12"/>
                <w:szCs w:val="12"/>
                <w:b w:val="1"/>
                <w:bCs w:val="1"/>
                <w:color w:val="FFFFFF"/>
              </w:rPr>
              <w:t>of Stock</w:t>
            </w:r>
          </w:p>
        </w:tc>
        <w:tc>
          <w:tcPr>
            <w:tcW w:w="0" w:type="dxa"/>
            <w:vAlign w:val="bottom"/>
          </w:tcPr>
          <w:p>
            <w:pPr>
              <w:spacing w:after="0"/>
              <w:rPr>
                <w:sz w:val="1"/>
                <w:szCs w:val="1"/>
                <w:color w:val="auto"/>
              </w:rPr>
            </w:pPr>
          </w:p>
        </w:tc>
      </w:tr>
      <w:tr>
        <w:trPr>
          <w:trHeight w:val="137"/>
        </w:trPr>
        <w:tc>
          <w:tcPr>
            <w:tcW w:w="3920" w:type="dxa"/>
            <w:vAlign w:val="bottom"/>
            <w:shd w:val="clear" w:color="auto" w:fill="41659C"/>
          </w:tcPr>
          <w:p>
            <w:pPr>
              <w:spacing w:after="0"/>
              <w:rPr>
                <w:sz w:val="11"/>
                <w:szCs w:val="11"/>
                <w:color w:val="auto"/>
              </w:rPr>
            </w:pPr>
          </w:p>
        </w:tc>
        <w:tc>
          <w:tcPr>
            <w:tcW w:w="620" w:type="dxa"/>
            <w:vAlign w:val="bottom"/>
            <w:shd w:val="clear" w:color="auto" w:fill="41659C"/>
          </w:tcPr>
          <w:p>
            <w:pPr>
              <w:spacing w:after="0"/>
              <w:rPr>
                <w:sz w:val="11"/>
                <w:szCs w:val="11"/>
                <w:color w:val="auto"/>
              </w:rPr>
            </w:pPr>
          </w:p>
        </w:tc>
        <w:tc>
          <w:tcPr>
            <w:tcW w:w="760" w:type="dxa"/>
            <w:vAlign w:val="bottom"/>
            <w:shd w:val="clear" w:color="auto" w:fill="41659C"/>
          </w:tcPr>
          <w:p>
            <w:pPr>
              <w:spacing w:after="0"/>
              <w:rPr>
                <w:sz w:val="11"/>
                <w:szCs w:val="11"/>
                <w:color w:val="auto"/>
              </w:rPr>
            </w:pPr>
          </w:p>
        </w:tc>
        <w:tc>
          <w:tcPr>
            <w:tcW w:w="760" w:type="dxa"/>
            <w:vAlign w:val="bottom"/>
            <w:shd w:val="clear" w:color="auto" w:fill="41659C"/>
          </w:tcPr>
          <w:p>
            <w:pPr>
              <w:jc w:val="center"/>
              <w:spacing w:after="0"/>
              <w:rPr>
                <w:sz w:val="20"/>
                <w:szCs w:val="20"/>
                <w:color w:val="auto"/>
              </w:rPr>
            </w:pPr>
            <w:r>
              <w:rPr>
                <w:rFonts w:ascii="Arial" w:cs="Arial" w:eastAsia="Arial" w:hAnsi="Arial"/>
                <w:sz w:val="12"/>
                <w:szCs w:val="12"/>
                <w:b w:val="1"/>
                <w:bCs w:val="1"/>
                <w:color w:val="FFFFFF"/>
              </w:rPr>
              <w:t>Awards</w:t>
            </w:r>
            <w:r>
              <w:rPr>
                <w:rFonts w:ascii="Arial" w:cs="Arial" w:eastAsia="Arial" w:hAnsi="Arial"/>
                <w:sz w:val="10"/>
                <w:szCs w:val="10"/>
                <w:b w:val="1"/>
                <w:bCs w:val="1"/>
                <w:color w:val="FFFFFF"/>
              </w:rPr>
              <w:t>(1)</w:t>
            </w:r>
          </w:p>
        </w:tc>
        <w:tc>
          <w:tcPr>
            <w:tcW w:w="740" w:type="dxa"/>
            <w:vAlign w:val="bottom"/>
            <w:shd w:val="clear" w:color="auto" w:fill="41659C"/>
          </w:tcPr>
          <w:p>
            <w:pPr>
              <w:spacing w:after="0"/>
              <w:rPr>
                <w:sz w:val="11"/>
                <w:szCs w:val="11"/>
                <w:color w:val="auto"/>
              </w:rPr>
            </w:pPr>
          </w:p>
        </w:tc>
        <w:tc>
          <w:tcPr>
            <w:tcW w:w="740" w:type="dxa"/>
            <w:vAlign w:val="bottom"/>
            <w:shd w:val="clear" w:color="auto" w:fill="41659C"/>
          </w:tcPr>
          <w:p>
            <w:pPr>
              <w:spacing w:after="0"/>
              <w:rPr>
                <w:sz w:val="11"/>
                <w:szCs w:val="11"/>
                <w:color w:val="auto"/>
              </w:rPr>
            </w:pPr>
          </w:p>
        </w:tc>
        <w:tc>
          <w:tcPr>
            <w:tcW w:w="700" w:type="dxa"/>
            <w:vAlign w:val="bottom"/>
            <w:shd w:val="clear" w:color="auto" w:fill="41659C"/>
          </w:tcPr>
          <w:p>
            <w:pPr>
              <w:jc w:val="center"/>
              <w:spacing w:after="0"/>
              <w:rPr>
                <w:sz w:val="20"/>
                <w:szCs w:val="20"/>
                <w:color w:val="auto"/>
              </w:rPr>
            </w:pPr>
            <w:r>
              <w:rPr>
                <w:rFonts w:ascii="Arial" w:cs="Arial" w:eastAsia="Arial" w:hAnsi="Arial"/>
                <w:sz w:val="12"/>
                <w:szCs w:val="12"/>
                <w:b w:val="1"/>
                <w:bCs w:val="1"/>
                <w:color w:val="FFFFFF"/>
                <w:w w:val="97"/>
              </w:rPr>
              <w:t>Awards</w:t>
            </w:r>
            <w:r>
              <w:rPr>
                <w:rFonts w:ascii="Arial" w:cs="Arial" w:eastAsia="Arial" w:hAnsi="Arial"/>
                <w:sz w:val="10"/>
                <w:szCs w:val="10"/>
                <w:b w:val="1"/>
                <w:bCs w:val="1"/>
                <w:color w:val="FFFFFF"/>
                <w:w w:val="97"/>
              </w:rPr>
              <w:t>(2)</w:t>
            </w:r>
          </w:p>
        </w:tc>
        <w:tc>
          <w:tcPr>
            <w:tcW w:w="760" w:type="dxa"/>
            <w:vAlign w:val="bottom"/>
            <w:shd w:val="clear" w:color="auto" w:fill="41659C"/>
          </w:tcPr>
          <w:p>
            <w:pPr>
              <w:spacing w:after="0"/>
              <w:rPr>
                <w:sz w:val="11"/>
                <w:szCs w:val="11"/>
                <w:color w:val="auto"/>
              </w:rPr>
            </w:pPr>
          </w:p>
        </w:tc>
        <w:tc>
          <w:tcPr>
            <w:tcW w:w="720" w:type="dxa"/>
            <w:vAlign w:val="bottom"/>
            <w:shd w:val="clear" w:color="auto" w:fill="41659C"/>
          </w:tcPr>
          <w:p>
            <w:pPr>
              <w:jc w:val="center"/>
              <w:spacing w:after="0"/>
              <w:rPr>
                <w:sz w:val="20"/>
                <w:szCs w:val="20"/>
                <w:color w:val="auto"/>
              </w:rPr>
            </w:pPr>
            <w:r>
              <w:rPr>
                <w:rFonts w:ascii="Arial" w:cs="Arial" w:eastAsia="Arial" w:hAnsi="Arial"/>
                <w:sz w:val="12"/>
                <w:szCs w:val="12"/>
                <w:b w:val="1"/>
                <w:bCs w:val="1"/>
                <w:color w:val="FFFFFF"/>
              </w:rPr>
              <w:t>of Stock</w:t>
            </w:r>
          </w:p>
        </w:tc>
        <w:tc>
          <w:tcPr>
            <w:tcW w:w="820" w:type="dxa"/>
            <w:vAlign w:val="bottom"/>
            <w:shd w:val="clear" w:color="auto" w:fill="41659C"/>
          </w:tcPr>
          <w:p>
            <w:pPr>
              <w:jc w:val="center"/>
              <w:spacing w:after="0"/>
              <w:rPr>
                <w:sz w:val="20"/>
                <w:szCs w:val="20"/>
                <w:color w:val="auto"/>
              </w:rPr>
            </w:pPr>
            <w:r>
              <w:rPr>
                <w:rFonts w:ascii="Arial" w:cs="Arial" w:eastAsia="Arial" w:hAnsi="Arial"/>
                <w:sz w:val="12"/>
                <w:szCs w:val="12"/>
                <w:b w:val="1"/>
                <w:bCs w:val="1"/>
                <w:color w:val="FFFFFF"/>
              </w:rPr>
              <w:t>and Option</w:t>
            </w:r>
          </w:p>
        </w:tc>
        <w:tc>
          <w:tcPr>
            <w:tcW w:w="0" w:type="dxa"/>
            <w:vAlign w:val="bottom"/>
          </w:tcPr>
          <w:p>
            <w:pPr>
              <w:spacing w:after="0"/>
              <w:rPr>
                <w:sz w:val="1"/>
                <w:szCs w:val="1"/>
                <w:color w:val="auto"/>
              </w:rPr>
            </w:pPr>
          </w:p>
        </w:tc>
      </w:tr>
      <w:tr>
        <w:trPr>
          <w:trHeight w:val="134"/>
        </w:trPr>
        <w:tc>
          <w:tcPr>
            <w:tcW w:w="3920" w:type="dxa"/>
            <w:vAlign w:val="bottom"/>
            <w:vMerge w:val="restart"/>
            <w:shd w:val="clear" w:color="auto" w:fill="41659C"/>
          </w:tcPr>
          <w:p>
            <w:pPr>
              <w:ind w:left="60"/>
              <w:spacing w:after="0"/>
              <w:rPr>
                <w:sz w:val="20"/>
                <w:szCs w:val="20"/>
                <w:color w:val="auto"/>
              </w:rPr>
            </w:pPr>
            <w:r>
              <w:rPr>
                <w:rFonts w:ascii="Arial" w:cs="Arial" w:eastAsia="Arial" w:hAnsi="Arial"/>
                <w:sz w:val="12"/>
                <w:szCs w:val="12"/>
                <w:b w:val="1"/>
                <w:bCs w:val="1"/>
                <w:color w:val="FFFFFF"/>
              </w:rPr>
              <w:t>Name</w:t>
            </w:r>
          </w:p>
        </w:tc>
        <w:tc>
          <w:tcPr>
            <w:tcW w:w="620" w:type="dxa"/>
            <w:vAlign w:val="bottom"/>
            <w:shd w:val="clear" w:color="auto" w:fill="41659C"/>
          </w:tcPr>
          <w:p>
            <w:pPr>
              <w:ind w:left="140"/>
              <w:spacing w:after="0" w:line="134" w:lineRule="exact"/>
              <w:rPr>
                <w:sz w:val="20"/>
                <w:szCs w:val="20"/>
                <w:color w:val="auto"/>
              </w:rPr>
            </w:pPr>
            <w:r>
              <w:rPr>
                <w:rFonts w:ascii="Arial" w:cs="Arial" w:eastAsia="Arial" w:hAnsi="Arial"/>
                <w:sz w:val="12"/>
                <w:szCs w:val="12"/>
                <w:b w:val="1"/>
                <w:bCs w:val="1"/>
                <w:color w:val="FFFFFF"/>
              </w:rPr>
              <w:t>Grant</w:t>
            </w:r>
          </w:p>
        </w:tc>
        <w:tc>
          <w:tcPr>
            <w:tcW w:w="760" w:type="dxa"/>
            <w:vAlign w:val="bottom"/>
            <w:shd w:val="clear" w:color="auto" w:fill="41659C"/>
          </w:tcPr>
          <w:p>
            <w:pPr>
              <w:ind w:left="80"/>
              <w:spacing w:after="0" w:line="134" w:lineRule="exact"/>
              <w:rPr>
                <w:sz w:val="20"/>
                <w:szCs w:val="20"/>
                <w:color w:val="auto"/>
              </w:rPr>
            </w:pPr>
            <w:r>
              <w:rPr>
                <w:rFonts w:ascii="Arial" w:cs="Arial" w:eastAsia="Arial" w:hAnsi="Arial"/>
                <w:sz w:val="12"/>
                <w:szCs w:val="12"/>
                <w:b w:val="1"/>
                <w:bCs w:val="1"/>
                <w:color w:val="FFFFFF"/>
              </w:rPr>
              <w:t>Threshold</w:t>
            </w:r>
          </w:p>
        </w:tc>
        <w:tc>
          <w:tcPr>
            <w:tcW w:w="760" w:type="dxa"/>
            <w:vAlign w:val="bottom"/>
            <w:shd w:val="clear" w:color="auto" w:fill="41659C"/>
          </w:tcPr>
          <w:p>
            <w:pPr>
              <w:jc w:val="center"/>
              <w:spacing w:after="0" w:line="134" w:lineRule="exact"/>
              <w:rPr>
                <w:sz w:val="20"/>
                <w:szCs w:val="20"/>
                <w:color w:val="auto"/>
              </w:rPr>
            </w:pPr>
            <w:r>
              <w:rPr>
                <w:rFonts w:ascii="Arial" w:cs="Arial" w:eastAsia="Arial" w:hAnsi="Arial"/>
                <w:sz w:val="12"/>
                <w:szCs w:val="12"/>
                <w:b w:val="1"/>
                <w:bCs w:val="1"/>
                <w:color w:val="FFFFFF"/>
                <w:w w:val="98"/>
              </w:rPr>
              <w:t>Target</w:t>
            </w:r>
          </w:p>
        </w:tc>
        <w:tc>
          <w:tcPr>
            <w:tcW w:w="740" w:type="dxa"/>
            <w:vAlign w:val="bottom"/>
            <w:shd w:val="clear" w:color="auto" w:fill="41659C"/>
          </w:tcPr>
          <w:p>
            <w:pPr>
              <w:ind w:left="80"/>
              <w:spacing w:after="0" w:line="134" w:lineRule="exact"/>
              <w:rPr>
                <w:sz w:val="20"/>
                <w:szCs w:val="20"/>
                <w:color w:val="auto"/>
              </w:rPr>
            </w:pPr>
            <w:r>
              <w:rPr>
                <w:rFonts w:ascii="Arial" w:cs="Arial" w:eastAsia="Arial" w:hAnsi="Arial"/>
                <w:sz w:val="12"/>
                <w:szCs w:val="12"/>
                <w:b w:val="1"/>
                <w:bCs w:val="1"/>
                <w:color w:val="FFFFFF"/>
              </w:rPr>
              <w:t>Maximum</w:t>
            </w:r>
          </w:p>
        </w:tc>
        <w:tc>
          <w:tcPr>
            <w:tcW w:w="740" w:type="dxa"/>
            <w:vAlign w:val="bottom"/>
            <w:shd w:val="clear" w:color="auto" w:fill="41659C"/>
          </w:tcPr>
          <w:p>
            <w:pPr>
              <w:jc w:val="right"/>
              <w:spacing w:after="0" w:line="134" w:lineRule="exact"/>
              <w:rPr>
                <w:sz w:val="20"/>
                <w:szCs w:val="20"/>
                <w:color w:val="auto"/>
              </w:rPr>
            </w:pPr>
            <w:r>
              <w:rPr>
                <w:rFonts w:ascii="Arial" w:cs="Arial" w:eastAsia="Arial" w:hAnsi="Arial"/>
                <w:sz w:val="12"/>
                <w:szCs w:val="12"/>
                <w:b w:val="1"/>
                <w:bCs w:val="1"/>
                <w:color w:val="FFFFFF"/>
              </w:rPr>
              <w:t>Threshold</w:t>
            </w:r>
          </w:p>
        </w:tc>
        <w:tc>
          <w:tcPr>
            <w:tcW w:w="700" w:type="dxa"/>
            <w:vAlign w:val="bottom"/>
            <w:shd w:val="clear" w:color="auto" w:fill="41659C"/>
          </w:tcPr>
          <w:p>
            <w:pPr>
              <w:jc w:val="center"/>
              <w:spacing w:after="0" w:line="134" w:lineRule="exact"/>
              <w:rPr>
                <w:sz w:val="20"/>
                <w:szCs w:val="20"/>
                <w:color w:val="auto"/>
              </w:rPr>
            </w:pPr>
            <w:r>
              <w:rPr>
                <w:rFonts w:ascii="Arial" w:cs="Arial" w:eastAsia="Arial" w:hAnsi="Arial"/>
                <w:sz w:val="12"/>
                <w:szCs w:val="12"/>
                <w:b w:val="1"/>
                <w:bCs w:val="1"/>
                <w:color w:val="FFFFFF"/>
                <w:w w:val="98"/>
              </w:rPr>
              <w:t>Target</w:t>
            </w:r>
          </w:p>
        </w:tc>
        <w:tc>
          <w:tcPr>
            <w:tcW w:w="760" w:type="dxa"/>
            <w:vAlign w:val="bottom"/>
            <w:shd w:val="clear" w:color="auto" w:fill="41659C"/>
          </w:tcPr>
          <w:p>
            <w:pPr>
              <w:jc w:val="right"/>
              <w:ind w:right="49"/>
              <w:spacing w:after="0" w:line="134" w:lineRule="exact"/>
              <w:rPr>
                <w:sz w:val="20"/>
                <w:szCs w:val="20"/>
                <w:color w:val="auto"/>
              </w:rPr>
            </w:pPr>
            <w:r>
              <w:rPr>
                <w:rFonts w:ascii="Arial" w:cs="Arial" w:eastAsia="Arial" w:hAnsi="Arial"/>
                <w:sz w:val="12"/>
                <w:szCs w:val="12"/>
                <w:b w:val="1"/>
                <w:bCs w:val="1"/>
                <w:color w:val="FFFFFF"/>
              </w:rPr>
              <w:t>Maximum</w:t>
            </w:r>
          </w:p>
        </w:tc>
        <w:tc>
          <w:tcPr>
            <w:tcW w:w="720" w:type="dxa"/>
            <w:vAlign w:val="bottom"/>
            <w:shd w:val="clear" w:color="auto" w:fill="41659C"/>
          </w:tcPr>
          <w:p>
            <w:pPr>
              <w:jc w:val="center"/>
              <w:spacing w:after="0" w:line="134" w:lineRule="exact"/>
              <w:rPr>
                <w:sz w:val="20"/>
                <w:szCs w:val="20"/>
                <w:color w:val="auto"/>
              </w:rPr>
            </w:pPr>
            <w:r>
              <w:rPr>
                <w:rFonts w:ascii="Arial" w:cs="Arial" w:eastAsia="Arial" w:hAnsi="Arial"/>
                <w:sz w:val="12"/>
                <w:szCs w:val="12"/>
                <w:b w:val="1"/>
                <w:bCs w:val="1"/>
                <w:color w:val="FFFFFF"/>
              </w:rPr>
              <w:t>or Units</w:t>
            </w:r>
          </w:p>
        </w:tc>
        <w:tc>
          <w:tcPr>
            <w:tcW w:w="820" w:type="dxa"/>
            <w:vAlign w:val="bottom"/>
            <w:shd w:val="clear" w:color="auto" w:fill="41659C"/>
          </w:tcPr>
          <w:p>
            <w:pPr>
              <w:jc w:val="center"/>
              <w:spacing w:after="0" w:line="134" w:lineRule="exact"/>
              <w:rPr>
                <w:sz w:val="20"/>
                <w:szCs w:val="20"/>
                <w:color w:val="auto"/>
              </w:rPr>
            </w:pPr>
            <w:r>
              <w:rPr>
                <w:rFonts w:ascii="Arial" w:cs="Arial" w:eastAsia="Arial" w:hAnsi="Arial"/>
                <w:sz w:val="12"/>
                <w:szCs w:val="12"/>
                <w:b w:val="1"/>
                <w:bCs w:val="1"/>
                <w:color w:val="FFFFFF"/>
              </w:rPr>
              <w:t>Awards</w:t>
            </w:r>
          </w:p>
        </w:tc>
        <w:tc>
          <w:tcPr>
            <w:tcW w:w="0" w:type="dxa"/>
            <w:vAlign w:val="bottom"/>
          </w:tcPr>
          <w:p>
            <w:pPr>
              <w:spacing w:after="0"/>
              <w:rPr>
                <w:sz w:val="1"/>
                <w:szCs w:val="1"/>
                <w:color w:val="auto"/>
              </w:rPr>
            </w:pPr>
          </w:p>
        </w:tc>
      </w:tr>
      <w:tr>
        <w:trPr>
          <w:trHeight w:val="155"/>
        </w:trPr>
        <w:tc>
          <w:tcPr>
            <w:tcW w:w="3920" w:type="dxa"/>
            <w:vAlign w:val="bottom"/>
            <w:vMerge w:val="continue"/>
            <w:shd w:val="clear" w:color="auto" w:fill="41659C"/>
          </w:tcPr>
          <w:p>
            <w:pPr>
              <w:spacing w:after="0"/>
              <w:rPr>
                <w:sz w:val="13"/>
                <w:szCs w:val="13"/>
                <w:color w:val="auto"/>
              </w:rPr>
            </w:pPr>
          </w:p>
        </w:tc>
        <w:tc>
          <w:tcPr>
            <w:tcW w:w="620" w:type="dxa"/>
            <w:vAlign w:val="bottom"/>
            <w:shd w:val="clear" w:color="auto" w:fill="41659C"/>
          </w:tcPr>
          <w:p>
            <w:pPr>
              <w:ind w:left="160"/>
              <w:spacing w:after="0"/>
              <w:rPr>
                <w:sz w:val="20"/>
                <w:szCs w:val="20"/>
                <w:color w:val="auto"/>
              </w:rPr>
            </w:pPr>
            <w:r>
              <w:rPr>
                <w:rFonts w:ascii="Arial" w:cs="Arial" w:eastAsia="Arial" w:hAnsi="Arial"/>
                <w:sz w:val="12"/>
                <w:szCs w:val="12"/>
                <w:b w:val="1"/>
                <w:bCs w:val="1"/>
                <w:color w:val="FFFFFF"/>
              </w:rPr>
              <w:t>Date</w:t>
            </w:r>
          </w:p>
        </w:tc>
        <w:tc>
          <w:tcPr>
            <w:tcW w:w="760" w:type="dxa"/>
            <w:vAlign w:val="bottom"/>
            <w:shd w:val="clear" w:color="auto" w:fill="41659C"/>
          </w:tcPr>
          <w:p>
            <w:pPr>
              <w:ind w:left="300"/>
              <w:spacing w:after="0"/>
              <w:rPr>
                <w:sz w:val="20"/>
                <w:szCs w:val="20"/>
                <w:color w:val="auto"/>
              </w:rPr>
            </w:pPr>
            <w:r>
              <w:rPr>
                <w:rFonts w:ascii="Arial" w:cs="Arial" w:eastAsia="Arial" w:hAnsi="Arial"/>
                <w:sz w:val="12"/>
                <w:szCs w:val="12"/>
                <w:b w:val="1"/>
                <w:bCs w:val="1"/>
                <w:color w:val="FFFFFF"/>
              </w:rPr>
              <w:t>(#)</w:t>
            </w:r>
          </w:p>
        </w:tc>
        <w:tc>
          <w:tcPr>
            <w:tcW w:w="760" w:type="dxa"/>
            <w:vAlign w:val="bottom"/>
            <w:shd w:val="clear" w:color="auto" w:fill="41659C"/>
          </w:tcPr>
          <w:p>
            <w:pPr>
              <w:jc w:val="center"/>
              <w:spacing w:after="0"/>
              <w:rPr>
                <w:sz w:val="20"/>
                <w:szCs w:val="20"/>
                <w:color w:val="auto"/>
              </w:rPr>
            </w:pPr>
            <w:r>
              <w:rPr>
                <w:rFonts w:ascii="Arial" w:cs="Arial" w:eastAsia="Arial" w:hAnsi="Arial"/>
                <w:sz w:val="12"/>
                <w:szCs w:val="12"/>
                <w:b w:val="1"/>
                <w:bCs w:val="1"/>
                <w:color w:val="FFFFFF"/>
                <w:w w:val="95"/>
              </w:rPr>
              <w:t>(#)</w:t>
            </w:r>
          </w:p>
        </w:tc>
        <w:tc>
          <w:tcPr>
            <w:tcW w:w="740" w:type="dxa"/>
            <w:vAlign w:val="bottom"/>
            <w:shd w:val="clear" w:color="auto" w:fill="41659C"/>
          </w:tcPr>
          <w:p>
            <w:pPr>
              <w:ind w:left="280"/>
              <w:spacing w:after="0"/>
              <w:rPr>
                <w:sz w:val="20"/>
                <w:szCs w:val="20"/>
                <w:color w:val="auto"/>
              </w:rPr>
            </w:pPr>
            <w:r>
              <w:rPr>
                <w:rFonts w:ascii="Arial" w:cs="Arial" w:eastAsia="Arial" w:hAnsi="Arial"/>
                <w:sz w:val="12"/>
                <w:szCs w:val="12"/>
                <w:b w:val="1"/>
                <w:bCs w:val="1"/>
                <w:color w:val="FFFFFF"/>
              </w:rPr>
              <w:t>(#)</w:t>
            </w:r>
          </w:p>
        </w:tc>
        <w:tc>
          <w:tcPr>
            <w:tcW w:w="740" w:type="dxa"/>
            <w:vAlign w:val="bottom"/>
            <w:shd w:val="clear" w:color="auto" w:fill="41659C"/>
          </w:tcPr>
          <w:p>
            <w:pPr>
              <w:jc w:val="right"/>
              <w:ind w:right="211"/>
              <w:spacing w:after="0"/>
              <w:rPr>
                <w:sz w:val="20"/>
                <w:szCs w:val="20"/>
                <w:color w:val="auto"/>
              </w:rPr>
            </w:pPr>
            <w:r>
              <w:rPr>
                <w:rFonts w:ascii="Arial" w:cs="Arial" w:eastAsia="Arial" w:hAnsi="Arial"/>
                <w:sz w:val="12"/>
                <w:szCs w:val="12"/>
                <w:b w:val="1"/>
                <w:bCs w:val="1"/>
                <w:color w:val="FFFFFF"/>
              </w:rPr>
              <w:t>(#)</w:t>
            </w:r>
          </w:p>
        </w:tc>
        <w:tc>
          <w:tcPr>
            <w:tcW w:w="700" w:type="dxa"/>
            <w:vAlign w:val="bottom"/>
            <w:shd w:val="clear" w:color="auto" w:fill="41659C"/>
          </w:tcPr>
          <w:p>
            <w:pPr>
              <w:jc w:val="center"/>
              <w:spacing w:after="0"/>
              <w:rPr>
                <w:sz w:val="20"/>
                <w:szCs w:val="20"/>
                <w:color w:val="auto"/>
              </w:rPr>
            </w:pPr>
            <w:r>
              <w:rPr>
                <w:rFonts w:ascii="Arial" w:cs="Arial" w:eastAsia="Arial" w:hAnsi="Arial"/>
                <w:sz w:val="12"/>
                <w:szCs w:val="12"/>
                <w:b w:val="1"/>
                <w:bCs w:val="1"/>
                <w:color w:val="FFFFFF"/>
              </w:rPr>
              <w:t>(#)</w:t>
            </w:r>
          </w:p>
        </w:tc>
        <w:tc>
          <w:tcPr>
            <w:tcW w:w="760" w:type="dxa"/>
            <w:vAlign w:val="bottom"/>
            <w:shd w:val="clear" w:color="auto" w:fill="41659C"/>
          </w:tcPr>
          <w:p>
            <w:pPr>
              <w:jc w:val="right"/>
              <w:ind w:right="249"/>
              <w:spacing w:after="0"/>
              <w:rPr>
                <w:sz w:val="20"/>
                <w:szCs w:val="20"/>
                <w:color w:val="auto"/>
              </w:rPr>
            </w:pPr>
            <w:r>
              <w:rPr>
                <w:rFonts w:ascii="Arial" w:cs="Arial" w:eastAsia="Arial" w:hAnsi="Arial"/>
                <w:sz w:val="12"/>
                <w:szCs w:val="12"/>
                <w:b w:val="1"/>
                <w:bCs w:val="1"/>
                <w:color w:val="FFFFFF"/>
              </w:rPr>
              <w:t>(#)</w:t>
            </w:r>
          </w:p>
        </w:tc>
        <w:tc>
          <w:tcPr>
            <w:tcW w:w="720" w:type="dxa"/>
            <w:vAlign w:val="bottom"/>
            <w:shd w:val="clear" w:color="auto" w:fill="41659C"/>
          </w:tcPr>
          <w:p>
            <w:pPr>
              <w:jc w:val="center"/>
              <w:spacing w:after="0"/>
              <w:rPr>
                <w:sz w:val="20"/>
                <w:szCs w:val="20"/>
                <w:color w:val="auto"/>
              </w:rPr>
            </w:pPr>
            <w:r>
              <w:rPr>
                <w:rFonts w:ascii="Arial" w:cs="Arial" w:eastAsia="Arial" w:hAnsi="Arial"/>
                <w:sz w:val="12"/>
                <w:szCs w:val="12"/>
                <w:b w:val="1"/>
                <w:bCs w:val="1"/>
                <w:color w:val="FFFFFF"/>
              </w:rPr>
              <w:t>(#)</w:t>
            </w:r>
            <w:r>
              <w:rPr>
                <w:rFonts w:ascii="Arial" w:cs="Arial" w:eastAsia="Arial" w:hAnsi="Arial"/>
                <w:sz w:val="10"/>
                <w:szCs w:val="10"/>
                <w:b w:val="1"/>
                <w:bCs w:val="1"/>
                <w:color w:val="FFFFFF"/>
              </w:rPr>
              <w:t>(3)</w:t>
            </w:r>
          </w:p>
        </w:tc>
        <w:tc>
          <w:tcPr>
            <w:tcW w:w="820" w:type="dxa"/>
            <w:vAlign w:val="bottom"/>
            <w:shd w:val="clear" w:color="auto" w:fill="41659C"/>
          </w:tcPr>
          <w:p>
            <w:pPr>
              <w:jc w:val="center"/>
              <w:spacing w:after="0"/>
              <w:rPr>
                <w:sz w:val="20"/>
                <w:szCs w:val="20"/>
                <w:color w:val="auto"/>
              </w:rPr>
            </w:pPr>
            <w:r>
              <w:rPr>
                <w:rFonts w:ascii="Arial" w:cs="Arial" w:eastAsia="Arial" w:hAnsi="Arial"/>
                <w:sz w:val="12"/>
                <w:szCs w:val="12"/>
                <w:b w:val="1"/>
                <w:bCs w:val="1"/>
                <w:color w:val="FFFFFF"/>
              </w:rPr>
              <w:t>($)</w:t>
            </w:r>
            <w:r>
              <w:rPr>
                <w:rFonts w:ascii="Arial" w:cs="Arial" w:eastAsia="Arial" w:hAnsi="Arial"/>
                <w:sz w:val="10"/>
                <w:szCs w:val="10"/>
                <w:b w:val="1"/>
                <w:bCs w:val="1"/>
                <w:color w:val="FFFFFF"/>
              </w:rPr>
              <w:t>(4)</w:t>
            </w:r>
          </w:p>
        </w:tc>
        <w:tc>
          <w:tcPr>
            <w:tcW w:w="0" w:type="dxa"/>
            <w:vAlign w:val="bottom"/>
          </w:tcPr>
          <w:p>
            <w:pPr>
              <w:spacing w:after="0"/>
              <w:rPr>
                <w:sz w:val="1"/>
                <w:szCs w:val="1"/>
                <w:color w:val="auto"/>
              </w:rPr>
            </w:pPr>
          </w:p>
        </w:tc>
      </w:tr>
      <w:tr>
        <w:trPr>
          <w:trHeight w:val="201"/>
        </w:trPr>
        <w:tc>
          <w:tcPr>
            <w:tcW w:w="3920" w:type="dxa"/>
            <w:vAlign w:val="bottom"/>
            <w:shd w:val="clear" w:color="auto" w:fill="E8EED3"/>
          </w:tcPr>
          <w:p>
            <w:pPr>
              <w:ind w:left="60"/>
              <w:spacing w:after="0"/>
              <w:rPr>
                <w:sz w:val="20"/>
                <w:szCs w:val="20"/>
                <w:color w:val="auto"/>
              </w:rPr>
            </w:pPr>
            <w:r>
              <w:rPr>
                <w:rFonts w:ascii="Arial" w:cs="Arial" w:eastAsia="Arial" w:hAnsi="Arial"/>
                <w:sz w:val="15"/>
                <w:szCs w:val="15"/>
                <w:color w:val="auto"/>
              </w:rPr>
              <w:t>Todd Gleason</w:t>
            </w:r>
          </w:p>
        </w:tc>
        <w:tc>
          <w:tcPr>
            <w:tcW w:w="620" w:type="dxa"/>
            <w:vAlign w:val="bottom"/>
            <w:shd w:val="clear" w:color="auto" w:fill="E8EED3"/>
          </w:tcPr>
          <w:p>
            <w:pPr>
              <w:spacing w:after="0"/>
              <w:rPr>
                <w:sz w:val="17"/>
                <w:szCs w:val="17"/>
                <w:color w:val="auto"/>
              </w:rPr>
            </w:pPr>
          </w:p>
        </w:tc>
        <w:tc>
          <w:tcPr>
            <w:tcW w:w="760" w:type="dxa"/>
            <w:vAlign w:val="bottom"/>
            <w:shd w:val="clear" w:color="auto" w:fill="E8EED3"/>
          </w:tcPr>
          <w:p>
            <w:pPr>
              <w:ind w:left="440"/>
              <w:spacing w:after="0"/>
              <w:rPr>
                <w:sz w:val="20"/>
                <w:szCs w:val="20"/>
                <w:color w:val="auto"/>
              </w:rPr>
            </w:pPr>
            <w:r>
              <w:rPr>
                <w:rFonts w:ascii="Arial" w:cs="Arial" w:eastAsia="Arial" w:hAnsi="Arial"/>
                <w:sz w:val="15"/>
                <w:szCs w:val="15"/>
                <w:color w:val="auto"/>
              </w:rPr>
              <w:t>—</w:t>
            </w:r>
          </w:p>
        </w:tc>
        <w:tc>
          <w:tcPr>
            <w:tcW w:w="760" w:type="dxa"/>
            <w:vAlign w:val="bottom"/>
            <w:shd w:val="clear" w:color="auto" w:fill="E8EED3"/>
          </w:tcPr>
          <w:p>
            <w:pPr>
              <w:ind w:left="140"/>
              <w:spacing w:after="0"/>
              <w:rPr>
                <w:sz w:val="20"/>
                <w:szCs w:val="20"/>
                <w:color w:val="auto"/>
              </w:rPr>
            </w:pPr>
            <w:r>
              <w:rPr>
                <w:rFonts w:ascii="Arial" w:cs="Arial" w:eastAsia="Arial" w:hAnsi="Arial"/>
                <w:sz w:val="15"/>
                <w:szCs w:val="15"/>
                <w:color w:val="auto"/>
              </w:rPr>
              <w:t>459,000</w:t>
            </w:r>
          </w:p>
        </w:tc>
        <w:tc>
          <w:tcPr>
            <w:tcW w:w="740" w:type="dxa"/>
            <w:vAlign w:val="bottom"/>
            <w:shd w:val="clear" w:color="auto" w:fill="E8EED3"/>
          </w:tcPr>
          <w:p>
            <w:pPr>
              <w:ind w:left="120"/>
              <w:spacing w:after="0"/>
              <w:rPr>
                <w:sz w:val="20"/>
                <w:szCs w:val="20"/>
                <w:color w:val="auto"/>
              </w:rPr>
            </w:pPr>
            <w:r>
              <w:rPr>
                <w:rFonts w:ascii="Arial" w:cs="Arial" w:eastAsia="Arial" w:hAnsi="Arial"/>
                <w:sz w:val="15"/>
                <w:szCs w:val="15"/>
                <w:color w:val="auto"/>
              </w:rPr>
              <w:t>918,000</w:t>
            </w:r>
          </w:p>
        </w:tc>
        <w:tc>
          <w:tcPr>
            <w:tcW w:w="740" w:type="dxa"/>
            <w:vAlign w:val="bottom"/>
            <w:shd w:val="clear" w:color="auto" w:fill="E8EED3"/>
          </w:tcPr>
          <w:p>
            <w:pPr>
              <w:jc w:val="right"/>
              <w:ind w:right="71"/>
              <w:spacing w:after="0"/>
              <w:rPr>
                <w:sz w:val="20"/>
                <w:szCs w:val="20"/>
                <w:color w:val="auto"/>
              </w:rPr>
            </w:pPr>
            <w:r>
              <w:rPr>
                <w:rFonts w:ascii="Arial" w:cs="Arial" w:eastAsia="Arial" w:hAnsi="Arial"/>
                <w:sz w:val="15"/>
                <w:szCs w:val="15"/>
                <w:color w:val="auto"/>
              </w:rPr>
              <w:t>—</w:t>
            </w:r>
          </w:p>
        </w:tc>
        <w:tc>
          <w:tcPr>
            <w:tcW w:w="700" w:type="dxa"/>
            <w:vAlign w:val="bottom"/>
            <w:shd w:val="clear" w:color="auto" w:fill="E8EED3"/>
          </w:tcPr>
          <w:p>
            <w:pPr>
              <w:ind w:left="380"/>
              <w:spacing w:after="0"/>
              <w:rPr>
                <w:sz w:val="20"/>
                <w:szCs w:val="20"/>
                <w:color w:val="auto"/>
              </w:rPr>
            </w:pPr>
            <w:r>
              <w:rPr>
                <w:rFonts w:ascii="Arial" w:cs="Arial" w:eastAsia="Arial" w:hAnsi="Arial"/>
                <w:sz w:val="15"/>
                <w:szCs w:val="15"/>
                <w:color w:val="auto"/>
              </w:rPr>
              <w:t>—</w:t>
            </w:r>
          </w:p>
        </w:tc>
        <w:tc>
          <w:tcPr>
            <w:tcW w:w="760" w:type="dxa"/>
            <w:vAlign w:val="bottom"/>
            <w:shd w:val="clear" w:color="auto" w:fill="E8EED3"/>
          </w:tcPr>
          <w:p>
            <w:pPr>
              <w:jc w:val="right"/>
              <w:ind w:right="109"/>
              <w:spacing w:after="0"/>
              <w:rPr>
                <w:sz w:val="20"/>
                <w:szCs w:val="20"/>
                <w:color w:val="auto"/>
              </w:rPr>
            </w:pPr>
            <w:r>
              <w:rPr>
                <w:rFonts w:ascii="Arial" w:cs="Arial" w:eastAsia="Arial" w:hAnsi="Arial"/>
                <w:sz w:val="15"/>
                <w:szCs w:val="15"/>
                <w:color w:val="auto"/>
              </w:rPr>
              <w:t>—</w:t>
            </w:r>
          </w:p>
        </w:tc>
        <w:tc>
          <w:tcPr>
            <w:tcW w:w="720" w:type="dxa"/>
            <w:vAlign w:val="bottom"/>
            <w:shd w:val="clear" w:color="auto" w:fill="E8EED3"/>
          </w:tcPr>
          <w:p>
            <w:pPr>
              <w:ind w:left="400"/>
              <w:spacing w:after="0"/>
              <w:rPr>
                <w:sz w:val="20"/>
                <w:szCs w:val="20"/>
                <w:color w:val="auto"/>
              </w:rPr>
            </w:pPr>
            <w:r>
              <w:rPr>
                <w:rFonts w:ascii="Arial" w:cs="Arial" w:eastAsia="Arial" w:hAnsi="Arial"/>
                <w:sz w:val="15"/>
                <w:szCs w:val="15"/>
                <w:color w:val="auto"/>
              </w:rPr>
              <w:t>—</w:t>
            </w:r>
          </w:p>
        </w:tc>
        <w:tc>
          <w:tcPr>
            <w:tcW w:w="820" w:type="dxa"/>
            <w:vAlign w:val="bottom"/>
            <w:shd w:val="clear" w:color="auto" w:fill="E8EED3"/>
          </w:tcPr>
          <w:p>
            <w:pPr>
              <w:jc w:val="right"/>
              <w:ind w:right="112"/>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920" w:type="dxa"/>
            <w:vAlign w:val="bottom"/>
            <w:shd w:val="clear" w:color="auto" w:fill="E8EED3"/>
          </w:tcPr>
          <w:p>
            <w:pPr>
              <w:spacing w:after="0"/>
              <w:rPr>
                <w:sz w:val="19"/>
                <w:szCs w:val="19"/>
                <w:color w:val="auto"/>
              </w:rPr>
            </w:pPr>
          </w:p>
        </w:tc>
        <w:tc>
          <w:tcPr>
            <w:tcW w:w="620" w:type="dxa"/>
            <w:vAlign w:val="bottom"/>
            <w:shd w:val="clear" w:color="auto" w:fill="E8EED3"/>
          </w:tcPr>
          <w:p>
            <w:pPr>
              <w:ind w:left="120"/>
              <w:spacing w:after="0"/>
              <w:rPr>
                <w:sz w:val="20"/>
                <w:szCs w:val="20"/>
                <w:color w:val="auto"/>
              </w:rPr>
            </w:pPr>
            <w:r>
              <w:rPr>
                <w:rFonts w:ascii="Arial" w:cs="Arial" w:eastAsia="Arial" w:hAnsi="Arial"/>
                <w:sz w:val="15"/>
                <w:szCs w:val="15"/>
                <w:color w:val="auto"/>
              </w:rPr>
              <w:t>4/1/21</w:t>
            </w:r>
          </w:p>
        </w:tc>
        <w:tc>
          <w:tcPr>
            <w:tcW w:w="760" w:type="dxa"/>
            <w:vAlign w:val="bottom"/>
            <w:shd w:val="clear" w:color="auto" w:fill="E8EED3"/>
          </w:tcPr>
          <w:p>
            <w:pPr>
              <w:ind w:left="440"/>
              <w:spacing w:after="0"/>
              <w:rPr>
                <w:sz w:val="20"/>
                <w:szCs w:val="20"/>
                <w:color w:val="auto"/>
              </w:rPr>
            </w:pPr>
            <w:r>
              <w:rPr>
                <w:rFonts w:ascii="Arial" w:cs="Arial" w:eastAsia="Arial" w:hAnsi="Arial"/>
                <w:sz w:val="15"/>
                <w:szCs w:val="15"/>
                <w:color w:val="auto"/>
              </w:rPr>
              <w:t>—</w:t>
            </w:r>
          </w:p>
        </w:tc>
        <w:tc>
          <w:tcPr>
            <w:tcW w:w="760" w:type="dxa"/>
            <w:vAlign w:val="bottom"/>
            <w:shd w:val="clear" w:color="auto" w:fill="E8EED3"/>
          </w:tcPr>
          <w:p>
            <w:pPr>
              <w:ind w:left="440"/>
              <w:spacing w:after="0"/>
              <w:rPr>
                <w:sz w:val="20"/>
                <w:szCs w:val="20"/>
                <w:color w:val="auto"/>
              </w:rPr>
            </w:pPr>
            <w:r>
              <w:rPr>
                <w:rFonts w:ascii="Arial" w:cs="Arial" w:eastAsia="Arial" w:hAnsi="Arial"/>
                <w:sz w:val="15"/>
                <w:szCs w:val="15"/>
                <w:color w:val="auto"/>
              </w:rPr>
              <w:t>—</w:t>
            </w:r>
          </w:p>
        </w:tc>
        <w:tc>
          <w:tcPr>
            <w:tcW w:w="740" w:type="dxa"/>
            <w:vAlign w:val="bottom"/>
            <w:shd w:val="clear" w:color="auto" w:fill="E8EED3"/>
          </w:tcPr>
          <w:p>
            <w:pPr>
              <w:ind w:left="420"/>
              <w:spacing w:after="0"/>
              <w:rPr>
                <w:sz w:val="20"/>
                <w:szCs w:val="20"/>
                <w:color w:val="auto"/>
              </w:rPr>
            </w:pPr>
            <w:r>
              <w:rPr>
                <w:rFonts w:ascii="Arial" w:cs="Arial" w:eastAsia="Arial" w:hAnsi="Arial"/>
                <w:sz w:val="15"/>
                <w:szCs w:val="15"/>
                <w:color w:val="auto"/>
              </w:rPr>
              <w:t>—</w:t>
            </w:r>
          </w:p>
        </w:tc>
        <w:tc>
          <w:tcPr>
            <w:tcW w:w="740" w:type="dxa"/>
            <w:vAlign w:val="bottom"/>
            <w:shd w:val="clear" w:color="auto" w:fill="E8EED3"/>
          </w:tcPr>
          <w:p>
            <w:pPr>
              <w:jc w:val="right"/>
              <w:ind w:right="71"/>
              <w:spacing w:after="0"/>
              <w:rPr>
                <w:sz w:val="20"/>
                <w:szCs w:val="20"/>
                <w:color w:val="auto"/>
              </w:rPr>
            </w:pPr>
            <w:r>
              <w:rPr>
                <w:rFonts w:ascii="Arial" w:cs="Arial" w:eastAsia="Arial" w:hAnsi="Arial"/>
                <w:sz w:val="15"/>
                <w:szCs w:val="15"/>
                <w:color w:val="auto"/>
              </w:rPr>
              <w:t>—</w:t>
            </w:r>
          </w:p>
        </w:tc>
        <w:tc>
          <w:tcPr>
            <w:tcW w:w="700" w:type="dxa"/>
            <w:vAlign w:val="bottom"/>
            <w:shd w:val="clear" w:color="auto" w:fill="E8EED3"/>
          </w:tcPr>
          <w:p>
            <w:pPr>
              <w:spacing w:after="0"/>
              <w:rPr>
                <w:sz w:val="19"/>
                <w:szCs w:val="19"/>
                <w:color w:val="auto"/>
              </w:rPr>
            </w:pPr>
          </w:p>
        </w:tc>
        <w:tc>
          <w:tcPr>
            <w:tcW w:w="760" w:type="dxa"/>
            <w:vAlign w:val="bottom"/>
            <w:shd w:val="clear" w:color="auto" w:fill="E8EED3"/>
          </w:tcPr>
          <w:p>
            <w:pPr>
              <w:spacing w:after="0"/>
              <w:rPr>
                <w:sz w:val="19"/>
                <w:szCs w:val="19"/>
                <w:color w:val="auto"/>
              </w:rPr>
            </w:pPr>
          </w:p>
        </w:tc>
        <w:tc>
          <w:tcPr>
            <w:tcW w:w="720" w:type="dxa"/>
            <w:vAlign w:val="bottom"/>
            <w:shd w:val="clear" w:color="auto" w:fill="E8EED3"/>
          </w:tcPr>
          <w:p>
            <w:pPr>
              <w:ind w:left="180"/>
              <w:spacing w:after="0"/>
              <w:rPr>
                <w:sz w:val="20"/>
                <w:szCs w:val="20"/>
                <w:color w:val="auto"/>
              </w:rPr>
            </w:pPr>
            <w:r>
              <w:rPr>
                <w:rFonts w:ascii="Arial" w:cs="Arial" w:eastAsia="Arial" w:hAnsi="Arial"/>
                <w:sz w:val="15"/>
                <w:szCs w:val="15"/>
                <w:color w:val="auto"/>
              </w:rPr>
              <w:t>36,765</w:t>
            </w:r>
          </w:p>
        </w:tc>
        <w:tc>
          <w:tcPr>
            <w:tcW w:w="820" w:type="dxa"/>
            <w:vAlign w:val="bottom"/>
            <w:shd w:val="clear" w:color="auto" w:fill="E8EED3"/>
          </w:tcPr>
          <w:p>
            <w:pPr>
              <w:jc w:val="right"/>
              <w:ind w:right="32"/>
              <w:spacing w:after="0"/>
              <w:rPr>
                <w:sz w:val="20"/>
                <w:szCs w:val="20"/>
                <w:color w:val="auto"/>
              </w:rPr>
            </w:pPr>
            <w:r>
              <w:rPr>
                <w:rFonts w:ascii="Arial" w:cs="Arial" w:eastAsia="Arial" w:hAnsi="Arial"/>
                <w:sz w:val="15"/>
                <w:szCs w:val="15"/>
                <w:color w:val="auto"/>
              </w:rPr>
              <w:t>300,002</w:t>
            </w:r>
          </w:p>
        </w:tc>
        <w:tc>
          <w:tcPr>
            <w:tcW w:w="0" w:type="dxa"/>
            <w:vAlign w:val="bottom"/>
          </w:tcPr>
          <w:p>
            <w:pPr>
              <w:spacing w:after="0"/>
              <w:rPr>
                <w:sz w:val="1"/>
                <w:szCs w:val="1"/>
                <w:color w:val="auto"/>
              </w:rPr>
            </w:pPr>
          </w:p>
        </w:tc>
      </w:tr>
      <w:tr>
        <w:trPr>
          <w:trHeight w:val="229"/>
        </w:trPr>
        <w:tc>
          <w:tcPr>
            <w:tcW w:w="3920" w:type="dxa"/>
            <w:vAlign w:val="bottom"/>
            <w:shd w:val="clear" w:color="auto" w:fill="E8EED3"/>
          </w:tcPr>
          <w:p>
            <w:pPr>
              <w:spacing w:after="0"/>
              <w:rPr>
                <w:sz w:val="19"/>
                <w:szCs w:val="19"/>
                <w:color w:val="auto"/>
              </w:rPr>
            </w:pPr>
          </w:p>
        </w:tc>
        <w:tc>
          <w:tcPr>
            <w:tcW w:w="620" w:type="dxa"/>
            <w:vAlign w:val="bottom"/>
            <w:shd w:val="clear" w:color="auto" w:fill="E8EED3"/>
          </w:tcPr>
          <w:p>
            <w:pPr>
              <w:ind w:left="120"/>
              <w:spacing w:after="0"/>
              <w:rPr>
                <w:sz w:val="20"/>
                <w:szCs w:val="20"/>
                <w:color w:val="auto"/>
              </w:rPr>
            </w:pPr>
            <w:r>
              <w:rPr>
                <w:rFonts w:ascii="Arial" w:cs="Arial" w:eastAsia="Arial" w:hAnsi="Arial"/>
                <w:sz w:val="15"/>
                <w:szCs w:val="15"/>
                <w:color w:val="auto"/>
              </w:rPr>
              <w:t>4/1/21</w:t>
            </w:r>
          </w:p>
        </w:tc>
        <w:tc>
          <w:tcPr>
            <w:tcW w:w="760" w:type="dxa"/>
            <w:vAlign w:val="bottom"/>
            <w:shd w:val="clear" w:color="auto" w:fill="E8EED3"/>
          </w:tcPr>
          <w:p>
            <w:pPr>
              <w:ind w:left="440"/>
              <w:spacing w:after="0"/>
              <w:rPr>
                <w:sz w:val="20"/>
                <w:szCs w:val="20"/>
                <w:color w:val="auto"/>
              </w:rPr>
            </w:pPr>
            <w:r>
              <w:rPr>
                <w:rFonts w:ascii="Arial" w:cs="Arial" w:eastAsia="Arial" w:hAnsi="Arial"/>
                <w:sz w:val="15"/>
                <w:szCs w:val="15"/>
                <w:color w:val="auto"/>
              </w:rPr>
              <w:t>—</w:t>
            </w:r>
          </w:p>
        </w:tc>
        <w:tc>
          <w:tcPr>
            <w:tcW w:w="760" w:type="dxa"/>
            <w:vAlign w:val="bottom"/>
            <w:shd w:val="clear" w:color="auto" w:fill="E8EED3"/>
          </w:tcPr>
          <w:p>
            <w:pPr>
              <w:ind w:left="440"/>
              <w:spacing w:after="0"/>
              <w:rPr>
                <w:sz w:val="20"/>
                <w:szCs w:val="20"/>
                <w:color w:val="auto"/>
              </w:rPr>
            </w:pPr>
            <w:r>
              <w:rPr>
                <w:rFonts w:ascii="Arial" w:cs="Arial" w:eastAsia="Arial" w:hAnsi="Arial"/>
                <w:sz w:val="15"/>
                <w:szCs w:val="15"/>
                <w:color w:val="auto"/>
              </w:rPr>
              <w:t>—</w:t>
            </w:r>
          </w:p>
        </w:tc>
        <w:tc>
          <w:tcPr>
            <w:tcW w:w="740" w:type="dxa"/>
            <w:vAlign w:val="bottom"/>
            <w:shd w:val="clear" w:color="auto" w:fill="E8EED3"/>
          </w:tcPr>
          <w:p>
            <w:pPr>
              <w:ind w:left="420"/>
              <w:spacing w:after="0"/>
              <w:rPr>
                <w:sz w:val="20"/>
                <w:szCs w:val="20"/>
                <w:color w:val="auto"/>
              </w:rPr>
            </w:pPr>
            <w:r>
              <w:rPr>
                <w:rFonts w:ascii="Arial" w:cs="Arial" w:eastAsia="Arial" w:hAnsi="Arial"/>
                <w:sz w:val="15"/>
                <w:szCs w:val="15"/>
                <w:color w:val="auto"/>
              </w:rPr>
              <w:t>—</w:t>
            </w:r>
          </w:p>
        </w:tc>
        <w:tc>
          <w:tcPr>
            <w:tcW w:w="740" w:type="dxa"/>
            <w:vAlign w:val="bottom"/>
            <w:shd w:val="clear" w:color="auto" w:fill="E8EED3"/>
          </w:tcPr>
          <w:p>
            <w:pPr>
              <w:jc w:val="right"/>
              <w:spacing w:after="0"/>
              <w:rPr>
                <w:sz w:val="20"/>
                <w:szCs w:val="20"/>
                <w:color w:val="auto"/>
              </w:rPr>
            </w:pPr>
            <w:r>
              <w:rPr>
                <w:rFonts w:ascii="Arial" w:cs="Arial" w:eastAsia="Arial" w:hAnsi="Arial"/>
                <w:sz w:val="15"/>
                <w:szCs w:val="15"/>
                <w:color w:val="auto"/>
              </w:rPr>
              <w:t>42,893</w:t>
            </w:r>
          </w:p>
        </w:tc>
        <w:tc>
          <w:tcPr>
            <w:tcW w:w="700" w:type="dxa"/>
            <w:vAlign w:val="bottom"/>
            <w:shd w:val="clear" w:color="auto" w:fill="E8EED3"/>
          </w:tcPr>
          <w:p>
            <w:pPr>
              <w:ind w:left="160"/>
              <w:spacing w:after="0"/>
              <w:rPr>
                <w:sz w:val="20"/>
                <w:szCs w:val="20"/>
                <w:color w:val="auto"/>
              </w:rPr>
            </w:pPr>
            <w:r>
              <w:rPr>
                <w:rFonts w:ascii="Arial" w:cs="Arial" w:eastAsia="Arial" w:hAnsi="Arial"/>
                <w:sz w:val="15"/>
                <w:szCs w:val="15"/>
                <w:color w:val="auto"/>
              </w:rPr>
              <w:t>85,785</w:t>
            </w:r>
          </w:p>
        </w:tc>
        <w:tc>
          <w:tcPr>
            <w:tcW w:w="760" w:type="dxa"/>
            <w:vAlign w:val="bottom"/>
            <w:shd w:val="clear" w:color="auto" w:fill="E8EED3"/>
          </w:tcPr>
          <w:p>
            <w:pPr>
              <w:jc w:val="right"/>
              <w:ind w:right="29"/>
              <w:spacing w:after="0"/>
              <w:rPr>
                <w:sz w:val="20"/>
                <w:szCs w:val="20"/>
                <w:color w:val="auto"/>
              </w:rPr>
            </w:pPr>
            <w:r>
              <w:rPr>
                <w:rFonts w:ascii="Arial" w:cs="Arial" w:eastAsia="Arial" w:hAnsi="Arial"/>
                <w:sz w:val="15"/>
                <w:szCs w:val="15"/>
                <w:color w:val="auto"/>
              </w:rPr>
              <w:t>128,678</w:t>
            </w:r>
          </w:p>
        </w:tc>
        <w:tc>
          <w:tcPr>
            <w:tcW w:w="720" w:type="dxa"/>
            <w:vAlign w:val="bottom"/>
            <w:shd w:val="clear" w:color="auto" w:fill="E8EED3"/>
          </w:tcPr>
          <w:p>
            <w:pPr>
              <w:spacing w:after="0"/>
              <w:rPr>
                <w:sz w:val="19"/>
                <w:szCs w:val="19"/>
                <w:color w:val="auto"/>
              </w:rPr>
            </w:pPr>
          </w:p>
        </w:tc>
        <w:tc>
          <w:tcPr>
            <w:tcW w:w="820" w:type="dxa"/>
            <w:vAlign w:val="bottom"/>
            <w:shd w:val="clear" w:color="auto" w:fill="E8EED3"/>
          </w:tcPr>
          <w:p>
            <w:pPr>
              <w:jc w:val="right"/>
              <w:ind w:right="32"/>
              <w:spacing w:after="0"/>
              <w:rPr>
                <w:sz w:val="20"/>
                <w:szCs w:val="20"/>
                <w:color w:val="auto"/>
              </w:rPr>
            </w:pPr>
            <w:r>
              <w:rPr>
                <w:rFonts w:ascii="Arial" w:cs="Arial" w:eastAsia="Arial" w:hAnsi="Arial"/>
                <w:sz w:val="15"/>
                <w:szCs w:val="15"/>
                <w:color w:val="auto"/>
              </w:rPr>
              <w:t>826,110</w:t>
            </w:r>
          </w:p>
        </w:tc>
        <w:tc>
          <w:tcPr>
            <w:tcW w:w="0" w:type="dxa"/>
            <w:vAlign w:val="bottom"/>
          </w:tcPr>
          <w:p>
            <w:pPr>
              <w:spacing w:after="0"/>
              <w:rPr>
                <w:sz w:val="1"/>
                <w:szCs w:val="1"/>
                <w:color w:val="auto"/>
              </w:rPr>
            </w:pPr>
          </w:p>
        </w:tc>
      </w:tr>
      <w:tr>
        <w:trPr>
          <w:trHeight w:val="211"/>
        </w:trPr>
        <w:tc>
          <w:tcPr>
            <w:tcW w:w="3920" w:type="dxa"/>
            <w:vAlign w:val="bottom"/>
            <w:shd w:val="clear" w:color="auto" w:fill="D2DEA7"/>
          </w:tcPr>
          <w:p>
            <w:pPr>
              <w:ind w:left="60"/>
              <w:spacing w:after="0"/>
              <w:rPr>
                <w:sz w:val="20"/>
                <w:szCs w:val="20"/>
                <w:color w:val="auto"/>
              </w:rPr>
            </w:pPr>
            <w:r>
              <w:rPr>
                <w:rFonts w:ascii="Arial" w:cs="Arial" w:eastAsia="Arial" w:hAnsi="Arial"/>
                <w:sz w:val="15"/>
                <w:szCs w:val="15"/>
                <w:color w:val="auto"/>
              </w:rPr>
              <w:t>Matthew Eckl</w:t>
            </w:r>
          </w:p>
        </w:tc>
        <w:tc>
          <w:tcPr>
            <w:tcW w:w="620" w:type="dxa"/>
            <w:vAlign w:val="bottom"/>
            <w:shd w:val="clear" w:color="auto" w:fill="D2DEA7"/>
          </w:tcPr>
          <w:p>
            <w:pPr>
              <w:spacing w:after="0"/>
              <w:rPr>
                <w:sz w:val="18"/>
                <w:szCs w:val="18"/>
                <w:color w:val="auto"/>
              </w:rPr>
            </w:pPr>
          </w:p>
        </w:tc>
        <w:tc>
          <w:tcPr>
            <w:tcW w:w="760" w:type="dxa"/>
            <w:vAlign w:val="bottom"/>
            <w:shd w:val="clear" w:color="auto" w:fill="D2DEA7"/>
          </w:tcPr>
          <w:p>
            <w:pPr>
              <w:ind w:left="440"/>
              <w:spacing w:after="0"/>
              <w:rPr>
                <w:sz w:val="20"/>
                <w:szCs w:val="20"/>
                <w:color w:val="auto"/>
              </w:rPr>
            </w:pPr>
            <w:r>
              <w:rPr>
                <w:rFonts w:ascii="Arial" w:cs="Arial" w:eastAsia="Arial" w:hAnsi="Arial"/>
                <w:sz w:val="15"/>
                <w:szCs w:val="15"/>
                <w:color w:val="auto"/>
              </w:rPr>
              <w:t>—</w:t>
            </w:r>
          </w:p>
        </w:tc>
        <w:tc>
          <w:tcPr>
            <w:tcW w:w="760" w:type="dxa"/>
            <w:vAlign w:val="bottom"/>
            <w:shd w:val="clear" w:color="auto" w:fill="D2DEA7"/>
          </w:tcPr>
          <w:p>
            <w:pPr>
              <w:ind w:left="140"/>
              <w:spacing w:after="0"/>
              <w:rPr>
                <w:sz w:val="20"/>
                <w:szCs w:val="20"/>
                <w:color w:val="auto"/>
              </w:rPr>
            </w:pPr>
            <w:r>
              <w:rPr>
                <w:rFonts w:ascii="Arial" w:cs="Arial" w:eastAsia="Arial" w:hAnsi="Arial"/>
                <w:sz w:val="15"/>
                <w:szCs w:val="15"/>
                <w:color w:val="auto"/>
              </w:rPr>
              <w:t>191,862</w:t>
            </w:r>
          </w:p>
        </w:tc>
        <w:tc>
          <w:tcPr>
            <w:tcW w:w="740" w:type="dxa"/>
            <w:vAlign w:val="bottom"/>
            <w:shd w:val="clear" w:color="auto" w:fill="D2DEA7"/>
          </w:tcPr>
          <w:p>
            <w:pPr>
              <w:ind w:left="120"/>
              <w:spacing w:after="0"/>
              <w:rPr>
                <w:sz w:val="20"/>
                <w:szCs w:val="20"/>
                <w:color w:val="auto"/>
              </w:rPr>
            </w:pPr>
            <w:r>
              <w:rPr>
                <w:rFonts w:ascii="Arial" w:cs="Arial" w:eastAsia="Arial" w:hAnsi="Arial"/>
                <w:sz w:val="15"/>
                <w:szCs w:val="15"/>
                <w:color w:val="auto"/>
              </w:rPr>
              <w:t>383,724</w:t>
            </w:r>
          </w:p>
        </w:tc>
        <w:tc>
          <w:tcPr>
            <w:tcW w:w="740" w:type="dxa"/>
            <w:vAlign w:val="bottom"/>
            <w:shd w:val="clear" w:color="auto" w:fill="D2DEA7"/>
          </w:tcPr>
          <w:p>
            <w:pPr>
              <w:jc w:val="right"/>
              <w:ind w:right="71"/>
              <w:spacing w:after="0"/>
              <w:rPr>
                <w:sz w:val="20"/>
                <w:szCs w:val="20"/>
                <w:color w:val="auto"/>
              </w:rPr>
            </w:pPr>
            <w:r>
              <w:rPr>
                <w:rFonts w:ascii="Arial" w:cs="Arial" w:eastAsia="Arial" w:hAnsi="Arial"/>
                <w:sz w:val="15"/>
                <w:szCs w:val="15"/>
                <w:color w:val="auto"/>
              </w:rPr>
              <w:t>—</w:t>
            </w:r>
          </w:p>
        </w:tc>
        <w:tc>
          <w:tcPr>
            <w:tcW w:w="700" w:type="dxa"/>
            <w:vAlign w:val="bottom"/>
            <w:shd w:val="clear" w:color="auto" w:fill="D2DEA7"/>
          </w:tcPr>
          <w:p>
            <w:pPr>
              <w:ind w:left="380"/>
              <w:spacing w:after="0"/>
              <w:rPr>
                <w:sz w:val="20"/>
                <w:szCs w:val="20"/>
                <w:color w:val="auto"/>
              </w:rPr>
            </w:pPr>
            <w:r>
              <w:rPr>
                <w:rFonts w:ascii="Arial" w:cs="Arial" w:eastAsia="Arial" w:hAnsi="Arial"/>
                <w:sz w:val="15"/>
                <w:szCs w:val="15"/>
                <w:color w:val="auto"/>
              </w:rPr>
              <w:t>—</w:t>
            </w:r>
          </w:p>
        </w:tc>
        <w:tc>
          <w:tcPr>
            <w:tcW w:w="760" w:type="dxa"/>
            <w:vAlign w:val="bottom"/>
            <w:shd w:val="clear" w:color="auto" w:fill="D2DEA7"/>
          </w:tcPr>
          <w:p>
            <w:pPr>
              <w:jc w:val="right"/>
              <w:ind w:right="109"/>
              <w:spacing w:after="0"/>
              <w:rPr>
                <w:sz w:val="20"/>
                <w:szCs w:val="20"/>
                <w:color w:val="auto"/>
              </w:rPr>
            </w:pPr>
            <w:r>
              <w:rPr>
                <w:rFonts w:ascii="Arial" w:cs="Arial" w:eastAsia="Arial" w:hAnsi="Arial"/>
                <w:sz w:val="15"/>
                <w:szCs w:val="15"/>
                <w:color w:val="auto"/>
              </w:rPr>
              <w:t>—</w:t>
            </w:r>
          </w:p>
        </w:tc>
        <w:tc>
          <w:tcPr>
            <w:tcW w:w="720" w:type="dxa"/>
            <w:vAlign w:val="bottom"/>
            <w:shd w:val="clear" w:color="auto" w:fill="D2DEA7"/>
          </w:tcPr>
          <w:p>
            <w:pPr>
              <w:ind w:left="400"/>
              <w:spacing w:after="0"/>
              <w:rPr>
                <w:sz w:val="20"/>
                <w:szCs w:val="20"/>
                <w:color w:val="auto"/>
              </w:rPr>
            </w:pPr>
            <w:r>
              <w:rPr>
                <w:rFonts w:ascii="Arial" w:cs="Arial" w:eastAsia="Arial" w:hAnsi="Arial"/>
                <w:sz w:val="15"/>
                <w:szCs w:val="15"/>
                <w:color w:val="auto"/>
              </w:rPr>
              <w:t>—</w:t>
            </w:r>
          </w:p>
        </w:tc>
        <w:tc>
          <w:tcPr>
            <w:tcW w:w="820" w:type="dxa"/>
            <w:vAlign w:val="bottom"/>
            <w:shd w:val="clear" w:color="auto" w:fill="D2DEA7"/>
          </w:tcPr>
          <w:p>
            <w:pPr>
              <w:jc w:val="right"/>
              <w:ind w:right="112"/>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920" w:type="dxa"/>
            <w:vAlign w:val="bottom"/>
            <w:shd w:val="clear" w:color="auto" w:fill="D2DEA7"/>
          </w:tcPr>
          <w:p>
            <w:pPr>
              <w:spacing w:after="0"/>
              <w:rPr>
                <w:sz w:val="19"/>
                <w:szCs w:val="19"/>
                <w:color w:val="auto"/>
              </w:rPr>
            </w:pPr>
          </w:p>
        </w:tc>
        <w:tc>
          <w:tcPr>
            <w:tcW w:w="620" w:type="dxa"/>
            <w:vAlign w:val="bottom"/>
            <w:shd w:val="clear" w:color="auto" w:fill="D2DEA7"/>
          </w:tcPr>
          <w:p>
            <w:pPr>
              <w:ind w:left="120"/>
              <w:spacing w:after="0"/>
              <w:rPr>
                <w:sz w:val="20"/>
                <w:szCs w:val="20"/>
                <w:color w:val="auto"/>
              </w:rPr>
            </w:pPr>
            <w:r>
              <w:rPr>
                <w:rFonts w:ascii="Arial" w:cs="Arial" w:eastAsia="Arial" w:hAnsi="Arial"/>
                <w:sz w:val="15"/>
                <w:szCs w:val="15"/>
                <w:color w:val="auto"/>
              </w:rPr>
              <w:t>4/1/21</w:t>
            </w:r>
          </w:p>
        </w:tc>
        <w:tc>
          <w:tcPr>
            <w:tcW w:w="760" w:type="dxa"/>
            <w:vAlign w:val="bottom"/>
            <w:shd w:val="clear" w:color="auto" w:fill="D2DEA7"/>
          </w:tcPr>
          <w:p>
            <w:pPr>
              <w:ind w:left="440"/>
              <w:spacing w:after="0"/>
              <w:rPr>
                <w:sz w:val="20"/>
                <w:szCs w:val="20"/>
                <w:color w:val="auto"/>
              </w:rPr>
            </w:pPr>
            <w:r>
              <w:rPr>
                <w:rFonts w:ascii="Arial" w:cs="Arial" w:eastAsia="Arial" w:hAnsi="Arial"/>
                <w:sz w:val="15"/>
                <w:szCs w:val="15"/>
                <w:color w:val="auto"/>
              </w:rPr>
              <w:t>—</w:t>
            </w:r>
          </w:p>
        </w:tc>
        <w:tc>
          <w:tcPr>
            <w:tcW w:w="760" w:type="dxa"/>
            <w:vAlign w:val="bottom"/>
            <w:shd w:val="clear" w:color="auto" w:fill="D2DEA7"/>
          </w:tcPr>
          <w:p>
            <w:pPr>
              <w:ind w:left="440"/>
              <w:spacing w:after="0"/>
              <w:rPr>
                <w:sz w:val="20"/>
                <w:szCs w:val="20"/>
                <w:color w:val="auto"/>
              </w:rPr>
            </w:pPr>
            <w:r>
              <w:rPr>
                <w:rFonts w:ascii="Arial" w:cs="Arial" w:eastAsia="Arial" w:hAnsi="Arial"/>
                <w:sz w:val="15"/>
                <w:szCs w:val="15"/>
                <w:color w:val="auto"/>
              </w:rPr>
              <w:t>—</w:t>
            </w:r>
          </w:p>
        </w:tc>
        <w:tc>
          <w:tcPr>
            <w:tcW w:w="740" w:type="dxa"/>
            <w:vAlign w:val="bottom"/>
            <w:shd w:val="clear" w:color="auto" w:fill="D2DEA7"/>
          </w:tcPr>
          <w:p>
            <w:pPr>
              <w:ind w:left="420"/>
              <w:spacing w:after="0"/>
              <w:rPr>
                <w:sz w:val="20"/>
                <w:szCs w:val="20"/>
                <w:color w:val="auto"/>
              </w:rPr>
            </w:pPr>
            <w:r>
              <w:rPr>
                <w:rFonts w:ascii="Arial" w:cs="Arial" w:eastAsia="Arial" w:hAnsi="Arial"/>
                <w:sz w:val="15"/>
                <w:szCs w:val="15"/>
                <w:color w:val="auto"/>
              </w:rPr>
              <w:t>—</w:t>
            </w:r>
          </w:p>
        </w:tc>
        <w:tc>
          <w:tcPr>
            <w:tcW w:w="740" w:type="dxa"/>
            <w:vAlign w:val="bottom"/>
            <w:shd w:val="clear" w:color="auto" w:fill="D2DEA7"/>
          </w:tcPr>
          <w:p>
            <w:pPr>
              <w:jc w:val="right"/>
              <w:ind w:right="71"/>
              <w:spacing w:after="0"/>
              <w:rPr>
                <w:sz w:val="20"/>
                <w:szCs w:val="20"/>
                <w:color w:val="auto"/>
              </w:rPr>
            </w:pPr>
            <w:r>
              <w:rPr>
                <w:rFonts w:ascii="Arial" w:cs="Arial" w:eastAsia="Arial" w:hAnsi="Arial"/>
                <w:sz w:val="15"/>
                <w:szCs w:val="15"/>
                <w:color w:val="auto"/>
              </w:rPr>
              <w:t>—</w:t>
            </w:r>
          </w:p>
        </w:tc>
        <w:tc>
          <w:tcPr>
            <w:tcW w:w="700" w:type="dxa"/>
            <w:vAlign w:val="bottom"/>
            <w:shd w:val="clear" w:color="auto" w:fill="D2DEA7"/>
          </w:tcPr>
          <w:p>
            <w:pPr>
              <w:ind w:left="380"/>
              <w:spacing w:after="0"/>
              <w:rPr>
                <w:sz w:val="20"/>
                <w:szCs w:val="20"/>
                <w:color w:val="auto"/>
              </w:rPr>
            </w:pPr>
            <w:r>
              <w:rPr>
                <w:rFonts w:ascii="Arial" w:cs="Arial" w:eastAsia="Arial" w:hAnsi="Arial"/>
                <w:sz w:val="15"/>
                <w:szCs w:val="15"/>
                <w:color w:val="auto"/>
              </w:rPr>
              <w:t>—</w:t>
            </w:r>
          </w:p>
        </w:tc>
        <w:tc>
          <w:tcPr>
            <w:tcW w:w="760" w:type="dxa"/>
            <w:vAlign w:val="bottom"/>
            <w:shd w:val="clear" w:color="auto" w:fill="D2DEA7"/>
          </w:tcPr>
          <w:p>
            <w:pPr>
              <w:jc w:val="right"/>
              <w:ind w:right="109"/>
              <w:spacing w:after="0"/>
              <w:rPr>
                <w:sz w:val="20"/>
                <w:szCs w:val="20"/>
                <w:color w:val="auto"/>
              </w:rPr>
            </w:pPr>
            <w:r>
              <w:rPr>
                <w:rFonts w:ascii="Arial" w:cs="Arial" w:eastAsia="Arial" w:hAnsi="Arial"/>
                <w:sz w:val="15"/>
                <w:szCs w:val="15"/>
                <w:color w:val="auto"/>
              </w:rPr>
              <w:t>—</w:t>
            </w:r>
          </w:p>
        </w:tc>
        <w:tc>
          <w:tcPr>
            <w:tcW w:w="720" w:type="dxa"/>
            <w:vAlign w:val="bottom"/>
            <w:shd w:val="clear" w:color="auto" w:fill="D2DEA7"/>
          </w:tcPr>
          <w:p>
            <w:pPr>
              <w:ind w:left="180"/>
              <w:spacing w:after="0"/>
              <w:rPr>
                <w:sz w:val="20"/>
                <w:szCs w:val="20"/>
                <w:color w:val="auto"/>
              </w:rPr>
            </w:pPr>
            <w:r>
              <w:rPr>
                <w:rFonts w:ascii="Arial" w:cs="Arial" w:eastAsia="Arial" w:hAnsi="Arial"/>
                <w:sz w:val="15"/>
                <w:szCs w:val="15"/>
                <w:color w:val="auto"/>
              </w:rPr>
              <w:t>15,319</w:t>
            </w:r>
          </w:p>
        </w:tc>
        <w:tc>
          <w:tcPr>
            <w:tcW w:w="820" w:type="dxa"/>
            <w:vAlign w:val="bottom"/>
            <w:shd w:val="clear" w:color="auto" w:fill="D2DEA7"/>
          </w:tcPr>
          <w:p>
            <w:pPr>
              <w:jc w:val="right"/>
              <w:ind w:right="32"/>
              <w:spacing w:after="0"/>
              <w:rPr>
                <w:sz w:val="20"/>
                <w:szCs w:val="20"/>
                <w:color w:val="auto"/>
              </w:rPr>
            </w:pPr>
            <w:r>
              <w:rPr>
                <w:rFonts w:ascii="Arial" w:cs="Arial" w:eastAsia="Arial" w:hAnsi="Arial"/>
                <w:sz w:val="15"/>
                <w:szCs w:val="15"/>
                <w:color w:val="auto"/>
              </w:rPr>
              <w:t>125,003</w:t>
            </w:r>
          </w:p>
        </w:tc>
        <w:tc>
          <w:tcPr>
            <w:tcW w:w="0" w:type="dxa"/>
            <w:vAlign w:val="bottom"/>
          </w:tcPr>
          <w:p>
            <w:pPr>
              <w:spacing w:after="0"/>
              <w:rPr>
                <w:sz w:val="1"/>
                <w:szCs w:val="1"/>
                <w:color w:val="auto"/>
              </w:rPr>
            </w:pPr>
          </w:p>
        </w:tc>
      </w:tr>
      <w:tr>
        <w:trPr>
          <w:trHeight w:val="239"/>
        </w:trPr>
        <w:tc>
          <w:tcPr>
            <w:tcW w:w="3920" w:type="dxa"/>
            <w:vAlign w:val="bottom"/>
            <w:shd w:val="clear" w:color="auto" w:fill="D2DEA7"/>
          </w:tcPr>
          <w:p>
            <w:pPr>
              <w:spacing w:after="0"/>
              <w:rPr>
                <w:sz w:val="20"/>
                <w:szCs w:val="20"/>
                <w:color w:val="auto"/>
              </w:rPr>
            </w:pPr>
          </w:p>
        </w:tc>
        <w:tc>
          <w:tcPr>
            <w:tcW w:w="620" w:type="dxa"/>
            <w:vAlign w:val="bottom"/>
            <w:shd w:val="clear" w:color="auto" w:fill="D2DEA7"/>
          </w:tcPr>
          <w:p>
            <w:pPr>
              <w:ind w:left="120"/>
              <w:spacing w:after="0"/>
              <w:rPr>
                <w:sz w:val="20"/>
                <w:szCs w:val="20"/>
                <w:color w:val="auto"/>
              </w:rPr>
            </w:pPr>
            <w:r>
              <w:rPr>
                <w:rFonts w:ascii="Arial" w:cs="Arial" w:eastAsia="Arial" w:hAnsi="Arial"/>
                <w:sz w:val="15"/>
                <w:szCs w:val="15"/>
                <w:color w:val="auto"/>
              </w:rPr>
              <w:t>4/1/21</w:t>
            </w:r>
          </w:p>
        </w:tc>
        <w:tc>
          <w:tcPr>
            <w:tcW w:w="760" w:type="dxa"/>
            <w:vAlign w:val="bottom"/>
            <w:shd w:val="clear" w:color="auto" w:fill="D2DEA7"/>
          </w:tcPr>
          <w:p>
            <w:pPr>
              <w:ind w:left="440"/>
              <w:spacing w:after="0"/>
              <w:rPr>
                <w:sz w:val="20"/>
                <w:szCs w:val="20"/>
                <w:color w:val="auto"/>
              </w:rPr>
            </w:pPr>
            <w:r>
              <w:rPr>
                <w:rFonts w:ascii="Arial" w:cs="Arial" w:eastAsia="Arial" w:hAnsi="Arial"/>
                <w:sz w:val="15"/>
                <w:szCs w:val="15"/>
                <w:color w:val="auto"/>
              </w:rPr>
              <w:t>—</w:t>
            </w:r>
          </w:p>
        </w:tc>
        <w:tc>
          <w:tcPr>
            <w:tcW w:w="760" w:type="dxa"/>
            <w:vAlign w:val="bottom"/>
            <w:shd w:val="clear" w:color="auto" w:fill="D2DEA7"/>
          </w:tcPr>
          <w:p>
            <w:pPr>
              <w:ind w:left="440"/>
              <w:spacing w:after="0"/>
              <w:rPr>
                <w:sz w:val="20"/>
                <w:szCs w:val="20"/>
                <w:color w:val="auto"/>
              </w:rPr>
            </w:pPr>
            <w:r>
              <w:rPr>
                <w:rFonts w:ascii="Arial" w:cs="Arial" w:eastAsia="Arial" w:hAnsi="Arial"/>
                <w:sz w:val="15"/>
                <w:szCs w:val="15"/>
                <w:color w:val="auto"/>
              </w:rPr>
              <w:t>—</w:t>
            </w:r>
          </w:p>
        </w:tc>
        <w:tc>
          <w:tcPr>
            <w:tcW w:w="740" w:type="dxa"/>
            <w:vAlign w:val="bottom"/>
            <w:shd w:val="clear" w:color="auto" w:fill="D2DEA7"/>
          </w:tcPr>
          <w:p>
            <w:pPr>
              <w:ind w:left="420"/>
              <w:spacing w:after="0"/>
              <w:rPr>
                <w:sz w:val="20"/>
                <w:szCs w:val="20"/>
                <w:color w:val="auto"/>
              </w:rPr>
            </w:pPr>
            <w:r>
              <w:rPr>
                <w:rFonts w:ascii="Arial" w:cs="Arial" w:eastAsia="Arial" w:hAnsi="Arial"/>
                <w:sz w:val="15"/>
                <w:szCs w:val="15"/>
                <w:color w:val="auto"/>
              </w:rPr>
              <w:t>—</w:t>
            </w:r>
          </w:p>
        </w:tc>
        <w:tc>
          <w:tcPr>
            <w:tcW w:w="740" w:type="dxa"/>
            <w:vAlign w:val="bottom"/>
            <w:shd w:val="clear" w:color="auto" w:fill="D2DEA7"/>
          </w:tcPr>
          <w:p>
            <w:pPr>
              <w:jc w:val="right"/>
              <w:spacing w:after="0"/>
              <w:rPr>
                <w:sz w:val="20"/>
                <w:szCs w:val="20"/>
                <w:color w:val="auto"/>
              </w:rPr>
            </w:pPr>
            <w:r>
              <w:rPr>
                <w:rFonts w:ascii="Arial" w:cs="Arial" w:eastAsia="Arial" w:hAnsi="Arial"/>
                <w:sz w:val="15"/>
                <w:szCs w:val="15"/>
                <w:color w:val="auto"/>
              </w:rPr>
              <w:t>7,660</w:t>
            </w:r>
          </w:p>
        </w:tc>
        <w:tc>
          <w:tcPr>
            <w:tcW w:w="700" w:type="dxa"/>
            <w:vAlign w:val="bottom"/>
            <w:shd w:val="clear" w:color="auto" w:fill="D2DEA7"/>
          </w:tcPr>
          <w:p>
            <w:pPr>
              <w:ind w:left="160"/>
              <w:spacing w:after="0"/>
              <w:rPr>
                <w:sz w:val="20"/>
                <w:szCs w:val="20"/>
                <w:color w:val="auto"/>
              </w:rPr>
            </w:pPr>
            <w:r>
              <w:rPr>
                <w:rFonts w:ascii="Arial" w:cs="Arial" w:eastAsia="Arial" w:hAnsi="Arial"/>
                <w:sz w:val="15"/>
                <w:szCs w:val="15"/>
                <w:color w:val="auto"/>
              </w:rPr>
              <w:t>15,319</w:t>
            </w:r>
          </w:p>
        </w:tc>
        <w:tc>
          <w:tcPr>
            <w:tcW w:w="760" w:type="dxa"/>
            <w:vAlign w:val="bottom"/>
            <w:shd w:val="clear" w:color="auto" w:fill="D2DEA7"/>
          </w:tcPr>
          <w:p>
            <w:pPr>
              <w:jc w:val="right"/>
              <w:ind w:right="29"/>
              <w:spacing w:after="0"/>
              <w:rPr>
                <w:sz w:val="20"/>
                <w:szCs w:val="20"/>
                <w:color w:val="auto"/>
              </w:rPr>
            </w:pPr>
            <w:r>
              <w:rPr>
                <w:rFonts w:ascii="Arial" w:cs="Arial" w:eastAsia="Arial" w:hAnsi="Arial"/>
                <w:sz w:val="15"/>
                <w:szCs w:val="15"/>
                <w:color w:val="auto"/>
              </w:rPr>
              <w:t>22,979</w:t>
            </w:r>
          </w:p>
        </w:tc>
        <w:tc>
          <w:tcPr>
            <w:tcW w:w="720" w:type="dxa"/>
            <w:vAlign w:val="bottom"/>
            <w:shd w:val="clear" w:color="auto" w:fill="D2DEA7"/>
          </w:tcPr>
          <w:p>
            <w:pPr>
              <w:ind w:left="400"/>
              <w:spacing w:after="0"/>
              <w:rPr>
                <w:sz w:val="20"/>
                <w:szCs w:val="20"/>
                <w:color w:val="auto"/>
              </w:rPr>
            </w:pPr>
            <w:r>
              <w:rPr>
                <w:rFonts w:ascii="Arial" w:cs="Arial" w:eastAsia="Arial" w:hAnsi="Arial"/>
                <w:sz w:val="15"/>
                <w:szCs w:val="15"/>
                <w:color w:val="auto"/>
              </w:rPr>
              <w:t>—</w:t>
            </w:r>
          </w:p>
        </w:tc>
        <w:tc>
          <w:tcPr>
            <w:tcW w:w="820" w:type="dxa"/>
            <w:vAlign w:val="bottom"/>
            <w:shd w:val="clear" w:color="auto" w:fill="D2DEA7"/>
          </w:tcPr>
          <w:p>
            <w:pPr>
              <w:jc w:val="right"/>
              <w:ind w:right="32"/>
              <w:spacing w:after="0"/>
              <w:rPr>
                <w:sz w:val="20"/>
                <w:szCs w:val="20"/>
                <w:color w:val="auto"/>
              </w:rPr>
            </w:pPr>
            <w:r>
              <w:rPr>
                <w:rFonts w:ascii="Arial" w:cs="Arial" w:eastAsia="Arial" w:hAnsi="Arial"/>
                <w:sz w:val="15"/>
                <w:szCs w:val="15"/>
                <w:color w:val="auto"/>
              </w:rPr>
              <w:t>147,522</w:t>
            </w:r>
          </w:p>
        </w:tc>
        <w:tc>
          <w:tcPr>
            <w:tcW w:w="0" w:type="dxa"/>
            <w:vAlign w:val="bottom"/>
          </w:tcPr>
          <w:p>
            <w:pPr>
              <w:spacing w:after="0"/>
              <w:rPr>
                <w:sz w:val="1"/>
                <w:szCs w:val="1"/>
                <w:color w:val="auto"/>
              </w:rPr>
            </w:pPr>
          </w:p>
        </w:tc>
      </w:tr>
      <w:tr>
        <w:trPr>
          <w:trHeight w:val="201"/>
        </w:trPr>
        <w:tc>
          <w:tcPr>
            <w:tcW w:w="3920" w:type="dxa"/>
            <w:vAlign w:val="bottom"/>
            <w:shd w:val="clear" w:color="auto" w:fill="E8EED3"/>
          </w:tcPr>
          <w:p>
            <w:pPr>
              <w:ind w:left="60"/>
              <w:spacing w:after="0"/>
              <w:rPr>
                <w:sz w:val="20"/>
                <w:szCs w:val="20"/>
                <w:color w:val="auto"/>
              </w:rPr>
            </w:pPr>
            <w:r>
              <w:rPr>
                <w:rFonts w:ascii="Arial" w:cs="Arial" w:eastAsia="Arial" w:hAnsi="Arial"/>
                <w:sz w:val="15"/>
                <w:szCs w:val="15"/>
                <w:color w:val="auto"/>
              </w:rPr>
              <w:t>Ramesh Nuggihalli</w:t>
            </w:r>
          </w:p>
        </w:tc>
        <w:tc>
          <w:tcPr>
            <w:tcW w:w="620" w:type="dxa"/>
            <w:vAlign w:val="bottom"/>
            <w:shd w:val="clear" w:color="auto" w:fill="E8EED3"/>
          </w:tcPr>
          <w:p>
            <w:pPr>
              <w:spacing w:after="0"/>
              <w:rPr>
                <w:sz w:val="17"/>
                <w:szCs w:val="17"/>
                <w:color w:val="auto"/>
              </w:rPr>
            </w:pPr>
          </w:p>
        </w:tc>
        <w:tc>
          <w:tcPr>
            <w:tcW w:w="760" w:type="dxa"/>
            <w:vAlign w:val="bottom"/>
            <w:shd w:val="clear" w:color="auto" w:fill="E8EED3"/>
          </w:tcPr>
          <w:p>
            <w:pPr>
              <w:ind w:left="440"/>
              <w:spacing w:after="0"/>
              <w:rPr>
                <w:sz w:val="20"/>
                <w:szCs w:val="20"/>
                <w:color w:val="auto"/>
              </w:rPr>
            </w:pPr>
            <w:r>
              <w:rPr>
                <w:rFonts w:ascii="Arial" w:cs="Arial" w:eastAsia="Arial" w:hAnsi="Arial"/>
                <w:sz w:val="15"/>
                <w:szCs w:val="15"/>
                <w:color w:val="auto"/>
              </w:rPr>
              <w:t>—</w:t>
            </w:r>
          </w:p>
        </w:tc>
        <w:tc>
          <w:tcPr>
            <w:tcW w:w="760" w:type="dxa"/>
            <w:vAlign w:val="bottom"/>
            <w:shd w:val="clear" w:color="auto" w:fill="E8EED3"/>
          </w:tcPr>
          <w:p>
            <w:pPr>
              <w:ind w:left="140"/>
              <w:spacing w:after="0"/>
              <w:rPr>
                <w:sz w:val="20"/>
                <w:szCs w:val="20"/>
                <w:color w:val="auto"/>
              </w:rPr>
            </w:pPr>
            <w:r>
              <w:rPr>
                <w:rFonts w:ascii="Arial" w:cs="Arial" w:eastAsia="Arial" w:hAnsi="Arial"/>
                <w:sz w:val="15"/>
                <w:szCs w:val="15"/>
                <w:color w:val="auto"/>
              </w:rPr>
              <w:t>206,250</w:t>
            </w:r>
          </w:p>
        </w:tc>
        <w:tc>
          <w:tcPr>
            <w:tcW w:w="740" w:type="dxa"/>
            <w:vAlign w:val="bottom"/>
            <w:shd w:val="clear" w:color="auto" w:fill="E8EED3"/>
          </w:tcPr>
          <w:p>
            <w:pPr>
              <w:ind w:left="120"/>
              <w:spacing w:after="0"/>
              <w:rPr>
                <w:sz w:val="20"/>
                <w:szCs w:val="20"/>
                <w:color w:val="auto"/>
              </w:rPr>
            </w:pPr>
            <w:r>
              <w:rPr>
                <w:rFonts w:ascii="Arial" w:cs="Arial" w:eastAsia="Arial" w:hAnsi="Arial"/>
                <w:sz w:val="15"/>
                <w:szCs w:val="15"/>
                <w:color w:val="auto"/>
              </w:rPr>
              <w:t>412,500</w:t>
            </w:r>
          </w:p>
        </w:tc>
        <w:tc>
          <w:tcPr>
            <w:tcW w:w="740" w:type="dxa"/>
            <w:vAlign w:val="bottom"/>
            <w:shd w:val="clear" w:color="auto" w:fill="E8EED3"/>
          </w:tcPr>
          <w:p>
            <w:pPr>
              <w:jc w:val="right"/>
              <w:ind w:right="71"/>
              <w:spacing w:after="0"/>
              <w:rPr>
                <w:sz w:val="20"/>
                <w:szCs w:val="20"/>
                <w:color w:val="auto"/>
              </w:rPr>
            </w:pPr>
            <w:r>
              <w:rPr>
                <w:rFonts w:ascii="Arial" w:cs="Arial" w:eastAsia="Arial" w:hAnsi="Arial"/>
                <w:sz w:val="15"/>
                <w:szCs w:val="15"/>
                <w:color w:val="auto"/>
              </w:rPr>
              <w:t>—</w:t>
            </w:r>
          </w:p>
        </w:tc>
        <w:tc>
          <w:tcPr>
            <w:tcW w:w="700" w:type="dxa"/>
            <w:vAlign w:val="bottom"/>
            <w:shd w:val="clear" w:color="auto" w:fill="E8EED3"/>
          </w:tcPr>
          <w:p>
            <w:pPr>
              <w:ind w:left="380"/>
              <w:spacing w:after="0"/>
              <w:rPr>
                <w:sz w:val="20"/>
                <w:szCs w:val="20"/>
                <w:color w:val="auto"/>
              </w:rPr>
            </w:pPr>
            <w:r>
              <w:rPr>
                <w:rFonts w:ascii="Arial" w:cs="Arial" w:eastAsia="Arial" w:hAnsi="Arial"/>
                <w:sz w:val="15"/>
                <w:szCs w:val="15"/>
                <w:color w:val="auto"/>
              </w:rPr>
              <w:t>—</w:t>
            </w:r>
          </w:p>
        </w:tc>
        <w:tc>
          <w:tcPr>
            <w:tcW w:w="760" w:type="dxa"/>
            <w:vAlign w:val="bottom"/>
            <w:shd w:val="clear" w:color="auto" w:fill="E8EED3"/>
          </w:tcPr>
          <w:p>
            <w:pPr>
              <w:jc w:val="right"/>
              <w:ind w:right="109"/>
              <w:spacing w:after="0"/>
              <w:rPr>
                <w:sz w:val="20"/>
                <w:szCs w:val="20"/>
                <w:color w:val="auto"/>
              </w:rPr>
            </w:pPr>
            <w:r>
              <w:rPr>
                <w:rFonts w:ascii="Arial" w:cs="Arial" w:eastAsia="Arial" w:hAnsi="Arial"/>
                <w:sz w:val="15"/>
                <w:szCs w:val="15"/>
                <w:color w:val="auto"/>
              </w:rPr>
              <w:t>—</w:t>
            </w:r>
          </w:p>
        </w:tc>
        <w:tc>
          <w:tcPr>
            <w:tcW w:w="720" w:type="dxa"/>
            <w:vAlign w:val="bottom"/>
            <w:shd w:val="clear" w:color="auto" w:fill="E8EED3"/>
          </w:tcPr>
          <w:p>
            <w:pPr>
              <w:ind w:left="400"/>
              <w:spacing w:after="0"/>
              <w:rPr>
                <w:sz w:val="20"/>
                <w:szCs w:val="20"/>
                <w:color w:val="auto"/>
              </w:rPr>
            </w:pPr>
            <w:r>
              <w:rPr>
                <w:rFonts w:ascii="Arial" w:cs="Arial" w:eastAsia="Arial" w:hAnsi="Arial"/>
                <w:sz w:val="15"/>
                <w:szCs w:val="15"/>
                <w:color w:val="auto"/>
              </w:rPr>
              <w:t>—</w:t>
            </w:r>
          </w:p>
        </w:tc>
        <w:tc>
          <w:tcPr>
            <w:tcW w:w="820" w:type="dxa"/>
            <w:vAlign w:val="bottom"/>
            <w:shd w:val="clear" w:color="auto" w:fill="E8EED3"/>
          </w:tcPr>
          <w:p>
            <w:pPr>
              <w:jc w:val="right"/>
              <w:ind w:right="112"/>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920" w:type="dxa"/>
            <w:vAlign w:val="bottom"/>
            <w:shd w:val="clear" w:color="auto" w:fill="E8EED3"/>
          </w:tcPr>
          <w:p>
            <w:pPr>
              <w:spacing w:after="0"/>
              <w:rPr>
                <w:sz w:val="19"/>
                <w:szCs w:val="19"/>
                <w:color w:val="auto"/>
              </w:rPr>
            </w:pPr>
          </w:p>
        </w:tc>
        <w:tc>
          <w:tcPr>
            <w:tcW w:w="620" w:type="dxa"/>
            <w:vAlign w:val="bottom"/>
            <w:shd w:val="clear" w:color="auto" w:fill="E8EED3"/>
          </w:tcPr>
          <w:p>
            <w:pPr>
              <w:ind w:left="120"/>
              <w:spacing w:after="0"/>
              <w:rPr>
                <w:sz w:val="20"/>
                <w:szCs w:val="20"/>
                <w:color w:val="auto"/>
              </w:rPr>
            </w:pPr>
            <w:r>
              <w:rPr>
                <w:rFonts w:ascii="Arial" w:cs="Arial" w:eastAsia="Arial" w:hAnsi="Arial"/>
                <w:sz w:val="15"/>
                <w:szCs w:val="15"/>
                <w:color w:val="auto"/>
              </w:rPr>
              <w:t>4/1/21</w:t>
            </w:r>
          </w:p>
        </w:tc>
        <w:tc>
          <w:tcPr>
            <w:tcW w:w="760" w:type="dxa"/>
            <w:vAlign w:val="bottom"/>
            <w:shd w:val="clear" w:color="auto" w:fill="E8EED3"/>
          </w:tcPr>
          <w:p>
            <w:pPr>
              <w:ind w:left="440"/>
              <w:spacing w:after="0"/>
              <w:rPr>
                <w:sz w:val="20"/>
                <w:szCs w:val="20"/>
                <w:color w:val="auto"/>
              </w:rPr>
            </w:pPr>
            <w:r>
              <w:rPr>
                <w:rFonts w:ascii="Arial" w:cs="Arial" w:eastAsia="Arial" w:hAnsi="Arial"/>
                <w:sz w:val="15"/>
                <w:szCs w:val="15"/>
                <w:color w:val="auto"/>
              </w:rPr>
              <w:t>—</w:t>
            </w:r>
          </w:p>
        </w:tc>
        <w:tc>
          <w:tcPr>
            <w:tcW w:w="760" w:type="dxa"/>
            <w:vAlign w:val="bottom"/>
            <w:shd w:val="clear" w:color="auto" w:fill="E8EED3"/>
          </w:tcPr>
          <w:p>
            <w:pPr>
              <w:ind w:left="440"/>
              <w:spacing w:after="0"/>
              <w:rPr>
                <w:sz w:val="20"/>
                <w:szCs w:val="20"/>
                <w:color w:val="auto"/>
              </w:rPr>
            </w:pPr>
            <w:r>
              <w:rPr>
                <w:rFonts w:ascii="Arial" w:cs="Arial" w:eastAsia="Arial" w:hAnsi="Arial"/>
                <w:sz w:val="15"/>
                <w:szCs w:val="15"/>
                <w:color w:val="auto"/>
              </w:rPr>
              <w:t>—</w:t>
            </w:r>
          </w:p>
        </w:tc>
        <w:tc>
          <w:tcPr>
            <w:tcW w:w="740" w:type="dxa"/>
            <w:vAlign w:val="bottom"/>
            <w:shd w:val="clear" w:color="auto" w:fill="E8EED3"/>
          </w:tcPr>
          <w:p>
            <w:pPr>
              <w:ind w:left="420"/>
              <w:spacing w:after="0"/>
              <w:rPr>
                <w:sz w:val="20"/>
                <w:szCs w:val="20"/>
                <w:color w:val="auto"/>
              </w:rPr>
            </w:pPr>
            <w:r>
              <w:rPr>
                <w:rFonts w:ascii="Arial" w:cs="Arial" w:eastAsia="Arial" w:hAnsi="Arial"/>
                <w:sz w:val="15"/>
                <w:szCs w:val="15"/>
                <w:color w:val="auto"/>
              </w:rPr>
              <w:t>—</w:t>
            </w:r>
          </w:p>
        </w:tc>
        <w:tc>
          <w:tcPr>
            <w:tcW w:w="740" w:type="dxa"/>
            <w:vAlign w:val="bottom"/>
            <w:shd w:val="clear" w:color="auto" w:fill="E8EED3"/>
          </w:tcPr>
          <w:p>
            <w:pPr>
              <w:jc w:val="right"/>
              <w:ind w:right="71"/>
              <w:spacing w:after="0"/>
              <w:rPr>
                <w:sz w:val="20"/>
                <w:szCs w:val="20"/>
                <w:color w:val="auto"/>
              </w:rPr>
            </w:pPr>
            <w:r>
              <w:rPr>
                <w:rFonts w:ascii="Arial" w:cs="Arial" w:eastAsia="Arial" w:hAnsi="Arial"/>
                <w:sz w:val="15"/>
                <w:szCs w:val="15"/>
                <w:color w:val="auto"/>
              </w:rPr>
              <w:t>—</w:t>
            </w:r>
          </w:p>
        </w:tc>
        <w:tc>
          <w:tcPr>
            <w:tcW w:w="700" w:type="dxa"/>
            <w:vAlign w:val="bottom"/>
            <w:shd w:val="clear" w:color="auto" w:fill="E8EED3"/>
          </w:tcPr>
          <w:p>
            <w:pPr>
              <w:ind w:left="380"/>
              <w:spacing w:after="0"/>
              <w:rPr>
                <w:sz w:val="20"/>
                <w:szCs w:val="20"/>
                <w:color w:val="auto"/>
              </w:rPr>
            </w:pPr>
            <w:r>
              <w:rPr>
                <w:rFonts w:ascii="Arial" w:cs="Arial" w:eastAsia="Arial" w:hAnsi="Arial"/>
                <w:sz w:val="15"/>
                <w:szCs w:val="15"/>
                <w:color w:val="auto"/>
              </w:rPr>
              <w:t>—</w:t>
            </w:r>
          </w:p>
        </w:tc>
        <w:tc>
          <w:tcPr>
            <w:tcW w:w="760" w:type="dxa"/>
            <w:vAlign w:val="bottom"/>
            <w:shd w:val="clear" w:color="auto" w:fill="E8EED3"/>
          </w:tcPr>
          <w:p>
            <w:pPr>
              <w:jc w:val="right"/>
              <w:ind w:right="109"/>
              <w:spacing w:after="0"/>
              <w:rPr>
                <w:sz w:val="20"/>
                <w:szCs w:val="20"/>
                <w:color w:val="auto"/>
              </w:rPr>
            </w:pPr>
            <w:r>
              <w:rPr>
                <w:rFonts w:ascii="Arial" w:cs="Arial" w:eastAsia="Arial" w:hAnsi="Arial"/>
                <w:sz w:val="15"/>
                <w:szCs w:val="15"/>
                <w:color w:val="auto"/>
              </w:rPr>
              <w:t>—</w:t>
            </w:r>
          </w:p>
        </w:tc>
        <w:tc>
          <w:tcPr>
            <w:tcW w:w="720" w:type="dxa"/>
            <w:vAlign w:val="bottom"/>
            <w:shd w:val="clear" w:color="auto" w:fill="E8EED3"/>
          </w:tcPr>
          <w:p>
            <w:pPr>
              <w:ind w:left="180"/>
              <w:spacing w:after="0"/>
              <w:rPr>
                <w:sz w:val="20"/>
                <w:szCs w:val="20"/>
                <w:color w:val="auto"/>
              </w:rPr>
            </w:pPr>
            <w:r>
              <w:rPr>
                <w:rFonts w:ascii="Arial" w:cs="Arial" w:eastAsia="Arial" w:hAnsi="Arial"/>
                <w:sz w:val="15"/>
                <w:szCs w:val="15"/>
                <w:color w:val="auto"/>
              </w:rPr>
              <w:t>42,788</w:t>
            </w:r>
          </w:p>
        </w:tc>
        <w:tc>
          <w:tcPr>
            <w:tcW w:w="820" w:type="dxa"/>
            <w:vAlign w:val="bottom"/>
            <w:shd w:val="clear" w:color="auto" w:fill="E8EED3"/>
          </w:tcPr>
          <w:p>
            <w:pPr>
              <w:jc w:val="right"/>
              <w:ind w:right="32"/>
              <w:spacing w:after="0"/>
              <w:rPr>
                <w:sz w:val="20"/>
                <w:szCs w:val="20"/>
                <w:color w:val="auto"/>
              </w:rPr>
            </w:pPr>
            <w:r>
              <w:rPr>
                <w:rFonts w:ascii="Arial" w:cs="Arial" w:eastAsia="Arial" w:hAnsi="Arial"/>
                <w:sz w:val="15"/>
                <w:szCs w:val="15"/>
                <w:color w:val="auto"/>
              </w:rPr>
              <w:t>350,006</w:t>
            </w:r>
          </w:p>
        </w:tc>
        <w:tc>
          <w:tcPr>
            <w:tcW w:w="0" w:type="dxa"/>
            <w:vAlign w:val="bottom"/>
          </w:tcPr>
          <w:p>
            <w:pPr>
              <w:spacing w:after="0"/>
              <w:rPr>
                <w:sz w:val="1"/>
                <w:szCs w:val="1"/>
                <w:color w:val="auto"/>
              </w:rPr>
            </w:pPr>
          </w:p>
        </w:tc>
      </w:tr>
      <w:tr>
        <w:trPr>
          <w:trHeight w:val="239"/>
        </w:trPr>
        <w:tc>
          <w:tcPr>
            <w:tcW w:w="3920" w:type="dxa"/>
            <w:vAlign w:val="bottom"/>
            <w:shd w:val="clear" w:color="auto" w:fill="E8EED3"/>
          </w:tcPr>
          <w:p>
            <w:pPr>
              <w:spacing w:after="0"/>
              <w:rPr>
                <w:sz w:val="20"/>
                <w:szCs w:val="20"/>
                <w:color w:val="auto"/>
              </w:rPr>
            </w:pPr>
          </w:p>
        </w:tc>
        <w:tc>
          <w:tcPr>
            <w:tcW w:w="620" w:type="dxa"/>
            <w:vAlign w:val="bottom"/>
            <w:shd w:val="clear" w:color="auto" w:fill="E8EED3"/>
          </w:tcPr>
          <w:p>
            <w:pPr>
              <w:ind w:left="120"/>
              <w:spacing w:after="0"/>
              <w:rPr>
                <w:sz w:val="20"/>
                <w:szCs w:val="20"/>
                <w:color w:val="auto"/>
              </w:rPr>
            </w:pPr>
            <w:r>
              <w:rPr>
                <w:rFonts w:ascii="Arial" w:cs="Arial" w:eastAsia="Arial" w:hAnsi="Arial"/>
                <w:sz w:val="15"/>
                <w:szCs w:val="15"/>
                <w:color w:val="auto"/>
              </w:rPr>
              <w:t>4/1/21</w:t>
            </w:r>
          </w:p>
        </w:tc>
        <w:tc>
          <w:tcPr>
            <w:tcW w:w="760" w:type="dxa"/>
            <w:vAlign w:val="bottom"/>
            <w:shd w:val="clear" w:color="auto" w:fill="E8EED3"/>
          </w:tcPr>
          <w:p>
            <w:pPr>
              <w:ind w:left="440"/>
              <w:spacing w:after="0"/>
              <w:rPr>
                <w:sz w:val="20"/>
                <w:szCs w:val="20"/>
                <w:color w:val="auto"/>
              </w:rPr>
            </w:pPr>
            <w:r>
              <w:rPr>
                <w:rFonts w:ascii="Arial" w:cs="Arial" w:eastAsia="Arial" w:hAnsi="Arial"/>
                <w:sz w:val="15"/>
                <w:szCs w:val="15"/>
                <w:color w:val="auto"/>
              </w:rPr>
              <w:t>—</w:t>
            </w:r>
          </w:p>
        </w:tc>
        <w:tc>
          <w:tcPr>
            <w:tcW w:w="760" w:type="dxa"/>
            <w:vAlign w:val="bottom"/>
            <w:shd w:val="clear" w:color="auto" w:fill="E8EED3"/>
          </w:tcPr>
          <w:p>
            <w:pPr>
              <w:ind w:left="440"/>
              <w:spacing w:after="0"/>
              <w:rPr>
                <w:sz w:val="20"/>
                <w:szCs w:val="20"/>
                <w:color w:val="auto"/>
              </w:rPr>
            </w:pPr>
            <w:r>
              <w:rPr>
                <w:rFonts w:ascii="Arial" w:cs="Arial" w:eastAsia="Arial" w:hAnsi="Arial"/>
                <w:sz w:val="15"/>
                <w:szCs w:val="15"/>
                <w:color w:val="auto"/>
              </w:rPr>
              <w:t>—</w:t>
            </w:r>
          </w:p>
        </w:tc>
        <w:tc>
          <w:tcPr>
            <w:tcW w:w="740" w:type="dxa"/>
            <w:vAlign w:val="bottom"/>
            <w:shd w:val="clear" w:color="auto" w:fill="E8EED3"/>
          </w:tcPr>
          <w:p>
            <w:pPr>
              <w:ind w:left="420"/>
              <w:spacing w:after="0"/>
              <w:rPr>
                <w:sz w:val="20"/>
                <w:szCs w:val="20"/>
                <w:color w:val="auto"/>
              </w:rPr>
            </w:pPr>
            <w:r>
              <w:rPr>
                <w:rFonts w:ascii="Arial" w:cs="Arial" w:eastAsia="Arial" w:hAnsi="Arial"/>
                <w:sz w:val="15"/>
                <w:szCs w:val="15"/>
                <w:color w:val="auto"/>
              </w:rPr>
              <w:t>—</w:t>
            </w:r>
          </w:p>
        </w:tc>
        <w:tc>
          <w:tcPr>
            <w:tcW w:w="740" w:type="dxa"/>
            <w:vAlign w:val="bottom"/>
            <w:shd w:val="clear" w:color="auto" w:fill="E8EED3"/>
          </w:tcPr>
          <w:p>
            <w:pPr>
              <w:jc w:val="right"/>
              <w:spacing w:after="0"/>
              <w:rPr>
                <w:sz w:val="20"/>
                <w:szCs w:val="20"/>
                <w:color w:val="auto"/>
              </w:rPr>
            </w:pPr>
            <w:r>
              <w:rPr>
                <w:rFonts w:ascii="Arial" w:cs="Arial" w:eastAsia="Arial" w:hAnsi="Arial"/>
                <w:sz w:val="15"/>
                <w:szCs w:val="15"/>
                <w:color w:val="auto"/>
              </w:rPr>
              <w:t>9,169</w:t>
            </w:r>
          </w:p>
        </w:tc>
        <w:tc>
          <w:tcPr>
            <w:tcW w:w="700" w:type="dxa"/>
            <w:vAlign w:val="bottom"/>
            <w:shd w:val="clear" w:color="auto" w:fill="E8EED3"/>
          </w:tcPr>
          <w:p>
            <w:pPr>
              <w:ind w:left="160"/>
              <w:spacing w:after="0"/>
              <w:rPr>
                <w:sz w:val="20"/>
                <w:szCs w:val="20"/>
                <w:color w:val="auto"/>
              </w:rPr>
            </w:pPr>
            <w:r>
              <w:rPr>
                <w:rFonts w:ascii="Arial" w:cs="Arial" w:eastAsia="Arial" w:hAnsi="Arial"/>
                <w:sz w:val="15"/>
                <w:szCs w:val="15"/>
                <w:color w:val="auto"/>
              </w:rPr>
              <w:t>18,338</w:t>
            </w:r>
          </w:p>
        </w:tc>
        <w:tc>
          <w:tcPr>
            <w:tcW w:w="760" w:type="dxa"/>
            <w:vAlign w:val="bottom"/>
            <w:shd w:val="clear" w:color="auto" w:fill="E8EED3"/>
          </w:tcPr>
          <w:p>
            <w:pPr>
              <w:jc w:val="right"/>
              <w:ind w:right="29"/>
              <w:spacing w:after="0"/>
              <w:rPr>
                <w:sz w:val="20"/>
                <w:szCs w:val="20"/>
                <w:color w:val="auto"/>
              </w:rPr>
            </w:pPr>
            <w:r>
              <w:rPr>
                <w:rFonts w:ascii="Arial" w:cs="Arial" w:eastAsia="Arial" w:hAnsi="Arial"/>
                <w:sz w:val="15"/>
                <w:szCs w:val="15"/>
                <w:color w:val="auto"/>
              </w:rPr>
              <w:t>27,507</w:t>
            </w:r>
          </w:p>
        </w:tc>
        <w:tc>
          <w:tcPr>
            <w:tcW w:w="720" w:type="dxa"/>
            <w:vAlign w:val="bottom"/>
            <w:shd w:val="clear" w:color="auto" w:fill="E8EED3"/>
          </w:tcPr>
          <w:p>
            <w:pPr>
              <w:ind w:left="400"/>
              <w:spacing w:after="0"/>
              <w:rPr>
                <w:sz w:val="20"/>
                <w:szCs w:val="20"/>
                <w:color w:val="auto"/>
              </w:rPr>
            </w:pPr>
            <w:r>
              <w:rPr>
                <w:rFonts w:ascii="Arial" w:cs="Arial" w:eastAsia="Arial" w:hAnsi="Arial"/>
                <w:sz w:val="15"/>
                <w:szCs w:val="15"/>
                <w:color w:val="auto"/>
              </w:rPr>
              <w:t>—</w:t>
            </w:r>
          </w:p>
        </w:tc>
        <w:tc>
          <w:tcPr>
            <w:tcW w:w="820" w:type="dxa"/>
            <w:vAlign w:val="bottom"/>
            <w:shd w:val="clear" w:color="auto" w:fill="E8EED3"/>
          </w:tcPr>
          <w:p>
            <w:pPr>
              <w:jc w:val="right"/>
              <w:ind w:right="32"/>
              <w:spacing w:after="0"/>
              <w:rPr>
                <w:sz w:val="20"/>
                <w:szCs w:val="20"/>
                <w:color w:val="auto"/>
              </w:rPr>
            </w:pPr>
            <w:r>
              <w:rPr>
                <w:rFonts w:ascii="Arial" w:cs="Arial" w:eastAsia="Arial" w:hAnsi="Arial"/>
                <w:sz w:val="15"/>
                <w:szCs w:val="15"/>
                <w:color w:val="auto"/>
              </w:rPr>
              <w:t>176,595</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760" w:right="140" w:hanging="414"/>
        <w:spacing w:after="0" w:line="246" w:lineRule="auto"/>
        <w:tabs>
          <w:tab w:leader="none" w:pos="7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amounts shown in the “Target” and “Maximum” columns consist of annual performance-based cash compensation opportunities for 2021 provided to the named executive officers and further described in the Compensation Discussion above. The “Threshold” column shows dashes because the ultimate value of the performance-based compensation opportunities could be reduced to zero. The actual payout for 2021 is shown in the “2021 Summary Compensation Table”.</w:t>
      </w:r>
    </w:p>
    <w:p>
      <w:pPr>
        <w:spacing w:after="0" w:line="87" w:lineRule="exact"/>
        <w:rPr>
          <w:rFonts w:ascii="Arial" w:cs="Arial" w:eastAsia="Arial" w:hAnsi="Arial"/>
          <w:sz w:val="14"/>
          <w:szCs w:val="14"/>
          <w:color w:val="auto"/>
        </w:rPr>
      </w:pPr>
    </w:p>
    <w:p>
      <w:pPr>
        <w:jc w:val="both"/>
        <w:ind w:left="760" w:right="80" w:hanging="414"/>
        <w:spacing w:after="0" w:line="246" w:lineRule="auto"/>
        <w:tabs>
          <w:tab w:leader="none" w:pos="7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amounts shown in the “Threshold,” “Target” and “Maximum” columns for Messrs. Gleason, Eckl and Nuggihalli represent the potential payout levels with respect to PRSU awards granted to such officers in 2021, which amounts may be earned based on Relative TSR performance during the 2021-2023 performance period and will generally vest, subject to continued employment, on March 15, 2024.</w:t>
      </w:r>
    </w:p>
    <w:p>
      <w:pPr>
        <w:spacing w:after="0" w:line="87" w:lineRule="exact"/>
        <w:rPr>
          <w:rFonts w:ascii="Arial" w:cs="Arial" w:eastAsia="Arial" w:hAnsi="Arial"/>
          <w:sz w:val="14"/>
          <w:szCs w:val="14"/>
          <w:color w:val="auto"/>
        </w:rPr>
      </w:pPr>
    </w:p>
    <w:p>
      <w:pPr>
        <w:ind w:left="760" w:right="140" w:hanging="414"/>
        <w:spacing w:after="0" w:line="260" w:lineRule="auto"/>
        <w:tabs>
          <w:tab w:leader="none" w:pos="7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amounts shown in this column consist of RSU awards, which generally vest in four substantially equal annual installments on each of the first four anniversaries of the grant date.</w:t>
      </w:r>
    </w:p>
    <w:p>
      <w:pPr>
        <w:spacing w:after="0" w:line="68" w:lineRule="exact"/>
        <w:rPr>
          <w:rFonts w:ascii="Arial" w:cs="Arial" w:eastAsia="Arial" w:hAnsi="Arial"/>
          <w:sz w:val="14"/>
          <w:szCs w:val="14"/>
          <w:color w:val="auto"/>
        </w:rPr>
      </w:pPr>
    </w:p>
    <w:p>
      <w:pPr>
        <w:ind w:left="760" w:right="140" w:hanging="414"/>
        <w:spacing w:after="0" w:line="233" w:lineRule="auto"/>
        <w:tabs>
          <w:tab w:leader="none" w:pos="7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amounts shown in this column represent the grant date fair value of stock awards calculated in accordance with FASB ASC Topic 718, disregarding estimated forfeitures, rather than amounts realized by the named executive officers. Assumptions used in calculating these amounts are included in Note 9 to the Company’s audited financial statements included in our Annual Report on Form 10-K for the year ended December 31, 2021.</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262626"/>
        </w:rPr>
        <w:t>26 • CECO Environmental</w:t>
      </w:r>
    </w:p>
    <w:p>
      <w:pPr>
        <w:sectPr>
          <w:pgSz w:w="11900" w:h="16838" w:orient="portrait"/>
          <w:cols w:equalWidth="0" w:num="1">
            <w:col w:w="10900"/>
          </w:cols>
          <w:pgMar w:left="320" w:top="443" w:right="6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4" w:lineRule="exact"/>
        <w:rPr>
          <w:sz w:val="20"/>
          <w:szCs w:val="20"/>
          <w:color w:val="auto"/>
        </w:rPr>
      </w:pPr>
    </w:p>
    <w:p>
      <w:pPr>
        <w:ind w:left="340" w:right="440"/>
        <w:spacing w:after="0" w:line="245" w:lineRule="auto"/>
        <w:rPr>
          <w:sz w:val="20"/>
          <w:szCs w:val="20"/>
          <w:color w:val="auto"/>
        </w:rPr>
      </w:pPr>
      <w:r>
        <w:rPr>
          <w:rFonts w:ascii="Arial" w:cs="Arial" w:eastAsia="Arial" w:hAnsi="Arial"/>
          <w:sz w:val="16"/>
          <w:szCs w:val="16"/>
          <w:color w:val="auto"/>
        </w:rPr>
        <w:t>For information regarding the terms of the employment agreements in effect with our named executive officers during 2021, please see “Potential Payments Upon Termination or Change in Control.” For information regarding the terms of the awards described in the table above, please see “Compensation Discussion.” For more information about the amount of salary and bonus earned in relation to total compensation, please see “2021 Executive Compensation” in the “Compensation Discussion” above.</w:t>
      </w:r>
    </w:p>
    <w:p>
      <w:pPr>
        <w:spacing w:after="0" w:line="373"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41659C"/>
        </w:rPr>
        <w:t>2021 Outstanding Equity Awards at Fiscal Year-End Table</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information regarding outstanding equity awards for each named executive officer as of December 31, 2021.</w:t>
      </w:r>
    </w:p>
    <w:p>
      <w:pPr>
        <w:spacing w:after="0" w:line="234"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1900" w:type="dxa"/>
            <w:vAlign w:val="bottom"/>
            <w:shd w:val="clear" w:color="auto" w:fill="41659C"/>
          </w:tcPr>
          <w:p>
            <w:pPr>
              <w:spacing w:after="0"/>
              <w:rPr>
                <w:sz w:val="12"/>
                <w:szCs w:val="12"/>
                <w:color w:val="auto"/>
              </w:rPr>
            </w:pPr>
          </w:p>
        </w:tc>
        <w:tc>
          <w:tcPr>
            <w:tcW w:w="140" w:type="dxa"/>
            <w:vAlign w:val="bottom"/>
            <w:shd w:val="clear" w:color="auto" w:fill="41659C"/>
          </w:tcPr>
          <w:p>
            <w:pPr>
              <w:spacing w:after="0"/>
              <w:rPr>
                <w:sz w:val="12"/>
                <w:szCs w:val="12"/>
                <w:color w:val="auto"/>
              </w:rPr>
            </w:pPr>
          </w:p>
        </w:tc>
        <w:tc>
          <w:tcPr>
            <w:tcW w:w="500" w:type="dxa"/>
            <w:vAlign w:val="bottom"/>
            <w:shd w:val="clear" w:color="auto" w:fill="41659C"/>
          </w:tcPr>
          <w:p>
            <w:pPr>
              <w:spacing w:after="0"/>
              <w:rPr>
                <w:sz w:val="12"/>
                <w:szCs w:val="12"/>
                <w:color w:val="auto"/>
              </w:rPr>
            </w:pPr>
          </w:p>
        </w:tc>
        <w:tc>
          <w:tcPr>
            <w:tcW w:w="320" w:type="dxa"/>
            <w:vAlign w:val="bottom"/>
            <w:shd w:val="clear" w:color="auto" w:fill="41659C"/>
          </w:tcPr>
          <w:p>
            <w:pPr>
              <w:spacing w:after="0"/>
              <w:rPr>
                <w:sz w:val="12"/>
                <w:szCs w:val="12"/>
                <w:color w:val="auto"/>
              </w:rPr>
            </w:pPr>
          </w:p>
        </w:tc>
        <w:tc>
          <w:tcPr>
            <w:tcW w:w="680" w:type="dxa"/>
            <w:vAlign w:val="bottom"/>
            <w:shd w:val="clear" w:color="auto" w:fill="41659C"/>
          </w:tcPr>
          <w:p>
            <w:pPr>
              <w:spacing w:after="0"/>
              <w:rPr>
                <w:sz w:val="12"/>
                <w:szCs w:val="12"/>
                <w:color w:val="auto"/>
              </w:rPr>
            </w:pPr>
          </w:p>
        </w:tc>
        <w:tc>
          <w:tcPr>
            <w:tcW w:w="1500" w:type="dxa"/>
            <w:vAlign w:val="bottom"/>
            <w:shd w:val="clear" w:color="auto" w:fill="41659C"/>
          </w:tcPr>
          <w:p>
            <w:pPr>
              <w:ind w:left="640"/>
              <w:spacing w:after="0"/>
              <w:rPr>
                <w:sz w:val="20"/>
                <w:szCs w:val="20"/>
                <w:color w:val="auto"/>
              </w:rPr>
            </w:pPr>
            <w:r>
              <w:rPr>
                <w:rFonts w:ascii="Arial" w:cs="Arial" w:eastAsia="Arial" w:hAnsi="Arial"/>
                <w:sz w:val="12"/>
                <w:szCs w:val="12"/>
                <w:b w:val="1"/>
                <w:bCs w:val="1"/>
                <w:color w:val="FFFFFF"/>
                <w:w w:val="98"/>
              </w:rPr>
              <w:t>Option Awards</w:t>
            </w:r>
          </w:p>
        </w:tc>
        <w:tc>
          <w:tcPr>
            <w:tcW w:w="660" w:type="dxa"/>
            <w:vAlign w:val="bottom"/>
            <w:shd w:val="clear" w:color="auto" w:fill="41659C"/>
          </w:tcPr>
          <w:p>
            <w:pPr>
              <w:spacing w:after="0"/>
              <w:rPr>
                <w:sz w:val="12"/>
                <w:szCs w:val="12"/>
                <w:color w:val="auto"/>
              </w:rPr>
            </w:pPr>
          </w:p>
        </w:tc>
        <w:tc>
          <w:tcPr>
            <w:tcW w:w="880" w:type="dxa"/>
            <w:vAlign w:val="bottom"/>
            <w:shd w:val="clear" w:color="auto" w:fill="41659C"/>
          </w:tcPr>
          <w:p>
            <w:pPr>
              <w:spacing w:after="0"/>
              <w:rPr>
                <w:sz w:val="12"/>
                <w:szCs w:val="12"/>
                <w:color w:val="auto"/>
              </w:rPr>
            </w:pPr>
          </w:p>
        </w:tc>
        <w:tc>
          <w:tcPr>
            <w:tcW w:w="1000" w:type="dxa"/>
            <w:vAlign w:val="bottom"/>
            <w:shd w:val="clear" w:color="auto" w:fill="41659C"/>
          </w:tcPr>
          <w:p>
            <w:pPr>
              <w:spacing w:after="0"/>
              <w:rPr>
                <w:sz w:val="12"/>
                <w:szCs w:val="12"/>
                <w:color w:val="auto"/>
              </w:rPr>
            </w:pPr>
          </w:p>
        </w:tc>
        <w:tc>
          <w:tcPr>
            <w:tcW w:w="1960" w:type="dxa"/>
            <w:vAlign w:val="bottom"/>
            <w:gridSpan w:val="2"/>
            <w:shd w:val="clear" w:color="auto" w:fill="41659C"/>
          </w:tcPr>
          <w:p>
            <w:pPr>
              <w:jc w:val="right"/>
              <w:ind w:right="542"/>
              <w:spacing w:after="0"/>
              <w:rPr>
                <w:sz w:val="20"/>
                <w:szCs w:val="20"/>
                <w:color w:val="auto"/>
              </w:rPr>
            </w:pPr>
            <w:r>
              <w:rPr>
                <w:rFonts w:ascii="Arial" w:cs="Arial" w:eastAsia="Arial" w:hAnsi="Arial"/>
                <w:sz w:val="12"/>
                <w:szCs w:val="12"/>
                <w:b w:val="1"/>
                <w:bCs w:val="1"/>
                <w:color w:val="FFFFFF"/>
              </w:rPr>
              <w:t>Stock Awards</w:t>
            </w:r>
          </w:p>
        </w:tc>
        <w:tc>
          <w:tcPr>
            <w:tcW w:w="1000" w:type="dxa"/>
            <w:vAlign w:val="bottom"/>
            <w:vMerge w:val="restart"/>
            <w:shd w:val="clear" w:color="auto" w:fill="41659C"/>
          </w:tcPr>
          <w:p>
            <w:pPr>
              <w:jc w:val="center"/>
              <w:ind w:right="2"/>
              <w:spacing w:after="0"/>
              <w:rPr>
                <w:sz w:val="20"/>
                <w:szCs w:val="20"/>
                <w:color w:val="auto"/>
              </w:rPr>
            </w:pPr>
            <w:r>
              <w:rPr>
                <w:rFonts w:ascii="Arial" w:cs="Arial" w:eastAsia="Arial" w:hAnsi="Arial"/>
                <w:sz w:val="12"/>
                <w:szCs w:val="12"/>
                <w:b w:val="1"/>
                <w:bCs w:val="1"/>
                <w:color w:val="FFFFFF"/>
              </w:rPr>
              <w:t>Equity</w:t>
            </w:r>
          </w:p>
        </w:tc>
        <w:tc>
          <w:tcPr>
            <w:tcW w:w="0" w:type="dxa"/>
            <w:vAlign w:val="bottom"/>
          </w:tcPr>
          <w:p>
            <w:pPr>
              <w:spacing w:after="0"/>
              <w:rPr>
                <w:sz w:val="1"/>
                <w:szCs w:val="1"/>
                <w:color w:val="auto"/>
              </w:rPr>
            </w:pPr>
          </w:p>
        </w:tc>
      </w:tr>
      <w:tr>
        <w:trPr>
          <w:trHeight w:val="125"/>
        </w:trPr>
        <w:tc>
          <w:tcPr>
            <w:tcW w:w="1900" w:type="dxa"/>
            <w:vAlign w:val="bottom"/>
            <w:shd w:val="clear" w:color="auto" w:fill="41659C"/>
          </w:tcPr>
          <w:p>
            <w:pPr>
              <w:spacing w:after="0"/>
              <w:rPr>
                <w:sz w:val="10"/>
                <w:szCs w:val="10"/>
                <w:color w:val="auto"/>
              </w:rPr>
            </w:pPr>
          </w:p>
        </w:tc>
        <w:tc>
          <w:tcPr>
            <w:tcW w:w="140" w:type="dxa"/>
            <w:vAlign w:val="bottom"/>
            <w:shd w:val="clear" w:color="auto" w:fill="41659C"/>
          </w:tcPr>
          <w:p>
            <w:pPr>
              <w:spacing w:after="0"/>
              <w:rPr>
                <w:sz w:val="10"/>
                <w:szCs w:val="10"/>
                <w:color w:val="auto"/>
              </w:rPr>
            </w:pPr>
          </w:p>
        </w:tc>
        <w:tc>
          <w:tcPr>
            <w:tcW w:w="500" w:type="dxa"/>
            <w:vAlign w:val="bottom"/>
            <w:shd w:val="clear" w:color="auto" w:fill="41659C"/>
          </w:tcPr>
          <w:p>
            <w:pPr>
              <w:spacing w:after="0"/>
              <w:rPr>
                <w:sz w:val="10"/>
                <w:szCs w:val="10"/>
                <w:color w:val="auto"/>
              </w:rPr>
            </w:pPr>
          </w:p>
        </w:tc>
        <w:tc>
          <w:tcPr>
            <w:tcW w:w="320" w:type="dxa"/>
            <w:vAlign w:val="bottom"/>
            <w:shd w:val="clear" w:color="auto" w:fill="41659C"/>
          </w:tcPr>
          <w:p>
            <w:pPr>
              <w:spacing w:after="0"/>
              <w:rPr>
                <w:sz w:val="10"/>
                <w:szCs w:val="10"/>
                <w:color w:val="auto"/>
              </w:rPr>
            </w:pPr>
          </w:p>
        </w:tc>
        <w:tc>
          <w:tcPr>
            <w:tcW w:w="680" w:type="dxa"/>
            <w:vAlign w:val="bottom"/>
            <w:shd w:val="clear" w:color="auto" w:fill="41659C"/>
          </w:tcPr>
          <w:p>
            <w:pPr>
              <w:spacing w:after="0"/>
              <w:rPr>
                <w:sz w:val="10"/>
                <w:szCs w:val="10"/>
                <w:color w:val="auto"/>
              </w:rPr>
            </w:pPr>
          </w:p>
        </w:tc>
        <w:tc>
          <w:tcPr>
            <w:tcW w:w="1500" w:type="dxa"/>
            <w:vAlign w:val="bottom"/>
            <w:shd w:val="clear" w:color="auto" w:fill="41659C"/>
          </w:tcPr>
          <w:p>
            <w:pPr>
              <w:spacing w:after="0"/>
              <w:rPr>
                <w:sz w:val="10"/>
                <w:szCs w:val="10"/>
                <w:color w:val="auto"/>
              </w:rPr>
            </w:pPr>
          </w:p>
        </w:tc>
        <w:tc>
          <w:tcPr>
            <w:tcW w:w="660" w:type="dxa"/>
            <w:vAlign w:val="bottom"/>
            <w:shd w:val="clear" w:color="auto" w:fill="41659C"/>
          </w:tcPr>
          <w:p>
            <w:pPr>
              <w:spacing w:after="0"/>
              <w:rPr>
                <w:sz w:val="10"/>
                <w:szCs w:val="10"/>
                <w:color w:val="auto"/>
              </w:rPr>
            </w:pPr>
          </w:p>
        </w:tc>
        <w:tc>
          <w:tcPr>
            <w:tcW w:w="880" w:type="dxa"/>
            <w:vAlign w:val="bottom"/>
            <w:shd w:val="clear" w:color="auto" w:fill="41659C"/>
          </w:tcPr>
          <w:p>
            <w:pPr>
              <w:spacing w:after="0"/>
              <w:rPr>
                <w:sz w:val="10"/>
                <w:szCs w:val="10"/>
                <w:color w:val="auto"/>
              </w:rPr>
            </w:pPr>
          </w:p>
        </w:tc>
        <w:tc>
          <w:tcPr>
            <w:tcW w:w="1000" w:type="dxa"/>
            <w:vAlign w:val="bottom"/>
            <w:shd w:val="clear" w:color="auto" w:fill="41659C"/>
          </w:tcPr>
          <w:p>
            <w:pPr>
              <w:spacing w:after="0"/>
              <w:rPr>
                <w:sz w:val="10"/>
                <w:szCs w:val="10"/>
                <w:color w:val="auto"/>
              </w:rPr>
            </w:pPr>
          </w:p>
        </w:tc>
        <w:tc>
          <w:tcPr>
            <w:tcW w:w="980" w:type="dxa"/>
            <w:vAlign w:val="bottom"/>
            <w:shd w:val="clear" w:color="auto" w:fill="41659C"/>
          </w:tcPr>
          <w:p>
            <w:pPr>
              <w:spacing w:after="0"/>
              <w:rPr>
                <w:sz w:val="10"/>
                <w:szCs w:val="10"/>
                <w:color w:val="auto"/>
              </w:rPr>
            </w:pPr>
          </w:p>
        </w:tc>
        <w:tc>
          <w:tcPr>
            <w:tcW w:w="980" w:type="dxa"/>
            <w:vAlign w:val="bottom"/>
            <w:shd w:val="clear" w:color="auto" w:fill="41659C"/>
          </w:tcPr>
          <w:p>
            <w:pPr>
              <w:spacing w:after="0"/>
              <w:rPr>
                <w:sz w:val="10"/>
                <w:szCs w:val="10"/>
                <w:color w:val="auto"/>
              </w:rPr>
            </w:pPr>
          </w:p>
        </w:tc>
        <w:tc>
          <w:tcPr>
            <w:tcW w:w="1000" w:type="dxa"/>
            <w:vAlign w:val="bottom"/>
            <w:vMerge w:val="continue"/>
            <w:shd w:val="clear" w:color="auto" w:fill="41659C"/>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900" w:type="dxa"/>
            <w:vAlign w:val="bottom"/>
            <w:shd w:val="clear" w:color="auto" w:fill="41659C"/>
          </w:tcPr>
          <w:p>
            <w:pPr>
              <w:spacing w:after="0"/>
              <w:rPr>
                <w:sz w:val="11"/>
                <w:szCs w:val="11"/>
                <w:color w:val="auto"/>
              </w:rPr>
            </w:pPr>
          </w:p>
        </w:tc>
        <w:tc>
          <w:tcPr>
            <w:tcW w:w="140" w:type="dxa"/>
            <w:vAlign w:val="bottom"/>
            <w:shd w:val="clear" w:color="auto" w:fill="41659C"/>
          </w:tcPr>
          <w:p>
            <w:pPr>
              <w:spacing w:after="0"/>
              <w:rPr>
                <w:sz w:val="11"/>
                <w:szCs w:val="11"/>
                <w:color w:val="auto"/>
              </w:rPr>
            </w:pPr>
          </w:p>
        </w:tc>
        <w:tc>
          <w:tcPr>
            <w:tcW w:w="500" w:type="dxa"/>
            <w:vAlign w:val="bottom"/>
            <w:shd w:val="clear" w:color="auto" w:fill="41659C"/>
          </w:tcPr>
          <w:p>
            <w:pPr>
              <w:spacing w:after="0"/>
              <w:rPr>
                <w:sz w:val="11"/>
                <w:szCs w:val="11"/>
                <w:color w:val="auto"/>
              </w:rPr>
            </w:pPr>
          </w:p>
        </w:tc>
        <w:tc>
          <w:tcPr>
            <w:tcW w:w="320" w:type="dxa"/>
            <w:vAlign w:val="bottom"/>
            <w:shd w:val="clear" w:color="auto" w:fill="41659C"/>
          </w:tcPr>
          <w:p>
            <w:pPr>
              <w:spacing w:after="0"/>
              <w:rPr>
                <w:sz w:val="11"/>
                <w:szCs w:val="11"/>
                <w:color w:val="auto"/>
              </w:rPr>
            </w:pPr>
          </w:p>
        </w:tc>
        <w:tc>
          <w:tcPr>
            <w:tcW w:w="680" w:type="dxa"/>
            <w:vAlign w:val="bottom"/>
            <w:shd w:val="clear" w:color="auto" w:fill="41659C"/>
          </w:tcPr>
          <w:p>
            <w:pPr>
              <w:spacing w:after="0"/>
              <w:rPr>
                <w:sz w:val="11"/>
                <w:szCs w:val="11"/>
                <w:color w:val="auto"/>
              </w:rPr>
            </w:pPr>
          </w:p>
        </w:tc>
        <w:tc>
          <w:tcPr>
            <w:tcW w:w="1500" w:type="dxa"/>
            <w:vAlign w:val="bottom"/>
            <w:shd w:val="clear" w:color="auto" w:fill="41659C"/>
          </w:tcPr>
          <w:p>
            <w:pPr>
              <w:spacing w:after="0"/>
              <w:rPr>
                <w:sz w:val="11"/>
                <w:szCs w:val="11"/>
                <w:color w:val="auto"/>
              </w:rPr>
            </w:pPr>
          </w:p>
        </w:tc>
        <w:tc>
          <w:tcPr>
            <w:tcW w:w="66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100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980" w:type="dxa"/>
            <w:vAlign w:val="bottom"/>
            <w:vMerge w:val="restart"/>
            <w:shd w:val="clear" w:color="auto" w:fill="41659C"/>
          </w:tcPr>
          <w:p>
            <w:pPr>
              <w:jc w:val="center"/>
              <w:spacing w:after="0"/>
              <w:rPr>
                <w:sz w:val="20"/>
                <w:szCs w:val="20"/>
                <w:color w:val="auto"/>
              </w:rPr>
            </w:pPr>
            <w:r>
              <w:rPr>
                <w:rFonts w:ascii="Arial" w:cs="Arial" w:eastAsia="Arial" w:hAnsi="Arial"/>
                <w:sz w:val="12"/>
                <w:szCs w:val="12"/>
                <w:b w:val="1"/>
                <w:bCs w:val="1"/>
                <w:color w:val="FFFFFF"/>
              </w:rPr>
              <w:t>Equity</w:t>
            </w:r>
          </w:p>
        </w:tc>
        <w:tc>
          <w:tcPr>
            <w:tcW w:w="1000" w:type="dxa"/>
            <w:vAlign w:val="bottom"/>
            <w:shd w:val="clear" w:color="auto" w:fill="41659C"/>
          </w:tcPr>
          <w:p>
            <w:pPr>
              <w:jc w:val="center"/>
              <w:ind w:right="2"/>
              <w:spacing w:after="0" w:line="129" w:lineRule="exact"/>
              <w:rPr>
                <w:sz w:val="20"/>
                <w:szCs w:val="20"/>
                <w:color w:val="auto"/>
              </w:rPr>
            </w:pPr>
            <w:r>
              <w:rPr>
                <w:rFonts w:ascii="Arial" w:cs="Arial" w:eastAsia="Arial" w:hAnsi="Arial"/>
                <w:sz w:val="12"/>
                <w:szCs w:val="12"/>
                <w:b w:val="1"/>
                <w:bCs w:val="1"/>
                <w:color w:val="FFFFFF"/>
              </w:rPr>
              <w:t>Incentive</w:t>
            </w:r>
          </w:p>
        </w:tc>
        <w:tc>
          <w:tcPr>
            <w:tcW w:w="0" w:type="dxa"/>
            <w:vAlign w:val="bottom"/>
          </w:tcPr>
          <w:p>
            <w:pPr>
              <w:spacing w:after="0"/>
              <w:rPr>
                <w:sz w:val="1"/>
                <w:szCs w:val="1"/>
                <w:color w:val="auto"/>
              </w:rPr>
            </w:pPr>
          </w:p>
        </w:tc>
      </w:tr>
      <w:tr>
        <w:trPr>
          <w:trHeight w:val="129"/>
        </w:trPr>
        <w:tc>
          <w:tcPr>
            <w:tcW w:w="1900" w:type="dxa"/>
            <w:vAlign w:val="bottom"/>
            <w:shd w:val="clear" w:color="auto" w:fill="41659C"/>
          </w:tcPr>
          <w:p>
            <w:pPr>
              <w:spacing w:after="0"/>
              <w:rPr>
                <w:sz w:val="11"/>
                <w:szCs w:val="11"/>
                <w:color w:val="auto"/>
              </w:rPr>
            </w:pPr>
          </w:p>
        </w:tc>
        <w:tc>
          <w:tcPr>
            <w:tcW w:w="140" w:type="dxa"/>
            <w:vAlign w:val="bottom"/>
            <w:shd w:val="clear" w:color="auto" w:fill="41659C"/>
          </w:tcPr>
          <w:p>
            <w:pPr>
              <w:spacing w:after="0"/>
              <w:rPr>
                <w:sz w:val="11"/>
                <w:szCs w:val="11"/>
                <w:color w:val="auto"/>
              </w:rPr>
            </w:pPr>
          </w:p>
        </w:tc>
        <w:tc>
          <w:tcPr>
            <w:tcW w:w="500" w:type="dxa"/>
            <w:vAlign w:val="bottom"/>
            <w:shd w:val="clear" w:color="auto" w:fill="41659C"/>
          </w:tcPr>
          <w:p>
            <w:pPr>
              <w:spacing w:after="0"/>
              <w:rPr>
                <w:sz w:val="11"/>
                <w:szCs w:val="11"/>
                <w:color w:val="auto"/>
              </w:rPr>
            </w:pPr>
          </w:p>
        </w:tc>
        <w:tc>
          <w:tcPr>
            <w:tcW w:w="320" w:type="dxa"/>
            <w:vAlign w:val="bottom"/>
            <w:shd w:val="clear" w:color="auto" w:fill="41659C"/>
          </w:tcPr>
          <w:p>
            <w:pPr>
              <w:spacing w:after="0"/>
              <w:rPr>
                <w:sz w:val="11"/>
                <w:szCs w:val="11"/>
                <w:color w:val="auto"/>
              </w:rPr>
            </w:pPr>
          </w:p>
        </w:tc>
        <w:tc>
          <w:tcPr>
            <w:tcW w:w="680" w:type="dxa"/>
            <w:vAlign w:val="bottom"/>
            <w:shd w:val="clear" w:color="auto" w:fill="41659C"/>
          </w:tcPr>
          <w:p>
            <w:pPr>
              <w:spacing w:after="0"/>
              <w:rPr>
                <w:sz w:val="11"/>
                <w:szCs w:val="11"/>
                <w:color w:val="auto"/>
              </w:rPr>
            </w:pPr>
          </w:p>
        </w:tc>
        <w:tc>
          <w:tcPr>
            <w:tcW w:w="1500" w:type="dxa"/>
            <w:vAlign w:val="bottom"/>
            <w:shd w:val="clear" w:color="auto" w:fill="41659C"/>
          </w:tcPr>
          <w:p>
            <w:pPr>
              <w:spacing w:after="0"/>
              <w:rPr>
                <w:sz w:val="11"/>
                <w:szCs w:val="11"/>
                <w:color w:val="auto"/>
              </w:rPr>
            </w:pPr>
          </w:p>
        </w:tc>
        <w:tc>
          <w:tcPr>
            <w:tcW w:w="66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100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980" w:type="dxa"/>
            <w:vAlign w:val="bottom"/>
            <w:vMerge w:val="continue"/>
            <w:shd w:val="clear" w:color="auto" w:fill="41659C"/>
          </w:tcPr>
          <w:p>
            <w:pPr>
              <w:spacing w:after="0"/>
              <w:rPr>
                <w:sz w:val="11"/>
                <w:szCs w:val="11"/>
                <w:color w:val="auto"/>
              </w:rPr>
            </w:pPr>
          </w:p>
        </w:tc>
        <w:tc>
          <w:tcPr>
            <w:tcW w:w="1000" w:type="dxa"/>
            <w:vAlign w:val="bottom"/>
            <w:shd w:val="clear" w:color="auto" w:fill="41659C"/>
          </w:tcPr>
          <w:p>
            <w:pPr>
              <w:jc w:val="center"/>
              <w:ind w:right="2"/>
              <w:spacing w:after="0" w:line="129" w:lineRule="exact"/>
              <w:rPr>
                <w:sz w:val="20"/>
                <w:szCs w:val="20"/>
                <w:color w:val="auto"/>
              </w:rPr>
            </w:pPr>
            <w:r>
              <w:rPr>
                <w:rFonts w:ascii="Arial" w:cs="Arial" w:eastAsia="Arial" w:hAnsi="Arial"/>
                <w:sz w:val="12"/>
                <w:szCs w:val="12"/>
                <w:b w:val="1"/>
                <w:bCs w:val="1"/>
                <w:color w:val="FFFFFF"/>
              </w:rPr>
              <w:t>Plan</w:t>
            </w:r>
          </w:p>
        </w:tc>
        <w:tc>
          <w:tcPr>
            <w:tcW w:w="0" w:type="dxa"/>
            <w:vAlign w:val="bottom"/>
          </w:tcPr>
          <w:p>
            <w:pPr>
              <w:spacing w:after="0"/>
              <w:rPr>
                <w:sz w:val="1"/>
                <w:szCs w:val="1"/>
                <w:color w:val="auto"/>
              </w:rPr>
            </w:pPr>
          </w:p>
        </w:tc>
      </w:tr>
      <w:tr>
        <w:trPr>
          <w:trHeight w:val="129"/>
        </w:trPr>
        <w:tc>
          <w:tcPr>
            <w:tcW w:w="1900" w:type="dxa"/>
            <w:vAlign w:val="bottom"/>
            <w:shd w:val="clear" w:color="auto" w:fill="41659C"/>
          </w:tcPr>
          <w:p>
            <w:pPr>
              <w:spacing w:after="0"/>
              <w:rPr>
                <w:sz w:val="11"/>
                <w:szCs w:val="11"/>
                <w:color w:val="auto"/>
              </w:rPr>
            </w:pPr>
          </w:p>
        </w:tc>
        <w:tc>
          <w:tcPr>
            <w:tcW w:w="140" w:type="dxa"/>
            <w:vAlign w:val="bottom"/>
            <w:shd w:val="clear" w:color="auto" w:fill="41659C"/>
          </w:tcPr>
          <w:p>
            <w:pPr>
              <w:spacing w:after="0"/>
              <w:rPr>
                <w:sz w:val="11"/>
                <w:szCs w:val="11"/>
                <w:color w:val="auto"/>
              </w:rPr>
            </w:pPr>
          </w:p>
        </w:tc>
        <w:tc>
          <w:tcPr>
            <w:tcW w:w="500" w:type="dxa"/>
            <w:vAlign w:val="bottom"/>
            <w:shd w:val="clear" w:color="auto" w:fill="41659C"/>
          </w:tcPr>
          <w:p>
            <w:pPr>
              <w:spacing w:after="0"/>
              <w:rPr>
                <w:sz w:val="11"/>
                <w:szCs w:val="11"/>
                <w:color w:val="auto"/>
              </w:rPr>
            </w:pPr>
          </w:p>
        </w:tc>
        <w:tc>
          <w:tcPr>
            <w:tcW w:w="320" w:type="dxa"/>
            <w:vAlign w:val="bottom"/>
            <w:shd w:val="clear" w:color="auto" w:fill="41659C"/>
          </w:tcPr>
          <w:p>
            <w:pPr>
              <w:spacing w:after="0"/>
              <w:rPr>
                <w:sz w:val="11"/>
                <w:szCs w:val="11"/>
                <w:color w:val="auto"/>
              </w:rPr>
            </w:pPr>
          </w:p>
        </w:tc>
        <w:tc>
          <w:tcPr>
            <w:tcW w:w="680" w:type="dxa"/>
            <w:vAlign w:val="bottom"/>
            <w:shd w:val="clear" w:color="auto" w:fill="41659C"/>
          </w:tcPr>
          <w:p>
            <w:pPr>
              <w:spacing w:after="0"/>
              <w:rPr>
                <w:sz w:val="11"/>
                <w:szCs w:val="11"/>
                <w:color w:val="auto"/>
              </w:rPr>
            </w:pPr>
          </w:p>
        </w:tc>
        <w:tc>
          <w:tcPr>
            <w:tcW w:w="1500" w:type="dxa"/>
            <w:vAlign w:val="bottom"/>
            <w:shd w:val="clear" w:color="auto" w:fill="41659C"/>
          </w:tcPr>
          <w:p>
            <w:pPr>
              <w:spacing w:after="0"/>
              <w:rPr>
                <w:sz w:val="11"/>
                <w:szCs w:val="11"/>
                <w:color w:val="auto"/>
              </w:rPr>
            </w:pPr>
          </w:p>
        </w:tc>
        <w:tc>
          <w:tcPr>
            <w:tcW w:w="66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100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980" w:type="dxa"/>
            <w:vAlign w:val="bottom"/>
            <w:shd w:val="clear" w:color="auto" w:fill="41659C"/>
          </w:tcPr>
          <w:p>
            <w:pPr>
              <w:jc w:val="center"/>
              <w:ind w:right="2"/>
              <w:spacing w:after="0" w:line="129" w:lineRule="exact"/>
              <w:rPr>
                <w:sz w:val="20"/>
                <w:szCs w:val="20"/>
                <w:color w:val="auto"/>
              </w:rPr>
            </w:pPr>
            <w:r>
              <w:rPr>
                <w:rFonts w:ascii="Arial" w:cs="Arial" w:eastAsia="Arial" w:hAnsi="Arial"/>
                <w:sz w:val="12"/>
                <w:szCs w:val="12"/>
                <w:b w:val="1"/>
                <w:bCs w:val="1"/>
                <w:color w:val="FFFFFF"/>
                <w:w w:val="99"/>
              </w:rPr>
              <w:t>Incentive</w:t>
            </w:r>
          </w:p>
        </w:tc>
        <w:tc>
          <w:tcPr>
            <w:tcW w:w="1000" w:type="dxa"/>
            <w:vAlign w:val="bottom"/>
            <w:shd w:val="clear" w:color="auto" w:fill="41659C"/>
          </w:tcPr>
          <w:p>
            <w:pPr>
              <w:jc w:val="center"/>
              <w:ind w:right="2"/>
              <w:spacing w:after="0" w:line="129" w:lineRule="exact"/>
              <w:rPr>
                <w:sz w:val="20"/>
                <w:szCs w:val="20"/>
                <w:color w:val="auto"/>
              </w:rPr>
            </w:pPr>
            <w:r>
              <w:rPr>
                <w:rFonts w:ascii="Arial" w:cs="Arial" w:eastAsia="Arial" w:hAnsi="Arial"/>
                <w:sz w:val="12"/>
                <w:szCs w:val="12"/>
                <w:b w:val="1"/>
                <w:bCs w:val="1"/>
                <w:color w:val="FFFFFF"/>
                <w:w w:val="97"/>
              </w:rPr>
              <w:t>Awards:</w:t>
            </w:r>
          </w:p>
        </w:tc>
        <w:tc>
          <w:tcPr>
            <w:tcW w:w="0" w:type="dxa"/>
            <w:vAlign w:val="bottom"/>
          </w:tcPr>
          <w:p>
            <w:pPr>
              <w:spacing w:after="0"/>
              <w:rPr>
                <w:sz w:val="1"/>
                <w:szCs w:val="1"/>
                <w:color w:val="auto"/>
              </w:rPr>
            </w:pPr>
          </w:p>
        </w:tc>
      </w:tr>
      <w:tr>
        <w:trPr>
          <w:trHeight w:val="129"/>
        </w:trPr>
        <w:tc>
          <w:tcPr>
            <w:tcW w:w="1900" w:type="dxa"/>
            <w:vAlign w:val="bottom"/>
            <w:shd w:val="clear" w:color="auto" w:fill="41659C"/>
          </w:tcPr>
          <w:p>
            <w:pPr>
              <w:spacing w:after="0"/>
              <w:rPr>
                <w:sz w:val="11"/>
                <w:szCs w:val="11"/>
                <w:color w:val="auto"/>
              </w:rPr>
            </w:pPr>
          </w:p>
        </w:tc>
        <w:tc>
          <w:tcPr>
            <w:tcW w:w="140" w:type="dxa"/>
            <w:vAlign w:val="bottom"/>
            <w:shd w:val="clear" w:color="auto" w:fill="41659C"/>
          </w:tcPr>
          <w:p>
            <w:pPr>
              <w:spacing w:after="0"/>
              <w:rPr>
                <w:sz w:val="11"/>
                <w:szCs w:val="11"/>
                <w:color w:val="auto"/>
              </w:rPr>
            </w:pPr>
          </w:p>
        </w:tc>
        <w:tc>
          <w:tcPr>
            <w:tcW w:w="500" w:type="dxa"/>
            <w:vAlign w:val="bottom"/>
            <w:shd w:val="clear" w:color="auto" w:fill="41659C"/>
          </w:tcPr>
          <w:p>
            <w:pPr>
              <w:spacing w:after="0"/>
              <w:rPr>
                <w:sz w:val="11"/>
                <w:szCs w:val="11"/>
                <w:color w:val="auto"/>
              </w:rPr>
            </w:pPr>
          </w:p>
        </w:tc>
        <w:tc>
          <w:tcPr>
            <w:tcW w:w="320" w:type="dxa"/>
            <w:vAlign w:val="bottom"/>
            <w:shd w:val="clear" w:color="auto" w:fill="41659C"/>
          </w:tcPr>
          <w:p>
            <w:pPr>
              <w:spacing w:after="0"/>
              <w:rPr>
                <w:sz w:val="11"/>
                <w:szCs w:val="11"/>
                <w:color w:val="auto"/>
              </w:rPr>
            </w:pPr>
          </w:p>
        </w:tc>
        <w:tc>
          <w:tcPr>
            <w:tcW w:w="680" w:type="dxa"/>
            <w:vAlign w:val="bottom"/>
            <w:shd w:val="clear" w:color="auto" w:fill="41659C"/>
          </w:tcPr>
          <w:p>
            <w:pPr>
              <w:spacing w:after="0"/>
              <w:rPr>
                <w:sz w:val="11"/>
                <w:szCs w:val="11"/>
                <w:color w:val="auto"/>
              </w:rPr>
            </w:pPr>
          </w:p>
        </w:tc>
        <w:tc>
          <w:tcPr>
            <w:tcW w:w="1500" w:type="dxa"/>
            <w:vAlign w:val="bottom"/>
            <w:shd w:val="clear" w:color="auto" w:fill="41659C"/>
          </w:tcPr>
          <w:p>
            <w:pPr>
              <w:spacing w:after="0"/>
              <w:rPr>
                <w:sz w:val="11"/>
                <w:szCs w:val="11"/>
                <w:color w:val="auto"/>
              </w:rPr>
            </w:pPr>
          </w:p>
        </w:tc>
        <w:tc>
          <w:tcPr>
            <w:tcW w:w="66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100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980" w:type="dxa"/>
            <w:vAlign w:val="bottom"/>
            <w:shd w:val="clear" w:color="auto" w:fill="41659C"/>
          </w:tcPr>
          <w:p>
            <w:pPr>
              <w:jc w:val="center"/>
              <w:spacing w:after="0" w:line="129" w:lineRule="exact"/>
              <w:rPr>
                <w:sz w:val="20"/>
                <w:szCs w:val="20"/>
                <w:color w:val="auto"/>
              </w:rPr>
            </w:pPr>
            <w:r>
              <w:rPr>
                <w:rFonts w:ascii="Arial" w:cs="Arial" w:eastAsia="Arial" w:hAnsi="Arial"/>
                <w:sz w:val="12"/>
                <w:szCs w:val="12"/>
                <w:b w:val="1"/>
                <w:bCs w:val="1"/>
                <w:color w:val="FFFFFF"/>
              </w:rPr>
              <w:t>Plan</w:t>
            </w:r>
          </w:p>
        </w:tc>
        <w:tc>
          <w:tcPr>
            <w:tcW w:w="1000" w:type="dxa"/>
            <w:vAlign w:val="bottom"/>
            <w:shd w:val="clear" w:color="auto" w:fill="41659C"/>
          </w:tcPr>
          <w:p>
            <w:pPr>
              <w:jc w:val="center"/>
              <w:ind w:right="2"/>
              <w:spacing w:after="0" w:line="129" w:lineRule="exact"/>
              <w:rPr>
                <w:sz w:val="20"/>
                <w:szCs w:val="20"/>
                <w:color w:val="auto"/>
              </w:rPr>
            </w:pPr>
            <w:r>
              <w:rPr>
                <w:rFonts w:ascii="Arial" w:cs="Arial" w:eastAsia="Arial" w:hAnsi="Arial"/>
                <w:sz w:val="12"/>
                <w:szCs w:val="12"/>
                <w:b w:val="1"/>
                <w:bCs w:val="1"/>
                <w:color w:val="FFFFFF"/>
                <w:w w:val="99"/>
              </w:rPr>
              <w:t>Market or</w:t>
            </w:r>
          </w:p>
        </w:tc>
        <w:tc>
          <w:tcPr>
            <w:tcW w:w="0" w:type="dxa"/>
            <w:vAlign w:val="bottom"/>
          </w:tcPr>
          <w:p>
            <w:pPr>
              <w:spacing w:after="0"/>
              <w:rPr>
                <w:sz w:val="1"/>
                <w:szCs w:val="1"/>
                <w:color w:val="auto"/>
              </w:rPr>
            </w:pPr>
          </w:p>
        </w:tc>
      </w:tr>
      <w:tr>
        <w:trPr>
          <w:trHeight w:val="129"/>
        </w:trPr>
        <w:tc>
          <w:tcPr>
            <w:tcW w:w="1900" w:type="dxa"/>
            <w:vAlign w:val="bottom"/>
            <w:shd w:val="clear" w:color="auto" w:fill="41659C"/>
          </w:tcPr>
          <w:p>
            <w:pPr>
              <w:spacing w:after="0"/>
              <w:rPr>
                <w:sz w:val="11"/>
                <w:szCs w:val="11"/>
                <w:color w:val="auto"/>
              </w:rPr>
            </w:pPr>
          </w:p>
        </w:tc>
        <w:tc>
          <w:tcPr>
            <w:tcW w:w="140" w:type="dxa"/>
            <w:vAlign w:val="bottom"/>
            <w:shd w:val="clear" w:color="auto" w:fill="41659C"/>
          </w:tcPr>
          <w:p>
            <w:pPr>
              <w:spacing w:after="0"/>
              <w:rPr>
                <w:sz w:val="11"/>
                <w:szCs w:val="11"/>
                <w:color w:val="auto"/>
              </w:rPr>
            </w:pPr>
          </w:p>
        </w:tc>
        <w:tc>
          <w:tcPr>
            <w:tcW w:w="500" w:type="dxa"/>
            <w:vAlign w:val="bottom"/>
            <w:shd w:val="clear" w:color="auto" w:fill="41659C"/>
          </w:tcPr>
          <w:p>
            <w:pPr>
              <w:spacing w:after="0"/>
              <w:rPr>
                <w:sz w:val="11"/>
                <w:szCs w:val="11"/>
                <w:color w:val="auto"/>
              </w:rPr>
            </w:pPr>
          </w:p>
        </w:tc>
        <w:tc>
          <w:tcPr>
            <w:tcW w:w="320" w:type="dxa"/>
            <w:vAlign w:val="bottom"/>
            <w:shd w:val="clear" w:color="auto" w:fill="41659C"/>
          </w:tcPr>
          <w:p>
            <w:pPr>
              <w:spacing w:after="0"/>
              <w:rPr>
                <w:sz w:val="11"/>
                <w:szCs w:val="11"/>
                <w:color w:val="auto"/>
              </w:rPr>
            </w:pPr>
          </w:p>
        </w:tc>
        <w:tc>
          <w:tcPr>
            <w:tcW w:w="680" w:type="dxa"/>
            <w:vAlign w:val="bottom"/>
            <w:shd w:val="clear" w:color="auto" w:fill="41659C"/>
          </w:tcPr>
          <w:p>
            <w:pPr>
              <w:spacing w:after="0"/>
              <w:rPr>
                <w:sz w:val="11"/>
                <w:szCs w:val="11"/>
                <w:color w:val="auto"/>
              </w:rPr>
            </w:pPr>
          </w:p>
        </w:tc>
        <w:tc>
          <w:tcPr>
            <w:tcW w:w="1500" w:type="dxa"/>
            <w:vAlign w:val="bottom"/>
            <w:shd w:val="clear" w:color="auto" w:fill="41659C"/>
          </w:tcPr>
          <w:p>
            <w:pPr>
              <w:spacing w:after="0"/>
              <w:rPr>
                <w:sz w:val="11"/>
                <w:szCs w:val="11"/>
                <w:color w:val="auto"/>
              </w:rPr>
            </w:pPr>
          </w:p>
        </w:tc>
        <w:tc>
          <w:tcPr>
            <w:tcW w:w="66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100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980" w:type="dxa"/>
            <w:vAlign w:val="bottom"/>
            <w:shd w:val="clear" w:color="auto" w:fill="41659C"/>
          </w:tcPr>
          <w:p>
            <w:pPr>
              <w:jc w:val="center"/>
              <w:spacing w:after="0" w:line="129" w:lineRule="exact"/>
              <w:rPr>
                <w:sz w:val="20"/>
                <w:szCs w:val="20"/>
                <w:color w:val="auto"/>
              </w:rPr>
            </w:pPr>
            <w:r>
              <w:rPr>
                <w:rFonts w:ascii="Arial" w:cs="Arial" w:eastAsia="Arial" w:hAnsi="Arial"/>
                <w:sz w:val="12"/>
                <w:szCs w:val="12"/>
                <w:b w:val="1"/>
                <w:bCs w:val="1"/>
                <w:color w:val="FFFFFF"/>
                <w:w w:val="97"/>
              </w:rPr>
              <w:t>Awards:</w:t>
            </w:r>
          </w:p>
        </w:tc>
        <w:tc>
          <w:tcPr>
            <w:tcW w:w="1000" w:type="dxa"/>
            <w:vAlign w:val="bottom"/>
            <w:shd w:val="clear" w:color="auto" w:fill="41659C"/>
          </w:tcPr>
          <w:p>
            <w:pPr>
              <w:jc w:val="center"/>
              <w:spacing w:after="0" w:line="129" w:lineRule="exact"/>
              <w:rPr>
                <w:sz w:val="20"/>
                <w:szCs w:val="20"/>
                <w:color w:val="auto"/>
              </w:rPr>
            </w:pPr>
            <w:r>
              <w:rPr>
                <w:rFonts w:ascii="Arial" w:cs="Arial" w:eastAsia="Arial" w:hAnsi="Arial"/>
                <w:sz w:val="12"/>
                <w:szCs w:val="12"/>
                <w:b w:val="1"/>
                <w:bCs w:val="1"/>
                <w:color w:val="FFFFFF"/>
                <w:w w:val="99"/>
              </w:rPr>
              <w:t>Payout</w:t>
            </w:r>
          </w:p>
        </w:tc>
        <w:tc>
          <w:tcPr>
            <w:tcW w:w="0" w:type="dxa"/>
            <w:vAlign w:val="bottom"/>
          </w:tcPr>
          <w:p>
            <w:pPr>
              <w:spacing w:after="0"/>
              <w:rPr>
                <w:sz w:val="1"/>
                <w:szCs w:val="1"/>
                <w:color w:val="auto"/>
              </w:rPr>
            </w:pPr>
          </w:p>
        </w:tc>
      </w:tr>
      <w:tr>
        <w:trPr>
          <w:trHeight w:val="129"/>
        </w:trPr>
        <w:tc>
          <w:tcPr>
            <w:tcW w:w="1900" w:type="dxa"/>
            <w:vAlign w:val="bottom"/>
            <w:shd w:val="clear" w:color="auto" w:fill="41659C"/>
          </w:tcPr>
          <w:p>
            <w:pPr>
              <w:spacing w:after="0"/>
              <w:rPr>
                <w:sz w:val="11"/>
                <w:szCs w:val="11"/>
                <w:color w:val="auto"/>
              </w:rPr>
            </w:pPr>
          </w:p>
        </w:tc>
        <w:tc>
          <w:tcPr>
            <w:tcW w:w="140" w:type="dxa"/>
            <w:vAlign w:val="bottom"/>
            <w:shd w:val="clear" w:color="auto" w:fill="41659C"/>
          </w:tcPr>
          <w:p>
            <w:pPr>
              <w:spacing w:after="0"/>
              <w:rPr>
                <w:sz w:val="11"/>
                <w:szCs w:val="11"/>
                <w:color w:val="auto"/>
              </w:rPr>
            </w:pPr>
          </w:p>
        </w:tc>
        <w:tc>
          <w:tcPr>
            <w:tcW w:w="500" w:type="dxa"/>
            <w:vAlign w:val="bottom"/>
            <w:shd w:val="clear" w:color="auto" w:fill="41659C"/>
          </w:tcPr>
          <w:p>
            <w:pPr>
              <w:spacing w:after="0"/>
              <w:rPr>
                <w:sz w:val="11"/>
                <w:szCs w:val="11"/>
                <w:color w:val="auto"/>
              </w:rPr>
            </w:pPr>
          </w:p>
        </w:tc>
        <w:tc>
          <w:tcPr>
            <w:tcW w:w="320" w:type="dxa"/>
            <w:vAlign w:val="bottom"/>
            <w:shd w:val="clear" w:color="auto" w:fill="41659C"/>
          </w:tcPr>
          <w:p>
            <w:pPr>
              <w:spacing w:after="0"/>
              <w:rPr>
                <w:sz w:val="11"/>
                <w:szCs w:val="11"/>
                <w:color w:val="auto"/>
              </w:rPr>
            </w:pPr>
          </w:p>
        </w:tc>
        <w:tc>
          <w:tcPr>
            <w:tcW w:w="680" w:type="dxa"/>
            <w:vAlign w:val="bottom"/>
            <w:shd w:val="clear" w:color="auto" w:fill="41659C"/>
          </w:tcPr>
          <w:p>
            <w:pPr>
              <w:spacing w:after="0"/>
              <w:rPr>
                <w:sz w:val="11"/>
                <w:szCs w:val="11"/>
                <w:color w:val="auto"/>
              </w:rPr>
            </w:pPr>
          </w:p>
        </w:tc>
        <w:tc>
          <w:tcPr>
            <w:tcW w:w="1500" w:type="dxa"/>
            <w:vAlign w:val="bottom"/>
            <w:shd w:val="clear" w:color="auto" w:fill="41659C"/>
          </w:tcPr>
          <w:p>
            <w:pPr>
              <w:spacing w:after="0"/>
              <w:rPr>
                <w:sz w:val="11"/>
                <w:szCs w:val="11"/>
                <w:color w:val="auto"/>
              </w:rPr>
            </w:pPr>
          </w:p>
        </w:tc>
        <w:tc>
          <w:tcPr>
            <w:tcW w:w="66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1000" w:type="dxa"/>
            <w:vAlign w:val="bottom"/>
            <w:shd w:val="clear" w:color="auto" w:fill="41659C"/>
          </w:tcPr>
          <w:p>
            <w:pPr>
              <w:spacing w:after="0"/>
              <w:rPr>
                <w:sz w:val="11"/>
                <w:szCs w:val="11"/>
                <w:color w:val="auto"/>
              </w:rPr>
            </w:pPr>
          </w:p>
        </w:tc>
        <w:tc>
          <w:tcPr>
            <w:tcW w:w="980" w:type="dxa"/>
            <w:vAlign w:val="bottom"/>
            <w:vMerge w:val="restart"/>
            <w:shd w:val="clear" w:color="auto" w:fill="41659C"/>
          </w:tcPr>
          <w:p>
            <w:pPr>
              <w:jc w:val="center"/>
              <w:spacing w:after="0"/>
              <w:rPr>
                <w:sz w:val="20"/>
                <w:szCs w:val="20"/>
                <w:color w:val="auto"/>
              </w:rPr>
            </w:pPr>
            <w:r>
              <w:rPr>
                <w:rFonts w:ascii="Arial" w:cs="Arial" w:eastAsia="Arial" w:hAnsi="Arial"/>
                <w:sz w:val="12"/>
                <w:szCs w:val="12"/>
                <w:b w:val="1"/>
                <w:bCs w:val="1"/>
                <w:color w:val="FFFFFF"/>
              </w:rPr>
              <w:t>Market</w:t>
            </w:r>
          </w:p>
        </w:tc>
        <w:tc>
          <w:tcPr>
            <w:tcW w:w="980" w:type="dxa"/>
            <w:vAlign w:val="bottom"/>
            <w:shd w:val="clear" w:color="auto" w:fill="41659C"/>
          </w:tcPr>
          <w:p>
            <w:pPr>
              <w:jc w:val="center"/>
              <w:ind w:right="2"/>
              <w:spacing w:after="0" w:line="129" w:lineRule="exact"/>
              <w:rPr>
                <w:sz w:val="20"/>
                <w:szCs w:val="20"/>
                <w:color w:val="auto"/>
              </w:rPr>
            </w:pPr>
            <w:r>
              <w:rPr>
                <w:rFonts w:ascii="Arial" w:cs="Arial" w:eastAsia="Arial" w:hAnsi="Arial"/>
                <w:sz w:val="12"/>
                <w:szCs w:val="12"/>
                <w:b w:val="1"/>
                <w:bCs w:val="1"/>
                <w:color w:val="FFFFFF"/>
                <w:w w:val="99"/>
              </w:rPr>
              <w:t>Number of</w:t>
            </w:r>
          </w:p>
        </w:tc>
        <w:tc>
          <w:tcPr>
            <w:tcW w:w="1000" w:type="dxa"/>
            <w:vAlign w:val="bottom"/>
            <w:shd w:val="clear" w:color="auto" w:fill="41659C"/>
          </w:tcPr>
          <w:p>
            <w:pPr>
              <w:jc w:val="center"/>
              <w:ind w:right="2"/>
              <w:spacing w:after="0" w:line="129" w:lineRule="exact"/>
              <w:rPr>
                <w:sz w:val="20"/>
                <w:szCs w:val="20"/>
                <w:color w:val="auto"/>
              </w:rPr>
            </w:pPr>
            <w:r>
              <w:rPr>
                <w:rFonts w:ascii="Arial" w:cs="Arial" w:eastAsia="Arial" w:hAnsi="Arial"/>
                <w:sz w:val="12"/>
                <w:szCs w:val="12"/>
                <w:b w:val="1"/>
                <w:bCs w:val="1"/>
                <w:color w:val="FFFFFF"/>
                <w:w w:val="98"/>
              </w:rPr>
              <w:t>Value of</w:t>
            </w:r>
          </w:p>
        </w:tc>
        <w:tc>
          <w:tcPr>
            <w:tcW w:w="0" w:type="dxa"/>
            <w:vAlign w:val="bottom"/>
          </w:tcPr>
          <w:p>
            <w:pPr>
              <w:spacing w:after="0"/>
              <w:rPr>
                <w:sz w:val="1"/>
                <w:szCs w:val="1"/>
                <w:color w:val="auto"/>
              </w:rPr>
            </w:pPr>
          </w:p>
        </w:tc>
      </w:tr>
      <w:tr>
        <w:trPr>
          <w:trHeight w:val="129"/>
        </w:trPr>
        <w:tc>
          <w:tcPr>
            <w:tcW w:w="1900" w:type="dxa"/>
            <w:vAlign w:val="bottom"/>
            <w:shd w:val="clear" w:color="auto" w:fill="41659C"/>
          </w:tcPr>
          <w:p>
            <w:pPr>
              <w:spacing w:after="0"/>
              <w:rPr>
                <w:sz w:val="11"/>
                <w:szCs w:val="11"/>
                <w:color w:val="auto"/>
              </w:rPr>
            </w:pPr>
          </w:p>
        </w:tc>
        <w:tc>
          <w:tcPr>
            <w:tcW w:w="140" w:type="dxa"/>
            <w:vAlign w:val="bottom"/>
            <w:shd w:val="clear" w:color="auto" w:fill="41659C"/>
          </w:tcPr>
          <w:p>
            <w:pPr>
              <w:spacing w:after="0"/>
              <w:rPr>
                <w:sz w:val="11"/>
                <w:szCs w:val="11"/>
                <w:color w:val="auto"/>
              </w:rPr>
            </w:pPr>
          </w:p>
        </w:tc>
        <w:tc>
          <w:tcPr>
            <w:tcW w:w="500" w:type="dxa"/>
            <w:vAlign w:val="bottom"/>
            <w:shd w:val="clear" w:color="auto" w:fill="41659C"/>
          </w:tcPr>
          <w:p>
            <w:pPr>
              <w:spacing w:after="0"/>
              <w:rPr>
                <w:sz w:val="11"/>
                <w:szCs w:val="11"/>
                <w:color w:val="auto"/>
              </w:rPr>
            </w:pPr>
          </w:p>
        </w:tc>
        <w:tc>
          <w:tcPr>
            <w:tcW w:w="320" w:type="dxa"/>
            <w:vAlign w:val="bottom"/>
            <w:shd w:val="clear" w:color="auto" w:fill="41659C"/>
          </w:tcPr>
          <w:p>
            <w:pPr>
              <w:spacing w:after="0"/>
              <w:rPr>
                <w:sz w:val="11"/>
                <w:szCs w:val="11"/>
                <w:color w:val="auto"/>
              </w:rPr>
            </w:pPr>
          </w:p>
        </w:tc>
        <w:tc>
          <w:tcPr>
            <w:tcW w:w="680" w:type="dxa"/>
            <w:vAlign w:val="bottom"/>
            <w:vMerge w:val="restart"/>
            <w:shd w:val="clear" w:color="auto" w:fill="41659C"/>
          </w:tcPr>
          <w:p>
            <w:pPr>
              <w:jc w:val="right"/>
              <w:ind w:right="3"/>
              <w:spacing w:after="0"/>
              <w:rPr>
                <w:sz w:val="20"/>
                <w:szCs w:val="20"/>
                <w:color w:val="auto"/>
              </w:rPr>
            </w:pPr>
            <w:r>
              <w:rPr>
                <w:rFonts w:ascii="Arial" w:cs="Arial" w:eastAsia="Arial" w:hAnsi="Arial"/>
                <w:sz w:val="12"/>
                <w:szCs w:val="12"/>
                <w:b w:val="1"/>
                <w:bCs w:val="1"/>
                <w:color w:val="FFFFFF"/>
                <w:w w:val="99"/>
              </w:rPr>
              <w:t>Number of</w:t>
            </w:r>
          </w:p>
        </w:tc>
        <w:tc>
          <w:tcPr>
            <w:tcW w:w="1500" w:type="dxa"/>
            <w:vAlign w:val="bottom"/>
            <w:vMerge w:val="restart"/>
            <w:shd w:val="clear" w:color="auto" w:fill="41659C"/>
          </w:tcPr>
          <w:p>
            <w:pPr>
              <w:jc w:val="center"/>
              <w:spacing w:after="0"/>
              <w:rPr>
                <w:sz w:val="20"/>
                <w:szCs w:val="20"/>
                <w:color w:val="auto"/>
              </w:rPr>
            </w:pPr>
            <w:r>
              <w:rPr>
                <w:rFonts w:ascii="Arial" w:cs="Arial" w:eastAsia="Arial" w:hAnsi="Arial"/>
                <w:sz w:val="12"/>
                <w:szCs w:val="12"/>
                <w:b w:val="1"/>
                <w:bCs w:val="1"/>
                <w:color w:val="FFFFFF"/>
                <w:w w:val="99"/>
              </w:rPr>
              <w:t>Number of</w:t>
            </w:r>
          </w:p>
        </w:tc>
        <w:tc>
          <w:tcPr>
            <w:tcW w:w="66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1000" w:type="dxa"/>
            <w:vAlign w:val="bottom"/>
            <w:vMerge w:val="restart"/>
            <w:shd w:val="clear" w:color="auto" w:fill="41659C"/>
          </w:tcPr>
          <w:p>
            <w:pPr>
              <w:jc w:val="center"/>
              <w:spacing w:after="0"/>
              <w:rPr>
                <w:sz w:val="20"/>
                <w:szCs w:val="20"/>
                <w:color w:val="auto"/>
              </w:rPr>
            </w:pPr>
            <w:r>
              <w:rPr>
                <w:rFonts w:ascii="Arial" w:cs="Arial" w:eastAsia="Arial" w:hAnsi="Arial"/>
                <w:sz w:val="12"/>
                <w:szCs w:val="12"/>
                <w:b w:val="1"/>
                <w:bCs w:val="1"/>
                <w:color w:val="FFFFFF"/>
                <w:w w:val="99"/>
              </w:rPr>
              <w:t>Number of</w:t>
            </w:r>
          </w:p>
        </w:tc>
        <w:tc>
          <w:tcPr>
            <w:tcW w:w="980" w:type="dxa"/>
            <w:vAlign w:val="bottom"/>
            <w:vMerge w:val="continue"/>
            <w:shd w:val="clear" w:color="auto" w:fill="41659C"/>
          </w:tcPr>
          <w:p>
            <w:pPr>
              <w:spacing w:after="0"/>
              <w:rPr>
                <w:sz w:val="11"/>
                <w:szCs w:val="11"/>
                <w:color w:val="auto"/>
              </w:rPr>
            </w:pPr>
          </w:p>
        </w:tc>
        <w:tc>
          <w:tcPr>
            <w:tcW w:w="980" w:type="dxa"/>
            <w:vAlign w:val="bottom"/>
            <w:shd w:val="clear" w:color="auto" w:fill="41659C"/>
          </w:tcPr>
          <w:p>
            <w:pPr>
              <w:jc w:val="right"/>
              <w:ind w:right="182"/>
              <w:spacing w:after="0" w:line="129" w:lineRule="exact"/>
              <w:rPr>
                <w:sz w:val="20"/>
                <w:szCs w:val="20"/>
                <w:color w:val="auto"/>
              </w:rPr>
            </w:pPr>
            <w:r>
              <w:rPr>
                <w:rFonts w:ascii="Arial" w:cs="Arial" w:eastAsia="Arial" w:hAnsi="Arial"/>
                <w:sz w:val="12"/>
                <w:szCs w:val="12"/>
                <w:b w:val="1"/>
                <w:bCs w:val="1"/>
                <w:color w:val="FFFFFF"/>
              </w:rPr>
              <w:t>Unearned</w:t>
            </w:r>
          </w:p>
        </w:tc>
        <w:tc>
          <w:tcPr>
            <w:tcW w:w="1000" w:type="dxa"/>
            <w:vAlign w:val="bottom"/>
            <w:shd w:val="clear" w:color="auto" w:fill="41659C"/>
          </w:tcPr>
          <w:p>
            <w:pPr>
              <w:jc w:val="center"/>
              <w:ind w:right="2"/>
              <w:spacing w:after="0" w:line="129" w:lineRule="exact"/>
              <w:rPr>
                <w:sz w:val="20"/>
                <w:szCs w:val="20"/>
                <w:color w:val="auto"/>
              </w:rPr>
            </w:pPr>
            <w:r>
              <w:rPr>
                <w:rFonts w:ascii="Arial" w:cs="Arial" w:eastAsia="Arial" w:hAnsi="Arial"/>
                <w:sz w:val="12"/>
                <w:szCs w:val="12"/>
                <w:b w:val="1"/>
                <w:bCs w:val="1"/>
                <w:color w:val="FFFFFF"/>
                <w:w w:val="97"/>
              </w:rPr>
              <w:t>Unearned</w:t>
            </w:r>
          </w:p>
        </w:tc>
        <w:tc>
          <w:tcPr>
            <w:tcW w:w="0" w:type="dxa"/>
            <w:vAlign w:val="bottom"/>
          </w:tcPr>
          <w:p>
            <w:pPr>
              <w:spacing w:after="0"/>
              <w:rPr>
                <w:sz w:val="1"/>
                <w:szCs w:val="1"/>
                <w:color w:val="auto"/>
              </w:rPr>
            </w:pPr>
          </w:p>
        </w:tc>
      </w:tr>
      <w:tr>
        <w:trPr>
          <w:trHeight w:val="129"/>
        </w:trPr>
        <w:tc>
          <w:tcPr>
            <w:tcW w:w="1900" w:type="dxa"/>
            <w:vAlign w:val="bottom"/>
            <w:shd w:val="clear" w:color="auto" w:fill="41659C"/>
          </w:tcPr>
          <w:p>
            <w:pPr>
              <w:spacing w:after="0"/>
              <w:rPr>
                <w:sz w:val="11"/>
                <w:szCs w:val="11"/>
                <w:color w:val="auto"/>
              </w:rPr>
            </w:pPr>
          </w:p>
        </w:tc>
        <w:tc>
          <w:tcPr>
            <w:tcW w:w="140" w:type="dxa"/>
            <w:vAlign w:val="bottom"/>
            <w:shd w:val="clear" w:color="auto" w:fill="41659C"/>
          </w:tcPr>
          <w:p>
            <w:pPr>
              <w:spacing w:after="0"/>
              <w:rPr>
                <w:sz w:val="11"/>
                <w:szCs w:val="11"/>
                <w:color w:val="auto"/>
              </w:rPr>
            </w:pPr>
          </w:p>
        </w:tc>
        <w:tc>
          <w:tcPr>
            <w:tcW w:w="500" w:type="dxa"/>
            <w:vAlign w:val="bottom"/>
            <w:shd w:val="clear" w:color="auto" w:fill="41659C"/>
          </w:tcPr>
          <w:p>
            <w:pPr>
              <w:spacing w:after="0"/>
              <w:rPr>
                <w:sz w:val="11"/>
                <w:szCs w:val="11"/>
                <w:color w:val="auto"/>
              </w:rPr>
            </w:pPr>
          </w:p>
        </w:tc>
        <w:tc>
          <w:tcPr>
            <w:tcW w:w="320" w:type="dxa"/>
            <w:vAlign w:val="bottom"/>
            <w:shd w:val="clear" w:color="auto" w:fill="41659C"/>
          </w:tcPr>
          <w:p>
            <w:pPr>
              <w:spacing w:after="0"/>
              <w:rPr>
                <w:sz w:val="11"/>
                <w:szCs w:val="11"/>
                <w:color w:val="auto"/>
              </w:rPr>
            </w:pPr>
          </w:p>
        </w:tc>
        <w:tc>
          <w:tcPr>
            <w:tcW w:w="680" w:type="dxa"/>
            <w:vAlign w:val="bottom"/>
            <w:vMerge w:val="continue"/>
            <w:shd w:val="clear" w:color="auto" w:fill="41659C"/>
          </w:tcPr>
          <w:p>
            <w:pPr>
              <w:spacing w:after="0"/>
              <w:rPr>
                <w:sz w:val="11"/>
                <w:szCs w:val="11"/>
                <w:color w:val="auto"/>
              </w:rPr>
            </w:pPr>
          </w:p>
        </w:tc>
        <w:tc>
          <w:tcPr>
            <w:tcW w:w="1500" w:type="dxa"/>
            <w:vAlign w:val="bottom"/>
            <w:vMerge w:val="continue"/>
            <w:shd w:val="clear" w:color="auto" w:fill="41659C"/>
          </w:tcPr>
          <w:p>
            <w:pPr>
              <w:spacing w:after="0"/>
              <w:rPr>
                <w:sz w:val="11"/>
                <w:szCs w:val="11"/>
                <w:color w:val="auto"/>
              </w:rPr>
            </w:pPr>
          </w:p>
        </w:tc>
        <w:tc>
          <w:tcPr>
            <w:tcW w:w="66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1000" w:type="dxa"/>
            <w:vAlign w:val="bottom"/>
            <w:vMerge w:val="continue"/>
            <w:shd w:val="clear" w:color="auto" w:fill="41659C"/>
          </w:tcPr>
          <w:p>
            <w:pPr>
              <w:spacing w:after="0"/>
              <w:rPr>
                <w:sz w:val="11"/>
                <w:szCs w:val="11"/>
                <w:color w:val="auto"/>
              </w:rPr>
            </w:pPr>
          </w:p>
        </w:tc>
        <w:tc>
          <w:tcPr>
            <w:tcW w:w="980" w:type="dxa"/>
            <w:vAlign w:val="bottom"/>
            <w:shd w:val="clear" w:color="auto" w:fill="41659C"/>
          </w:tcPr>
          <w:p>
            <w:pPr>
              <w:jc w:val="center"/>
              <w:spacing w:after="0" w:line="129" w:lineRule="exact"/>
              <w:rPr>
                <w:sz w:val="20"/>
                <w:szCs w:val="20"/>
                <w:color w:val="auto"/>
              </w:rPr>
            </w:pPr>
            <w:r>
              <w:rPr>
                <w:rFonts w:ascii="Arial" w:cs="Arial" w:eastAsia="Arial" w:hAnsi="Arial"/>
                <w:sz w:val="12"/>
                <w:szCs w:val="12"/>
                <w:b w:val="1"/>
                <w:bCs w:val="1"/>
                <w:color w:val="FFFFFF"/>
                <w:w w:val="98"/>
              </w:rPr>
              <w:t>Value of</w:t>
            </w:r>
          </w:p>
        </w:tc>
        <w:tc>
          <w:tcPr>
            <w:tcW w:w="980" w:type="dxa"/>
            <w:vAlign w:val="bottom"/>
            <w:shd w:val="clear" w:color="auto" w:fill="41659C"/>
          </w:tcPr>
          <w:p>
            <w:pPr>
              <w:jc w:val="center"/>
              <w:spacing w:after="0" w:line="129" w:lineRule="exact"/>
              <w:rPr>
                <w:sz w:val="20"/>
                <w:szCs w:val="20"/>
                <w:color w:val="auto"/>
              </w:rPr>
            </w:pPr>
            <w:r>
              <w:rPr>
                <w:rFonts w:ascii="Arial" w:cs="Arial" w:eastAsia="Arial" w:hAnsi="Arial"/>
                <w:sz w:val="12"/>
                <w:szCs w:val="12"/>
                <w:b w:val="1"/>
                <w:bCs w:val="1"/>
                <w:color w:val="FFFFFF"/>
                <w:w w:val="96"/>
              </w:rPr>
              <w:t>Shares,</w:t>
            </w:r>
          </w:p>
        </w:tc>
        <w:tc>
          <w:tcPr>
            <w:tcW w:w="1000" w:type="dxa"/>
            <w:vAlign w:val="bottom"/>
            <w:shd w:val="clear" w:color="auto" w:fill="41659C"/>
          </w:tcPr>
          <w:p>
            <w:pPr>
              <w:jc w:val="center"/>
              <w:ind w:right="2"/>
              <w:spacing w:after="0" w:line="129" w:lineRule="exact"/>
              <w:rPr>
                <w:sz w:val="20"/>
                <w:szCs w:val="20"/>
                <w:color w:val="auto"/>
              </w:rPr>
            </w:pPr>
            <w:r>
              <w:rPr>
                <w:rFonts w:ascii="Arial" w:cs="Arial" w:eastAsia="Arial" w:hAnsi="Arial"/>
                <w:sz w:val="12"/>
                <w:szCs w:val="12"/>
                <w:b w:val="1"/>
                <w:bCs w:val="1"/>
                <w:color w:val="FFFFFF"/>
                <w:w w:val="96"/>
              </w:rPr>
              <w:t>Shares,</w:t>
            </w:r>
          </w:p>
        </w:tc>
        <w:tc>
          <w:tcPr>
            <w:tcW w:w="0" w:type="dxa"/>
            <w:vAlign w:val="bottom"/>
          </w:tcPr>
          <w:p>
            <w:pPr>
              <w:spacing w:after="0"/>
              <w:rPr>
                <w:sz w:val="1"/>
                <w:szCs w:val="1"/>
                <w:color w:val="auto"/>
              </w:rPr>
            </w:pPr>
          </w:p>
        </w:tc>
      </w:tr>
      <w:tr>
        <w:trPr>
          <w:trHeight w:val="129"/>
        </w:trPr>
        <w:tc>
          <w:tcPr>
            <w:tcW w:w="1900" w:type="dxa"/>
            <w:vAlign w:val="bottom"/>
            <w:shd w:val="clear" w:color="auto" w:fill="41659C"/>
          </w:tcPr>
          <w:p>
            <w:pPr>
              <w:spacing w:after="0"/>
              <w:rPr>
                <w:sz w:val="11"/>
                <w:szCs w:val="11"/>
                <w:color w:val="auto"/>
              </w:rPr>
            </w:pPr>
          </w:p>
        </w:tc>
        <w:tc>
          <w:tcPr>
            <w:tcW w:w="140" w:type="dxa"/>
            <w:vAlign w:val="bottom"/>
            <w:shd w:val="clear" w:color="auto" w:fill="41659C"/>
          </w:tcPr>
          <w:p>
            <w:pPr>
              <w:spacing w:after="0"/>
              <w:rPr>
                <w:sz w:val="11"/>
                <w:szCs w:val="11"/>
                <w:color w:val="auto"/>
              </w:rPr>
            </w:pPr>
          </w:p>
        </w:tc>
        <w:tc>
          <w:tcPr>
            <w:tcW w:w="500" w:type="dxa"/>
            <w:vAlign w:val="bottom"/>
            <w:shd w:val="clear" w:color="auto" w:fill="41659C"/>
          </w:tcPr>
          <w:p>
            <w:pPr>
              <w:spacing w:after="0"/>
              <w:rPr>
                <w:sz w:val="11"/>
                <w:szCs w:val="11"/>
                <w:color w:val="auto"/>
              </w:rPr>
            </w:pPr>
          </w:p>
        </w:tc>
        <w:tc>
          <w:tcPr>
            <w:tcW w:w="320" w:type="dxa"/>
            <w:vAlign w:val="bottom"/>
            <w:shd w:val="clear" w:color="auto" w:fill="41659C"/>
          </w:tcPr>
          <w:p>
            <w:pPr>
              <w:spacing w:after="0"/>
              <w:rPr>
                <w:sz w:val="11"/>
                <w:szCs w:val="11"/>
                <w:color w:val="auto"/>
              </w:rPr>
            </w:pPr>
          </w:p>
        </w:tc>
        <w:tc>
          <w:tcPr>
            <w:tcW w:w="680" w:type="dxa"/>
            <w:vAlign w:val="bottom"/>
            <w:shd w:val="clear" w:color="auto" w:fill="41659C"/>
          </w:tcPr>
          <w:p>
            <w:pPr>
              <w:jc w:val="right"/>
              <w:ind w:right="23"/>
              <w:spacing w:after="0" w:line="129" w:lineRule="exact"/>
              <w:rPr>
                <w:sz w:val="20"/>
                <w:szCs w:val="20"/>
                <w:color w:val="auto"/>
              </w:rPr>
            </w:pPr>
            <w:r>
              <w:rPr>
                <w:rFonts w:ascii="Arial" w:cs="Arial" w:eastAsia="Arial" w:hAnsi="Arial"/>
                <w:sz w:val="12"/>
                <w:szCs w:val="12"/>
                <w:b w:val="1"/>
                <w:bCs w:val="1"/>
                <w:color w:val="FFFFFF"/>
              </w:rPr>
              <w:t>Securities</w:t>
            </w:r>
          </w:p>
        </w:tc>
        <w:tc>
          <w:tcPr>
            <w:tcW w:w="1500" w:type="dxa"/>
            <w:vAlign w:val="bottom"/>
            <w:shd w:val="clear" w:color="auto" w:fill="41659C"/>
          </w:tcPr>
          <w:p>
            <w:pPr>
              <w:jc w:val="center"/>
              <w:spacing w:after="0" w:line="129" w:lineRule="exact"/>
              <w:rPr>
                <w:sz w:val="20"/>
                <w:szCs w:val="20"/>
                <w:color w:val="auto"/>
              </w:rPr>
            </w:pPr>
            <w:r>
              <w:rPr>
                <w:rFonts w:ascii="Arial" w:cs="Arial" w:eastAsia="Arial" w:hAnsi="Arial"/>
                <w:sz w:val="12"/>
                <w:szCs w:val="12"/>
                <w:b w:val="1"/>
                <w:bCs w:val="1"/>
                <w:color w:val="FFFFFF"/>
              </w:rPr>
              <w:t>Securities</w:t>
            </w:r>
          </w:p>
        </w:tc>
        <w:tc>
          <w:tcPr>
            <w:tcW w:w="66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1000" w:type="dxa"/>
            <w:vAlign w:val="bottom"/>
            <w:shd w:val="clear" w:color="auto" w:fill="41659C"/>
          </w:tcPr>
          <w:p>
            <w:pPr>
              <w:jc w:val="center"/>
              <w:spacing w:after="0" w:line="129" w:lineRule="exact"/>
              <w:rPr>
                <w:sz w:val="20"/>
                <w:szCs w:val="20"/>
                <w:color w:val="auto"/>
              </w:rPr>
            </w:pPr>
            <w:r>
              <w:rPr>
                <w:rFonts w:ascii="Arial" w:cs="Arial" w:eastAsia="Arial" w:hAnsi="Arial"/>
                <w:sz w:val="12"/>
                <w:szCs w:val="12"/>
                <w:b w:val="1"/>
                <w:bCs w:val="1"/>
                <w:color w:val="FFFFFF"/>
              </w:rPr>
              <w:t>Shares or</w:t>
            </w:r>
          </w:p>
        </w:tc>
        <w:tc>
          <w:tcPr>
            <w:tcW w:w="980" w:type="dxa"/>
            <w:vAlign w:val="bottom"/>
            <w:shd w:val="clear" w:color="auto" w:fill="41659C"/>
          </w:tcPr>
          <w:p>
            <w:pPr>
              <w:jc w:val="center"/>
              <w:spacing w:after="0" w:line="129" w:lineRule="exact"/>
              <w:rPr>
                <w:sz w:val="20"/>
                <w:szCs w:val="20"/>
                <w:color w:val="auto"/>
              </w:rPr>
            </w:pPr>
            <w:r>
              <w:rPr>
                <w:rFonts w:ascii="Arial" w:cs="Arial" w:eastAsia="Arial" w:hAnsi="Arial"/>
                <w:sz w:val="12"/>
                <w:szCs w:val="12"/>
                <w:b w:val="1"/>
                <w:bCs w:val="1"/>
                <w:color w:val="FFFFFF"/>
              </w:rPr>
              <w:t>Shares or</w:t>
            </w:r>
          </w:p>
        </w:tc>
        <w:tc>
          <w:tcPr>
            <w:tcW w:w="980" w:type="dxa"/>
            <w:vAlign w:val="bottom"/>
            <w:shd w:val="clear" w:color="auto" w:fill="41659C"/>
          </w:tcPr>
          <w:p>
            <w:pPr>
              <w:jc w:val="center"/>
              <w:spacing w:after="0" w:line="129" w:lineRule="exact"/>
              <w:rPr>
                <w:sz w:val="20"/>
                <w:szCs w:val="20"/>
                <w:color w:val="auto"/>
              </w:rPr>
            </w:pPr>
            <w:r>
              <w:rPr>
                <w:rFonts w:ascii="Arial" w:cs="Arial" w:eastAsia="Arial" w:hAnsi="Arial"/>
                <w:sz w:val="12"/>
                <w:szCs w:val="12"/>
                <w:b w:val="1"/>
                <w:bCs w:val="1"/>
                <w:color w:val="FFFFFF"/>
              </w:rPr>
              <w:t>Units or</w:t>
            </w:r>
          </w:p>
        </w:tc>
        <w:tc>
          <w:tcPr>
            <w:tcW w:w="1000" w:type="dxa"/>
            <w:vAlign w:val="bottom"/>
            <w:shd w:val="clear" w:color="auto" w:fill="41659C"/>
          </w:tcPr>
          <w:p>
            <w:pPr>
              <w:jc w:val="center"/>
              <w:ind w:right="2"/>
              <w:spacing w:after="0" w:line="129" w:lineRule="exact"/>
              <w:rPr>
                <w:sz w:val="20"/>
                <w:szCs w:val="20"/>
                <w:color w:val="auto"/>
              </w:rPr>
            </w:pPr>
            <w:r>
              <w:rPr>
                <w:rFonts w:ascii="Arial" w:cs="Arial" w:eastAsia="Arial" w:hAnsi="Arial"/>
                <w:sz w:val="12"/>
                <w:szCs w:val="12"/>
                <w:b w:val="1"/>
                <w:bCs w:val="1"/>
                <w:color w:val="FFFFFF"/>
              </w:rPr>
              <w:t>Units or</w:t>
            </w:r>
          </w:p>
        </w:tc>
        <w:tc>
          <w:tcPr>
            <w:tcW w:w="0" w:type="dxa"/>
            <w:vAlign w:val="bottom"/>
          </w:tcPr>
          <w:p>
            <w:pPr>
              <w:spacing w:after="0"/>
              <w:rPr>
                <w:sz w:val="1"/>
                <w:szCs w:val="1"/>
                <w:color w:val="auto"/>
              </w:rPr>
            </w:pPr>
          </w:p>
        </w:tc>
      </w:tr>
      <w:tr>
        <w:trPr>
          <w:trHeight w:val="129"/>
        </w:trPr>
        <w:tc>
          <w:tcPr>
            <w:tcW w:w="1900" w:type="dxa"/>
            <w:vAlign w:val="bottom"/>
            <w:shd w:val="clear" w:color="auto" w:fill="41659C"/>
          </w:tcPr>
          <w:p>
            <w:pPr>
              <w:spacing w:after="0"/>
              <w:rPr>
                <w:sz w:val="11"/>
                <w:szCs w:val="11"/>
                <w:color w:val="auto"/>
              </w:rPr>
            </w:pPr>
          </w:p>
        </w:tc>
        <w:tc>
          <w:tcPr>
            <w:tcW w:w="140" w:type="dxa"/>
            <w:vAlign w:val="bottom"/>
            <w:shd w:val="clear" w:color="auto" w:fill="41659C"/>
          </w:tcPr>
          <w:p>
            <w:pPr>
              <w:spacing w:after="0"/>
              <w:rPr>
                <w:sz w:val="11"/>
                <w:szCs w:val="11"/>
                <w:color w:val="auto"/>
              </w:rPr>
            </w:pPr>
          </w:p>
        </w:tc>
        <w:tc>
          <w:tcPr>
            <w:tcW w:w="500" w:type="dxa"/>
            <w:vAlign w:val="bottom"/>
            <w:shd w:val="clear" w:color="auto" w:fill="41659C"/>
          </w:tcPr>
          <w:p>
            <w:pPr>
              <w:spacing w:after="0"/>
              <w:rPr>
                <w:sz w:val="11"/>
                <w:szCs w:val="11"/>
                <w:color w:val="auto"/>
              </w:rPr>
            </w:pPr>
          </w:p>
        </w:tc>
        <w:tc>
          <w:tcPr>
            <w:tcW w:w="1000" w:type="dxa"/>
            <w:vAlign w:val="bottom"/>
            <w:gridSpan w:val="2"/>
            <w:shd w:val="clear" w:color="auto" w:fill="41659C"/>
          </w:tcPr>
          <w:p>
            <w:pPr>
              <w:jc w:val="center"/>
              <w:ind w:left="201"/>
              <w:spacing w:after="0" w:line="129" w:lineRule="exact"/>
              <w:rPr>
                <w:sz w:val="20"/>
                <w:szCs w:val="20"/>
                <w:color w:val="auto"/>
              </w:rPr>
            </w:pPr>
            <w:r>
              <w:rPr>
                <w:rFonts w:ascii="Arial" w:cs="Arial" w:eastAsia="Arial" w:hAnsi="Arial"/>
                <w:sz w:val="12"/>
                <w:szCs w:val="12"/>
                <w:b w:val="1"/>
                <w:bCs w:val="1"/>
                <w:color w:val="FFFFFF"/>
                <w:w w:val="98"/>
              </w:rPr>
              <w:t>Underlying</w:t>
            </w:r>
          </w:p>
        </w:tc>
        <w:tc>
          <w:tcPr>
            <w:tcW w:w="1500" w:type="dxa"/>
            <w:vAlign w:val="bottom"/>
            <w:shd w:val="clear" w:color="auto" w:fill="41659C"/>
          </w:tcPr>
          <w:p>
            <w:pPr>
              <w:jc w:val="center"/>
              <w:spacing w:after="0" w:line="129" w:lineRule="exact"/>
              <w:rPr>
                <w:sz w:val="20"/>
                <w:szCs w:val="20"/>
                <w:color w:val="auto"/>
              </w:rPr>
            </w:pPr>
            <w:r>
              <w:rPr>
                <w:rFonts w:ascii="Arial" w:cs="Arial" w:eastAsia="Arial" w:hAnsi="Arial"/>
                <w:sz w:val="12"/>
                <w:szCs w:val="12"/>
                <w:b w:val="1"/>
                <w:bCs w:val="1"/>
                <w:color w:val="FFFFFF"/>
                <w:w w:val="98"/>
              </w:rPr>
              <w:t>Underlying</w:t>
            </w:r>
          </w:p>
        </w:tc>
        <w:tc>
          <w:tcPr>
            <w:tcW w:w="660" w:type="dxa"/>
            <w:vAlign w:val="bottom"/>
            <w:vMerge w:val="restart"/>
            <w:shd w:val="clear" w:color="auto" w:fill="41659C"/>
          </w:tcPr>
          <w:p>
            <w:pPr>
              <w:jc w:val="right"/>
              <w:ind w:right="143"/>
              <w:spacing w:after="0"/>
              <w:rPr>
                <w:sz w:val="20"/>
                <w:szCs w:val="20"/>
                <w:color w:val="auto"/>
              </w:rPr>
            </w:pPr>
            <w:r>
              <w:rPr>
                <w:rFonts w:ascii="Arial" w:cs="Arial" w:eastAsia="Arial" w:hAnsi="Arial"/>
                <w:sz w:val="12"/>
                <w:szCs w:val="12"/>
                <w:b w:val="1"/>
                <w:bCs w:val="1"/>
                <w:color w:val="FFFFFF"/>
              </w:rPr>
              <w:t>Option</w:t>
            </w:r>
          </w:p>
        </w:tc>
        <w:tc>
          <w:tcPr>
            <w:tcW w:w="880" w:type="dxa"/>
            <w:vAlign w:val="bottom"/>
            <w:vMerge w:val="restart"/>
            <w:shd w:val="clear" w:color="auto" w:fill="41659C"/>
          </w:tcPr>
          <w:p>
            <w:pPr>
              <w:ind w:left="240"/>
              <w:spacing w:after="0"/>
              <w:rPr>
                <w:sz w:val="20"/>
                <w:szCs w:val="20"/>
                <w:color w:val="auto"/>
              </w:rPr>
            </w:pPr>
            <w:r>
              <w:rPr>
                <w:rFonts w:ascii="Arial" w:cs="Arial" w:eastAsia="Arial" w:hAnsi="Arial"/>
                <w:sz w:val="12"/>
                <w:szCs w:val="12"/>
                <w:b w:val="1"/>
                <w:bCs w:val="1"/>
                <w:color w:val="FFFFFF"/>
              </w:rPr>
              <w:t>Option</w:t>
            </w:r>
          </w:p>
        </w:tc>
        <w:tc>
          <w:tcPr>
            <w:tcW w:w="1000" w:type="dxa"/>
            <w:vAlign w:val="bottom"/>
            <w:shd w:val="clear" w:color="auto" w:fill="41659C"/>
          </w:tcPr>
          <w:p>
            <w:pPr>
              <w:jc w:val="center"/>
              <w:spacing w:after="0" w:line="129" w:lineRule="exact"/>
              <w:rPr>
                <w:sz w:val="20"/>
                <w:szCs w:val="20"/>
                <w:color w:val="auto"/>
              </w:rPr>
            </w:pPr>
            <w:r>
              <w:rPr>
                <w:rFonts w:ascii="Arial" w:cs="Arial" w:eastAsia="Arial" w:hAnsi="Arial"/>
                <w:sz w:val="12"/>
                <w:szCs w:val="12"/>
                <w:b w:val="1"/>
                <w:bCs w:val="1"/>
                <w:color w:val="FFFFFF"/>
                <w:w w:val="98"/>
              </w:rPr>
              <w:t>Units of</w:t>
            </w:r>
          </w:p>
        </w:tc>
        <w:tc>
          <w:tcPr>
            <w:tcW w:w="980" w:type="dxa"/>
            <w:vAlign w:val="bottom"/>
            <w:shd w:val="clear" w:color="auto" w:fill="41659C"/>
          </w:tcPr>
          <w:p>
            <w:pPr>
              <w:jc w:val="center"/>
              <w:spacing w:after="0" w:line="129" w:lineRule="exact"/>
              <w:rPr>
                <w:sz w:val="20"/>
                <w:szCs w:val="20"/>
                <w:color w:val="auto"/>
              </w:rPr>
            </w:pPr>
            <w:r>
              <w:rPr>
                <w:rFonts w:ascii="Arial" w:cs="Arial" w:eastAsia="Arial" w:hAnsi="Arial"/>
                <w:sz w:val="12"/>
                <w:szCs w:val="12"/>
                <w:b w:val="1"/>
                <w:bCs w:val="1"/>
                <w:color w:val="FFFFFF"/>
                <w:w w:val="98"/>
              </w:rPr>
              <w:t>Units of</w:t>
            </w:r>
          </w:p>
        </w:tc>
        <w:tc>
          <w:tcPr>
            <w:tcW w:w="980" w:type="dxa"/>
            <w:vAlign w:val="bottom"/>
            <w:shd w:val="clear" w:color="auto" w:fill="41659C"/>
          </w:tcPr>
          <w:p>
            <w:pPr>
              <w:jc w:val="center"/>
              <w:ind w:right="2"/>
              <w:spacing w:after="0" w:line="129" w:lineRule="exact"/>
              <w:rPr>
                <w:sz w:val="20"/>
                <w:szCs w:val="20"/>
                <w:color w:val="auto"/>
              </w:rPr>
            </w:pPr>
            <w:r>
              <w:rPr>
                <w:rFonts w:ascii="Arial" w:cs="Arial" w:eastAsia="Arial" w:hAnsi="Arial"/>
                <w:sz w:val="12"/>
                <w:szCs w:val="12"/>
                <w:b w:val="1"/>
                <w:bCs w:val="1"/>
                <w:color w:val="FFFFFF"/>
                <w:w w:val="99"/>
              </w:rPr>
              <w:t>Other</w:t>
            </w:r>
          </w:p>
        </w:tc>
        <w:tc>
          <w:tcPr>
            <w:tcW w:w="1000" w:type="dxa"/>
            <w:vAlign w:val="bottom"/>
            <w:shd w:val="clear" w:color="auto" w:fill="41659C"/>
          </w:tcPr>
          <w:p>
            <w:pPr>
              <w:jc w:val="center"/>
              <w:spacing w:after="0" w:line="129" w:lineRule="exact"/>
              <w:rPr>
                <w:sz w:val="20"/>
                <w:szCs w:val="20"/>
                <w:color w:val="auto"/>
              </w:rPr>
            </w:pPr>
            <w:r>
              <w:rPr>
                <w:rFonts w:ascii="Arial" w:cs="Arial" w:eastAsia="Arial" w:hAnsi="Arial"/>
                <w:sz w:val="12"/>
                <w:szCs w:val="12"/>
                <w:b w:val="1"/>
                <w:bCs w:val="1"/>
                <w:color w:val="FFFFFF"/>
                <w:w w:val="99"/>
              </w:rPr>
              <w:t>Other</w:t>
            </w:r>
          </w:p>
        </w:tc>
        <w:tc>
          <w:tcPr>
            <w:tcW w:w="0" w:type="dxa"/>
            <w:vAlign w:val="bottom"/>
          </w:tcPr>
          <w:p>
            <w:pPr>
              <w:spacing w:after="0"/>
              <w:rPr>
                <w:sz w:val="1"/>
                <w:szCs w:val="1"/>
                <w:color w:val="auto"/>
              </w:rPr>
            </w:pPr>
          </w:p>
        </w:tc>
      </w:tr>
      <w:tr>
        <w:trPr>
          <w:trHeight w:val="129"/>
        </w:trPr>
        <w:tc>
          <w:tcPr>
            <w:tcW w:w="1900" w:type="dxa"/>
            <w:vAlign w:val="bottom"/>
            <w:shd w:val="clear" w:color="auto" w:fill="41659C"/>
          </w:tcPr>
          <w:p>
            <w:pPr>
              <w:spacing w:after="0"/>
              <w:rPr>
                <w:sz w:val="11"/>
                <w:szCs w:val="11"/>
                <w:color w:val="auto"/>
              </w:rPr>
            </w:pPr>
          </w:p>
        </w:tc>
        <w:tc>
          <w:tcPr>
            <w:tcW w:w="140" w:type="dxa"/>
            <w:vAlign w:val="bottom"/>
            <w:shd w:val="clear" w:color="auto" w:fill="41659C"/>
          </w:tcPr>
          <w:p>
            <w:pPr>
              <w:spacing w:after="0"/>
              <w:rPr>
                <w:sz w:val="11"/>
                <w:szCs w:val="11"/>
                <w:color w:val="auto"/>
              </w:rPr>
            </w:pPr>
          </w:p>
        </w:tc>
        <w:tc>
          <w:tcPr>
            <w:tcW w:w="500" w:type="dxa"/>
            <w:vAlign w:val="bottom"/>
            <w:vMerge w:val="restart"/>
            <w:shd w:val="clear" w:color="auto" w:fill="41659C"/>
          </w:tcPr>
          <w:p>
            <w:pPr>
              <w:jc w:val="right"/>
              <w:ind w:right="63"/>
              <w:spacing w:after="0"/>
              <w:rPr>
                <w:sz w:val="20"/>
                <w:szCs w:val="20"/>
                <w:color w:val="auto"/>
              </w:rPr>
            </w:pPr>
            <w:r>
              <w:rPr>
                <w:rFonts w:ascii="Arial" w:cs="Arial" w:eastAsia="Arial" w:hAnsi="Arial"/>
                <w:sz w:val="12"/>
                <w:szCs w:val="12"/>
                <w:b w:val="1"/>
                <w:bCs w:val="1"/>
                <w:color w:val="FFFFFF"/>
              </w:rPr>
              <w:t>Grant</w:t>
            </w:r>
          </w:p>
        </w:tc>
        <w:tc>
          <w:tcPr>
            <w:tcW w:w="1000" w:type="dxa"/>
            <w:vAlign w:val="bottom"/>
            <w:gridSpan w:val="2"/>
            <w:shd w:val="clear" w:color="auto" w:fill="41659C"/>
          </w:tcPr>
          <w:p>
            <w:pPr>
              <w:jc w:val="center"/>
              <w:ind w:left="181"/>
              <w:spacing w:after="0" w:line="129" w:lineRule="exact"/>
              <w:rPr>
                <w:sz w:val="20"/>
                <w:szCs w:val="20"/>
                <w:color w:val="auto"/>
              </w:rPr>
            </w:pPr>
            <w:r>
              <w:rPr>
                <w:rFonts w:ascii="Arial" w:cs="Arial" w:eastAsia="Arial" w:hAnsi="Arial"/>
                <w:sz w:val="12"/>
                <w:szCs w:val="12"/>
                <w:b w:val="1"/>
                <w:bCs w:val="1"/>
                <w:color w:val="FFFFFF"/>
              </w:rPr>
              <w:t>Unexercised</w:t>
            </w:r>
          </w:p>
        </w:tc>
        <w:tc>
          <w:tcPr>
            <w:tcW w:w="1500" w:type="dxa"/>
            <w:vAlign w:val="bottom"/>
            <w:shd w:val="clear" w:color="auto" w:fill="41659C"/>
          </w:tcPr>
          <w:p>
            <w:pPr>
              <w:jc w:val="center"/>
              <w:spacing w:after="0" w:line="129" w:lineRule="exact"/>
              <w:rPr>
                <w:sz w:val="20"/>
                <w:szCs w:val="20"/>
                <w:color w:val="auto"/>
              </w:rPr>
            </w:pPr>
            <w:r>
              <w:rPr>
                <w:rFonts w:ascii="Arial" w:cs="Arial" w:eastAsia="Arial" w:hAnsi="Arial"/>
                <w:sz w:val="12"/>
                <w:szCs w:val="12"/>
                <w:b w:val="1"/>
                <w:bCs w:val="1"/>
                <w:color w:val="FFFFFF"/>
              </w:rPr>
              <w:t>Unexercised</w:t>
            </w:r>
          </w:p>
        </w:tc>
        <w:tc>
          <w:tcPr>
            <w:tcW w:w="660" w:type="dxa"/>
            <w:vAlign w:val="bottom"/>
            <w:vMerge w:val="continue"/>
            <w:shd w:val="clear" w:color="auto" w:fill="41659C"/>
          </w:tcPr>
          <w:p>
            <w:pPr>
              <w:spacing w:after="0"/>
              <w:rPr>
                <w:sz w:val="11"/>
                <w:szCs w:val="11"/>
                <w:color w:val="auto"/>
              </w:rPr>
            </w:pPr>
          </w:p>
        </w:tc>
        <w:tc>
          <w:tcPr>
            <w:tcW w:w="880" w:type="dxa"/>
            <w:vAlign w:val="bottom"/>
            <w:vMerge w:val="continue"/>
            <w:shd w:val="clear" w:color="auto" w:fill="41659C"/>
          </w:tcPr>
          <w:p>
            <w:pPr>
              <w:spacing w:after="0"/>
              <w:rPr>
                <w:sz w:val="11"/>
                <w:szCs w:val="11"/>
                <w:color w:val="auto"/>
              </w:rPr>
            </w:pPr>
          </w:p>
        </w:tc>
        <w:tc>
          <w:tcPr>
            <w:tcW w:w="1000" w:type="dxa"/>
            <w:vAlign w:val="bottom"/>
            <w:shd w:val="clear" w:color="auto" w:fill="41659C"/>
          </w:tcPr>
          <w:p>
            <w:pPr>
              <w:jc w:val="center"/>
              <w:spacing w:after="0" w:line="129" w:lineRule="exact"/>
              <w:rPr>
                <w:sz w:val="20"/>
                <w:szCs w:val="20"/>
                <w:color w:val="auto"/>
              </w:rPr>
            </w:pPr>
            <w:r>
              <w:rPr>
                <w:rFonts w:ascii="Arial" w:cs="Arial" w:eastAsia="Arial" w:hAnsi="Arial"/>
                <w:sz w:val="12"/>
                <w:szCs w:val="12"/>
                <w:b w:val="1"/>
                <w:bCs w:val="1"/>
                <w:color w:val="FFFFFF"/>
              </w:rPr>
              <w:t>Stock That</w:t>
            </w:r>
          </w:p>
        </w:tc>
        <w:tc>
          <w:tcPr>
            <w:tcW w:w="980" w:type="dxa"/>
            <w:vAlign w:val="bottom"/>
            <w:shd w:val="clear" w:color="auto" w:fill="41659C"/>
          </w:tcPr>
          <w:p>
            <w:pPr>
              <w:jc w:val="center"/>
              <w:spacing w:after="0" w:line="129" w:lineRule="exact"/>
              <w:rPr>
                <w:sz w:val="20"/>
                <w:szCs w:val="20"/>
                <w:color w:val="auto"/>
              </w:rPr>
            </w:pPr>
            <w:r>
              <w:rPr>
                <w:rFonts w:ascii="Arial" w:cs="Arial" w:eastAsia="Arial" w:hAnsi="Arial"/>
                <w:sz w:val="12"/>
                <w:szCs w:val="12"/>
                <w:b w:val="1"/>
                <w:bCs w:val="1"/>
                <w:color w:val="FFFFFF"/>
              </w:rPr>
              <w:t>Stock That</w:t>
            </w:r>
          </w:p>
        </w:tc>
        <w:tc>
          <w:tcPr>
            <w:tcW w:w="980" w:type="dxa"/>
            <w:vAlign w:val="bottom"/>
            <w:shd w:val="clear" w:color="auto" w:fill="41659C"/>
          </w:tcPr>
          <w:p>
            <w:pPr>
              <w:jc w:val="center"/>
              <w:spacing w:after="0" w:line="129" w:lineRule="exact"/>
              <w:rPr>
                <w:sz w:val="20"/>
                <w:szCs w:val="20"/>
                <w:color w:val="auto"/>
              </w:rPr>
            </w:pPr>
            <w:r>
              <w:rPr>
                <w:rFonts w:ascii="Arial" w:cs="Arial" w:eastAsia="Arial" w:hAnsi="Arial"/>
                <w:sz w:val="12"/>
                <w:szCs w:val="12"/>
                <w:b w:val="1"/>
                <w:bCs w:val="1"/>
                <w:color w:val="FFFFFF"/>
                <w:w w:val="99"/>
              </w:rPr>
              <w:t>Rights That</w:t>
            </w:r>
          </w:p>
        </w:tc>
        <w:tc>
          <w:tcPr>
            <w:tcW w:w="1000" w:type="dxa"/>
            <w:vAlign w:val="bottom"/>
            <w:shd w:val="clear" w:color="auto" w:fill="41659C"/>
          </w:tcPr>
          <w:p>
            <w:pPr>
              <w:jc w:val="center"/>
              <w:ind w:right="2"/>
              <w:spacing w:after="0" w:line="129" w:lineRule="exact"/>
              <w:rPr>
                <w:sz w:val="20"/>
                <w:szCs w:val="20"/>
                <w:color w:val="auto"/>
              </w:rPr>
            </w:pPr>
            <w:r>
              <w:rPr>
                <w:rFonts w:ascii="Arial" w:cs="Arial" w:eastAsia="Arial" w:hAnsi="Arial"/>
                <w:sz w:val="12"/>
                <w:szCs w:val="12"/>
                <w:b w:val="1"/>
                <w:bCs w:val="1"/>
                <w:color w:val="FFFFFF"/>
                <w:w w:val="99"/>
              </w:rPr>
              <w:t>Rights That</w:t>
            </w:r>
          </w:p>
        </w:tc>
        <w:tc>
          <w:tcPr>
            <w:tcW w:w="0" w:type="dxa"/>
            <w:vAlign w:val="bottom"/>
          </w:tcPr>
          <w:p>
            <w:pPr>
              <w:spacing w:after="0"/>
              <w:rPr>
                <w:sz w:val="1"/>
                <w:szCs w:val="1"/>
                <w:color w:val="auto"/>
              </w:rPr>
            </w:pPr>
          </w:p>
        </w:tc>
      </w:tr>
      <w:tr>
        <w:trPr>
          <w:trHeight w:val="129"/>
        </w:trPr>
        <w:tc>
          <w:tcPr>
            <w:tcW w:w="1900" w:type="dxa"/>
            <w:vAlign w:val="bottom"/>
            <w:shd w:val="clear" w:color="auto" w:fill="41659C"/>
          </w:tcPr>
          <w:p>
            <w:pPr>
              <w:spacing w:after="0"/>
              <w:rPr>
                <w:sz w:val="11"/>
                <w:szCs w:val="11"/>
                <w:color w:val="auto"/>
              </w:rPr>
            </w:pPr>
          </w:p>
        </w:tc>
        <w:tc>
          <w:tcPr>
            <w:tcW w:w="140" w:type="dxa"/>
            <w:vAlign w:val="bottom"/>
            <w:shd w:val="clear" w:color="auto" w:fill="41659C"/>
          </w:tcPr>
          <w:p>
            <w:pPr>
              <w:spacing w:after="0"/>
              <w:rPr>
                <w:sz w:val="11"/>
                <w:szCs w:val="11"/>
                <w:color w:val="auto"/>
              </w:rPr>
            </w:pPr>
          </w:p>
        </w:tc>
        <w:tc>
          <w:tcPr>
            <w:tcW w:w="500" w:type="dxa"/>
            <w:vAlign w:val="bottom"/>
            <w:vMerge w:val="continue"/>
            <w:shd w:val="clear" w:color="auto" w:fill="41659C"/>
          </w:tcPr>
          <w:p>
            <w:pPr>
              <w:spacing w:after="0"/>
              <w:rPr>
                <w:sz w:val="11"/>
                <w:szCs w:val="11"/>
                <w:color w:val="auto"/>
              </w:rPr>
            </w:pPr>
          </w:p>
        </w:tc>
        <w:tc>
          <w:tcPr>
            <w:tcW w:w="1000" w:type="dxa"/>
            <w:vAlign w:val="bottom"/>
            <w:gridSpan w:val="2"/>
            <w:shd w:val="clear" w:color="auto" w:fill="41659C"/>
          </w:tcPr>
          <w:p>
            <w:pPr>
              <w:jc w:val="center"/>
              <w:ind w:left="201"/>
              <w:spacing w:after="0" w:line="129" w:lineRule="exact"/>
              <w:rPr>
                <w:sz w:val="20"/>
                <w:szCs w:val="20"/>
                <w:color w:val="auto"/>
              </w:rPr>
            </w:pPr>
            <w:r>
              <w:rPr>
                <w:rFonts w:ascii="Arial" w:cs="Arial" w:eastAsia="Arial" w:hAnsi="Arial"/>
                <w:sz w:val="12"/>
                <w:szCs w:val="12"/>
                <w:b w:val="1"/>
                <w:bCs w:val="1"/>
                <w:color w:val="FFFFFF"/>
                <w:w w:val="97"/>
              </w:rPr>
              <w:t>Options (#)</w:t>
            </w:r>
          </w:p>
        </w:tc>
        <w:tc>
          <w:tcPr>
            <w:tcW w:w="1500" w:type="dxa"/>
            <w:vAlign w:val="bottom"/>
            <w:shd w:val="clear" w:color="auto" w:fill="41659C"/>
          </w:tcPr>
          <w:p>
            <w:pPr>
              <w:jc w:val="center"/>
              <w:spacing w:after="0" w:line="129" w:lineRule="exact"/>
              <w:rPr>
                <w:sz w:val="20"/>
                <w:szCs w:val="20"/>
                <w:color w:val="auto"/>
              </w:rPr>
            </w:pPr>
            <w:r>
              <w:rPr>
                <w:rFonts w:ascii="Arial" w:cs="Arial" w:eastAsia="Arial" w:hAnsi="Arial"/>
                <w:sz w:val="12"/>
                <w:szCs w:val="12"/>
                <w:b w:val="1"/>
                <w:bCs w:val="1"/>
                <w:color w:val="FFFFFF"/>
              </w:rPr>
              <w:t>Options (#)</w:t>
            </w:r>
          </w:p>
        </w:tc>
        <w:tc>
          <w:tcPr>
            <w:tcW w:w="660" w:type="dxa"/>
            <w:vAlign w:val="bottom"/>
            <w:shd w:val="clear" w:color="auto" w:fill="41659C"/>
          </w:tcPr>
          <w:p>
            <w:pPr>
              <w:jc w:val="right"/>
              <w:ind w:right="103"/>
              <w:spacing w:after="0" w:line="129" w:lineRule="exact"/>
              <w:rPr>
                <w:sz w:val="20"/>
                <w:szCs w:val="20"/>
                <w:color w:val="auto"/>
              </w:rPr>
            </w:pPr>
            <w:r>
              <w:rPr>
                <w:rFonts w:ascii="Arial" w:cs="Arial" w:eastAsia="Arial" w:hAnsi="Arial"/>
                <w:sz w:val="12"/>
                <w:szCs w:val="12"/>
                <w:b w:val="1"/>
                <w:bCs w:val="1"/>
                <w:color w:val="FFFFFF"/>
                <w:w w:val="97"/>
              </w:rPr>
              <w:t>Exercise</w:t>
            </w:r>
          </w:p>
        </w:tc>
        <w:tc>
          <w:tcPr>
            <w:tcW w:w="880" w:type="dxa"/>
            <w:vAlign w:val="bottom"/>
            <w:shd w:val="clear" w:color="auto" w:fill="41659C"/>
          </w:tcPr>
          <w:p>
            <w:pPr>
              <w:jc w:val="right"/>
              <w:ind w:right="103"/>
              <w:spacing w:after="0" w:line="129" w:lineRule="exact"/>
              <w:rPr>
                <w:sz w:val="20"/>
                <w:szCs w:val="20"/>
                <w:color w:val="auto"/>
              </w:rPr>
            </w:pPr>
            <w:r>
              <w:rPr>
                <w:rFonts w:ascii="Arial" w:cs="Arial" w:eastAsia="Arial" w:hAnsi="Arial"/>
                <w:sz w:val="12"/>
                <w:szCs w:val="12"/>
                <w:b w:val="1"/>
                <w:bCs w:val="1"/>
                <w:color w:val="FFFFFF"/>
              </w:rPr>
              <w:t>Expiration</w:t>
            </w:r>
          </w:p>
        </w:tc>
        <w:tc>
          <w:tcPr>
            <w:tcW w:w="1000" w:type="dxa"/>
            <w:vAlign w:val="bottom"/>
            <w:shd w:val="clear" w:color="auto" w:fill="41659C"/>
          </w:tcPr>
          <w:p>
            <w:pPr>
              <w:jc w:val="center"/>
              <w:spacing w:after="0" w:line="129" w:lineRule="exact"/>
              <w:rPr>
                <w:sz w:val="20"/>
                <w:szCs w:val="20"/>
                <w:color w:val="auto"/>
              </w:rPr>
            </w:pPr>
            <w:r>
              <w:rPr>
                <w:rFonts w:ascii="Arial" w:cs="Arial" w:eastAsia="Arial" w:hAnsi="Arial"/>
                <w:sz w:val="12"/>
                <w:szCs w:val="12"/>
                <w:b w:val="1"/>
                <w:bCs w:val="1"/>
                <w:color w:val="FFFFFF"/>
                <w:w w:val="99"/>
              </w:rPr>
              <w:t>Have Not</w:t>
            </w:r>
          </w:p>
        </w:tc>
        <w:tc>
          <w:tcPr>
            <w:tcW w:w="980" w:type="dxa"/>
            <w:vAlign w:val="bottom"/>
            <w:shd w:val="clear" w:color="auto" w:fill="41659C"/>
          </w:tcPr>
          <w:p>
            <w:pPr>
              <w:jc w:val="center"/>
              <w:spacing w:after="0" w:line="129" w:lineRule="exact"/>
              <w:rPr>
                <w:sz w:val="20"/>
                <w:szCs w:val="20"/>
                <w:color w:val="auto"/>
              </w:rPr>
            </w:pPr>
            <w:r>
              <w:rPr>
                <w:rFonts w:ascii="Arial" w:cs="Arial" w:eastAsia="Arial" w:hAnsi="Arial"/>
                <w:sz w:val="12"/>
                <w:szCs w:val="12"/>
                <w:b w:val="1"/>
                <w:bCs w:val="1"/>
                <w:color w:val="FFFFFF"/>
                <w:w w:val="99"/>
              </w:rPr>
              <w:t>Have Not</w:t>
            </w:r>
          </w:p>
        </w:tc>
        <w:tc>
          <w:tcPr>
            <w:tcW w:w="980" w:type="dxa"/>
            <w:vAlign w:val="bottom"/>
            <w:shd w:val="clear" w:color="auto" w:fill="41659C"/>
          </w:tcPr>
          <w:p>
            <w:pPr>
              <w:jc w:val="right"/>
              <w:ind w:right="202"/>
              <w:spacing w:after="0" w:line="129" w:lineRule="exact"/>
              <w:rPr>
                <w:sz w:val="20"/>
                <w:szCs w:val="20"/>
                <w:color w:val="auto"/>
              </w:rPr>
            </w:pPr>
            <w:r>
              <w:rPr>
                <w:rFonts w:ascii="Arial" w:cs="Arial" w:eastAsia="Arial" w:hAnsi="Arial"/>
                <w:sz w:val="12"/>
                <w:szCs w:val="12"/>
                <w:b w:val="1"/>
                <w:bCs w:val="1"/>
                <w:color w:val="FFFFFF"/>
              </w:rPr>
              <w:t>Have Not</w:t>
            </w:r>
          </w:p>
        </w:tc>
        <w:tc>
          <w:tcPr>
            <w:tcW w:w="1000" w:type="dxa"/>
            <w:vAlign w:val="bottom"/>
            <w:shd w:val="clear" w:color="auto" w:fill="41659C"/>
          </w:tcPr>
          <w:p>
            <w:pPr>
              <w:jc w:val="center"/>
              <w:ind w:right="2"/>
              <w:spacing w:after="0" w:line="129" w:lineRule="exact"/>
              <w:rPr>
                <w:sz w:val="20"/>
                <w:szCs w:val="20"/>
                <w:color w:val="auto"/>
              </w:rPr>
            </w:pPr>
            <w:r>
              <w:rPr>
                <w:rFonts w:ascii="Arial" w:cs="Arial" w:eastAsia="Arial" w:hAnsi="Arial"/>
                <w:sz w:val="12"/>
                <w:szCs w:val="12"/>
                <w:b w:val="1"/>
                <w:bCs w:val="1"/>
                <w:color w:val="FFFFFF"/>
              </w:rPr>
              <w:t>Have Not</w:t>
            </w:r>
          </w:p>
        </w:tc>
        <w:tc>
          <w:tcPr>
            <w:tcW w:w="0" w:type="dxa"/>
            <w:vAlign w:val="bottom"/>
          </w:tcPr>
          <w:p>
            <w:pPr>
              <w:spacing w:after="0"/>
              <w:rPr>
                <w:sz w:val="1"/>
                <w:szCs w:val="1"/>
                <w:color w:val="auto"/>
              </w:rPr>
            </w:pPr>
          </w:p>
        </w:tc>
      </w:tr>
      <w:tr>
        <w:trPr>
          <w:trHeight w:val="160"/>
        </w:trPr>
        <w:tc>
          <w:tcPr>
            <w:tcW w:w="1900" w:type="dxa"/>
            <w:vAlign w:val="bottom"/>
            <w:shd w:val="clear" w:color="auto" w:fill="41659C"/>
          </w:tcPr>
          <w:p>
            <w:pPr>
              <w:ind w:left="60"/>
              <w:spacing w:after="0"/>
              <w:rPr>
                <w:sz w:val="20"/>
                <w:szCs w:val="20"/>
                <w:color w:val="auto"/>
              </w:rPr>
            </w:pPr>
            <w:r>
              <w:rPr>
                <w:rFonts w:ascii="Arial" w:cs="Arial" w:eastAsia="Arial" w:hAnsi="Arial"/>
                <w:sz w:val="12"/>
                <w:szCs w:val="12"/>
                <w:b w:val="1"/>
                <w:bCs w:val="1"/>
                <w:color w:val="FFFFFF"/>
              </w:rPr>
              <w:t>Name</w:t>
            </w:r>
          </w:p>
        </w:tc>
        <w:tc>
          <w:tcPr>
            <w:tcW w:w="140" w:type="dxa"/>
            <w:vAlign w:val="bottom"/>
            <w:shd w:val="clear" w:color="auto" w:fill="41659C"/>
          </w:tcPr>
          <w:p>
            <w:pPr>
              <w:spacing w:after="0"/>
              <w:rPr>
                <w:sz w:val="13"/>
                <w:szCs w:val="13"/>
                <w:color w:val="auto"/>
              </w:rPr>
            </w:pPr>
          </w:p>
        </w:tc>
        <w:tc>
          <w:tcPr>
            <w:tcW w:w="500" w:type="dxa"/>
            <w:vAlign w:val="bottom"/>
            <w:shd w:val="clear" w:color="auto" w:fill="41659C"/>
          </w:tcPr>
          <w:p>
            <w:pPr>
              <w:jc w:val="right"/>
              <w:ind w:right="83"/>
              <w:spacing w:after="0"/>
              <w:rPr>
                <w:sz w:val="20"/>
                <w:szCs w:val="20"/>
                <w:color w:val="auto"/>
              </w:rPr>
            </w:pPr>
            <w:r>
              <w:rPr>
                <w:rFonts w:ascii="Arial" w:cs="Arial" w:eastAsia="Arial" w:hAnsi="Arial"/>
                <w:sz w:val="12"/>
                <w:szCs w:val="12"/>
                <w:b w:val="1"/>
                <w:bCs w:val="1"/>
                <w:color w:val="FFFFFF"/>
              </w:rPr>
              <w:t>Date</w:t>
            </w:r>
          </w:p>
        </w:tc>
        <w:tc>
          <w:tcPr>
            <w:tcW w:w="1000" w:type="dxa"/>
            <w:vAlign w:val="bottom"/>
            <w:gridSpan w:val="2"/>
            <w:shd w:val="clear" w:color="auto" w:fill="41659C"/>
          </w:tcPr>
          <w:p>
            <w:pPr>
              <w:jc w:val="center"/>
              <w:ind w:left="201"/>
              <w:spacing w:after="0"/>
              <w:rPr>
                <w:sz w:val="20"/>
                <w:szCs w:val="20"/>
                <w:color w:val="auto"/>
              </w:rPr>
            </w:pPr>
            <w:r>
              <w:rPr>
                <w:rFonts w:ascii="Arial" w:cs="Arial" w:eastAsia="Arial" w:hAnsi="Arial"/>
                <w:sz w:val="12"/>
                <w:szCs w:val="12"/>
                <w:b w:val="1"/>
                <w:bCs w:val="1"/>
                <w:color w:val="FFFFFF"/>
                <w:w w:val="98"/>
              </w:rPr>
              <w:t>Exercisable</w:t>
            </w:r>
          </w:p>
        </w:tc>
        <w:tc>
          <w:tcPr>
            <w:tcW w:w="1500" w:type="dxa"/>
            <w:vAlign w:val="bottom"/>
            <w:shd w:val="clear" w:color="auto" w:fill="41659C"/>
          </w:tcPr>
          <w:p>
            <w:pPr>
              <w:jc w:val="center"/>
              <w:spacing w:after="0"/>
              <w:rPr>
                <w:sz w:val="20"/>
                <w:szCs w:val="20"/>
                <w:color w:val="auto"/>
              </w:rPr>
            </w:pPr>
            <w:r>
              <w:rPr>
                <w:rFonts w:ascii="Arial" w:cs="Arial" w:eastAsia="Arial" w:hAnsi="Arial"/>
                <w:sz w:val="12"/>
                <w:szCs w:val="12"/>
                <w:b w:val="1"/>
                <w:bCs w:val="1"/>
                <w:color w:val="FFFFFF"/>
              </w:rPr>
              <w:t>Unexercisable</w:t>
            </w:r>
            <w:r>
              <w:rPr>
                <w:rFonts w:ascii="Arial" w:cs="Arial" w:eastAsia="Arial" w:hAnsi="Arial"/>
                <w:sz w:val="10"/>
                <w:szCs w:val="10"/>
                <w:b w:val="1"/>
                <w:bCs w:val="1"/>
                <w:color w:val="FFFFFF"/>
              </w:rPr>
              <w:t>(1)</w:t>
            </w:r>
          </w:p>
        </w:tc>
        <w:tc>
          <w:tcPr>
            <w:tcW w:w="660" w:type="dxa"/>
            <w:vAlign w:val="bottom"/>
            <w:shd w:val="clear" w:color="auto" w:fill="41659C"/>
          </w:tcPr>
          <w:p>
            <w:pPr>
              <w:jc w:val="right"/>
              <w:ind w:right="103"/>
              <w:spacing w:after="0"/>
              <w:rPr>
                <w:sz w:val="20"/>
                <w:szCs w:val="20"/>
                <w:color w:val="auto"/>
              </w:rPr>
            </w:pPr>
            <w:r>
              <w:rPr>
                <w:rFonts w:ascii="Arial" w:cs="Arial" w:eastAsia="Arial" w:hAnsi="Arial"/>
                <w:sz w:val="12"/>
                <w:szCs w:val="12"/>
                <w:b w:val="1"/>
                <w:bCs w:val="1"/>
                <w:color w:val="FFFFFF"/>
              </w:rPr>
              <w:t>Price ($)</w:t>
            </w:r>
          </w:p>
        </w:tc>
        <w:tc>
          <w:tcPr>
            <w:tcW w:w="880" w:type="dxa"/>
            <w:vAlign w:val="bottom"/>
            <w:shd w:val="clear" w:color="auto" w:fill="41659C"/>
          </w:tcPr>
          <w:p>
            <w:pPr>
              <w:ind w:left="300"/>
              <w:spacing w:after="0"/>
              <w:rPr>
                <w:sz w:val="20"/>
                <w:szCs w:val="20"/>
                <w:color w:val="auto"/>
              </w:rPr>
            </w:pPr>
            <w:r>
              <w:rPr>
                <w:rFonts w:ascii="Arial" w:cs="Arial" w:eastAsia="Arial" w:hAnsi="Arial"/>
                <w:sz w:val="12"/>
                <w:szCs w:val="12"/>
                <w:b w:val="1"/>
                <w:bCs w:val="1"/>
                <w:color w:val="FFFFFF"/>
              </w:rPr>
              <w:t>Date</w:t>
            </w:r>
          </w:p>
        </w:tc>
        <w:tc>
          <w:tcPr>
            <w:tcW w:w="1000" w:type="dxa"/>
            <w:vAlign w:val="bottom"/>
            <w:shd w:val="clear" w:color="auto" w:fill="41659C"/>
          </w:tcPr>
          <w:p>
            <w:pPr>
              <w:jc w:val="center"/>
              <w:spacing w:after="0"/>
              <w:rPr>
                <w:sz w:val="20"/>
                <w:szCs w:val="20"/>
                <w:color w:val="auto"/>
              </w:rPr>
            </w:pPr>
            <w:r>
              <w:rPr>
                <w:rFonts w:ascii="Arial" w:cs="Arial" w:eastAsia="Arial" w:hAnsi="Arial"/>
                <w:sz w:val="12"/>
                <w:szCs w:val="12"/>
                <w:b w:val="1"/>
                <w:bCs w:val="1"/>
                <w:color w:val="FFFFFF"/>
                <w:w w:val="97"/>
              </w:rPr>
              <w:t>Vested (#)</w:t>
            </w:r>
            <w:r>
              <w:rPr>
                <w:rFonts w:ascii="Arial" w:cs="Arial" w:eastAsia="Arial" w:hAnsi="Arial"/>
                <w:sz w:val="10"/>
                <w:szCs w:val="10"/>
                <w:b w:val="1"/>
                <w:bCs w:val="1"/>
                <w:color w:val="FFFFFF"/>
                <w:w w:val="97"/>
              </w:rPr>
              <w:t>(2)</w:t>
            </w:r>
          </w:p>
        </w:tc>
        <w:tc>
          <w:tcPr>
            <w:tcW w:w="980" w:type="dxa"/>
            <w:vAlign w:val="bottom"/>
            <w:shd w:val="clear" w:color="auto" w:fill="41659C"/>
          </w:tcPr>
          <w:p>
            <w:pPr>
              <w:jc w:val="center"/>
              <w:spacing w:after="0"/>
              <w:rPr>
                <w:sz w:val="20"/>
                <w:szCs w:val="20"/>
                <w:color w:val="auto"/>
              </w:rPr>
            </w:pPr>
            <w:r>
              <w:rPr>
                <w:rFonts w:ascii="Arial" w:cs="Arial" w:eastAsia="Arial" w:hAnsi="Arial"/>
                <w:sz w:val="12"/>
                <w:szCs w:val="12"/>
                <w:b w:val="1"/>
                <w:bCs w:val="1"/>
                <w:color w:val="FFFFFF"/>
                <w:w w:val="97"/>
              </w:rPr>
              <w:t>Vested ($)</w:t>
            </w:r>
            <w:r>
              <w:rPr>
                <w:rFonts w:ascii="Arial" w:cs="Arial" w:eastAsia="Arial" w:hAnsi="Arial"/>
                <w:sz w:val="10"/>
                <w:szCs w:val="10"/>
                <w:b w:val="1"/>
                <w:bCs w:val="1"/>
                <w:color w:val="FFFFFF"/>
                <w:w w:val="97"/>
              </w:rPr>
              <w:t>(4)</w:t>
            </w:r>
          </w:p>
        </w:tc>
        <w:tc>
          <w:tcPr>
            <w:tcW w:w="980" w:type="dxa"/>
            <w:vAlign w:val="bottom"/>
            <w:shd w:val="clear" w:color="auto" w:fill="41659C"/>
          </w:tcPr>
          <w:p>
            <w:pPr>
              <w:jc w:val="right"/>
              <w:ind w:right="162"/>
              <w:spacing w:after="0"/>
              <w:rPr>
                <w:sz w:val="20"/>
                <w:szCs w:val="20"/>
                <w:color w:val="auto"/>
              </w:rPr>
            </w:pPr>
            <w:r>
              <w:rPr>
                <w:rFonts w:ascii="Arial" w:cs="Arial" w:eastAsia="Arial" w:hAnsi="Arial"/>
                <w:sz w:val="12"/>
                <w:szCs w:val="12"/>
                <w:b w:val="1"/>
                <w:bCs w:val="1"/>
                <w:color w:val="FFFFFF"/>
              </w:rPr>
              <w:t>Vested (#)</w:t>
            </w:r>
          </w:p>
        </w:tc>
        <w:tc>
          <w:tcPr>
            <w:tcW w:w="1000" w:type="dxa"/>
            <w:vAlign w:val="bottom"/>
            <w:shd w:val="clear" w:color="auto" w:fill="41659C"/>
          </w:tcPr>
          <w:p>
            <w:pPr>
              <w:jc w:val="center"/>
              <w:ind w:right="2"/>
              <w:spacing w:after="0"/>
              <w:rPr>
                <w:sz w:val="20"/>
                <w:szCs w:val="20"/>
                <w:color w:val="auto"/>
              </w:rPr>
            </w:pPr>
            <w:r>
              <w:rPr>
                <w:rFonts w:ascii="Arial" w:cs="Arial" w:eastAsia="Arial" w:hAnsi="Arial"/>
                <w:sz w:val="12"/>
                <w:szCs w:val="12"/>
                <w:b w:val="1"/>
                <w:bCs w:val="1"/>
                <w:color w:val="FFFFFF"/>
              </w:rPr>
              <w:t>Vested ($)</w:t>
            </w:r>
            <w:r>
              <w:rPr>
                <w:rFonts w:ascii="Arial" w:cs="Arial" w:eastAsia="Arial" w:hAnsi="Arial"/>
                <w:sz w:val="10"/>
                <w:szCs w:val="10"/>
                <w:b w:val="1"/>
                <w:bCs w:val="1"/>
                <w:color w:val="FFFFFF"/>
              </w:rPr>
              <w:t>(4)</w:t>
            </w:r>
          </w:p>
        </w:tc>
        <w:tc>
          <w:tcPr>
            <w:tcW w:w="0" w:type="dxa"/>
            <w:vAlign w:val="bottom"/>
          </w:tcPr>
          <w:p>
            <w:pPr>
              <w:spacing w:after="0"/>
              <w:rPr>
                <w:sz w:val="1"/>
                <w:szCs w:val="1"/>
                <w:color w:val="auto"/>
              </w:rPr>
            </w:pPr>
          </w:p>
        </w:tc>
      </w:tr>
      <w:tr>
        <w:trPr>
          <w:trHeight w:val="165"/>
        </w:trPr>
        <w:tc>
          <w:tcPr>
            <w:tcW w:w="1900" w:type="dxa"/>
            <w:vAlign w:val="bottom"/>
            <w:shd w:val="clear" w:color="auto" w:fill="E8EED3"/>
          </w:tcPr>
          <w:p>
            <w:pPr>
              <w:ind w:left="40"/>
              <w:spacing w:after="0"/>
              <w:rPr>
                <w:sz w:val="20"/>
                <w:szCs w:val="20"/>
                <w:color w:val="auto"/>
              </w:rPr>
            </w:pPr>
            <w:r>
              <w:rPr>
                <w:rFonts w:ascii="Arial" w:cs="Arial" w:eastAsia="Arial" w:hAnsi="Arial"/>
                <w:sz w:val="11"/>
                <w:szCs w:val="11"/>
                <w:color w:val="auto"/>
              </w:rPr>
              <w:t>Todd Gleason</w:t>
            </w:r>
          </w:p>
        </w:tc>
        <w:tc>
          <w:tcPr>
            <w:tcW w:w="640" w:type="dxa"/>
            <w:vAlign w:val="bottom"/>
            <w:gridSpan w:val="2"/>
            <w:shd w:val="clear" w:color="auto" w:fill="E8EED3"/>
          </w:tcPr>
          <w:p>
            <w:pPr>
              <w:jc w:val="right"/>
              <w:spacing w:after="0"/>
              <w:rPr>
                <w:sz w:val="20"/>
                <w:szCs w:val="20"/>
                <w:color w:val="auto"/>
              </w:rPr>
            </w:pPr>
            <w:r>
              <w:rPr>
                <w:rFonts w:ascii="Arial" w:cs="Arial" w:eastAsia="Arial" w:hAnsi="Arial"/>
                <w:sz w:val="11"/>
                <w:szCs w:val="11"/>
                <w:color w:val="auto"/>
              </w:rPr>
              <w:t>7/6/2020</w:t>
            </w:r>
          </w:p>
        </w:tc>
        <w:tc>
          <w:tcPr>
            <w:tcW w:w="1000" w:type="dxa"/>
            <w:vAlign w:val="bottom"/>
            <w:gridSpan w:val="2"/>
            <w:shd w:val="clear" w:color="auto" w:fill="E8EED3"/>
          </w:tcPr>
          <w:p>
            <w:pPr>
              <w:jc w:val="right"/>
              <w:spacing w:after="0"/>
              <w:rPr>
                <w:sz w:val="20"/>
                <w:szCs w:val="20"/>
                <w:color w:val="auto"/>
              </w:rPr>
            </w:pPr>
            <w:r>
              <w:rPr>
                <w:rFonts w:ascii="Arial" w:cs="Arial" w:eastAsia="Arial" w:hAnsi="Arial"/>
                <w:sz w:val="11"/>
                <w:szCs w:val="11"/>
                <w:color w:val="auto"/>
              </w:rPr>
              <w:t>79,225</w:t>
            </w:r>
          </w:p>
        </w:tc>
        <w:tc>
          <w:tcPr>
            <w:tcW w:w="1500" w:type="dxa"/>
            <w:vAlign w:val="bottom"/>
            <w:shd w:val="clear" w:color="auto" w:fill="E8EED3"/>
          </w:tcPr>
          <w:p>
            <w:pPr>
              <w:ind w:left="820"/>
              <w:spacing w:after="0"/>
              <w:rPr>
                <w:sz w:val="20"/>
                <w:szCs w:val="20"/>
                <w:color w:val="auto"/>
              </w:rPr>
            </w:pPr>
            <w:r>
              <w:rPr>
                <w:rFonts w:ascii="Arial" w:cs="Arial" w:eastAsia="Arial" w:hAnsi="Arial"/>
                <w:sz w:val="11"/>
                <w:szCs w:val="11"/>
                <w:color w:val="auto"/>
              </w:rPr>
              <w:t>237,677</w:t>
            </w:r>
          </w:p>
        </w:tc>
        <w:tc>
          <w:tcPr>
            <w:tcW w:w="660" w:type="dxa"/>
            <w:vAlign w:val="bottom"/>
            <w:shd w:val="clear" w:color="auto" w:fill="E8EED3"/>
          </w:tcPr>
          <w:p>
            <w:pPr>
              <w:jc w:val="right"/>
              <w:ind w:right="103"/>
              <w:spacing w:after="0"/>
              <w:rPr>
                <w:sz w:val="20"/>
                <w:szCs w:val="20"/>
                <w:color w:val="auto"/>
              </w:rPr>
            </w:pPr>
            <w:r>
              <w:rPr>
                <w:rFonts w:ascii="Arial" w:cs="Arial" w:eastAsia="Arial" w:hAnsi="Arial"/>
                <w:sz w:val="11"/>
                <w:szCs w:val="11"/>
                <w:color w:val="auto"/>
              </w:rPr>
              <w:t>6.36</w:t>
            </w:r>
          </w:p>
        </w:tc>
        <w:tc>
          <w:tcPr>
            <w:tcW w:w="880" w:type="dxa"/>
            <w:vAlign w:val="bottom"/>
            <w:shd w:val="clear" w:color="auto" w:fill="E8EED3"/>
          </w:tcPr>
          <w:p>
            <w:pPr>
              <w:jc w:val="right"/>
              <w:ind w:right="103"/>
              <w:spacing w:after="0"/>
              <w:rPr>
                <w:sz w:val="20"/>
                <w:szCs w:val="20"/>
                <w:color w:val="auto"/>
              </w:rPr>
            </w:pPr>
            <w:r>
              <w:rPr>
                <w:rFonts w:ascii="Arial" w:cs="Arial" w:eastAsia="Arial" w:hAnsi="Arial"/>
                <w:sz w:val="11"/>
                <w:szCs w:val="11"/>
                <w:color w:val="auto"/>
              </w:rPr>
              <w:t>7/6/2027</w:t>
            </w:r>
          </w:p>
        </w:tc>
        <w:tc>
          <w:tcPr>
            <w:tcW w:w="1000" w:type="dxa"/>
            <w:vAlign w:val="bottom"/>
            <w:shd w:val="clear" w:color="auto" w:fill="E8EED3"/>
          </w:tcPr>
          <w:p>
            <w:pPr>
              <w:jc w:val="center"/>
              <w:ind w:left="363"/>
              <w:spacing w:after="0"/>
              <w:rPr>
                <w:sz w:val="20"/>
                <w:szCs w:val="20"/>
                <w:color w:val="auto"/>
              </w:rPr>
            </w:pPr>
            <w:r>
              <w:rPr>
                <w:rFonts w:ascii="Arial" w:cs="Arial" w:eastAsia="Arial" w:hAnsi="Arial"/>
                <w:sz w:val="11"/>
                <w:szCs w:val="11"/>
                <w:color w:val="auto"/>
                <w:w w:val="90"/>
              </w:rPr>
              <w:t>—</w:t>
            </w:r>
          </w:p>
        </w:tc>
        <w:tc>
          <w:tcPr>
            <w:tcW w:w="980" w:type="dxa"/>
            <w:vAlign w:val="bottom"/>
            <w:shd w:val="clear" w:color="auto" w:fill="E8EED3"/>
          </w:tcPr>
          <w:p>
            <w:pPr>
              <w:jc w:val="right"/>
              <w:ind w:right="163"/>
              <w:spacing w:after="0"/>
              <w:rPr>
                <w:sz w:val="20"/>
                <w:szCs w:val="20"/>
                <w:color w:val="auto"/>
              </w:rPr>
            </w:pPr>
            <w:r>
              <w:rPr>
                <w:rFonts w:ascii="Arial" w:cs="Arial" w:eastAsia="Arial" w:hAnsi="Arial"/>
                <w:sz w:val="11"/>
                <w:szCs w:val="11"/>
                <w:color w:val="auto"/>
              </w:rPr>
              <w:t>—</w:t>
            </w:r>
          </w:p>
        </w:tc>
        <w:tc>
          <w:tcPr>
            <w:tcW w:w="980" w:type="dxa"/>
            <w:vAlign w:val="bottom"/>
            <w:shd w:val="clear" w:color="auto" w:fill="E8EED3"/>
          </w:tcPr>
          <w:p>
            <w:pPr>
              <w:jc w:val="right"/>
              <w:ind w:right="182"/>
              <w:spacing w:after="0"/>
              <w:rPr>
                <w:sz w:val="20"/>
                <w:szCs w:val="20"/>
                <w:color w:val="auto"/>
              </w:rPr>
            </w:pPr>
            <w:r>
              <w:rPr>
                <w:rFonts w:ascii="Arial" w:cs="Arial" w:eastAsia="Arial" w:hAnsi="Arial"/>
                <w:sz w:val="11"/>
                <w:szCs w:val="11"/>
                <w:color w:val="auto"/>
              </w:rPr>
              <w:t>—</w:t>
            </w:r>
          </w:p>
        </w:tc>
        <w:tc>
          <w:tcPr>
            <w:tcW w:w="1000" w:type="dxa"/>
            <w:vAlign w:val="bottom"/>
            <w:shd w:val="clear" w:color="auto" w:fill="E8EED3"/>
          </w:tcPr>
          <w:p>
            <w:pPr>
              <w:jc w:val="right"/>
              <w:ind w:right="1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4"/>
        </w:trPr>
        <w:tc>
          <w:tcPr>
            <w:tcW w:w="1900" w:type="dxa"/>
            <w:vAlign w:val="bottom"/>
            <w:shd w:val="clear" w:color="auto" w:fill="E8EED3"/>
          </w:tcPr>
          <w:p>
            <w:pPr>
              <w:spacing w:after="0"/>
              <w:rPr>
                <w:sz w:val="16"/>
                <w:szCs w:val="16"/>
                <w:color w:val="auto"/>
              </w:rPr>
            </w:pPr>
          </w:p>
        </w:tc>
        <w:tc>
          <w:tcPr>
            <w:tcW w:w="640" w:type="dxa"/>
            <w:vAlign w:val="bottom"/>
            <w:gridSpan w:val="2"/>
            <w:shd w:val="clear" w:color="auto" w:fill="E8EED3"/>
          </w:tcPr>
          <w:p>
            <w:pPr>
              <w:jc w:val="right"/>
              <w:spacing w:after="0"/>
              <w:rPr>
                <w:sz w:val="20"/>
                <w:szCs w:val="20"/>
                <w:color w:val="auto"/>
              </w:rPr>
            </w:pPr>
            <w:r>
              <w:rPr>
                <w:rFonts w:ascii="Arial" w:cs="Arial" w:eastAsia="Arial" w:hAnsi="Arial"/>
                <w:sz w:val="11"/>
                <w:szCs w:val="11"/>
                <w:color w:val="auto"/>
              </w:rPr>
              <w:t>7/6/2020</w:t>
            </w:r>
          </w:p>
        </w:tc>
        <w:tc>
          <w:tcPr>
            <w:tcW w:w="1000" w:type="dxa"/>
            <w:vAlign w:val="bottom"/>
            <w:gridSpan w:val="2"/>
            <w:shd w:val="clear" w:color="auto" w:fill="E8EED3"/>
          </w:tcPr>
          <w:p>
            <w:pPr>
              <w:jc w:val="right"/>
              <w:spacing w:after="0"/>
              <w:rPr>
                <w:sz w:val="20"/>
                <w:szCs w:val="20"/>
                <w:color w:val="auto"/>
              </w:rPr>
            </w:pPr>
            <w:r>
              <w:rPr>
                <w:rFonts w:ascii="Arial" w:cs="Arial" w:eastAsia="Arial" w:hAnsi="Arial"/>
                <w:sz w:val="11"/>
                <w:szCs w:val="11"/>
                <w:color w:val="auto"/>
              </w:rPr>
              <w:t>224,551</w:t>
            </w:r>
          </w:p>
        </w:tc>
        <w:tc>
          <w:tcPr>
            <w:tcW w:w="1500" w:type="dxa"/>
            <w:vAlign w:val="bottom"/>
            <w:shd w:val="clear" w:color="auto" w:fill="E8EED3"/>
          </w:tcPr>
          <w:p>
            <w:pPr>
              <w:ind w:left="820"/>
              <w:spacing w:after="0"/>
              <w:rPr>
                <w:sz w:val="20"/>
                <w:szCs w:val="20"/>
                <w:color w:val="auto"/>
              </w:rPr>
            </w:pPr>
            <w:r>
              <w:rPr>
                <w:rFonts w:ascii="Arial" w:cs="Arial" w:eastAsia="Arial" w:hAnsi="Arial"/>
                <w:sz w:val="11"/>
                <w:szCs w:val="11"/>
                <w:color w:val="auto"/>
              </w:rPr>
              <w:t>673,653</w:t>
            </w:r>
          </w:p>
        </w:tc>
        <w:tc>
          <w:tcPr>
            <w:tcW w:w="660" w:type="dxa"/>
            <w:vAlign w:val="bottom"/>
            <w:shd w:val="clear" w:color="auto" w:fill="E8EED3"/>
          </w:tcPr>
          <w:p>
            <w:pPr>
              <w:jc w:val="right"/>
              <w:ind w:right="103"/>
              <w:spacing w:after="0"/>
              <w:rPr>
                <w:sz w:val="20"/>
                <w:szCs w:val="20"/>
                <w:color w:val="auto"/>
              </w:rPr>
            </w:pPr>
            <w:r>
              <w:rPr>
                <w:rFonts w:ascii="Arial" w:cs="Arial" w:eastAsia="Arial" w:hAnsi="Arial"/>
                <w:sz w:val="11"/>
                <w:szCs w:val="11"/>
                <w:color w:val="auto"/>
              </w:rPr>
              <w:t>12.72</w:t>
            </w:r>
          </w:p>
        </w:tc>
        <w:tc>
          <w:tcPr>
            <w:tcW w:w="880" w:type="dxa"/>
            <w:vAlign w:val="bottom"/>
            <w:shd w:val="clear" w:color="auto" w:fill="E8EED3"/>
          </w:tcPr>
          <w:p>
            <w:pPr>
              <w:jc w:val="right"/>
              <w:ind w:right="103"/>
              <w:spacing w:after="0"/>
              <w:rPr>
                <w:sz w:val="20"/>
                <w:szCs w:val="20"/>
                <w:color w:val="auto"/>
              </w:rPr>
            </w:pPr>
            <w:r>
              <w:rPr>
                <w:rFonts w:ascii="Arial" w:cs="Arial" w:eastAsia="Arial" w:hAnsi="Arial"/>
                <w:sz w:val="11"/>
                <w:szCs w:val="11"/>
                <w:color w:val="auto"/>
              </w:rPr>
              <w:t>7/6/2027</w:t>
            </w:r>
          </w:p>
        </w:tc>
        <w:tc>
          <w:tcPr>
            <w:tcW w:w="1000" w:type="dxa"/>
            <w:vAlign w:val="bottom"/>
            <w:shd w:val="clear" w:color="auto" w:fill="E8EED3"/>
          </w:tcPr>
          <w:p>
            <w:pPr>
              <w:jc w:val="center"/>
              <w:ind w:left="363"/>
              <w:spacing w:after="0"/>
              <w:rPr>
                <w:sz w:val="20"/>
                <w:szCs w:val="20"/>
                <w:color w:val="auto"/>
              </w:rPr>
            </w:pPr>
            <w:r>
              <w:rPr>
                <w:rFonts w:ascii="Arial" w:cs="Arial" w:eastAsia="Arial" w:hAnsi="Arial"/>
                <w:sz w:val="11"/>
                <w:szCs w:val="11"/>
                <w:color w:val="auto"/>
                <w:w w:val="90"/>
              </w:rPr>
              <w:t>—</w:t>
            </w:r>
          </w:p>
        </w:tc>
        <w:tc>
          <w:tcPr>
            <w:tcW w:w="980" w:type="dxa"/>
            <w:vAlign w:val="bottom"/>
            <w:shd w:val="clear" w:color="auto" w:fill="E8EED3"/>
          </w:tcPr>
          <w:p>
            <w:pPr>
              <w:jc w:val="right"/>
              <w:ind w:right="163"/>
              <w:spacing w:after="0"/>
              <w:rPr>
                <w:sz w:val="20"/>
                <w:szCs w:val="20"/>
                <w:color w:val="auto"/>
              </w:rPr>
            </w:pPr>
            <w:r>
              <w:rPr>
                <w:rFonts w:ascii="Arial" w:cs="Arial" w:eastAsia="Arial" w:hAnsi="Arial"/>
                <w:sz w:val="11"/>
                <w:szCs w:val="11"/>
                <w:color w:val="auto"/>
              </w:rPr>
              <w:t>—</w:t>
            </w:r>
          </w:p>
        </w:tc>
        <w:tc>
          <w:tcPr>
            <w:tcW w:w="980" w:type="dxa"/>
            <w:vAlign w:val="bottom"/>
            <w:shd w:val="clear" w:color="auto" w:fill="E8EED3"/>
          </w:tcPr>
          <w:p>
            <w:pPr>
              <w:jc w:val="right"/>
              <w:ind w:right="182"/>
              <w:spacing w:after="0"/>
              <w:rPr>
                <w:sz w:val="20"/>
                <w:szCs w:val="20"/>
                <w:color w:val="auto"/>
              </w:rPr>
            </w:pPr>
            <w:r>
              <w:rPr>
                <w:rFonts w:ascii="Arial" w:cs="Arial" w:eastAsia="Arial" w:hAnsi="Arial"/>
                <w:sz w:val="11"/>
                <w:szCs w:val="11"/>
                <w:color w:val="auto"/>
              </w:rPr>
              <w:t>—</w:t>
            </w:r>
          </w:p>
        </w:tc>
        <w:tc>
          <w:tcPr>
            <w:tcW w:w="1000" w:type="dxa"/>
            <w:vAlign w:val="bottom"/>
            <w:shd w:val="clear" w:color="auto" w:fill="E8EED3"/>
          </w:tcPr>
          <w:p>
            <w:pPr>
              <w:jc w:val="right"/>
              <w:ind w:right="1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4"/>
        </w:trPr>
        <w:tc>
          <w:tcPr>
            <w:tcW w:w="1900" w:type="dxa"/>
            <w:vAlign w:val="bottom"/>
            <w:shd w:val="clear" w:color="auto" w:fill="E8EED3"/>
          </w:tcPr>
          <w:p>
            <w:pPr>
              <w:spacing w:after="0"/>
              <w:rPr>
                <w:sz w:val="16"/>
                <w:szCs w:val="16"/>
                <w:color w:val="auto"/>
              </w:rPr>
            </w:pPr>
          </w:p>
        </w:tc>
        <w:tc>
          <w:tcPr>
            <w:tcW w:w="140" w:type="dxa"/>
            <w:vAlign w:val="bottom"/>
            <w:shd w:val="clear" w:color="auto" w:fill="E8EED3"/>
          </w:tcPr>
          <w:p>
            <w:pPr>
              <w:spacing w:after="0"/>
              <w:rPr>
                <w:sz w:val="16"/>
                <w:szCs w:val="16"/>
                <w:color w:val="auto"/>
              </w:rPr>
            </w:pPr>
          </w:p>
        </w:tc>
        <w:tc>
          <w:tcPr>
            <w:tcW w:w="500" w:type="dxa"/>
            <w:vAlign w:val="bottom"/>
            <w:shd w:val="clear" w:color="auto" w:fill="E8EED3"/>
          </w:tcPr>
          <w:p>
            <w:pPr>
              <w:jc w:val="right"/>
              <w:spacing w:after="0"/>
              <w:rPr>
                <w:sz w:val="20"/>
                <w:szCs w:val="20"/>
                <w:color w:val="auto"/>
              </w:rPr>
            </w:pPr>
            <w:r>
              <w:rPr>
                <w:rFonts w:ascii="Arial" w:cs="Arial" w:eastAsia="Arial" w:hAnsi="Arial"/>
                <w:sz w:val="11"/>
                <w:szCs w:val="11"/>
                <w:color w:val="auto"/>
              </w:rPr>
              <w:t>7/6/2020</w:t>
            </w:r>
          </w:p>
        </w:tc>
        <w:tc>
          <w:tcPr>
            <w:tcW w:w="320" w:type="dxa"/>
            <w:vAlign w:val="bottom"/>
            <w:shd w:val="clear" w:color="auto" w:fill="E8EED3"/>
          </w:tcPr>
          <w:p>
            <w:pPr>
              <w:spacing w:after="0"/>
              <w:rPr>
                <w:sz w:val="16"/>
                <w:szCs w:val="16"/>
                <w:color w:val="auto"/>
              </w:rPr>
            </w:pPr>
          </w:p>
        </w:tc>
        <w:tc>
          <w:tcPr>
            <w:tcW w:w="680" w:type="dxa"/>
            <w:vAlign w:val="bottom"/>
            <w:shd w:val="clear" w:color="auto" w:fill="E8EED3"/>
          </w:tcPr>
          <w:p>
            <w:pPr>
              <w:jc w:val="right"/>
              <w:ind w:right="23"/>
              <w:spacing w:after="0"/>
              <w:rPr>
                <w:sz w:val="20"/>
                <w:szCs w:val="20"/>
                <w:color w:val="auto"/>
              </w:rPr>
            </w:pPr>
            <w:r>
              <w:rPr>
                <w:rFonts w:ascii="Arial" w:cs="Arial" w:eastAsia="Arial" w:hAnsi="Arial"/>
                <w:sz w:val="11"/>
                <w:szCs w:val="11"/>
                <w:color w:val="auto"/>
              </w:rPr>
              <w:t>—</w:t>
            </w:r>
          </w:p>
        </w:tc>
        <w:tc>
          <w:tcPr>
            <w:tcW w:w="1500" w:type="dxa"/>
            <w:vAlign w:val="bottom"/>
            <w:shd w:val="clear" w:color="auto" w:fill="E8EED3"/>
          </w:tcPr>
          <w:p>
            <w:pPr>
              <w:ind w:left="1040"/>
              <w:spacing w:after="0"/>
              <w:rPr>
                <w:sz w:val="20"/>
                <w:szCs w:val="20"/>
                <w:color w:val="auto"/>
              </w:rPr>
            </w:pPr>
            <w:r>
              <w:rPr>
                <w:rFonts w:ascii="Arial" w:cs="Arial" w:eastAsia="Arial" w:hAnsi="Arial"/>
                <w:sz w:val="11"/>
                <w:szCs w:val="11"/>
                <w:color w:val="auto"/>
              </w:rPr>
              <w:t>—</w:t>
            </w:r>
          </w:p>
        </w:tc>
        <w:tc>
          <w:tcPr>
            <w:tcW w:w="660" w:type="dxa"/>
            <w:vAlign w:val="bottom"/>
            <w:shd w:val="clear" w:color="auto" w:fill="E8EED3"/>
          </w:tcPr>
          <w:p>
            <w:pPr>
              <w:jc w:val="right"/>
              <w:ind w:right="163"/>
              <w:spacing w:after="0"/>
              <w:rPr>
                <w:sz w:val="20"/>
                <w:szCs w:val="20"/>
                <w:color w:val="auto"/>
              </w:rPr>
            </w:pPr>
            <w:r>
              <w:rPr>
                <w:rFonts w:ascii="Arial" w:cs="Arial" w:eastAsia="Arial" w:hAnsi="Arial"/>
                <w:sz w:val="11"/>
                <w:szCs w:val="11"/>
                <w:color w:val="auto"/>
              </w:rPr>
              <w:t>—</w:t>
            </w:r>
          </w:p>
        </w:tc>
        <w:tc>
          <w:tcPr>
            <w:tcW w:w="880" w:type="dxa"/>
            <w:vAlign w:val="bottom"/>
            <w:shd w:val="clear" w:color="auto" w:fill="E8EED3"/>
          </w:tcPr>
          <w:p>
            <w:pPr>
              <w:ind w:left="560"/>
              <w:spacing w:after="0"/>
              <w:rPr>
                <w:sz w:val="20"/>
                <w:szCs w:val="20"/>
                <w:color w:val="auto"/>
              </w:rPr>
            </w:pPr>
            <w:r>
              <w:rPr>
                <w:rFonts w:ascii="Arial" w:cs="Arial" w:eastAsia="Arial" w:hAnsi="Arial"/>
                <w:sz w:val="11"/>
                <w:szCs w:val="11"/>
                <w:color w:val="auto"/>
              </w:rPr>
              <w:t>—</w:t>
            </w:r>
          </w:p>
        </w:tc>
        <w:tc>
          <w:tcPr>
            <w:tcW w:w="1000" w:type="dxa"/>
            <w:vAlign w:val="bottom"/>
            <w:shd w:val="clear" w:color="auto" w:fill="E8EED3"/>
          </w:tcPr>
          <w:p>
            <w:pPr>
              <w:jc w:val="right"/>
              <w:ind w:right="103"/>
              <w:spacing w:after="0"/>
              <w:rPr>
                <w:sz w:val="20"/>
                <w:szCs w:val="20"/>
                <w:color w:val="auto"/>
              </w:rPr>
            </w:pPr>
            <w:r>
              <w:rPr>
                <w:rFonts w:ascii="Arial" w:cs="Arial" w:eastAsia="Arial" w:hAnsi="Arial"/>
                <w:sz w:val="11"/>
                <w:szCs w:val="11"/>
                <w:color w:val="auto"/>
              </w:rPr>
              <w:t>70,755</w:t>
            </w:r>
          </w:p>
        </w:tc>
        <w:tc>
          <w:tcPr>
            <w:tcW w:w="980" w:type="dxa"/>
            <w:vAlign w:val="bottom"/>
            <w:shd w:val="clear" w:color="auto" w:fill="E8EED3"/>
          </w:tcPr>
          <w:p>
            <w:pPr>
              <w:jc w:val="right"/>
              <w:ind w:right="103"/>
              <w:spacing w:after="0"/>
              <w:rPr>
                <w:sz w:val="20"/>
                <w:szCs w:val="20"/>
                <w:color w:val="auto"/>
              </w:rPr>
            </w:pPr>
            <w:r>
              <w:rPr>
                <w:rFonts w:ascii="Arial" w:cs="Arial" w:eastAsia="Arial" w:hAnsi="Arial"/>
                <w:sz w:val="11"/>
                <w:szCs w:val="11"/>
                <w:color w:val="auto"/>
              </w:rPr>
              <w:t>440,804</w:t>
            </w:r>
          </w:p>
        </w:tc>
        <w:tc>
          <w:tcPr>
            <w:tcW w:w="980" w:type="dxa"/>
            <w:vAlign w:val="bottom"/>
            <w:shd w:val="clear" w:color="auto" w:fill="E8EED3"/>
          </w:tcPr>
          <w:p>
            <w:pPr>
              <w:jc w:val="right"/>
              <w:ind w:right="182"/>
              <w:spacing w:after="0"/>
              <w:rPr>
                <w:sz w:val="20"/>
                <w:szCs w:val="20"/>
                <w:color w:val="auto"/>
              </w:rPr>
            </w:pPr>
            <w:r>
              <w:rPr>
                <w:rFonts w:ascii="Arial" w:cs="Arial" w:eastAsia="Arial" w:hAnsi="Arial"/>
                <w:sz w:val="11"/>
                <w:szCs w:val="11"/>
                <w:color w:val="auto"/>
              </w:rPr>
              <w:t>—</w:t>
            </w:r>
          </w:p>
        </w:tc>
        <w:tc>
          <w:tcPr>
            <w:tcW w:w="1000" w:type="dxa"/>
            <w:vAlign w:val="bottom"/>
            <w:shd w:val="clear" w:color="auto" w:fill="E8EED3"/>
          </w:tcPr>
          <w:p>
            <w:pPr>
              <w:jc w:val="right"/>
              <w:ind w:right="1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4"/>
        </w:trPr>
        <w:tc>
          <w:tcPr>
            <w:tcW w:w="1900" w:type="dxa"/>
            <w:vAlign w:val="bottom"/>
            <w:shd w:val="clear" w:color="auto" w:fill="E8EED3"/>
          </w:tcPr>
          <w:p>
            <w:pPr>
              <w:spacing w:after="0"/>
              <w:rPr>
                <w:sz w:val="16"/>
                <w:szCs w:val="16"/>
                <w:color w:val="auto"/>
              </w:rPr>
            </w:pPr>
          </w:p>
        </w:tc>
        <w:tc>
          <w:tcPr>
            <w:tcW w:w="140" w:type="dxa"/>
            <w:vAlign w:val="bottom"/>
            <w:shd w:val="clear" w:color="auto" w:fill="E8EED3"/>
          </w:tcPr>
          <w:p>
            <w:pPr>
              <w:spacing w:after="0"/>
              <w:rPr>
                <w:sz w:val="16"/>
                <w:szCs w:val="16"/>
                <w:color w:val="auto"/>
              </w:rPr>
            </w:pPr>
          </w:p>
        </w:tc>
        <w:tc>
          <w:tcPr>
            <w:tcW w:w="500" w:type="dxa"/>
            <w:vAlign w:val="bottom"/>
            <w:shd w:val="clear" w:color="auto" w:fill="E8EED3"/>
          </w:tcPr>
          <w:p>
            <w:pPr>
              <w:jc w:val="right"/>
              <w:spacing w:after="0"/>
              <w:rPr>
                <w:sz w:val="20"/>
                <w:szCs w:val="20"/>
                <w:color w:val="auto"/>
              </w:rPr>
            </w:pPr>
            <w:r>
              <w:rPr>
                <w:rFonts w:ascii="Arial" w:cs="Arial" w:eastAsia="Arial" w:hAnsi="Arial"/>
                <w:sz w:val="11"/>
                <w:szCs w:val="11"/>
                <w:color w:val="auto"/>
              </w:rPr>
              <w:t>4/1/2021</w:t>
            </w:r>
          </w:p>
        </w:tc>
        <w:tc>
          <w:tcPr>
            <w:tcW w:w="320" w:type="dxa"/>
            <w:vAlign w:val="bottom"/>
            <w:shd w:val="clear" w:color="auto" w:fill="E8EED3"/>
          </w:tcPr>
          <w:p>
            <w:pPr>
              <w:spacing w:after="0"/>
              <w:rPr>
                <w:sz w:val="16"/>
                <w:szCs w:val="16"/>
                <w:color w:val="auto"/>
              </w:rPr>
            </w:pPr>
          </w:p>
        </w:tc>
        <w:tc>
          <w:tcPr>
            <w:tcW w:w="680" w:type="dxa"/>
            <w:vAlign w:val="bottom"/>
            <w:shd w:val="clear" w:color="auto" w:fill="E8EED3"/>
          </w:tcPr>
          <w:p>
            <w:pPr>
              <w:jc w:val="right"/>
              <w:ind w:right="23"/>
              <w:spacing w:after="0"/>
              <w:rPr>
                <w:sz w:val="20"/>
                <w:szCs w:val="20"/>
                <w:color w:val="auto"/>
              </w:rPr>
            </w:pPr>
            <w:r>
              <w:rPr>
                <w:rFonts w:ascii="Arial" w:cs="Arial" w:eastAsia="Arial" w:hAnsi="Arial"/>
                <w:sz w:val="11"/>
                <w:szCs w:val="11"/>
                <w:color w:val="auto"/>
              </w:rPr>
              <w:t>—</w:t>
            </w:r>
          </w:p>
        </w:tc>
        <w:tc>
          <w:tcPr>
            <w:tcW w:w="1500" w:type="dxa"/>
            <w:vAlign w:val="bottom"/>
            <w:shd w:val="clear" w:color="auto" w:fill="E8EED3"/>
          </w:tcPr>
          <w:p>
            <w:pPr>
              <w:ind w:left="1040"/>
              <w:spacing w:after="0"/>
              <w:rPr>
                <w:sz w:val="20"/>
                <w:szCs w:val="20"/>
                <w:color w:val="auto"/>
              </w:rPr>
            </w:pPr>
            <w:r>
              <w:rPr>
                <w:rFonts w:ascii="Arial" w:cs="Arial" w:eastAsia="Arial" w:hAnsi="Arial"/>
                <w:sz w:val="11"/>
                <w:szCs w:val="11"/>
                <w:color w:val="auto"/>
              </w:rPr>
              <w:t>—</w:t>
            </w:r>
          </w:p>
        </w:tc>
        <w:tc>
          <w:tcPr>
            <w:tcW w:w="660" w:type="dxa"/>
            <w:vAlign w:val="bottom"/>
            <w:shd w:val="clear" w:color="auto" w:fill="E8EED3"/>
          </w:tcPr>
          <w:p>
            <w:pPr>
              <w:jc w:val="right"/>
              <w:ind w:right="163"/>
              <w:spacing w:after="0"/>
              <w:rPr>
                <w:sz w:val="20"/>
                <w:szCs w:val="20"/>
                <w:color w:val="auto"/>
              </w:rPr>
            </w:pPr>
            <w:r>
              <w:rPr>
                <w:rFonts w:ascii="Arial" w:cs="Arial" w:eastAsia="Arial" w:hAnsi="Arial"/>
                <w:sz w:val="11"/>
                <w:szCs w:val="11"/>
                <w:color w:val="auto"/>
              </w:rPr>
              <w:t>—</w:t>
            </w:r>
          </w:p>
        </w:tc>
        <w:tc>
          <w:tcPr>
            <w:tcW w:w="880" w:type="dxa"/>
            <w:vAlign w:val="bottom"/>
            <w:shd w:val="clear" w:color="auto" w:fill="E8EED3"/>
          </w:tcPr>
          <w:p>
            <w:pPr>
              <w:ind w:left="560"/>
              <w:spacing w:after="0"/>
              <w:rPr>
                <w:sz w:val="20"/>
                <w:szCs w:val="20"/>
                <w:color w:val="auto"/>
              </w:rPr>
            </w:pPr>
            <w:r>
              <w:rPr>
                <w:rFonts w:ascii="Arial" w:cs="Arial" w:eastAsia="Arial" w:hAnsi="Arial"/>
                <w:sz w:val="11"/>
                <w:szCs w:val="11"/>
                <w:color w:val="auto"/>
              </w:rPr>
              <w:t>—</w:t>
            </w:r>
          </w:p>
        </w:tc>
        <w:tc>
          <w:tcPr>
            <w:tcW w:w="1000" w:type="dxa"/>
            <w:vAlign w:val="bottom"/>
            <w:shd w:val="clear" w:color="auto" w:fill="E8EED3"/>
          </w:tcPr>
          <w:p>
            <w:pPr>
              <w:jc w:val="right"/>
              <w:ind w:right="103"/>
              <w:spacing w:after="0"/>
              <w:rPr>
                <w:sz w:val="20"/>
                <w:szCs w:val="20"/>
                <w:color w:val="auto"/>
              </w:rPr>
            </w:pPr>
            <w:r>
              <w:rPr>
                <w:rFonts w:ascii="Arial" w:cs="Arial" w:eastAsia="Arial" w:hAnsi="Arial"/>
                <w:sz w:val="11"/>
                <w:szCs w:val="11"/>
                <w:color w:val="auto"/>
              </w:rPr>
              <w:t>36,765</w:t>
            </w:r>
          </w:p>
        </w:tc>
        <w:tc>
          <w:tcPr>
            <w:tcW w:w="980" w:type="dxa"/>
            <w:vAlign w:val="bottom"/>
            <w:shd w:val="clear" w:color="auto" w:fill="E8EED3"/>
          </w:tcPr>
          <w:p>
            <w:pPr>
              <w:jc w:val="right"/>
              <w:ind w:right="103"/>
              <w:spacing w:after="0"/>
              <w:rPr>
                <w:sz w:val="20"/>
                <w:szCs w:val="20"/>
                <w:color w:val="auto"/>
              </w:rPr>
            </w:pPr>
            <w:r>
              <w:rPr>
                <w:rFonts w:ascii="Arial" w:cs="Arial" w:eastAsia="Arial" w:hAnsi="Arial"/>
                <w:sz w:val="11"/>
                <w:szCs w:val="11"/>
                <w:color w:val="auto"/>
              </w:rPr>
              <w:t>229,046</w:t>
            </w:r>
          </w:p>
        </w:tc>
        <w:tc>
          <w:tcPr>
            <w:tcW w:w="980" w:type="dxa"/>
            <w:vAlign w:val="bottom"/>
            <w:shd w:val="clear" w:color="auto" w:fill="E8EED3"/>
          </w:tcPr>
          <w:p>
            <w:pPr>
              <w:jc w:val="right"/>
              <w:ind w:right="182"/>
              <w:spacing w:after="0"/>
              <w:rPr>
                <w:sz w:val="20"/>
                <w:szCs w:val="20"/>
                <w:color w:val="auto"/>
              </w:rPr>
            </w:pPr>
            <w:r>
              <w:rPr>
                <w:rFonts w:ascii="Arial" w:cs="Arial" w:eastAsia="Arial" w:hAnsi="Arial"/>
                <w:sz w:val="11"/>
                <w:szCs w:val="11"/>
                <w:color w:val="auto"/>
              </w:rPr>
              <w:t>—</w:t>
            </w:r>
          </w:p>
        </w:tc>
        <w:tc>
          <w:tcPr>
            <w:tcW w:w="1000" w:type="dxa"/>
            <w:vAlign w:val="bottom"/>
            <w:shd w:val="clear" w:color="auto" w:fill="E8EED3"/>
          </w:tcPr>
          <w:p>
            <w:pPr>
              <w:jc w:val="right"/>
              <w:ind w:right="1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4"/>
        </w:trPr>
        <w:tc>
          <w:tcPr>
            <w:tcW w:w="1900" w:type="dxa"/>
            <w:vAlign w:val="bottom"/>
            <w:shd w:val="clear" w:color="auto" w:fill="E8EED3"/>
          </w:tcPr>
          <w:p>
            <w:pPr>
              <w:spacing w:after="0"/>
              <w:rPr>
                <w:sz w:val="23"/>
                <w:szCs w:val="23"/>
                <w:color w:val="auto"/>
              </w:rPr>
            </w:pPr>
          </w:p>
        </w:tc>
        <w:tc>
          <w:tcPr>
            <w:tcW w:w="140" w:type="dxa"/>
            <w:vAlign w:val="bottom"/>
            <w:shd w:val="clear" w:color="auto" w:fill="E8EED3"/>
          </w:tcPr>
          <w:p>
            <w:pPr>
              <w:spacing w:after="0"/>
              <w:rPr>
                <w:sz w:val="23"/>
                <w:szCs w:val="23"/>
                <w:color w:val="auto"/>
              </w:rPr>
            </w:pPr>
          </w:p>
        </w:tc>
        <w:tc>
          <w:tcPr>
            <w:tcW w:w="500" w:type="dxa"/>
            <w:vAlign w:val="bottom"/>
            <w:shd w:val="clear" w:color="auto" w:fill="E8EED3"/>
          </w:tcPr>
          <w:p>
            <w:pPr>
              <w:jc w:val="right"/>
              <w:spacing w:after="0"/>
              <w:rPr>
                <w:sz w:val="20"/>
                <w:szCs w:val="20"/>
                <w:color w:val="auto"/>
              </w:rPr>
            </w:pPr>
            <w:r>
              <w:rPr>
                <w:rFonts w:ascii="Arial" w:cs="Arial" w:eastAsia="Arial" w:hAnsi="Arial"/>
                <w:sz w:val="11"/>
                <w:szCs w:val="11"/>
                <w:color w:val="auto"/>
              </w:rPr>
              <w:t>4/1/2021</w:t>
            </w:r>
          </w:p>
        </w:tc>
        <w:tc>
          <w:tcPr>
            <w:tcW w:w="320" w:type="dxa"/>
            <w:vAlign w:val="bottom"/>
            <w:shd w:val="clear" w:color="auto" w:fill="E8EED3"/>
          </w:tcPr>
          <w:p>
            <w:pPr>
              <w:spacing w:after="0"/>
              <w:rPr>
                <w:sz w:val="23"/>
                <w:szCs w:val="23"/>
                <w:color w:val="auto"/>
              </w:rPr>
            </w:pPr>
          </w:p>
        </w:tc>
        <w:tc>
          <w:tcPr>
            <w:tcW w:w="680" w:type="dxa"/>
            <w:vAlign w:val="bottom"/>
            <w:shd w:val="clear" w:color="auto" w:fill="E8EED3"/>
          </w:tcPr>
          <w:p>
            <w:pPr>
              <w:jc w:val="right"/>
              <w:ind w:right="23"/>
              <w:spacing w:after="0"/>
              <w:rPr>
                <w:sz w:val="20"/>
                <w:szCs w:val="20"/>
                <w:color w:val="auto"/>
              </w:rPr>
            </w:pPr>
            <w:r>
              <w:rPr>
                <w:rFonts w:ascii="Arial" w:cs="Arial" w:eastAsia="Arial" w:hAnsi="Arial"/>
                <w:sz w:val="11"/>
                <w:szCs w:val="11"/>
                <w:color w:val="auto"/>
              </w:rPr>
              <w:t>—</w:t>
            </w:r>
          </w:p>
        </w:tc>
        <w:tc>
          <w:tcPr>
            <w:tcW w:w="1500" w:type="dxa"/>
            <w:vAlign w:val="bottom"/>
            <w:shd w:val="clear" w:color="auto" w:fill="E8EED3"/>
          </w:tcPr>
          <w:p>
            <w:pPr>
              <w:ind w:left="1040"/>
              <w:spacing w:after="0"/>
              <w:rPr>
                <w:sz w:val="20"/>
                <w:szCs w:val="20"/>
                <w:color w:val="auto"/>
              </w:rPr>
            </w:pPr>
            <w:r>
              <w:rPr>
                <w:rFonts w:ascii="Arial" w:cs="Arial" w:eastAsia="Arial" w:hAnsi="Arial"/>
                <w:sz w:val="11"/>
                <w:szCs w:val="11"/>
                <w:color w:val="auto"/>
              </w:rPr>
              <w:t>—</w:t>
            </w:r>
          </w:p>
        </w:tc>
        <w:tc>
          <w:tcPr>
            <w:tcW w:w="660" w:type="dxa"/>
            <w:vAlign w:val="bottom"/>
            <w:shd w:val="clear" w:color="auto" w:fill="E8EED3"/>
          </w:tcPr>
          <w:p>
            <w:pPr>
              <w:jc w:val="right"/>
              <w:ind w:right="163"/>
              <w:spacing w:after="0"/>
              <w:rPr>
                <w:sz w:val="20"/>
                <w:szCs w:val="20"/>
                <w:color w:val="auto"/>
              </w:rPr>
            </w:pPr>
            <w:r>
              <w:rPr>
                <w:rFonts w:ascii="Arial" w:cs="Arial" w:eastAsia="Arial" w:hAnsi="Arial"/>
                <w:sz w:val="11"/>
                <w:szCs w:val="11"/>
                <w:color w:val="auto"/>
              </w:rPr>
              <w:t>—</w:t>
            </w:r>
          </w:p>
        </w:tc>
        <w:tc>
          <w:tcPr>
            <w:tcW w:w="880" w:type="dxa"/>
            <w:vAlign w:val="bottom"/>
            <w:shd w:val="clear" w:color="auto" w:fill="E8EED3"/>
          </w:tcPr>
          <w:p>
            <w:pPr>
              <w:ind w:left="560"/>
              <w:spacing w:after="0"/>
              <w:rPr>
                <w:sz w:val="20"/>
                <w:szCs w:val="20"/>
                <w:color w:val="auto"/>
              </w:rPr>
            </w:pPr>
            <w:r>
              <w:rPr>
                <w:rFonts w:ascii="Arial" w:cs="Arial" w:eastAsia="Arial" w:hAnsi="Arial"/>
                <w:sz w:val="11"/>
                <w:szCs w:val="11"/>
                <w:color w:val="auto"/>
              </w:rPr>
              <w:t>—</w:t>
            </w:r>
          </w:p>
        </w:tc>
        <w:tc>
          <w:tcPr>
            <w:tcW w:w="1000" w:type="dxa"/>
            <w:vAlign w:val="bottom"/>
            <w:shd w:val="clear" w:color="auto" w:fill="E8EED3"/>
          </w:tcPr>
          <w:p>
            <w:pPr>
              <w:jc w:val="center"/>
              <w:ind w:left="363"/>
              <w:spacing w:after="0"/>
              <w:rPr>
                <w:sz w:val="20"/>
                <w:szCs w:val="20"/>
                <w:color w:val="auto"/>
              </w:rPr>
            </w:pPr>
            <w:r>
              <w:rPr>
                <w:rFonts w:ascii="Arial" w:cs="Arial" w:eastAsia="Arial" w:hAnsi="Arial"/>
                <w:sz w:val="11"/>
                <w:szCs w:val="11"/>
                <w:color w:val="auto"/>
                <w:w w:val="90"/>
              </w:rPr>
              <w:t>—</w:t>
            </w:r>
          </w:p>
        </w:tc>
        <w:tc>
          <w:tcPr>
            <w:tcW w:w="980" w:type="dxa"/>
            <w:vAlign w:val="bottom"/>
            <w:shd w:val="clear" w:color="auto" w:fill="E8EED3"/>
          </w:tcPr>
          <w:p>
            <w:pPr>
              <w:jc w:val="right"/>
              <w:ind w:right="163"/>
              <w:spacing w:after="0"/>
              <w:rPr>
                <w:sz w:val="20"/>
                <w:szCs w:val="20"/>
                <w:color w:val="auto"/>
              </w:rPr>
            </w:pPr>
            <w:r>
              <w:rPr>
                <w:rFonts w:ascii="Arial" w:cs="Arial" w:eastAsia="Arial" w:hAnsi="Arial"/>
                <w:sz w:val="11"/>
                <w:szCs w:val="11"/>
                <w:color w:val="auto"/>
              </w:rPr>
              <w:t>—</w:t>
            </w:r>
          </w:p>
        </w:tc>
        <w:tc>
          <w:tcPr>
            <w:tcW w:w="980" w:type="dxa"/>
            <w:vAlign w:val="bottom"/>
            <w:shd w:val="clear" w:color="auto" w:fill="E8EED3"/>
          </w:tcPr>
          <w:p>
            <w:pPr>
              <w:jc w:val="right"/>
              <w:ind w:right="62"/>
              <w:spacing w:after="0"/>
              <w:rPr>
                <w:sz w:val="20"/>
                <w:szCs w:val="20"/>
                <w:color w:val="auto"/>
              </w:rPr>
            </w:pPr>
            <w:r>
              <w:rPr>
                <w:rFonts w:ascii="Arial" w:cs="Arial" w:eastAsia="Arial" w:hAnsi="Arial"/>
                <w:sz w:val="11"/>
                <w:szCs w:val="11"/>
                <w:color w:val="auto"/>
              </w:rPr>
              <w:t>85,785</w:t>
            </w:r>
            <w:r>
              <w:rPr>
                <w:rFonts w:ascii="Arial" w:cs="Arial" w:eastAsia="Arial" w:hAnsi="Arial"/>
                <w:sz w:val="19"/>
                <w:szCs w:val="19"/>
                <w:color w:val="auto"/>
                <w:vertAlign w:val="superscript"/>
              </w:rPr>
              <w:t>6</w:t>
            </w:r>
          </w:p>
        </w:tc>
        <w:tc>
          <w:tcPr>
            <w:tcW w:w="1000" w:type="dxa"/>
            <w:vAlign w:val="bottom"/>
            <w:shd w:val="clear" w:color="auto" w:fill="E8EED3"/>
          </w:tcPr>
          <w:p>
            <w:pPr>
              <w:jc w:val="right"/>
              <w:ind w:right="122"/>
              <w:spacing w:after="0"/>
              <w:rPr>
                <w:sz w:val="20"/>
                <w:szCs w:val="20"/>
                <w:color w:val="auto"/>
              </w:rPr>
            </w:pPr>
            <w:r>
              <w:rPr>
                <w:rFonts w:ascii="Arial" w:cs="Arial" w:eastAsia="Arial" w:hAnsi="Arial"/>
                <w:sz w:val="11"/>
                <w:szCs w:val="11"/>
                <w:color w:val="auto"/>
              </w:rPr>
              <w:t>534,441</w:t>
            </w:r>
          </w:p>
        </w:tc>
        <w:tc>
          <w:tcPr>
            <w:tcW w:w="0" w:type="dxa"/>
            <w:vAlign w:val="bottom"/>
          </w:tcPr>
          <w:p>
            <w:pPr>
              <w:spacing w:after="0"/>
              <w:rPr>
                <w:sz w:val="1"/>
                <w:szCs w:val="1"/>
                <w:color w:val="auto"/>
              </w:rPr>
            </w:pPr>
          </w:p>
        </w:tc>
      </w:tr>
      <w:tr>
        <w:trPr>
          <w:trHeight w:val="194"/>
        </w:trPr>
        <w:tc>
          <w:tcPr>
            <w:tcW w:w="1900" w:type="dxa"/>
            <w:vAlign w:val="bottom"/>
            <w:shd w:val="clear" w:color="auto" w:fill="D2DEA7"/>
          </w:tcPr>
          <w:p>
            <w:pPr>
              <w:ind w:left="40"/>
              <w:spacing w:after="0"/>
              <w:rPr>
                <w:sz w:val="20"/>
                <w:szCs w:val="20"/>
                <w:color w:val="auto"/>
              </w:rPr>
            </w:pPr>
            <w:r>
              <w:rPr>
                <w:rFonts w:ascii="Arial" w:cs="Arial" w:eastAsia="Arial" w:hAnsi="Arial"/>
                <w:sz w:val="11"/>
                <w:szCs w:val="11"/>
                <w:color w:val="auto"/>
              </w:rPr>
              <w:t>Matthew Eckl</w:t>
            </w:r>
          </w:p>
        </w:tc>
        <w:tc>
          <w:tcPr>
            <w:tcW w:w="640" w:type="dxa"/>
            <w:vAlign w:val="bottom"/>
            <w:gridSpan w:val="2"/>
            <w:shd w:val="clear" w:color="auto" w:fill="D2DEA7"/>
          </w:tcPr>
          <w:p>
            <w:pPr>
              <w:jc w:val="right"/>
              <w:spacing w:after="0"/>
              <w:rPr>
                <w:sz w:val="20"/>
                <w:szCs w:val="20"/>
                <w:color w:val="auto"/>
              </w:rPr>
            </w:pPr>
            <w:r>
              <w:rPr>
                <w:rFonts w:ascii="Arial" w:cs="Arial" w:eastAsia="Arial" w:hAnsi="Arial"/>
                <w:sz w:val="11"/>
                <w:szCs w:val="11"/>
                <w:color w:val="auto"/>
              </w:rPr>
              <w:t>1/11/2017</w:t>
            </w:r>
          </w:p>
        </w:tc>
        <w:tc>
          <w:tcPr>
            <w:tcW w:w="320" w:type="dxa"/>
            <w:vAlign w:val="bottom"/>
            <w:shd w:val="clear" w:color="auto" w:fill="D2DEA7"/>
          </w:tcPr>
          <w:p>
            <w:pPr>
              <w:spacing w:after="0"/>
              <w:rPr>
                <w:sz w:val="16"/>
                <w:szCs w:val="16"/>
                <w:color w:val="auto"/>
              </w:rPr>
            </w:pPr>
          </w:p>
        </w:tc>
        <w:tc>
          <w:tcPr>
            <w:tcW w:w="680" w:type="dxa"/>
            <w:vAlign w:val="bottom"/>
            <w:shd w:val="clear" w:color="auto" w:fill="D2DEA7"/>
          </w:tcPr>
          <w:p>
            <w:pPr>
              <w:jc w:val="right"/>
              <w:ind w:right="23"/>
              <w:spacing w:after="0"/>
              <w:rPr>
                <w:sz w:val="20"/>
                <w:szCs w:val="20"/>
                <w:color w:val="auto"/>
              </w:rPr>
            </w:pPr>
            <w:r>
              <w:rPr>
                <w:rFonts w:ascii="Arial" w:cs="Arial" w:eastAsia="Arial" w:hAnsi="Arial"/>
                <w:sz w:val="11"/>
                <w:szCs w:val="11"/>
                <w:color w:val="auto"/>
              </w:rPr>
              <w:t>—</w:t>
            </w:r>
          </w:p>
        </w:tc>
        <w:tc>
          <w:tcPr>
            <w:tcW w:w="1500" w:type="dxa"/>
            <w:vAlign w:val="bottom"/>
            <w:shd w:val="clear" w:color="auto" w:fill="D2DEA7"/>
          </w:tcPr>
          <w:p>
            <w:pPr>
              <w:ind w:left="1040"/>
              <w:spacing w:after="0"/>
              <w:rPr>
                <w:sz w:val="20"/>
                <w:szCs w:val="20"/>
                <w:color w:val="auto"/>
              </w:rPr>
            </w:pPr>
            <w:r>
              <w:rPr>
                <w:rFonts w:ascii="Arial" w:cs="Arial" w:eastAsia="Arial" w:hAnsi="Arial"/>
                <w:sz w:val="11"/>
                <w:szCs w:val="11"/>
                <w:color w:val="auto"/>
              </w:rPr>
              <w:t>—</w:t>
            </w:r>
          </w:p>
        </w:tc>
        <w:tc>
          <w:tcPr>
            <w:tcW w:w="660" w:type="dxa"/>
            <w:vAlign w:val="bottom"/>
            <w:shd w:val="clear" w:color="auto" w:fill="D2DEA7"/>
          </w:tcPr>
          <w:p>
            <w:pPr>
              <w:jc w:val="right"/>
              <w:ind w:right="163"/>
              <w:spacing w:after="0"/>
              <w:rPr>
                <w:sz w:val="20"/>
                <w:szCs w:val="20"/>
                <w:color w:val="auto"/>
              </w:rPr>
            </w:pPr>
            <w:r>
              <w:rPr>
                <w:rFonts w:ascii="Arial" w:cs="Arial" w:eastAsia="Arial" w:hAnsi="Arial"/>
                <w:sz w:val="11"/>
                <w:szCs w:val="11"/>
                <w:color w:val="auto"/>
              </w:rPr>
              <w:t>—</w:t>
            </w:r>
          </w:p>
        </w:tc>
        <w:tc>
          <w:tcPr>
            <w:tcW w:w="880" w:type="dxa"/>
            <w:vAlign w:val="bottom"/>
            <w:shd w:val="clear" w:color="auto" w:fill="D2DEA7"/>
          </w:tcPr>
          <w:p>
            <w:pPr>
              <w:ind w:left="560"/>
              <w:spacing w:after="0"/>
              <w:rPr>
                <w:sz w:val="20"/>
                <w:szCs w:val="20"/>
                <w:color w:val="auto"/>
              </w:rPr>
            </w:pPr>
            <w:r>
              <w:rPr>
                <w:rFonts w:ascii="Arial" w:cs="Arial" w:eastAsia="Arial" w:hAnsi="Arial"/>
                <w:sz w:val="11"/>
                <w:szCs w:val="11"/>
                <w:color w:val="auto"/>
              </w:rPr>
              <w:t>—</w:t>
            </w:r>
          </w:p>
        </w:tc>
        <w:tc>
          <w:tcPr>
            <w:tcW w:w="1000" w:type="dxa"/>
            <w:vAlign w:val="bottom"/>
            <w:shd w:val="clear" w:color="auto" w:fill="D2DEA7"/>
          </w:tcPr>
          <w:p>
            <w:pPr>
              <w:jc w:val="center"/>
              <w:ind w:left="383"/>
              <w:spacing w:after="0" w:line="194" w:lineRule="exact"/>
              <w:rPr>
                <w:sz w:val="20"/>
                <w:szCs w:val="20"/>
                <w:color w:val="auto"/>
              </w:rPr>
            </w:pPr>
            <w:r>
              <w:rPr>
                <w:rFonts w:ascii="Arial" w:cs="Arial" w:eastAsia="Arial" w:hAnsi="Arial"/>
                <w:sz w:val="11"/>
                <w:szCs w:val="11"/>
                <w:color w:val="auto"/>
                <w:w w:val="92"/>
              </w:rPr>
              <w:t>3,000</w:t>
            </w:r>
            <w:r>
              <w:rPr>
                <w:rFonts w:ascii="Arial" w:cs="Arial" w:eastAsia="Arial" w:hAnsi="Arial"/>
                <w:sz w:val="19"/>
                <w:szCs w:val="19"/>
                <w:color w:val="auto"/>
                <w:w w:val="92"/>
                <w:vertAlign w:val="superscript"/>
              </w:rPr>
              <w:t>3</w:t>
            </w:r>
          </w:p>
        </w:tc>
        <w:tc>
          <w:tcPr>
            <w:tcW w:w="980" w:type="dxa"/>
            <w:vAlign w:val="bottom"/>
            <w:shd w:val="clear" w:color="auto" w:fill="D2DEA7"/>
          </w:tcPr>
          <w:p>
            <w:pPr>
              <w:jc w:val="right"/>
              <w:ind w:right="103"/>
              <w:spacing w:after="0"/>
              <w:rPr>
                <w:sz w:val="20"/>
                <w:szCs w:val="20"/>
                <w:color w:val="auto"/>
              </w:rPr>
            </w:pPr>
            <w:r>
              <w:rPr>
                <w:rFonts w:ascii="Arial" w:cs="Arial" w:eastAsia="Arial" w:hAnsi="Arial"/>
                <w:sz w:val="11"/>
                <w:szCs w:val="11"/>
                <w:color w:val="auto"/>
              </w:rPr>
              <w:t>18,690</w:t>
            </w:r>
          </w:p>
        </w:tc>
        <w:tc>
          <w:tcPr>
            <w:tcW w:w="980" w:type="dxa"/>
            <w:vAlign w:val="bottom"/>
            <w:shd w:val="clear" w:color="auto" w:fill="D2DEA7"/>
          </w:tcPr>
          <w:p>
            <w:pPr>
              <w:jc w:val="right"/>
              <w:ind w:right="182"/>
              <w:spacing w:after="0"/>
              <w:rPr>
                <w:sz w:val="20"/>
                <w:szCs w:val="20"/>
                <w:color w:val="auto"/>
              </w:rPr>
            </w:pPr>
            <w:r>
              <w:rPr>
                <w:rFonts w:ascii="Arial" w:cs="Arial" w:eastAsia="Arial" w:hAnsi="Arial"/>
                <w:sz w:val="11"/>
                <w:szCs w:val="11"/>
                <w:color w:val="auto"/>
              </w:rPr>
              <w:t>—</w:t>
            </w:r>
          </w:p>
        </w:tc>
        <w:tc>
          <w:tcPr>
            <w:tcW w:w="1000" w:type="dxa"/>
            <w:vAlign w:val="bottom"/>
            <w:shd w:val="clear" w:color="auto" w:fill="D2DEA7"/>
          </w:tcPr>
          <w:p>
            <w:pPr>
              <w:jc w:val="right"/>
              <w:ind w:right="1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4"/>
        </w:trPr>
        <w:tc>
          <w:tcPr>
            <w:tcW w:w="1900" w:type="dxa"/>
            <w:vAlign w:val="bottom"/>
            <w:shd w:val="clear" w:color="auto" w:fill="D2DEA7"/>
          </w:tcPr>
          <w:p>
            <w:pPr>
              <w:spacing w:after="0"/>
              <w:rPr>
                <w:sz w:val="16"/>
                <w:szCs w:val="16"/>
                <w:color w:val="auto"/>
              </w:rPr>
            </w:pPr>
          </w:p>
        </w:tc>
        <w:tc>
          <w:tcPr>
            <w:tcW w:w="640" w:type="dxa"/>
            <w:vAlign w:val="bottom"/>
            <w:gridSpan w:val="2"/>
            <w:shd w:val="clear" w:color="auto" w:fill="D2DEA7"/>
          </w:tcPr>
          <w:p>
            <w:pPr>
              <w:jc w:val="right"/>
              <w:spacing w:after="0"/>
              <w:rPr>
                <w:sz w:val="20"/>
                <w:szCs w:val="20"/>
                <w:color w:val="auto"/>
              </w:rPr>
            </w:pPr>
            <w:r>
              <w:rPr>
                <w:rFonts w:ascii="Arial" w:cs="Arial" w:eastAsia="Arial" w:hAnsi="Arial"/>
                <w:sz w:val="11"/>
                <w:szCs w:val="11"/>
                <w:color w:val="auto"/>
              </w:rPr>
              <w:t>2/12/2018</w:t>
            </w:r>
          </w:p>
        </w:tc>
        <w:tc>
          <w:tcPr>
            <w:tcW w:w="320" w:type="dxa"/>
            <w:vAlign w:val="bottom"/>
            <w:shd w:val="clear" w:color="auto" w:fill="D2DEA7"/>
          </w:tcPr>
          <w:p>
            <w:pPr>
              <w:spacing w:after="0"/>
              <w:rPr>
                <w:sz w:val="16"/>
                <w:szCs w:val="16"/>
                <w:color w:val="auto"/>
              </w:rPr>
            </w:pPr>
          </w:p>
        </w:tc>
        <w:tc>
          <w:tcPr>
            <w:tcW w:w="680" w:type="dxa"/>
            <w:vAlign w:val="bottom"/>
            <w:shd w:val="clear" w:color="auto" w:fill="D2DEA7"/>
          </w:tcPr>
          <w:p>
            <w:pPr>
              <w:jc w:val="right"/>
              <w:ind w:right="23"/>
              <w:spacing w:after="0"/>
              <w:rPr>
                <w:sz w:val="20"/>
                <w:szCs w:val="20"/>
                <w:color w:val="auto"/>
              </w:rPr>
            </w:pPr>
            <w:r>
              <w:rPr>
                <w:rFonts w:ascii="Arial" w:cs="Arial" w:eastAsia="Arial" w:hAnsi="Arial"/>
                <w:sz w:val="11"/>
                <w:szCs w:val="11"/>
                <w:color w:val="auto"/>
              </w:rPr>
              <w:t>—</w:t>
            </w:r>
          </w:p>
        </w:tc>
        <w:tc>
          <w:tcPr>
            <w:tcW w:w="1500" w:type="dxa"/>
            <w:vAlign w:val="bottom"/>
            <w:shd w:val="clear" w:color="auto" w:fill="D2DEA7"/>
          </w:tcPr>
          <w:p>
            <w:pPr>
              <w:ind w:left="1040"/>
              <w:spacing w:after="0"/>
              <w:rPr>
                <w:sz w:val="20"/>
                <w:szCs w:val="20"/>
                <w:color w:val="auto"/>
              </w:rPr>
            </w:pPr>
            <w:r>
              <w:rPr>
                <w:rFonts w:ascii="Arial" w:cs="Arial" w:eastAsia="Arial" w:hAnsi="Arial"/>
                <w:sz w:val="11"/>
                <w:szCs w:val="11"/>
                <w:color w:val="auto"/>
              </w:rPr>
              <w:t>—</w:t>
            </w:r>
          </w:p>
        </w:tc>
        <w:tc>
          <w:tcPr>
            <w:tcW w:w="660" w:type="dxa"/>
            <w:vAlign w:val="bottom"/>
            <w:shd w:val="clear" w:color="auto" w:fill="D2DEA7"/>
          </w:tcPr>
          <w:p>
            <w:pPr>
              <w:jc w:val="right"/>
              <w:ind w:right="163"/>
              <w:spacing w:after="0"/>
              <w:rPr>
                <w:sz w:val="20"/>
                <w:szCs w:val="20"/>
                <w:color w:val="auto"/>
              </w:rPr>
            </w:pPr>
            <w:r>
              <w:rPr>
                <w:rFonts w:ascii="Arial" w:cs="Arial" w:eastAsia="Arial" w:hAnsi="Arial"/>
                <w:sz w:val="11"/>
                <w:szCs w:val="11"/>
                <w:color w:val="auto"/>
              </w:rPr>
              <w:t>—</w:t>
            </w:r>
          </w:p>
        </w:tc>
        <w:tc>
          <w:tcPr>
            <w:tcW w:w="880" w:type="dxa"/>
            <w:vAlign w:val="bottom"/>
            <w:shd w:val="clear" w:color="auto" w:fill="D2DEA7"/>
          </w:tcPr>
          <w:p>
            <w:pPr>
              <w:ind w:left="560"/>
              <w:spacing w:after="0"/>
              <w:rPr>
                <w:sz w:val="20"/>
                <w:szCs w:val="20"/>
                <w:color w:val="auto"/>
              </w:rPr>
            </w:pPr>
            <w:r>
              <w:rPr>
                <w:rFonts w:ascii="Arial" w:cs="Arial" w:eastAsia="Arial" w:hAnsi="Arial"/>
                <w:sz w:val="11"/>
                <w:szCs w:val="11"/>
                <w:color w:val="auto"/>
              </w:rPr>
              <w:t>—</w:t>
            </w:r>
          </w:p>
        </w:tc>
        <w:tc>
          <w:tcPr>
            <w:tcW w:w="1000" w:type="dxa"/>
            <w:vAlign w:val="bottom"/>
            <w:shd w:val="clear" w:color="auto" w:fill="D2DEA7"/>
          </w:tcPr>
          <w:p>
            <w:pPr>
              <w:jc w:val="center"/>
              <w:ind w:left="383"/>
              <w:spacing w:after="0" w:line="194" w:lineRule="exact"/>
              <w:rPr>
                <w:sz w:val="20"/>
                <w:szCs w:val="20"/>
                <w:color w:val="auto"/>
              </w:rPr>
            </w:pPr>
            <w:r>
              <w:rPr>
                <w:rFonts w:ascii="Arial" w:cs="Arial" w:eastAsia="Arial" w:hAnsi="Arial"/>
                <w:sz w:val="11"/>
                <w:szCs w:val="11"/>
                <w:color w:val="auto"/>
                <w:w w:val="92"/>
              </w:rPr>
              <w:t>8,000</w:t>
            </w:r>
            <w:r>
              <w:rPr>
                <w:rFonts w:ascii="Arial" w:cs="Arial" w:eastAsia="Arial" w:hAnsi="Arial"/>
                <w:sz w:val="19"/>
                <w:szCs w:val="19"/>
                <w:color w:val="auto"/>
                <w:w w:val="92"/>
                <w:vertAlign w:val="superscript"/>
              </w:rPr>
              <w:t>3</w:t>
            </w:r>
          </w:p>
        </w:tc>
        <w:tc>
          <w:tcPr>
            <w:tcW w:w="980" w:type="dxa"/>
            <w:vAlign w:val="bottom"/>
            <w:shd w:val="clear" w:color="auto" w:fill="D2DEA7"/>
          </w:tcPr>
          <w:p>
            <w:pPr>
              <w:jc w:val="right"/>
              <w:ind w:right="103"/>
              <w:spacing w:after="0"/>
              <w:rPr>
                <w:sz w:val="20"/>
                <w:szCs w:val="20"/>
                <w:color w:val="auto"/>
              </w:rPr>
            </w:pPr>
            <w:r>
              <w:rPr>
                <w:rFonts w:ascii="Arial" w:cs="Arial" w:eastAsia="Arial" w:hAnsi="Arial"/>
                <w:sz w:val="11"/>
                <w:szCs w:val="11"/>
                <w:color w:val="auto"/>
              </w:rPr>
              <w:t>49,840</w:t>
            </w:r>
          </w:p>
        </w:tc>
        <w:tc>
          <w:tcPr>
            <w:tcW w:w="980" w:type="dxa"/>
            <w:vAlign w:val="bottom"/>
            <w:shd w:val="clear" w:color="auto" w:fill="D2DEA7"/>
          </w:tcPr>
          <w:p>
            <w:pPr>
              <w:jc w:val="right"/>
              <w:ind w:right="182"/>
              <w:spacing w:after="0"/>
              <w:rPr>
                <w:sz w:val="20"/>
                <w:szCs w:val="20"/>
                <w:color w:val="auto"/>
              </w:rPr>
            </w:pPr>
            <w:r>
              <w:rPr>
                <w:rFonts w:ascii="Arial" w:cs="Arial" w:eastAsia="Arial" w:hAnsi="Arial"/>
                <w:sz w:val="11"/>
                <w:szCs w:val="11"/>
                <w:color w:val="auto"/>
              </w:rPr>
              <w:t>—</w:t>
            </w:r>
          </w:p>
        </w:tc>
        <w:tc>
          <w:tcPr>
            <w:tcW w:w="1000" w:type="dxa"/>
            <w:vAlign w:val="bottom"/>
            <w:shd w:val="clear" w:color="auto" w:fill="D2DEA7"/>
          </w:tcPr>
          <w:p>
            <w:pPr>
              <w:jc w:val="right"/>
              <w:ind w:right="1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1900" w:type="dxa"/>
            <w:vAlign w:val="bottom"/>
            <w:shd w:val="clear" w:color="auto" w:fill="D2DEA7"/>
          </w:tcPr>
          <w:p>
            <w:pPr>
              <w:spacing w:after="0"/>
              <w:rPr>
                <w:sz w:val="14"/>
                <w:szCs w:val="14"/>
                <w:color w:val="auto"/>
              </w:rPr>
            </w:pPr>
          </w:p>
        </w:tc>
        <w:tc>
          <w:tcPr>
            <w:tcW w:w="140" w:type="dxa"/>
            <w:vAlign w:val="bottom"/>
            <w:shd w:val="clear" w:color="auto" w:fill="D2DEA7"/>
          </w:tcPr>
          <w:p>
            <w:pPr>
              <w:spacing w:after="0"/>
              <w:rPr>
                <w:sz w:val="14"/>
                <w:szCs w:val="14"/>
                <w:color w:val="auto"/>
              </w:rPr>
            </w:pPr>
          </w:p>
        </w:tc>
        <w:tc>
          <w:tcPr>
            <w:tcW w:w="500" w:type="dxa"/>
            <w:vAlign w:val="bottom"/>
            <w:shd w:val="clear" w:color="auto" w:fill="D2DEA7"/>
          </w:tcPr>
          <w:p>
            <w:pPr>
              <w:jc w:val="right"/>
              <w:spacing w:after="0"/>
              <w:rPr>
                <w:sz w:val="20"/>
                <w:szCs w:val="20"/>
                <w:color w:val="auto"/>
              </w:rPr>
            </w:pPr>
            <w:r>
              <w:rPr>
                <w:rFonts w:ascii="Arial" w:cs="Arial" w:eastAsia="Arial" w:hAnsi="Arial"/>
                <w:sz w:val="11"/>
                <w:szCs w:val="11"/>
                <w:color w:val="auto"/>
                <w:w w:val="97"/>
              </w:rPr>
              <w:t>4/19/2018</w:t>
            </w:r>
          </w:p>
        </w:tc>
        <w:tc>
          <w:tcPr>
            <w:tcW w:w="320" w:type="dxa"/>
            <w:vAlign w:val="bottom"/>
            <w:shd w:val="clear" w:color="auto" w:fill="D2DEA7"/>
          </w:tcPr>
          <w:p>
            <w:pPr>
              <w:spacing w:after="0"/>
              <w:rPr>
                <w:sz w:val="14"/>
                <w:szCs w:val="14"/>
                <w:color w:val="auto"/>
              </w:rPr>
            </w:pPr>
          </w:p>
        </w:tc>
        <w:tc>
          <w:tcPr>
            <w:tcW w:w="680" w:type="dxa"/>
            <w:vAlign w:val="bottom"/>
            <w:shd w:val="clear" w:color="auto" w:fill="D2DEA7"/>
          </w:tcPr>
          <w:p>
            <w:pPr>
              <w:jc w:val="right"/>
              <w:ind w:right="23"/>
              <w:spacing w:after="0"/>
              <w:rPr>
                <w:sz w:val="20"/>
                <w:szCs w:val="20"/>
                <w:color w:val="auto"/>
              </w:rPr>
            </w:pPr>
            <w:r>
              <w:rPr>
                <w:rFonts w:ascii="Arial" w:cs="Arial" w:eastAsia="Arial" w:hAnsi="Arial"/>
                <w:sz w:val="11"/>
                <w:szCs w:val="11"/>
                <w:color w:val="auto"/>
              </w:rPr>
              <w:t>—</w:t>
            </w:r>
          </w:p>
        </w:tc>
        <w:tc>
          <w:tcPr>
            <w:tcW w:w="1500" w:type="dxa"/>
            <w:vAlign w:val="bottom"/>
            <w:shd w:val="clear" w:color="auto" w:fill="D2DEA7"/>
          </w:tcPr>
          <w:p>
            <w:pPr>
              <w:ind w:left="1040"/>
              <w:spacing w:after="0"/>
              <w:rPr>
                <w:sz w:val="20"/>
                <w:szCs w:val="20"/>
                <w:color w:val="auto"/>
              </w:rPr>
            </w:pPr>
            <w:r>
              <w:rPr>
                <w:rFonts w:ascii="Arial" w:cs="Arial" w:eastAsia="Arial" w:hAnsi="Arial"/>
                <w:sz w:val="11"/>
                <w:szCs w:val="11"/>
                <w:color w:val="auto"/>
              </w:rPr>
              <w:t>—</w:t>
            </w:r>
          </w:p>
        </w:tc>
        <w:tc>
          <w:tcPr>
            <w:tcW w:w="660" w:type="dxa"/>
            <w:vAlign w:val="bottom"/>
            <w:shd w:val="clear" w:color="auto" w:fill="D2DEA7"/>
          </w:tcPr>
          <w:p>
            <w:pPr>
              <w:jc w:val="right"/>
              <w:ind w:right="163"/>
              <w:spacing w:after="0"/>
              <w:rPr>
                <w:sz w:val="20"/>
                <w:szCs w:val="20"/>
                <w:color w:val="auto"/>
              </w:rPr>
            </w:pPr>
            <w:r>
              <w:rPr>
                <w:rFonts w:ascii="Arial" w:cs="Arial" w:eastAsia="Arial" w:hAnsi="Arial"/>
                <w:sz w:val="11"/>
                <w:szCs w:val="11"/>
                <w:color w:val="auto"/>
              </w:rPr>
              <w:t>—</w:t>
            </w:r>
          </w:p>
        </w:tc>
        <w:tc>
          <w:tcPr>
            <w:tcW w:w="880" w:type="dxa"/>
            <w:vAlign w:val="bottom"/>
            <w:shd w:val="clear" w:color="auto" w:fill="D2DEA7"/>
          </w:tcPr>
          <w:p>
            <w:pPr>
              <w:ind w:left="560"/>
              <w:spacing w:after="0"/>
              <w:rPr>
                <w:sz w:val="20"/>
                <w:szCs w:val="20"/>
                <w:color w:val="auto"/>
              </w:rPr>
            </w:pPr>
            <w:r>
              <w:rPr>
                <w:rFonts w:ascii="Arial" w:cs="Arial" w:eastAsia="Arial" w:hAnsi="Arial"/>
                <w:sz w:val="11"/>
                <w:szCs w:val="11"/>
                <w:color w:val="auto"/>
              </w:rPr>
              <w:t>—</w:t>
            </w:r>
          </w:p>
        </w:tc>
        <w:tc>
          <w:tcPr>
            <w:tcW w:w="1000" w:type="dxa"/>
            <w:vAlign w:val="bottom"/>
            <w:shd w:val="clear" w:color="auto" w:fill="D2DEA7"/>
          </w:tcPr>
          <w:p>
            <w:pPr>
              <w:jc w:val="right"/>
              <w:ind w:right="103"/>
              <w:spacing w:after="0"/>
              <w:rPr>
                <w:sz w:val="20"/>
                <w:szCs w:val="20"/>
                <w:color w:val="auto"/>
              </w:rPr>
            </w:pPr>
            <w:r>
              <w:rPr>
                <w:rFonts w:ascii="Arial" w:cs="Arial" w:eastAsia="Arial" w:hAnsi="Arial"/>
                <w:sz w:val="11"/>
                <w:szCs w:val="11"/>
                <w:color w:val="auto"/>
              </w:rPr>
              <w:t>1,250</w:t>
            </w:r>
          </w:p>
        </w:tc>
        <w:tc>
          <w:tcPr>
            <w:tcW w:w="980" w:type="dxa"/>
            <w:vAlign w:val="bottom"/>
            <w:shd w:val="clear" w:color="auto" w:fill="D2DEA7"/>
          </w:tcPr>
          <w:p>
            <w:pPr>
              <w:jc w:val="right"/>
              <w:ind w:right="103"/>
              <w:spacing w:after="0"/>
              <w:rPr>
                <w:sz w:val="20"/>
                <w:szCs w:val="20"/>
                <w:color w:val="auto"/>
              </w:rPr>
            </w:pPr>
            <w:r>
              <w:rPr>
                <w:rFonts w:ascii="Arial" w:cs="Arial" w:eastAsia="Arial" w:hAnsi="Arial"/>
                <w:sz w:val="11"/>
                <w:szCs w:val="11"/>
                <w:color w:val="auto"/>
              </w:rPr>
              <w:t>7,788</w:t>
            </w:r>
          </w:p>
        </w:tc>
        <w:tc>
          <w:tcPr>
            <w:tcW w:w="980" w:type="dxa"/>
            <w:vAlign w:val="bottom"/>
            <w:shd w:val="clear" w:color="auto" w:fill="D2DEA7"/>
          </w:tcPr>
          <w:p>
            <w:pPr>
              <w:jc w:val="right"/>
              <w:ind w:right="182"/>
              <w:spacing w:after="0"/>
              <w:rPr>
                <w:sz w:val="20"/>
                <w:szCs w:val="20"/>
                <w:color w:val="auto"/>
              </w:rPr>
            </w:pPr>
            <w:r>
              <w:rPr>
                <w:rFonts w:ascii="Arial" w:cs="Arial" w:eastAsia="Arial" w:hAnsi="Arial"/>
                <w:sz w:val="11"/>
                <w:szCs w:val="11"/>
                <w:color w:val="auto"/>
              </w:rPr>
              <w:t>—</w:t>
            </w:r>
          </w:p>
        </w:tc>
        <w:tc>
          <w:tcPr>
            <w:tcW w:w="1000" w:type="dxa"/>
            <w:vAlign w:val="bottom"/>
            <w:shd w:val="clear" w:color="auto" w:fill="D2DEA7"/>
          </w:tcPr>
          <w:p>
            <w:pPr>
              <w:jc w:val="right"/>
              <w:ind w:right="1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4"/>
        </w:trPr>
        <w:tc>
          <w:tcPr>
            <w:tcW w:w="1900" w:type="dxa"/>
            <w:vAlign w:val="bottom"/>
            <w:shd w:val="clear" w:color="auto" w:fill="D2DEA7"/>
          </w:tcPr>
          <w:p>
            <w:pPr>
              <w:spacing w:after="0"/>
              <w:rPr>
                <w:sz w:val="16"/>
                <w:szCs w:val="16"/>
                <w:color w:val="auto"/>
              </w:rPr>
            </w:pPr>
          </w:p>
        </w:tc>
        <w:tc>
          <w:tcPr>
            <w:tcW w:w="140" w:type="dxa"/>
            <w:vAlign w:val="bottom"/>
            <w:shd w:val="clear" w:color="auto" w:fill="D2DEA7"/>
          </w:tcPr>
          <w:p>
            <w:pPr>
              <w:spacing w:after="0"/>
              <w:rPr>
                <w:sz w:val="16"/>
                <w:szCs w:val="16"/>
                <w:color w:val="auto"/>
              </w:rPr>
            </w:pPr>
          </w:p>
        </w:tc>
        <w:tc>
          <w:tcPr>
            <w:tcW w:w="500" w:type="dxa"/>
            <w:vAlign w:val="bottom"/>
            <w:shd w:val="clear" w:color="auto" w:fill="D2DEA7"/>
          </w:tcPr>
          <w:p>
            <w:pPr>
              <w:jc w:val="right"/>
              <w:spacing w:after="0"/>
              <w:rPr>
                <w:sz w:val="20"/>
                <w:szCs w:val="20"/>
                <w:color w:val="auto"/>
              </w:rPr>
            </w:pPr>
            <w:r>
              <w:rPr>
                <w:rFonts w:ascii="Arial" w:cs="Arial" w:eastAsia="Arial" w:hAnsi="Arial"/>
                <w:sz w:val="11"/>
                <w:szCs w:val="11"/>
                <w:color w:val="auto"/>
                <w:w w:val="97"/>
              </w:rPr>
              <w:t>3/08/2019</w:t>
            </w:r>
          </w:p>
        </w:tc>
        <w:tc>
          <w:tcPr>
            <w:tcW w:w="320" w:type="dxa"/>
            <w:vAlign w:val="bottom"/>
            <w:shd w:val="clear" w:color="auto" w:fill="D2DEA7"/>
          </w:tcPr>
          <w:p>
            <w:pPr>
              <w:spacing w:after="0"/>
              <w:rPr>
                <w:sz w:val="16"/>
                <w:szCs w:val="16"/>
                <w:color w:val="auto"/>
              </w:rPr>
            </w:pPr>
          </w:p>
        </w:tc>
        <w:tc>
          <w:tcPr>
            <w:tcW w:w="680" w:type="dxa"/>
            <w:vAlign w:val="bottom"/>
            <w:shd w:val="clear" w:color="auto" w:fill="D2DEA7"/>
          </w:tcPr>
          <w:p>
            <w:pPr>
              <w:jc w:val="right"/>
              <w:ind w:right="23"/>
              <w:spacing w:after="0"/>
              <w:rPr>
                <w:sz w:val="20"/>
                <w:szCs w:val="20"/>
                <w:color w:val="auto"/>
              </w:rPr>
            </w:pPr>
            <w:r>
              <w:rPr>
                <w:rFonts w:ascii="Arial" w:cs="Arial" w:eastAsia="Arial" w:hAnsi="Arial"/>
                <w:sz w:val="11"/>
                <w:szCs w:val="11"/>
                <w:color w:val="auto"/>
              </w:rPr>
              <w:t>—</w:t>
            </w:r>
          </w:p>
        </w:tc>
        <w:tc>
          <w:tcPr>
            <w:tcW w:w="1500" w:type="dxa"/>
            <w:vAlign w:val="bottom"/>
            <w:shd w:val="clear" w:color="auto" w:fill="D2DEA7"/>
          </w:tcPr>
          <w:p>
            <w:pPr>
              <w:ind w:left="1040"/>
              <w:spacing w:after="0"/>
              <w:rPr>
                <w:sz w:val="20"/>
                <w:szCs w:val="20"/>
                <w:color w:val="auto"/>
              </w:rPr>
            </w:pPr>
            <w:r>
              <w:rPr>
                <w:rFonts w:ascii="Arial" w:cs="Arial" w:eastAsia="Arial" w:hAnsi="Arial"/>
                <w:sz w:val="11"/>
                <w:szCs w:val="11"/>
                <w:color w:val="auto"/>
              </w:rPr>
              <w:t>—</w:t>
            </w:r>
          </w:p>
        </w:tc>
        <w:tc>
          <w:tcPr>
            <w:tcW w:w="660" w:type="dxa"/>
            <w:vAlign w:val="bottom"/>
            <w:shd w:val="clear" w:color="auto" w:fill="D2DEA7"/>
          </w:tcPr>
          <w:p>
            <w:pPr>
              <w:jc w:val="right"/>
              <w:ind w:right="163"/>
              <w:spacing w:after="0"/>
              <w:rPr>
                <w:sz w:val="20"/>
                <w:szCs w:val="20"/>
                <w:color w:val="auto"/>
              </w:rPr>
            </w:pPr>
            <w:r>
              <w:rPr>
                <w:rFonts w:ascii="Arial" w:cs="Arial" w:eastAsia="Arial" w:hAnsi="Arial"/>
                <w:sz w:val="11"/>
                <w:szCs w:val="11"/>
                <w:color w:val="auto"/>
              </w:rPr>
              <w:t>—</w:t>
            </w:r>
          </w:p>
        </w:tc>
        <w:tc>
          <w:tcPr>
            <w:tcW w:w="880" w:type="dxa"/>
            <w:vAlign w:val="bottom"/>
            <w:shd w:val="clear" w:color="auto" w:fill="D2DEA7"/>
          </w:tcPr>
          <w:p>
            <w:pPr>
              <w:ind w:left="560"/>
              <w:spacing w:after="0"/>
              <w:rPr>
                <w:sz w:val="20"/>
                <w:szCs w:val="20"/>
                <w:color w:val="auto"/>
              </w:rPr>
            </w:pPr>
            <w:r>
              <w:rPr>
                <w:rFonts w:ascii="Arial" w:cs="Arial" w:eastAsia="Arial" w:hAnsi="Arial"/>
                <w:sz w:val="11"/>
                <w:szCs w:val="11"/>
                <w:color w:val="auto"/>
              </w:rPr>
              <w:t>—</w:t>
            </w:r>
          </w:p>
        </w:tc>
        <w:tc>
          <w:tcPr>
            <w:tcW w:w="1000" w:type="dxa"/>
            <w:vAlign w:val="bottom"/>
            <w:shd w:val="clear" w:color="auto" w:fill="D2DEA7"/>
          </w:tcPr>
          <w:p>
            <w:pPr>
              <w:jc w:val="right"/>
              <w:ind w:right="103"/>
              <w:spacing w:after="0"/>
              <w:rPr>
                <w:sz w:val="20"/>
                <w:szCs w:val="20"/>
                <w:color w:val="auto"/>
              </w:rPr>
            </w:pPr>
            <w:r>
              <w:rPr>
                <w:rFonts w:ascii="Arial" w:cs="Arial" w:eastAsia="Arial" w:hAnsi="Arial"/>
                <w:sz w:val="11"/>
                <w:szCs w:val="11"/>
                <w:color w:val="auto"/>
              </w:rPr>
              <w:t>8,633</w:t>
            </w:r>
          </w:p>
        </w:tc>
        <w:tc>
          <w:tcPr>
            <w:tcW w:w="980" w:type="dxa"/>
            <w:vAlign w:val="bottom"/>
            <w:shd w:val="clear" w:color="auto" w:fill="D2DEA7"/>
          </w:tcPr>
          <w:p>
            <w:pPr>
              <w:jc w:val="right"/>
              <w:ind w:right="103"/>
              <w:spacing w:after="0"/>
              <w:rPr>
                <w:sz w:val="20"/>
                <w:szCs w:val="20"/>
                <w:color w:val="auto"/>
              </w:rPr>
            </w:pPr>
            <w:r>
              <w:rPr>
                <w:rFonts w:ascii="Arial" w:cs="Arial" w:eastAsia="Arial" w:hAnsi="Arial"/>
                <w:sz w:val="11"/>
                <w:szCs w:val="11"/>
                <w:color w:val="auto"/>
              </w:rPr>
              <w:t>53,784</w:t>
            </w:r>
          </w:p>
        </w:tc>
        <w:tc>
          <w:tcPr>
            <w:tcW w:w="980" w:type="dxa"/>
            <w:vAlign w:val="bottom"/>
            <w:shd w:val="clear" w:color="auto" w:fill="D2DEA7"/>
          </w:tcPr>
          <w:p>
            <w:pPr>
              <w:jc w:val="right"/>
              <w:ind w:right="182"/>
              <w:spacing w:after="0"/>
              <w:rPr>
                <w:sz w:val="20"/>
                <w:szCs w:val="20"/>
                <w:color w:val="auto"/>
              </w:rPr>
            </w:pPr>
            <w:r>
              <w:rPr>
                <w:rFonts w:ascii="Arial" w:cs="Arial" w:eastAsia="Arial" w:hAnsi="Arial"/>
                <w:sz w:val="11"/>
                <w:szCs w:val="11"/>
                <w:color w:val="auto"/>
              </w:rPr>
              <w:t>—</w:t>
            </w:r>
          </w:p>
        </w:tc>
        <w:tc>
          <w:tcPr>
            <w:tcW w:w="1000" w:type="dxa"/>
            <w:vAlign w:val="bottom"/>
            <w:shd w:val="clear" w:color="auto" w:fill="D2DEA7"/>
          </w:tcPr>
          <w:p>
            <w:pPr>
              <w:jc w:val="right"/>
              <w:ind w:right="1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4"/>
        </w:trPr>
        <w:tc>
          <w:tcPr>
            <w:tcW w:w="1900" w:type="dxa"/>
            <w:vAlign w:val="bottom"/>
            <w:shd w:val="clear" w:color="auto" w:fill="D2DEA7"/>
          </w:tcPr>
          <w:p>
            <w:pPr>
              <w:spacing w:after="0"/>
              <w:rPr>
                <w:sz w:val="16"/>
                <w:szCs w:val="16"/>
                <w:color w:val="auto"/>
              </w:rPr>
            </w:pPr>
          </w:p>
        </w:tc>
        <w:tc>
          <w:tcPr>
            <w:tcW w:w="140" w:type="dxa"/>
            <w:vAlign w:val="bottom"/>
            <w:shd w:val="clear" w:color="auto" w:fill="D2DEA7"/>
          </w:tcPr>
          <w:p>
            <w:pPr>
              <w:spacing w:after="0"/>
              <w:rPr>
                <w:sz w:val="16"/>
                <w:szCs w:val="16"/>
                <w:color w:val="auto"/>
              </w:rPr>
            </w:pPr>
          </w:p>
        </w:tc>
        <w:tc>
          <w:tcPr>
            <w:tcW w:w="500" w:type="dxa"/>
            <w:vAlign w:val="bottom"/>
            <w:shd w:val="clear" w:color="auto" w:fill="D2DEA7"/>
          </w:tcPr>
          <w:p>
            <w:pPr>
              <w:jc w:val="right"/>
              <w:spacing w:after="0"/>
              <w:rPr>
                <w:sz w:val="20"/>
                <w:szCs w:val="20"/>
                <w:color w:val="auto"/>
              </w:rPr>
            </w:pPr>
            <w:r>
              <w:rPr>
                <w:rFonts w:ascii="Arial" w:cs="Arial" w:eastAsia="Arial" w:hAnsi="Arial"/>
                <w:sz w:val="11"/>
                <w:szCs w:val="11"/>
                <w:color w:val="auto"/>
                <w:w w:val="97"/>
              </w:rPr>
              <w:t>5/20/2020</w:t>
            </w:r>
          </w:p>
        </w:tc>
        <w:tc>
          <w:tcPr>
            <w:tcW w:w="320" w:type="dxa"/>
            <w:vAlign w:val="bottom"/>
            <w:shd w:val="clear" w:color="auto" w:fill="D2DEA7"/>
          </w:tcPr>
          <w:p>
            <w:pPr>
              <w:spacing w:after="0"/>
              <w:rPr>
                <w:sz w:val="16"/>
                <w:szCs w:val="16"/>
                <w:color w:val="auto"/>
              </w:rPr>
            </w:pPr>
          </w:p>
        </w:tc>
        <w:tc>
          <w:tcPr>
            <w:tcW w:w="680" w:type="dxa"/>
            <w:vAlign w:val="bottom"/>
            <w:shd w:val="clear" w:color="auto" w:fill="D2DEA7"/>
          </w:tcPr>
          <w:p>
            <w:pPr>
              <w:jc w:val="right"/>
              <w:ind w:right="23"/>
              <w:spacing w:after="0"/>
              <w:rPr>
                <w:sz w:val="20"/>
                <w:szCs w:val="20"/>
                <w:color w:val="auto"/>
              </w:rPr>
            </w:pPr>
            <w:r>
              <w:rPr>
                <w:rFonts w:ascii="Arial" w:cs="Arial" w:eastAsia="Arial" w:hAnsi="Arial"/>
                <w:sz w:val="11"/>
                <w:szCs w:val="11"/>
                <w:color w:val="auto"/>
              </w:rPr>
              <w:t>—</w:t>
            </w:r>
          </w:p>
        </w:tc>
        <w:tc>
          <w:tcPr>
            <w:tcW w:w="1500" w:type="dxa"/>
            <w:vAlign w:val="bottom"/>
            <w:shd w:val="clear" w:color="auto" w:fill="D2DEA7"/>
          </w:tcPr>
          <w:p>
            <w:pPr>
              <w:ind w:left="1040"/>
              <w:spacing w:after="0"/>
              <w:rPr>
                <w:sz w:val="20"/>
                <w:szCs w:val="20"/>
                <w:color w:val="auto"/>
              </w:rPr>
            </w:pPr>
            <w:r>
              <w:rPr>
                <w:rFonts w:ascii="Arial" w:cs="Arial" w:eastAsia="Arial" w:hAnsi="Arial"/>
                <w:sz w:val="11"/>
                <w:szCs w:val="11"/>
                <w:color w:val="auto"/>
              </w:rPr>
              <w:t>—</w:t>
            </w:r>
          </w:p>
        </w:tc>
        <w:tc>
          <w:tcPr>
            <w:tcW w:w="660" w:type="dxa"/>
            <w:vAlign w:val="bottom"/>
            <w:shd w:val="clear" w:color="auto" w:fill="D2DEA7"/>
          </w:tcPr>
          <w:p>
            <w:pPr>
              <w:jc w:val="right"/>
              <w:ind w:right="163"/>
              <w:spacing w:after="0"/>
              <w:rPr>
                <w:sz w:val="20"/>
                <w:szCs w:val="20"/>
                <w:color w:val="auto"/>
              </w:rPr>
            </w:pPr>
            <w:r>
              <w:rPr>
                <w:rFonts w:ascii="Arial" w:cs="Arial" w:eastAsia="Arial" w:hAnsi="Arial"/>
                <w:sz w:val="11"/>
                <w:szCs w:val="11"/>
                <w:color w:val="auto"/>
              </w:rPr>
              <w:t>—</w:t>
            </w:r>
          </w:p>
        </w:tc>
        <w:tc>
          <w:tcPr>
            <w:tcW w:w="880" w:type="dxa"/>
            <w:vAlign w:val="bottom"/>
            <w:shd w:val="clear" w:color="auto" w:fill="D2DEA7"/>
          </w:tcPr>
          <w:p>
            <w:pPr>
              <w:ind w:left="560"/>
              <w:spacing w:after="0"/>
              <w:rPr>
                <w:sz w:val="20"/>
                <w:szCs w:val="20"/>
                <w:color w:val="auto"/>
              </w:rPr>
            </w:pPr>
            <w:r>
              <w:rPr>
                <w:rFonts w:ascii="Arial" w:cs="Arial" w:eastAsia="Arial" w:hAnsi="Arial"/>
                <w:sz w:val="11"/>
                <w:szCs w:val="11"/>
                <w:color w:val="auto"/>
              </w:rPr>
              <w:t>—</w:t>
            </w:r>
          </w:p>
        </w:tc>
        <w:tc>
          <w:tcPr>
            <w:tcW w:w="1000" w:type="dxa"/>
            <w:vAlign w:val="bottom"/>
            <w:shd w:val="clear" w:color="auto" w:fill="D2DEA7"/>
          </w:tcPr>
          <w:p>
            <w:pPr>
              <w:jc w:val="right"/>
              <w:ind w:right="103"/>
              <w:spacing w:after="0"/>
              <w:rPr>
                <w:sz w:val="20"/>
                <w:szCs w:val="20"/>
                <w:color w:val="auto"/>
              </w:rPr>
            </w:pPr>
            <w:r>
              <w:rPr>
                <w:rFonts w:ascii="Arial" w:cs="Arial" w:eastAsia="Arial" w:hAnsi="Arial"/>
                <w:sz w:val="11"/>
                <w:szCs w:val="11"/>
                <w:color w:val="auto"/>
              </w:rPr>
              <w:t>15,000</w:t>
            </w:r>
          </w:p>
        </w:tc>
        <w:tc>
          <w:tcPr>
            <w:tcW w:w="980" w:type="dxa"/>
            <w:vAlign w:val="bottom"/>
            <w:shd w:val="clear" w:color="auto" w:fill="D2DEA7"/>
          </w:tcPr>
          <w:p>
            <w:pPr>
              <w:jc w:val="right"/>
              <w:ind w:right="103"/>
              <w:spacing w:after="0"/>
              <w:rPr>
                <w:sz w:val="20"/>
                <w:szCs w:val="20"/>
                <w:color w:val="auto"/>
              </w:rPr>
            </w:pPr>
            <w:r>
              <w:rPr>
                <w:rFonts w:ascii="Arial" w:cs="Arial" w:eastAsia="Arial" w:hAnsi="Arial"/>
                <w:sz w:val="11"/>
                <w:szCs w:val="11"/>
                <w:color w:val="auto"/>
              </w:rPr>
              <w:t>93,450</w:t>
            </w:r>
          </w:p>
        </w:tc>
        <w:tc>
          <w:tcPr>
            <w:tcW w:w="980" w:type="dxa"/>
            <w:vAlign w:val="bottom"/>
            <w:shd w:val="clear" w:color="auto" w:fill="D2DEA7"/>
          </w:tcPr>
          <w:p>
            <w:pPr>
              <w:jc w:val="right"/>
              <w:ind w:right="182"/>
              <w:spacing w:after="0"/>
              <w:rPr>
                <w:sz w:val="20"/>
                <w:szCs w:val="20"/>
                <w:color w:val="auto"/>
              </w:rPr>
            </w:pPr>
            <w:r>
              <w:rPr>
                <w:rFonts w:ascii="Arial" w:cs="Arial" w:eastAsia="Arial" w:hAnsi="Arial"/>
                <w:sz w:val="11"/>
                <w:szCs w:val="11"/>
                <w:color w:val="auto"/>
              </w:rPr>
              <w:t>—</w:t>
            </w:r>
          </w:p>
        </w:tc>
        <w:tc>
          <w:tcPr>
            <w:tcW w:w="1000" w:type="dxa"/>
            <w:vAlign w:val="bottom"/>
            <w:shd w:val="clear" w:color="auto" w:fill="D2DEA7"/>
          </w:tcPr>
          <w:p>
            <w:pPr>
              <w:jc w:val="right"/>
              <w:ind w:right="1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4"/>
        </w:trPr>
        <w:tc>
          <w:tcPr>
            <w:tcW w:w="1900" w:type="dxa"/>
            <w:vAlign w:val="bottom"/>
            <w:shd w:val="clear" w:color="auto" w:fill="D2DEA7"/>
          </w:tcPr>
          <w:p>
            <w:pPr>
              <w:spacing w:after="0"/>
              <w:rPr>
                <w:sz w:val="16"/>
                <w:szCs w:val="16"/>
                <w:color w:val="auto"/>
              </w:rPr>
            </w:pPr>
          </w:p>
        </w:tc>
        <w:tc>
          <w:tcPr>
            <w:tcW w:w="140" w:type="dxa"/>
            <w:vAlign w:val="bottom"/>
            <w:shd w:val="clear" w:color="auto" w:fill="D2DEA7"/>
          </w:tcPr>
          <w:p>
            <w:pPr>
              <w:spacing w:after="0"/>
              <w:rPr>
                <w:sz w:val="16"/>
                <w:szCs w:val="16"/>
                <w:color w:val="auto"/>
              </w:rPr>
            </w:pPr>
          </w:p>
        </w:tc>
        <w:tc>
          <w:tcPr>
            <w:tcW w:w="500" w:type="dxa"/>
            <w:vAlign w:val="bottom"/>
            <w:shd w:val="clear" w:color="auto" w:fill="D2DEA7"/>
          </w:tcPr>
          <w:p>
            <w:pPr>
              <w:jc w:val="right"/>
              <w:spacing w:after="0"/>
              <w:rPr>
                <w:sz w:val="20"/>
                <w:szCs w:val="20"/>
                <w:color w:val="auto"/>
              </w:rPr>
            </w:pPr>
            <w:r>
              <w:rPr>
                <w:rFonts w:ascii="Arial" w:cs="Arial" w:eastAsia="Arial" w:hAnsi="Arial"/>
                <w:sz w:val="11"/>
                <w:szCs w:val="11"/>
                <w:color w:val="auto"/>
              </w:rPr>
              <w:t>7/6/2020</w:t>
            </w:r>
          </w:p>
        </w:tc>
        <w:tc>
          <w:tcPr>
            <w:tcW w:w="320" w:type="dxa"/>
            <w:vAlign w:val="bottom"/>
            <w:shd w:val="clear" w:color="auto" w:fill="D2DEA7"/>
          </w:tcPr>
          <w:p>
            <w:pPr>
              <w:spacing w:after="0"/>
              <w:rPr>
                <w:sz w:val="16"/>
                <w:szCs w:val="16"/>
                <w:color w:val="auto"/>
              </w:rPr>
            </w:pPr>
          </w:p>
        </w:tc>
        <w:tc>
          <w:tcPr>
            <w:tcW w:w="680" w:type="dxa"/>
            <w:vAlign w:val="bottom"/>
            <w:shd w:val="clear" w:color="auto" w:fill="D2DEA7"/>
          </w:tcPr>
          <w:p>
            <w:pPr>
              <w:jc w:val="right"/>
              <w:ind w:right="23"/>
              <w:spacing w:after="0"/>
              <w:rPr>
                <w:sz w:val="20"/>
                <w:szCs w:val="20"/>
                <w:color w:val="auto"/>
              </w:rPr>
            </w:pPr>
            <w:r>
              <w:rPr>
                <w:rFonts w:ascii="Arial" w:cs="Arial" w:eastAsia="Arial" w:hAnsi="Arial"/>
                <w:sz w:val="11"/>
                <w:szCs w:val="11"/>
                <w:color w:val="auto"/>
              </w:rPr>
              <w:t>—</w:t>
            </w:r>
          </w:p>
        </w:tc>
        <w:tc>
          <w:tcPr>
            <w:tcW w:w="1500" w:type="dxa"/>
            <w:vAlign w:val="bottom"/>
            <w:shd w:val="clear" w:color="auto" w:fill="D2DEA7"/>
          </w:tcPr>
          <w:p>
            <w:pPr>
              <w:ind w:left="1040"/>
              <w:spacing w:after="0"/>
              <w:rPr>
                <w:sz w:val="20"/>
                <w:szCs w:val="20"/>
                <w:color w:val="auto"/>
              </w:rPr>
            </w:pPr>
            <w:r>
              <w:rPr>
                <w:rFonts w:ascii="Arial" w:cs="Arial" w:eastAsia="Arial" w:hAnsi="Arial"/>
                <w:sz w:val="11"/>
                <w:szCs w:val="11"/>
                <w:color w:val="auto"/>
              </w:rPr>
              <w:t>—</w:t>
            </w:r>
          </w:p>
        </w:tc>
        <w:tc>
          <w:tcPr>
            <w:tcW w:w="660" w:type="dxa"/>
            <w:vAlign w:val="bottom"/>
            <w:shd w:val="clear" w:color="auto" w:fill="D2DEA7"/>
          </w:tcPr>
          <w:p>
            <w:pPr>
              <w:jc w:val="right"/>
              <w:ind w:right="163"/>
              <w:spacing w:after="0"/>
              <w:rPr>
                <w:sz w:val="20"/>
                <w:szCs w:val="20"/>
                <w:color w:val="auto"/>
              </w:rPr>
            </w:pPr>
            <w:r>
              <w:rPr>
                <w:rFonts w:ascii="Arial" w:cs="Arial" w:eastAsia="Arial" w:hAnsi="Arial"/>
                <w:sz w:val="11"/>
                <w:szCs w:val="11"/>
                <w:color w:val="auto"/>
              </w:rPr>
              <w:t>—</w:t>
            </w:r>
          </w:p>
        </w:tc>
        <w:tc>
          <w:tcPr>
            <w:tcW w:w="880" w:type="dxa"/>
            <w:vAlign w:val="bottom"/>
            <w:shd w:val="clear" w:color="auto" w:fill="D2DEA7"/>
          </w:tcPr>
          <w:p>
            <w:pPr>
              <w:ind w:left="560"/>
              <w:spacing w:after="0"/>
              <w:rPr>
                <w:sz w:val="20"/>
                <w:szCs w:val="20"/>
                <w:color w:val="auto"/>
              </w:rPr>
            </w:pPr>
            <w:r>
              <w:rPr>
                <w:rFonts w:ascii="Arial" w:cs="Arial" w:eastAsia="Arial" w:hAnsi="Arial"/>
                <w:sz w:val="11"/>
                <w:szCs w:val="11"/>
                <w:color w:val="auto"/>
              </w:rPr>
              <w:t>—</w:t>
            </w:r>
          </w:p>
        </w:tc>
        <w:tc>
          <w:tcPr>
            <w:tcW w:w="1000" w:type="dxa"/>
            <w:vAlign w:val="bottom"/>
            <w:shd w:val="clear" w:color="auto" w:fill="D2DEA7"/>
          </w:tcPr>
          <w:p>
            <w:pPr>
              <w:jc w:val="right"/>
              <w:ind w:right="103"/>
              <w:spacing w:after="0"/>
              <w:rPr>
                <w:sz w:val="20"/>
                <w:szCs w:val="20"/>
                <w:color w:val="auto"/>
              </w:rPr>
            </w:pPr>
            <w:r>
              <w:rPr>
                <w:rFonts w:ascii="Arial" w:cs="Arial" w:eastAsia="Arial" w:hAnsi="Arial"/>
                <w:sz w:val="11"/>
                <w:szCs w:val="11"/>
                <w:color w:val="auto"/>
              </w:rPr>
              <w:t>37,500</w:t>
            </w:r>
          </w:p>
        </w:tc>
        <w:tc>
          <w:tcPr>
            <w:tcW w:w="980" w:type="dxa"/>
            <w:vAlign w:val="bottom"/>
            <w:shd w:val="clear" w:color="auto" w:fill="D2DEA7"/>
          </w:tcPr>
          <w:p>
            <w:pPr>
              <w:jc w:val="right"/>
              <w:ind w:right="103"/>
              <w:spacing w:after="0"/>
              <w:rPr>
                <w:sz w:val="20"/>
                <w:szCs w:val="20"/>
                <w:color w:val="auto"/>
              </w:rPr>
            </w:pPr>
            <w:r>
              <w:rPr>
                <w:rFonts w:ascii="Arial" w:cs="Arial" w:eastAsia="Arial" w:hAnsi="Arial"/>
                <w:sz w:val="11"/>
                <w:szCs w:val="11"/>
                <w:color w:val="auto"/>
              </w:rPr>
              <w:t>233,625</w:t>
            </w:r>
          </w:p>
        </w:tc>
        <w:tc>
          <w:tcPr>
            <w:tcW w:w="980" w:type="dxa"/>
            <w:vAlign w:val="bottom"/>
            <w:shd w:val="clear" w:color="auto" w:fill="D2DEA7"/>
          </w:tcPr>
          <w:p>
            <w:pPr>
              <w:jc w:val="right"/>
              <w:ind w:right="182"/>
              <w:spacing w:after="0"/>
              <w:rPr>
                <w:sz w:val="20"/>
                <w:szCs w:val="20"/>
                <w:color w:val="auto"/>
              </w:rPr>
            </w:pPr>
            <w:r>
              <w:rPr>
                <w:rFonts w:ascii="Arial" w:cs="Arial" w:eastAsia="Arial" w:hAnsi="Arial"/>
                <w:sz w:val="11"/>
                <w:szCs w:val="11"/>
                <w:color w:val="auto"/>
              </w:rPr>
              <w:t>—</w:t>
            </w:r>
          </w:p>
        </w:tc>
        <w:tc>
          <w:tcPr>
            <w:tcW w:w="1000" w:type="dxa"/>
            <w:vAlign w:val="bottom"/>
            <w:shd w:val="clear" w:color="auto" w:fill="D2DEA7"/>
          </w:tcPr>
          <w:p>
            <w:pPr>
              <w:jc w:val="right"/>
              <w:ind w:right="1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4"/>
        </w:trPr>
        <w:tc>
          <w:tcPr>
            <w:tcW w:w="1900" w:type="dxa"/>
            <w:vAlign w:val="bottom"/>
            <w:shd w:val="clear" w:color="auto" w:fill="D2DEA7"/>
          </w:tcPr>
          <w:p>
            <w:pPr>
              <w:spacing w:after="0"/>
              <w:rPr>
                <w:sz w:val="16"/>
                <w:szCs w:val="16"/>
                <w:color w:val="auto"/>
              </w:rPr>
            </w:pPr>
          </w:p>
        </w:tc>
        <w:tc>
          <w:tcPr>
            <w:tcW w:w="140" w:type="dxa"/>
            <w:vAlign w:val="bottom"/>
            <w:shd w:val="clear" w:color="auto" w:fill="D2DEA7"/>
          </w:tcPr>
          <w:p>
            <w:pPr>
              <w:spacing w:after="0"/>
              <w:rPr>
                <w:sz w:val="16"/>
                <w:szCs w:val="16"/>
                <w:color w:val="auto"/>
              </w:rPr>
            </w:pPr>
          </w:p>
        </w:tc>
        <w:tc>
          <w:tcPr>
            <w:tcW w:w="500" w:type="dxa"/>
            <w:vAlign w:val="bottom"/>
            <w:shd w:val="clear" w:color="auto" w:fill="D2DEA7"/>
          </w:tcPr>
          <w:p>
            <w:pPr>
              <w:jc w:val="right"/>
              <w:spacing w:after="0"/>
              <w:rPr>
                <w:sz w:val="20"/>
                <w:szCs w:val="20"/>
                <w:color w:val="auto"/>
              </w:rPr>
            </w:pPr>
            <w:r>
              <w:rPr>
                <w:rFonts w:ascii="Arial" w:cs="Arial" w:eastAsia="Arial" w:hAnsi="Arial"/>
                <w:sz w:val="11"/>
                <w:szCs w:val="11"/>
                <w:color w:val="auto"/>
              </w:rPr>
              <w:t>4/1/2021</w:t>
            </w:r>
          </w:p>
        </w:tc>
        <w:tc>
          <w:tcPr>
            <w:tcW w:w="320" w:type="dxa"/>
            <w:vAlign w:val="bottom"/>
            <w:shd w:val="clear" w:color="auto" w:fill="D2DEA7"/>
          </w:tcPr>
          <w:p>
            <w:pPr>
              <w:spacing w:after="0"/>
              <w:rPr>
                <w:sz w:val="16"/>
                <w:szCs w:val="16"/>
                <w:color w:val="auto"/>
              </w:rPr>
            </w:pPr>
          </w:p>
        </w:tc>
        <w:tc>
          <w:tcPr>
            <w:tcW w:w="680" w:type="dxa"/>
            <w:vAlign w:val="bottom"/>
            <w:shd w:val="clear" w:color="auto" w:fill="D2DEA7"/>
          </w:tcPr>
          <w:p>
            <w:pPr>
              <w:jc w:val="right"/>
              <w:ind w:right="23"/>
              <w:spacing w:after="0"/>
              <w:rPr>
                <w:sz w:val="20"/>
                <w:szCs w:val="20"/>
                <w:color w:val="auto"/>
              </w:rPr>
            </w:pPr>
            <w:r>
              <w:rPr>
                <w:rFonts w:ascii="Arial" w:cs="Arial" w:eastAsia="Arial" w:hAnsi="Arial"/>
                <w:sz w:val="11"/>
                <w:szCs w:val="11"/>
                <w:color w:val="auto"/>
              </w:rPr>
              <w:t>—</w:t>
            </w:r>
          </w:p>
        </w:tc>
        <w:tc>
          <w:tcPr>
            <w:tcW w:w="1500" w:type="dxa"/>
            <w:vAlign w:val="bottom"/>
            <w:shd w:val="clear" w:color="auto" w:fill="D2DEA7"/>
          </w:tcPr>
          <w:p>
            <w:pPr>
              <w:ind w:left="1040"/>
              <w:spacing w:after="0"/>
              <w:rPr>
                <w:sz w:val="20"/>
                <w:szCs w:val="20"/>
                <w:color w:val="auto"/>
              </w:rPr>
            </w:pPr>
            <w:r>
              <w:rPr>
                <w:rFonts w:ascii="Arial" w:cs="Arial" w:eastAsia="Arial" w:hAnsi="Arial"/>
                <w:sz w:val="11"/>
                <w:szCs w:val="11"/>
                <w:color w:val="auto"/>
              </w:rPr>
              <w:t>—</w:t>
            </w:r>
          </w:p>
        </w:tc>
        <w:tc>
          <w:tcPr>
            <w:tcW w:w="660" w:type="dxa"/>
            <w:vAlign w:val="bottom"/>
            <w:shd w:val="clear" w:color="auto" w:fill="D2DEA7"/>
          </w:tcPr>
          <w:p>
            <w:pPr>
              <w:jc w:val="right"/>
              <w:ind w:right="163"/>
              <w:spacing w:after="0"/>
              <w:rPr>
                <w:sz w:val="20"/>
                <w:szCs w:val="20"/>
                <w:color w:val="auto"/>
              </w:rPr>
            </w:pPr>
            <w:r>
              <w:rPr>
                <w:rFonts w:ascii="Arial" w:cs="Arial" w:eastAsia="Arial" w:hAnsi="Arial"/>
                <w:sz w:val="11"/>
                <w:szCs w:val="11"/>
                <w:color w:val="auto"/>
              </w:rPr>
              <w:t>—</w:t>
            </w:r>
          </w:p>
        </w:tc>
        <w:tc>
          <w:tcPr>
            <w:tcW w:w="880" w:type="dxa"/>
            <w:vAlign w:val="bottom"/>
            <w:shd w:val="clear" w:color="auto" w:fill="D2DEA7"/>
          </w:tcPr>
          <w:p>
            <w:pPr>
              <w:ind w:left="560"/>
              <w:spacing w:after="0"/>
              <w:rPr>
                <w:sz w:val="20"/>
                <w:szCs w:val="20"/>
                <w:color w:val="auto"/>
              </w:rPr>
            </w:pPr>
            <w:r>
              <w:rPr>
                <w:rFonts w:ascii="Arial" w:cs="Arial" w:eastAsia="Arial" w:hAnsi="Arial"/>
                <w:sz w:val="11"/>
                <w:szCs w:val="11"/>
                <w:color w:val="auto"/>
              </w:rPr>
              <w:t>—</w:t>
            </w:r>
          </w:p>
        </w:tc>
        <w:tc>
          <w:tcPr>
            <w:tcW w:w="1000" w:type="dxa"/>
            <w:vAlign w:val="bottom"/>
            <w:shd w:val="clear" w:color="auto" w:fill="D2DEA7"/>
          </w:tcPr>
          <w:p>
            <w:pPr>
              <w:jc w:val="right"/>
              <w:ind w:right="103"/>
              <w:spacing w:after="0"/>
              <w:rPr>
                <w:sz w:val="20"/>
                <w:szCs w:val="20"/>
                <w:color w:val="auto"/>
              </w:rPr>
            </w:pPr>
            <w:r>
              <w:rPr>
                <w:rFonts w:ascii="Arial" w:cs="Arial" w:eastAsia="Arial" w:hAnsi="Arial"/>
                <w:sz w:val="11"/>
                <w:szCs w:val="11"/>
                <w:color w:val="auto"/>
              </w:rPr>
              <w:t>15,319</w:t>
            </w:r>
          </w:p>
        </w:tc>
        <w:tc>
          <w:tcPr>
            <w:tcW w:w="980" w:type="dxa"/>
            <w:vAlign w:val="bottom"/>
            <w:shd w:val="clear" w:color="auto" w:fill="D2DEA7"/>
          </w:tcPr>
          <w:p>
            <w:pPr>
              <w:jc w:val="right"/>
              <w:ind w:right="103"/>
              <w:spacing w:after="0"/>
              <w:rPr>
                <w:sz w:val="20"/>
                <w:szCs w:val="20"/>
                <w:color w:val="auto"/>
              </w:rPr>
            </w:pPr>
            <w:r>
              <w:rPr>
                <w:rFonts w:ascii="Arial" w:cs="Arial" w:eastAsia="Arial" w:hAnsi="Arial"/>
                <w:sz w:val="11"/>
                <w:szCs w:val="11"/>
                <w:color w:val="auto"/>
              </w:rPr>
              <w:t>95,437</w:t>
            </w:r>
          </w:p>
        </w:tc>
        <w:tc>
          <w:tcPr>
            <w:tcW w:w="980" w:type="dxa"/>
            <w:vAlign w:val="bottom"/>
            <w:shd w:val="clear" w:color="auto" w:fill="D2DEA7"/>
          </w:tcPr>
          <w:p>
            <w:pPr>
              <w:spacing w:after="0"/>
              <w:rPr>
                <w:sz w:val="16"/>
                <w:szCs w:val="16"/>
                <w:color w:val="auto"/>
              </w:rPr>
            </w:pPr>
          </w:p>
        </w:tc>
        <w:tc>
          <w:tcPr>
            <w:tcW w:w="1000" w:type="dxa"/>
            <w:vAlign w:val="bottom"/>
            <w:shd w:val="clear" w:color="auto" w:fill="D2DEA7"/>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900" w:type="dxa"/>
            <w:vAlign w:val="bottom"/>
            <w:shd w:val="clear" w:color="auto" w:fill="D2DEA7"/>
          </w:tcPr>
          <w:p>
            <w:pPr>
              <w:spacing w:after="0"/>
              <w:rPr>
                <w:sz w:val="19"/>
                <w:szCs w:val="19"/>
                <w:color w:val="auto"/>
              </w:rPr>
            </w:pPr>
          </w:p>
        </w:tc>
        <w:tc>
          <w:tcPr>
            <w:tcW w:w="140" w:type="dxa"/>
            <w:vAlign w:val="bottom"/>
            <w:shd w:val="clear" w:color="auto" w:fill="D2DEA7"/>
          </w:tcPr>
          <w:p>
            <w:pPr>
              <w:spacing w:after="0"/>
              <w:rPr>
                <w:sz w:val="19"/>
                <w:szCs w:val="19"/>
                <w:color w:val="auto"/>
              </w:rPr>
            </w:pPr>
          </w:p>
        </w:tc>
        <w:tc>
          <w:tcPr>
            <w:tcW w:w="500" w:type="dxa"/>
            <w:vAlign w:val="bottom"/>
            <w:shd w:val="clear" w:color="auto" w:fill="D2DEA7"/>
          </w:tcPr>
          <w:p>
            <w:pPr>
              <w:jc w:val="right"/>
              <w:spacing w:after="0"/>
              <w:rPr>
                <w:sz w:val="20"/>
                <w:szCs w:val="20"/>
                <w:color w:val="auto"/>
              </w:rPr>
            </w:pPr>
            <w:r>
              <w:rPr>
                <w:rFonts w:ascii="Arial" w:cs="Arial" w:eastAsia="Arial" w:hAnsi="Arial"/>
                <w:sz w:val="11"/>
                <w:szCs w:val="11"/>
                <w:color w:val="auto"/>
                <w:w w:val="97"/>
              </w:rPr>
              <w:t>5/20/2020</w:t>
            </w:r>
          </w:p>
        </w:tc>
        <w:tc>
          <w:tcPr>
            <w:tcW w:w="320" w:type="dxa"/>
            <w:vAlign w:val="bottom"/>
            <w:shd w:val="clear" w:color="auto" w:fill="D2DEA7"/>
          </w:tcPr>
          <w:p>
            <w:pPr>
              <w:spacing w:after="0"/>
              <w:rPr>
                <w:sz w:val="19"/>
                <w:szCs w:val="19"/>
                <w:color w:val="auto"/>
              </w:rPr>
            </w:pPr>
          </w:p>
        </w:tc>
        <w:tc>
          <w:tcPr>
            <w:tcW w:w="680" w:type="dxa"/>
            <w:vAlign w:val="bottom"/>
            <w:shd w:val="clear" w:color="auto" w:fill="D2DEA7"/>
          </w:tcPr>
          <w:p>
            <w:pPr>
              <w:jc w:val="right"/>
              <w:ind w:right="23"/>
              <w:spacing w:after="0"/>
              <w:rPr>
                <w:sz w:val="20"/>
                <w:szCs w:val="20"/>
                <w:color w:val="auto"/>
              </w:rPr>
            </w:pPr>
            <w:r>
              <w:rPr>
                <w:rFonts w:ascii="Arial" w:cs="Arial" w:eastAsia="Arial" w:hAnsi="Arial"/>
                <w:sz w:val="11"/>
                <w:szCs w:val="11"/>
                <w:color w:val="auto"/>
              </w:rPr>
              <w:t>—</w:t>
            </w:r>
          </w:p>
        </w:tc>
        <w:tc>
          <w:tcPr>
            <w:tcW w:w="1500" w:type="dxa"/>
            <w:vAlign w:val="bottom"/>
            <w:shd w:val="clear" w:color="auto" w:fill="D2DEA7"/>
          </w:tcPr>
          <w:p>
            <w:pPr>
              <w:ind w:left="1040"/>
              <w:spacing w:after="0"/>
              <w:rPr>
                <w:sz w:val="20"/>
                <w:szCs w:val="20"/>
                <w:color w:val="auto"/>
              </w:rPr>
            </w:pPr>
            <w:r>
              <w:rPr>
                <w:rFonts w:ascii="Arial" w:cs="Arial" w:eastAsia="Arial" w:hAnsi="Arial"/>
                <w:sz w:val="11"/>
                <w:szCs w:val="11"/>
                <w:color w:val="auto"/>
              </w:rPr>
              <w:t>—</w:t>
            </w:r>
          </w:p>
        </w:tc>
        <w:tc>
          <w:tcPr>
            <w:tcW w:w="660" w:type="dxa"/>
            <w:vAlign w:val="bottom"/>
            <w:shd w:val="clear" w:color="auto" w:fill="D2DEA7"/>
          </w:tcPr>
          <w:p>
            <w:pPr>
              <w:jc w:val="right"/>
              <w:ind w:right="163"/>
              <w:spacing w:after="0"/>
              <w:rPr>
                <w:sz w:val="20"/>
                <w:szCs w:val="20"/>
                <w:color w:val="auto"/>
              </w:rPr>
            </w:pPr>
            <w:r>
              <w:rPr>
                <w:rFonts w:ascii="Arial" w:cs="Arial" w:eastAsia="Arial" w:hAnsi="Arial"/>
                <w:sz w:val="11"/>
                <w:szCs w:val="11"/>
                <w:color w:val="auto"/>
              </w:rPr>
              <w:t>—</w:t>
            </w:r>
          </w:p>
        </w:tc>
        <w:tc>
          <w:tcPr>
            <w:tcW w:w="880" w:type="dxa"/>
            <w:vAlign w:val="bottom"/>
            <w:shd w:val="clear" w:color="auto" w:fill="D2DEA7"/>
          </w:tcPr>
          <w:p>
            <w:pPr>
              <w:ind w:left="560"/>
              <w:spacing w:after="0"/>
              <w:rPr>
                <w:sz w:val="20"/>
                <w:szCs w:val="20"/>
                <w:color w:val="auto"/>
              </w:rPr>
            </w:pPr>
            <w:r>
              <w:rPr>
                <w:rFonts w:ascii="Arial" w:cs="Arial" w:eastAsia="Arial" w:hAnsi="Arial"/>
                <w:sz w:val="11"/>
                <w:szCs w:val="11"/>
                <w:color w:val="auto"/>
              </w:rPr>
              <w:t>—</w:t>
            </w:r>
          </w:p>
        </w:tc>
        <w:tc>
          <w:tcPr>
            <w:tcW w:w="1000" w:type="dxa"/>
            <w:vAlign w:val="bottom"/>
            <w:shd w:val="clear" w:color="auto" w:fill="D2DEA7"/>
          </w:tcPr>
          <w:p>
            <w:pPr>
              <w:jc w:val="center"/>
              <w:ind w:left="363"/>
              <w:spacing w:after="0"/>
              <w:rPr>
                <w:sz w:val="20"/>
                <w:szCs w:val="20"/>
                <w:color w:val="auto"/>
              </w:rPr>
            </w:pPr>
            <w:r>
              <w:rPr>
                <w:rFonts w:ascii="Arial" w:cs="Arial" w:eastAsia="Arial" w:hAnsi="Arial"/>
                <w:sz w:val="11"/>
                <w:szCs w:val="11"/>
                <w:color w:val="auto"/>
                <w:w w:val="90"/>
              </w:rPr>
              <w:t>—</w:t>
            </w:r>
          </w:p>
        </w:tc>
        <w:tc>
          <w:tcPr>
            <w:tcW w:w="980" w:type="dxa"/>
            <w:vAlign w:val="bottom"/>
            <w:shd w:val="clear" w:color="auto" w:fill="D2DEA7"/>
          </w:tcPr>
          <w:p>
            <w:pPr>
              <w:jc w:val="right"/>
              <w:ind w:right="163"/>
              <w:spacing w:after="0"/>
              <w:rPr>
                <w:sz w:val="20"/>
                <w:szCs w:val="20"/>
                <w:color w:val="auto"/>
              </w:rPr>
            </w:pPr>
            <w:r>
              <w:rPr>
                <w:rFonts w:ascii="Arial" w:cs="Arial" w:eastAsia="Arial" w:hAnsi="Arial"/>
                <w:sz w:val="11"/>
                <w:szCs w:val="11"/>
                <w:color w:val="auto"/>
              </w:rPr>
              <w:t>—</w:t>
            </w:r>
          </w:p>
        </w:tc>
        <w:tc>
          <w:tcPr>
            <w:tcW w:w="980" w:type="dxa"/>
            <w:vAlign w:val="bottom"/>
            <w:shd w:val="clear" w:color="auto" w:fill="D2DEA7"/>
          </w:tcPr>
          <w:p>
            <w:pPr>
              <w:jc w:val="right"/>
              <w:ind w:right="62"/>
              <w:spacing w:after="0"/>
              <w:rPr>
                <w:sz w:val="20"/>
                <w:szCs w:val="20"/>
                <w:color w:val="auto"/>
              </w:rPr>
            </w:pPr>
            <w:r>
              <w:rPr>
                <w:rFonts w:ascii="Arial" w:cs="Arial" w:eastAsia="Arial" w:hAnsi="Arial"/>
                <w:sz w:val="11"/>
                <w:szCs w:val="11"/>
                <w:color w:val="auto"/>
              </w:rPr>
              <w:t>20,000</w:t>
            </w:r>
            <w:r>
              <w:rPr>
                <w:rFonts w:ascii="Arial" w:cs="Arial" w:eastAsia="Arial" w:hAnsi="Arial"/>
                <w:sz w:val="19"/>
                <w:szCs w:val="19"/>
                <w:color w:val="auto"/>
                <w:vertAlign w:val="superscript"/>
              </w:rPr>
              <w:t>5</w:t>
            </w:r>
          </w:p>
        </w:tc>
        <w:tc>
          <w:tcPr>
            <w:tcW w:w="1000" w:type="dxa"/>
            <w:vAlign w:val="bottom"/>
            <w:shd w:val="clear" w:color="auto" w:fill="D2DEA7"/>
          </w:tcPr>
          <w:p>
            <w:pPr>
              <w:jc w:val="right"/>
              <w:ind w:right="122"/>
              <w:spacing w:after="0"/>
              <w:rPr>
                <w:sz w:val="20"/>
                <w:szCs w:val="20"/>
                <w:color w:val="auto"/>
              </w:rPr>
            </w:pPr>
            <w:r>
              <w:rPr>
                <w:rFonts w:ascii="Arial" w:cs="Arial" w:eastAsia="Arial" w:hAnsi="Arial"/>
                <w:sz w:val="11"/>
                <w:szCs w:val="11"/>
                <w:color w:val="auto"/>
              </w:rPr>
              <w:t>124,600</w:t>
            </w:r>
          </w:p>
        </w:tc>
        <w:tc>
          <w:tcPr>
            <w:tcW w:w="0" w:type="dxa"/>
            <w:vAlign w:val="bottom"/>
          </w:tcPr>
          <w:p>
            <w:pPr>
              <w:spacing w:after="0"/>
              <w:rPr>
                <w:sz w:val="1"/>
                <w:szCs w:val="1"/>
                <w:color w:val="auto"/>
              </w:rPr>
            </w:pPr>
          </w:p>
        </w:tc>
      </w:tr>
      <w:tr>
        <w:trPr>
          <w:trHeight w:val="194"/>
        </w:trPr>
        <w:tc>
          <w:tcPr>
            <w:tcW w:w="1900" w:type="dxa"/>
            <w:vAlign w:val="bottom"/>
            <w:shd w:val="clear" w:color="auto" w:fill="D2DEA7"/>
          </w:tcPr>
          <w:p>
            <w:pPr>
              <w:spacing w:after="0"/>
              <w:rPr>
                <w:sz w:val="16"/>
                <w:szCs w:val="16"/>
                <w:color w:val="auto"/>
              </w:rPr>
            </w:pPr>
          </w:p>
        </w:tc>
        <w:tc>
          <w:tcPr>
            <w:tcW w:w="140" w:type="dxa"/>
            <w:vAlign w:val="bottom"/>
            <w:shd w:val="clear" w:color="auto" w:fill="D2DEA7"/>
          </w:tcPr>
          <w:p>
            <w:pPr>
              <w:spacing w:after="0"/>
              <w:rPr>
                <w:sz w:val="16"/>
                <w:szCs w:val="16"/>
                <w:color w:val="auto"/>
              </w:rPr>
            </w:pPr>
          </w:p>
        </w:tc>
        <w:tc>
          <w:tcPr>
            <w:tcW w:w="500" w:type="dxa"/>
            <w:vAlign w:val="bottom"/>
            <w:shd w:val="clear" w:color="auto" w:fill="D2DEA7"/>
          </w:tcPr>
          <w:p>
            <w:pPr>
              <w:jc w:val="right"/>
              <w:spacing w:after="0"/>
              <w:rPr>
                <w:sz w:val="20"/>
                <w:szCs w:val="20"/>
                <w:color w:val="auto"/>
              </w:rPr>
            </w:pPr>
            <w:r>
              <w:rPr>
                <w:rFonts w:ascii="Arial" w:cs="Arial" w:eastAsia="Arial" w:hAnsi="Arial"/>
                <w:sz w:val="11"/>
                <w:szCs w:val="11"/>
                <w:color w:val="auto"/>
              </w:rPr>
              <w:t>4/1/2021</w:t>
            </w:r>
          </w:p>
        </w:tc>
        <w:tc>
          <w:tcPr>
            <w:tcW w:w="320" w:type="dxa"/>
            <w:vAlign w:val="bottom"/>
            <w:shd w:val="clear" w:color="auto" w:fill="D2DEA7"/>
          </w:tcPr>
          <w:p>
            <w:pPr>
              <w:spacing w:after="0"/>
              <w:rPr>
                <w:sz w:val="16"/>
                <w:szCs w:val="16"/>
                <w:color w:val="auto"/>
              </w:rPr>
            </w:pPr>
          </w:p>
        </w:tc>
        <w:tc>
          <w:tcPr>
            <w:tcW w:w="680" w:type="dxa"/>
            <w:vAlign w:val="bottom"/>
            <w:shd w:val="clear" w:color="auto" w:fill="D2DEA7"/>
          </w:tcPr>
          <w:p>
            <w:pPr>
              <w:jc w:val="right"/>
              <w:ind w:right="23"/>
              <w:spacing w:after="0"/>
              <w:rPr>
                <w:sz w:val="20"/>
                <w:szCs w:val="20"/>
                <w:color w:val="auto"/>
              </w:rPr>
            </w:pPr>
            <w:r>
              <w:rPr>
                <w:rFonts w:ascii="Arial" w:cs="Arial" w:eastAsia="Arial" w:hAnsi="Arial"/>
                <w:sz w:val="11"/>
                <w:szCs w:val="11"/>
                <w:color w:val="auto"/>
              </w:rPr>
              <w:t>—</w:t>
            </w:r>
          </w:p>
        </w:tc>
        <w:tc>
          <w:tcPr>
            <w:tcW w:w="1500" w:type="dxa"/>
            <w:vAlign w:val="bottom"/>
            <w:shd w:val="clear" w:color="auto" w:fill="D2DEA7"/>
          </w:tcPr>
          <w:p>
            <w:pPr>
              <w:ind w:left="1040"/>
              <w:spacing w:after="0"/>
              <w:rPr>
                <w:sz w:val="20"/>
                <w:szCs w:val="20"/>
                <w:color w:val="auto"/>
              </w:rPr>
            </w:pPr>
            <w:r>
              <w:rPr>
                <w:rFonts w:ascii="Arial" w:cs="Arial" w:eastAsia="Arial" w:hAnsi="Arial"/>
                <w:sz w:val="11"/>
                <w:szCs w:val="11"/>
                <w:color w:val="auto"/>
              </w:rPr>
              <w:t>—</w:t>
            </w:r>
          </w:p>
        </w:tc>
        <w:tc>
          <w:tcPr>
            <w:tcW w:w="660" w:type="dxa"/>
            <w:vAlign w:val="bottom"/>
            <w:shd w:val="clear" w:color="auto" w:fill="D2DEA7"/>
          </w:tcPr>
          <w:p>
            <w:pPr>
              <w:jc w:val="right"/>
              <w:ind w:right="163"/>
              <w:spacing w:after="0"/>
              <w:rPr>
                <w:sz w:val="20"/>
                <w:szCs w:val="20"/>
                <w:color w:val="auto"/>
              </w:rPr>
            </w:pPr>
            <w:r>
              <w:rPr>
                <w:rFonts w:ascii="Arial" w:cs="Arial" w:eastAsia="Arial" w:hAnsi="Arial"/>
                <w:sz w:val="11"/>
                <w:szCs w:val="11"/>
                <w:color w:val="auto"/>
              </w:rPr>
              <w:t>—</w:t>
            </w:r>
          </w:p>
        </w:tc>
        <w:tc>
          <w:tcPr>
            <w:tcW w:w="880" w:type="dxa"/>
            <w:vAlign w:val="bottom"/>
            <w:shd w:val="clear" w:color="auto" w:fill="D2DEA7"/>
          </w:tcPr>
          <w:p>
            <w:pPr>
              <w:ind w:left="560"/>
              <w:spacing w:after="0"/>
              <w:rPr>
                <w:sz w:val="20"/>
                <w:szCs w:val="20"/>
                <w:color w:val="auto"/>
              </w:rPr>
            </w:pPr>
            <w:r>
              <w:rPr>
                <w:rFonts w:ascii="Arial" w:cs="Arial" w:eastAsia="Arial" w:hAnsi="Arial"/>
                <w:sz w:val="11"/>
                <w:szCs w:val="11"/>
                <w:color w:val="auto"/>
              </w:rPr>
              <w:t>—</w:t>
            </w:r>
          </w:p>
        </w:tc>
        <w:tc>
          <w:tcPr>
            <w:tcW w:w="1000" w:type="dxa"/>
            <w:vAlign w:val="bottom"/>
            <w:shd w:val="clear" w:color="auto" w:fill="D2DEA7"/>
          </w:tcPr>
          <w:p>
            <w:pPr>
              <w:jc w:val="center"/>
              <w:ind w:left="363"/>
              <w:spacing w:after="0"/>
              <w:rPr>
                <w:sz w:val="20"/>
                <w:szCs w:val="20"/>
                <w:color w:val="auto"/>
              </w:rPr>
            </w:pPr>
            <w:r>
              <w:rPr>
                <w:rFonts w:ascii="Arial" w:cs="Arial" w:eastAsia="Arial" w:hAnsi="Arial"/>
                <w:sz w:val="11"/>
                <w:szCs w:val="11"/>
                <w:color w:val="auto"/>
                <w:w w:val="90"/>
              </w:rPr>
              <w:t>—</w:t>
            </w:r>
          </w:p>
        </w:tc>
        <w:tc>
          <w:tcPr>
            <w:tcW w:w="980" w:type="dxa"/>
            <w:vAlign w:val="bottom"/>
            <w:shd w:val="clear" w:color="auto" w:fill="D2DEA7"/>
          </w:tcPr>
          <w:p>
            <w:pPr>
              <w:jc w:val="right"/>
              <w:ind w:right="163"/>
              <w:spacing w:after="0"/>
              <w:rPr>
                <w:sz w:val="20"/>
                <w:szCs w:val="20"/>
                <w:color w:val="auto"/>
              </w:rPr>
            </w:pPr>
            <w:r>
              <w:rPr>
                <w:rFonts w:ascii="Arial" w:cs="Arial" w:eastAsia="Arial" w:hAnsi="Arial"/>
                <w:sz w:val="11"/>
                <w:szCs w:val="11"/>
                <w:color w:val="auto"/>
              </w:rPr>
              <w:t>—</w:t>
            </w:r>
          </w:p>
        </w:tc>
        <w:tc>
          <w:tcPr>
            <w:tcW w:w="980" w:type="dxa"/>
            <w:vAlign w:val="bottom"/>
            <w:shd w:val="clear" w:color="auto" w:fill="D2DEA7"/>
          </w:tcPr>
          <w:p>
            <w:pPr>
              <w:jc w:val="right"/>
              <w:ind w:right="62"/>
              <w:spacing w:after="0" w:line="194" w:lineRule="exact"/>
              <w:rPr>
                <w:sz w:val="20"/>
                <w:szCs w:val="20"/>
                <w:color w:val="auto"/>
              </w:rPr>
            </w:pPr>
            <w:r>
              <w:rPr>
                <w:rFonts w:ascii="Arial" w:cs="Arial" w:eastAsia="Arial" w:hAnsi="Arial"/>
                <w:sz w:val="11"/>
                <w:szCs w:val="11"/>
                <w:color w:val="auto"/>
              </w:rPr>
              <w:t>15,319</w:t>
            </w:r>
            <w:r>
              <w:rPr>
                <w:rFonts w:ascii="Arial" w:cs="Arial" w:eastAsia="Arial" w:hAnsi="Arial"/>
                <w:sz w:val="19"/>
                <w:szCs w:val="19"/>
                <w:color w:val="auto"/>
                <w:vertAlign w:val="superscript"/>
              </w:rPr>
              <w:t>6</w:t>
            </w:r>
          </w:p>
        </w:tc>
        <w:tc>
          <w:tcPr>
            <w:tcW w:w="1000" w:type="dxa"/>
            <w:vAlign w:val="bottom"/>
            <w:shd w:val="clear" w:color="auto" w:fill="D2DEA7"/>
          </w:tcPr>
          <w:p>
            <w:pPr>
              <w:jc w:val="right"/>
              <w:ind w:right="122"/>
              <w:spacing w:after="0"/>
              <w:rPr>
                <w:sz w:val="20"/>
                <w:szCs w:val="20"/>
                <w:color w:val="auto"/>
              </w:rPr>
            </w:pPr>
            <w:r>
              <w:rPr>
                <w:rFonts w:ascii="Arial" w:cs="Arial" w:eastAsia="Arial" w:hAnsi="Arial"/>
                <w:sz w:val="11"/>
                <w:szCs w:val="11"/>
                <w:color w:val="auto"/>
              </w:rPr>
              <w:t>95,437</w:t>
            </w:r>
          </w:p>
        </w:tc>
        <w:tc>
          <w:tcPr>
            <w:tcW w:w="0" w:type="dxa"/>
            <w:vAlign w:val="bottom"/>
          </w:tcPr>
          <w:p>
            <w:pPr>
              <w:spacing w:after="0"/>
              <w:rPr>
                <w:sz w:val="1"/>
                <w:szCs w:val="1"/>
                <w:color w:val="auto"/>
              </w:rPr>
            </w:pPr>
          </w:p>
        </w:tc>
      </w:tr>
      <w:tr>
        <w:trPr>
          <w:trHeight w:val="165"/>
        </w:trPr>
        <w:tc>
          <w:tcPr>
            <w:tcW w:w="1900" w:type="dxa"/>
            <w:vAlign w:val="bottom"/>
            <w:shd w:val="clear" w:color="auto" w:fill="E8EED3"/>
          </w:tcPr>
          <w:p>
            <w:pPr>
              <w:ind w:left="40"/>
              <w:spacing w:after="0"/>
              <w:rPr>
                <w:sz w:val="20"/>
                <w:szCs w:val="20"/>
                <w:color w:val="auto"/>
              </w:rPr>
            </w:pPr>
            <w:r>
              <w:rPr>
                <w:rFonts w:ascii="Arial" w:cs="Arial" w:eastAsia="Arial" w:hAnsi="Arial"/>
                <w:sz w:val="11"/>
                <w:szCs w:val="11"/>
                <w:color w:val="auto"/>
              </w:rPr>
              <w:t>Ramesh Nuggihalli</w:t>
            </w:r>
          </w:p>
        </w:tc>
        <w:tc>
          <w:tcPr>
            <w:tcW w:w="640" w:type="dxa"/>
            <w:vAlign w:val="bottom"/>
            <w:gridSpan w:val="2"/>
            <w:shd w:val="clear" w:color="auto" w:fill="E8EED3"/>
          </w:tcPr>
          <w:p>
            <w:pPr>
              <w:jc w:val="right"/>
              <w:spacing w:after="0"/>
              <w:rPr>
                <w:sz w:val="20"/>
                <w:szCs w:val="20"/>
                <w:color w:val="auto"/>
              </w:rPr>
            </w:pPr>
            <w:r>
              <w:rPr>
                <w:rFonts w:ascii="Arial" w:cs="Arial" w:eastAsia="Arial" w:hAnsi="Arial"/>
                <w:sz w:val="11"/>
                <w:szCs w:val="11"/>
                <w:color w:val="auto"/>
              </w:rPr>
              <w:t>4/5/2021</w:t>
            </w:r>
          </w:p>
        </w:tc>
        <w:tc>
          <w:tcPr>
            <w:tcW w:w="320" w:type="dxa"/>
            <w:vAlign w:val="bottom"/>
            <w:shd w:val="clear" w:color="auto" w:fill="E8EED3"/>
          </w:tcPr>
          <w:p>
            <w:pPr>
              <w:spacing w:after="0"/>
              <w:rPr>
                <w:sz w:val="14"/>
                <w:szCs w:val="14"/>
                <w:color w:val="auto"/>
              </w:rPr>
            </w:pPr>
          </w:p>
        </w:tc>
        <w:tc>
          <w:tcPr>
            <w:tcW w:w="680" w:type="dxa"/>
            <w:vAlign w:val="bottom"/>
            <w:shd w:val="clear" w:color="auto" w:fill="E8EED3"/>
          </w:tcPr>
          <w:p>
            <w:pPr>
              <w:jc w:val="right"/>
              <w:ind w:right="23"/>
              <w:spacing w:after="0"/>
              <w:rPr>
                <w:sz w:val="20"/>
                <w:szCs w:val="20"/>
                <w:color w:val="auto"/>
              </w:rPr>
            </w:pPr>
            <w:r>
              <w:rPr>
                <w:rFonts w:ascii="Arial" w:cs="Arial" w:eastAsia="Arial" w:hAnsi="Arial"/>
                <w:sz w:val="11"/>
                <w:szCs w:val="11"/>
                <w:color w:val="auto"/>
              </w:rPr>
              <w:t>—</w:t>
            </w:r>
          </w:p>
        </w:tc>
        <w:tc>
          <w:tcPr>
            <w:tcW w:w="1500" w:type="dxa"/>
            <w:vAlign w:val="bottom"/>
            <w:shd w:val="clear" w:color="auto" w:fill="E8EED3"/>
          </w:tcPr>
          <w:p>
            <w:pPr>
              <w:ind w:left="1040"/>
              <w:spacing w:after="0"/>
              <w:rPr>
                <w:sz w:val="20"/>
                <w:szCs w:val="20"/>
                <w:color w:val="auto"/>
              </w:rPr>
            </w:pPr>
            <w:r>
              <w:rPr>
                <w:rFonts w:ascii="Arial" w:cs="Arial" w:eastAsia="Arial" w:hAnsi="Arial"/>
                <w:sz w:val="11"/>
                <w:szCs w:val="11"/>
                <w:color w:val="auto"/>
              </w:rPr>
              <w:t>—</w:t>
            </w:r>
          </w:p>
        </w:tc>
        <w:tc>
          <w:tcPr>
            <w:tcW w:w="660" w:type="dxa"/>
            <w:vAlign w:val="bottom"/>
            <w:shd w:val="clear" w:color="auto" w:fill="E8EED3"/>
          </w:tcPr>
          <w:p>
            <w:pPr>
              <w:jc w:val="right"/>
              <w:ind w:right="163"/>
              <w:spacing w:after="0"/>
              <w:rPr>
                <w:sz w:val="20"/>
                <w:szCs w:val="20"/>
                <w:color w:val="auto"/>
              </w:rPr>
            </w:pPr>
            <w:r>
              <w:rPr>
                <w:rFonts w:ascii="Arial" w:cs="Arial" w:eastAsia="Arial" w:hAnsi="Arial"/>
                <w:sz w:val="11"/>
                <w:szCs w:val="11"/>
                <w:color w:val="auto"/>
              </w:rPr>
              <w:t>—</w:t>
            </w:r>
          </w:p>
        </w:tc>
        <w:tc>
          <w:tcPr>
            <w:tcW w:w="880" w:type="dxa"/>
            <w:vAlign w:val="bottom"/>
            <w:shd w:val="clear" w:color="auto" w:fill="E8EED3"/>
          </w:tcPr>
          <w:p>
            <w:pPr>
              <w:ind w:left="560"/>
              <w:spacing w:after="0"/>
              <w:rPr>
                <w:sz w:val="20"/>
                <w:szCs w:val="20"/>
                <w:color w:val="auto"/>
              </w:rPr>
            </w:pPr>
            <w:r>
              <w:rPr>
                <w:rFonts w:ascii="Arial" w:cs="Arial" w:eastAsia="Arial" w:hAnsi="Arial"/>
                <w:sz w:val="11"/>
                <w:szCs w:val="11"/>
                <w:color w:val="auto"/>
              </w:rPr>
              <w:t>—</w:t>
            </w:r>
          </w:p>
        </w:tc>
        <w:tc>
          <w:tcPr>
            <w:tcW w:w="1000" w:type="dxa"/>
            <w:vAlign w:val="bottom"/>
            <w:shd w:val="clear" w:color="auto" w:fill="E8EED3"/>
          </w:tcPr>
          <w:p>
            <w:pPr>
              <w:jc w:val="right"/>
              <w:ind w:right="103"/>
              <w:spacing w:after="0"/>
              <w:rPr>
                <w:sz w:val="20"/>
                <w:szCs w:val="20"/>
                <w:color w:val="auto"/>
              </w:rPr>
            </w:pPr>
            <w:r>
              <w:rPr>
                <w:rFonts w:ascii="Arial" w:cs="Arial" w:eastAsia="Arial" w:hAnsi="Arial"/>
                <w:sz w:val="11"/>
                <w:szCs w:val="11"/>
                <w:color w:val="auto"/>
              </w:rPr>
              <w:t>42,788</w:t>
            </w:r>
          </w:p>
        </w:tc>
        <w:tc>
          <w:tcPr>
            <w:tcW w:w="980" w:type="dxa"/>
            <w:vAlign w:val="bottom"/>
            <w:shd w:val="clear" w:color="auto" w:fill="E8EED3"/>
          </w:tcPr>
          <w:p>
            <w:pPr>
              <w:jc w:val="right"/>
              <w:ind w:right="103"/>
              <w:spacing w:after="0"/>
              <w:rPr>
                <w:sz w:val="20"/>
                <w:szCs w:val="20"/>
                <w:color w:val="auto"/>
              </w:rPr>
            </w:pPr>
            <w:r>
              <w:rPr>
                <w:rFonts w:ascii="Arial" w:cs="Arial" w:eastAsia="Arial" w:hAnsi="Arial"/>
                <w:sz w:val="11"/>
                <w:szCs w:val="11"/>
                <w:color w:val="auto"/>
              </w:rPr>
              <w:t>266,569</w:t>
            </w:r>
          </w:p>
        </w:tc>
        <w:tc>
          <w:tcPr>
            <w:tcW w:w="980" w:type="dxa"/>
            <w:vAlign w:val="bottom"/>
            <w:shd w:val="clear" w:color="auto" w:fill="E8EED3"/>
          </w:tcPr>
          <w:p>
            <w:pPr>
              <w:jc w:val="right"/>
              <w:ind w:right="182"/>
              <w:spacing w:after="0"/>
              <w:rPr>
                <w:sz w:val="20"/>
                <w:szCs w:val="20"/>
                <w:color w:val="auto"/>
              </w:rPr>
            </w:pPr>
            <w:r>
              <w:rPr>
                <w:rFonts w:ascii="Arial" w:cs="Arial" w:eastAsia="Arial" w:hAnsi="Arial"/>
                <w:sz w:val="11"/>
                <w:szCs w:val="11"/>
                <w:color w:val="auto"/>
              </w:rPr>
              <w:t>—</w:t>
            </w:r>
          </w:p>
        </w:tc>
        <w:tc>
          <w:tcPr>
            <w:tcW w:w="1000" w:type="dxa"/>
            <w:vAlign w:val="bottom"/>
            <w:shd w:val="clear" w:color="auto" w:fill="E8EED3"/>
          </w:tcPr>
          <w:p>
            <w:pPr>
              <w:jc w:val="right"/>
              <w:ind w:right="1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3"/>
        </w:trPr>
        <w:tc>
          <w:tcPr>
            <w:tcW w:w="1900" w:type="dxa"/>
            <w:vAlign w:val="bottom"/>
            <w:shd w:val="clear" w:color="auto" w:fill="E8EED3"/>
          </w:tcPr>
          <w:p>
            <w:pPr>
              <w:spacing w:after="0"/>
              <w:rPr>
                <w:sz w:val="19"/>
                <w:szCs w:val="19"/>
                <w:color w:val="auto"/>
              </w:rPr>
            </w:pPr>
          </w:p>
        </w:tc>
        <w:tc>
          <w:tcPr>
            <w:tcW w:w="640" w:type="dxa"/>
            <w:vAlign w:val="bottom"/>
            <w:gridSpan w:val="2"/>
            <w:shd w:val="clear" w:color="auto" w:fill="E8EED3"/>
          </w:tcPr>
          <w:p>
            <w:pPr>
              <w:jc w:val="right"/>
              <w:spacing w:after="0"/>
              <w:rPr>
                <w:sz w:val="20"/>
                <w:szCs w:val="20"/>
                <w:color w:val="auto"/>
              </w:rPr>
            </w:pPr>
            <w:r>
              <w:rPr>
                <w:rFonts w:ascii="Arial" w:cs="Arial" w:eastAsia="Arial" w:hAnsi="Arial"/>
                <w:sz w:val="11"/>
                <w:szCs w:val="11"/>
                <w:color w:val="auto"/>
              </w:rPr>
              <w:t>4/5/2021</w:t>
            </w:r>
          </w:p>
        </w:tc>
        <w:tc>
          <w:tcPr>
            <w:tcW w:w="320" w:type="dxa"/>
            <w:vAlign w:val="bottom"/>
            <w:shd w:val="clear" w:color="auto" w:fill="E8EED3"/>
          </w:tcPr>
          <w:p>
            <w:pPr>
              <w:spacing w:after="0"/>
              <w:rPr>
                <w:sz w:val="19"/>
                <w:szCs w:val="19"/>
                <w:color w:val="auto"/>
              </w:rPr>
            </w:pPr>
          </w:p>
        </w:tc>
        <w:tc>
          <w:tcPr>
            <w:tcW w:w="680" w:type="dxa"/>
            <w:vAlign w:val="bottom"/>
            <w:shd w:val="clear" w:color="auto" w:fill="E8EED3"/>
          </w:tcPr>
          <w:p>
            <w:pPr>
              <w:jc w:val="right"/>
              <w:ind w:right="23"/>
              <w:spacing w:after="0"/>
              <w:rPr>
                <w:sz w:val="20"/>
                <w:szCs w:val="20"/>
                <w:color w:val="auto"/>
              </w:rPr>
            </w:pPr>
            <w:r>
              <w:rPr>
                <w:rFonts w:ascii="Arial" w:cs="Arial" w:eastAsia="Arial" w:hAnsi="Arial"/>
                <w:sz w:val="11"/>
                <w:szCs w:val="11"/>
                <w:color w:val="auto"/>
              </w:rPr>
              <w:t>—</w:t>
            </w:r>
          </w:p>
        </w:tc>
        <w:tc>
          <w:tcPr>
            <w:tcW w:w="1500" w:type="dxa"/>
            <w:vAlign w:val="bottom"/>
            <w:shd w:val="clear" w:color="auto" w:fill="E8EED3"/>
          </w:tcPr>
          <w:p>
            <w:pPr>
              <w:ind w:left="1040"/>
              <w:spacing w:after="0"/>
              <w:rPr>
                <w:sz w:val="20"/>
                <w:szCs w:val="20"/>
                <w:color w:val="auto"/>
              </w:rPr>
            </w:pPr>
            <w:r>
              <w:rPr>
                <w:rFonts w:ascii="Arial" w:cs="Arial" w:eastAsia="Arial" w:hAnsi="Arial"/>
                <w:sz w:val="11"/>
                <w:szCs w:val="11"/>
                <w:color w:val="auto"/>
              </w:rPr>
              <w:t>—</w:t>
            </w:r>
          </w:p>
        </w:tc>
        <w:tc>
          <w:tcPr>
            <w:tcW w:w="660" w:type="dxa"/>
            <w:vAlign w:val="bottom"/>
            <w:shd w:val="clear" w:color="auto" w:fill="E8EED3"/>
          </w:tcPr>
          <w:p>
            <w:pPr>
              <w:jc w:val="right"/>
              <w:ind w:right="163"/>
              <w:spacing w:after="0"/>
              <w:rPr>
                <w:sz w:val="20"/>
                <w:szCs w:val="20"/>
                <w:color w:val="auto"/>
              </w:rPr>
            </w:pPr>
            <w:r>
              <w:rPr>
                <w:rFonts w:ascii="Arial" w:cs="Arial" w:eastAsia="Arial" w:hAnsi="Arial"/>
                <w:sz w:val="11"/>
                <w:szCs w:val="11"/>
                <w:color w:val="auto"/>
              </w:rPr>
              <w:t>—</w:t>
            </w:r>
          </w:p>
        </w:tc>
        <w:tc>
          <w:tcPr>
            <w:tcW w:w="880" w:type="dxa"/>
            <w:vAlign w:val="bottom"/>
            <w:shd w:val="clear" w:color="auto" w:fill="E8EED3"/>
          </w:tcPr>
          <w:p>
            <w:pPr>
              <w:ind w:left="560"/>
              <w:spacing w:after="0"/>
              <w:rPr>
                <w:sz w:val="20"/>
                <w:szCs w:val="20"/>
                <w:color w:val="auto"/>
              </w:rPr>
            </w:pPr>
            <w:r>
              <w:rPr>
                <w:rFonts w:ascii="Arial" w:cs="Arial" w:eastAsia="Arial" w:hAnsi="Arial"/>
                <w:sz w:val="11"/>
                <w:szCs w:val="11"/>
                <w:color w:val="auto"/>
              </w:rPr>
              <w:t>—</w:t>
            </w:r>
          </w:p>
        </w:tc>
        <w:tc>
          <w:tcPr>
            <w:tcW w:w="1000" w:type="dxa"/>
            <w:vAlign w:val="bottom"/>
            <w:shd w:val="clear" w:color="auto" w:fill="E8EED3"/>
          </w:tcPr>
          <w:p>
            <w:pPr>
              <w:jc w:val="center"/>
              <w:ind w:left="363"/>
              <w:spacing w:after="0"/>
              <w:rPr>
                <w:sz w:val="20"/>
                <w:szCs w:val="20"/>
                <w:color w:val="auto"/>
              </w:rPr>
            </w:pPr>
            <w:r>
              <w:rPr>
                <w:rFonts w:ascii="Arial" w:cs="Arial" w:eastAsia="Arial" w:hAnsi="Arial"/>
                <w:sz w:val="11"/>
                <w:szCs w:val="11"/>
                <w:color w:val="auto"/>
                <w:w w:val="90"/>
              </w:rPr>
              <w:t>—</w:t>
            </w:r>
          </w:p>
        </w:tc>
        <w:tc>
          <w:tcPr>
            <w:tcW w:w="980" w:type="dxa"/>
            <w:vAlign w:val="bottom"/>
            <w:shd w:val="clear" w:color="auto" w:fill="E8EED3"/>
          </w:tcPr>
          <w:p>
            <w:pPr>
              <w:jc w:val="right"/>
              <w:ind w:right="163"/>
              <w:spacing w:after="0"/>
              <w:rPr>
                <w:sz w:val="20"/>
                <w:szCs w:val="20"/>
                <w:color w:val="auto"/>
              </w:rPr>
            </w:pPr>
            <w:r>
              <w:rPr>
                <w:rFonts w:ascii="Arial" w:cs="Arial" w:eastAsia="Arial" w:hAnsi="Arial"/>
                <w:sz w:val="11"/>
                <w:szCs w:val="11"/>
                <w:color w:val="auto"/>
              </w:rPr>
              <w:t>—</w:t>
            </w:r>
          </w:p>
        </w:tc>
        <w:tc>
          <w:tcPr>
            <w:tcW w:w="980" w:type="dxa"/>
            <w:vAlign w:val="bottom"/>
            <w:shd w:val="clear" w:color="auto" w:fill="E8EED3"/>
          </w:tcPr>
          <w:p>
            <w:pPr>
              <w:jc w:val="right"/>
              <w:ind w:right="62"/>
              <w:spacing w:after="0"/>
              <w:rPr>
                <w:sz w:val="20"/>
                <w:szCs w:val="20"/>
                <w:color w:val="auto"/>
              </w:rPr>
            </w:pPr>
            <w:r>
              <w:rPr>
                <w:rFonts w:ascii="Arial" w:cs="Arial" w:eastAsia="Arial" w:hAnsi="Arial"/>
                <w:sz w:val="11"/>
                <w:szCs w:val="11"/>
                <w:color w:val="auto"/>
              </w:rPr>
              <w:t>18,338</w:t>
            </w:r>
            <w:r>
              <w:rPr>
                <w:rFonts w:ascii="Arial" w:cs="Arial" w:eastAsia="Arial" w:hAnsi="Arial"/>
                <w:sz w:val="19"/>
                <w:szCs w:val="19"/>
                <w:color w:val="auto"/>
                <w:vertAlign w:val="superscript"/>
              </w:rPr>
              <w:t>6</w:t>
            </w:r>
          </w:p>
        </w:tc>
        <w:tc>
          <w:tcPr>
            <w:tcW w:w="1000" w:type="dxa"/>
            <w:vAlign w:val="bottom"/>
            <w:shd w:val="clear" w:color="auto" w:fill="E8EED3"/>
          </w:tcPr>
          <w:p>
            <w:pPr>
              <w:jc w:val="right"/>
              <w:ind w:right="122"/>
              <w:spacing w:after="0"/>
              <w:rPr>
                <w:sz w:val="20"/>
                <w:szCs w:val="20"/>
                <w:color w:val="auto"/>
              </w:rPr>
            </w:pPr>
            <w:r>
              <w:rPr>
                <w:rFonts w:ascii="Arial" w:cs="Arial" w:eastAsia="Arial" w:hAnsi="Arial"/>
                <w:sz w:val="11"/>
                <w:szCs w:val="11"/>
                <w:color w:val="auto"/>
              </w:rPr>
              <w:t>114,246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1431290</wp:posOffset>
            </wp:positionH>
            <wp:positionV relativeFrom="paragraph">
              <wp:posOffset>-3251835</wp:posOffset>
            </wp:positionV>
            <wp:extent cx="5495290" cy="32524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495290" cy="3252470"/>
                    </a:xfrm>
                    <a:prstGeom prst="rect">
                      <a:avLst/>
                    </a:prstGeom>
                    <a:noFill/>
                  </pic:spPr>
                </pic:pic>
              </a:graphicData>
            </a:graphic>
          </wp:anchor>
        </w:drawing>
      </w:r>
    </w:p>
    <w:p>
      <w:pPr>
        <w:spacing w:after="0" w:line="89" w:lineRule="exact"/>
        <w:rPr>
          <w:sz w:val="20"/>
          <w:szCs w:val="20"/>
          <w:color w:val="auto"/>
        </w:rPr>
      </w:pPr>
    </w:p>
    <w:p>
      <w:pPr>
        <w:ind w:left="760" w:hanging="414"/>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This column shows the unvested options, which options generally vest in four equal annual installments commencing one year after the grant date.</w:t>
      </w:r>
    </w:p>
    <w:p>
      <w:pPr>
        <w:spacing w:after="0" w:line="110" w:lineRule="exact"/>
        <w:rPr>
          <w:rFonts w:ascii="Arial" w:cs="Arial" w:eastAsia="Arial" w:hAnsi="Arial"/>
          <w:sz w:val="14"/>
          <w:szCs w:val="14"/>
          <w:color w:val="auto"/>
        </w:rPr>
      </w:pPr>
    </w:p>
    <w:p>
      <w:pPr>
        <w:ind w:left="760" w:right="120" w:hanging="414"/>
        <w:spacing w:after="0" w:line="260" w:lineRule="auto"/>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This column shows the unvested RSUs, which RSUs generally vest in four equal annual installments commencing one year after the grant date, except as otherwise indicated.</w:t>
      </w:r>
    </w:p>
    <w:p>
      <w:pPr>
        <w:spacing w:after="0" w:line="78" w:lineRule="exact"/>
        <w:rPr>
          <w:rFonts w:ascii="Arial" w:cs="Arial" w:eastAsia="Arial" w:hAnsi="Arial"/>
          <w:sz w:val="14"/>
          <w:szCs w:val="14"/>
          <w:color w:val="auto"/>
        </w:rPr>
      </w:pPr>
    </w:p>
    <w:p>
      <w:pPr>
        <w:ind w:left="760" w:hanging="414"/>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These RSUs generally vest in five equal annual installments commencing one year after the grant date.</w:t>
      </w:r>
    </w:p>
    <w:p>
      <w:pPr>
        <w:spacing w:after="0" w:line="110" w:lineRule="exact"/>
        <w:rPr>
          <w:rFonts w:ascii="Arial" w:cs="Arial" w:eastAsia="Arial" w:hAnsi="Arial"/>
          <w:sz w:val="14"/>
          <w:szCs w:val="14"/>
          <w:color w:val="auto"/>
        </w:rPr>
      </w:pPr>
    </w:p>
    <w:p>
      <w:pPr>
        <w:ind w:left="760" w:hanging="414"/>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the market value of the awards based on the closing share price of our common stock on December 31, 2021, of $6.23 per share.</w:t>
      </w:r>
    </w:p>
    <w:p>
      <w:pPr>
        <w:spacing w:after="0" w:line="110" w:lineRule="exact"/>
        <w:rPr>
          <w:rFonts w:ascii="Arial" w:cs="Arial" w:eastAsia="Arial" w:hAnsi="Arial"/>
          <w:sz w:val="14"/>
          <w:szCs w:val="14"/>
          <w:color w:val="auto"/>
        </w:rPr>
      </w:pPr>
    </w:p>
    <w:p>
      <w:pPr>
        <w:ind w:left="760" w:right="340" w:hanging="414"/>
        <w:spacing w:after="0" w:line="260" w:lineRule="auto"/>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These PRSUs generally vest on March 15, 2023, based on the extent to which the Relative TSR goal for the performance period beginning January 1, 2020, and ending on December 31, 2022, as established by our Compensation Committee is met.</w:t>
      </w:r>
    </w:p>
    <w:p>
      <w:pPr>
        <w:spacing w:after="0" w:line="78" w:lineRule="exact"/>
        <w:rPr>
          <w:rFonts w:ascii="Arial" w:cs="Arial" w:eastAsia="Arial" w:hAnsi="Arial"/>
          <w:sz w:val="14"/>
          <w:szCs w:val="14"/>
          <w:color w:val="auto"/>
        </w:rPr>
      </w:pPr>
    </w:p>
    <w:p>
      <w:pPr>
        <w:ind w:left="760" w:right="160" w:hanging="414"/>
        <w:spacing w:after="0" w:line="246" w:lineRule="auto"/>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These PRSUs generally vest on March 15, 2024, based on the extent to which the Relative TSR goal for the performance period beginning on January 1, 2021, and ending on December 31, 2023, as established by our Compensation Committee is met. See “Compensation Discussion” above for more information about these awards.</w:t>
      </w:r>
    </w:p>
    <w:p>
      <w:pPr>
        <w:spacing w:after="0" w:line="108" w:lineRule="exact"/>
        <w:rPr>
          <w:sz w:val="20"/>
          <w:szCs w:val="20"/>
          <w:color w:val="auto"/>
        </w:rPr>
      </w:pPr>
    </w:p>
    <w:p>
      <w:pPr>
        <w:ind w:left="9060"/>
        <w:spacing w:after="0"/>
        <w:rPr>
          <w:sz w:val="20"/>
          <w:szCs w:val="20"/>
          <w:color w:val="auto"/>
        </w:rPr>
      </w:pPr>
      <w:r>
        <w:rPr>
          <w:rFonts w:ascii="Arial" w:cs="Arial" w:eastAsia="Arial" w:hAnsi="Arial"/>
          <w:sz w:val="14"/>
          <w:szCs w:val="14"/>
          <w:color w:val="262626"/>
        </w:rPr>
        <w:t>2022 Proxy Statement • 27</w:t>
      </w:r>
    </w:p>
    <w:p>
      <w:pPr>
        <w:sectPr>
          <w:pgSz w:w="11900" w:h="16838" w:orient="portrait"/>
          <w:cols w:equalWidth="0" w:num="1">
            <w:col w:w="10900"/>
          </w:cols>
          <w:pgMar w:left="320" w:top="443" w:right="6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90"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41659C"/>
        </w:rPr>
        <w:t>2021 Option Exercises and Stock Vested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2589530</wp:posOffset>
            </wp:positionH>
            <wp:positionV relativeFrom="paragraph">
              <wp:posOffset>158750</wp:posOffset>
            </wp:positionV>
            <wp:extent cx="2012315" cy="8705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012315" cy="870585"/>
                    </a:xfrm>
                    <a:prstGeom prst="rect">
                      <a:avLst/>
                    </a:prstGeom>
                    <a:noFill/>
                  </pic:spPr>
                </pic:pic>
              </a:graphicData>
            </a:graphic>
          </wp:anchor>
        </w:drawing>
      </w:r>
    </w:p>
    <w:p>
      <w:pPr>
        <w:spacing w:after="0" w:line="230" w:lineRule="exact"/>
        <w:rPr>
          <w:sz w:val="20"/>
          <w:szCs w:val="20"/>
          <w:color w:val="auto"/>
        </w:rPr>
      </w:pPr>
    </w:p>
    <w:tbl>
      <w:tblPr>
        <w:tblLayout w:type="fixed"/>
        <w:tblInd w:w="360" w:type="dxa"/>
        <w:tblCellMar>
          <w:top w:w="0" w:type="dxa"/>
          <w:left w:w="0" w:type="dxa"/>
          <w:bottom w:w="0" w:type="dxa"/>
          <w:right w:w="0" w:type="dxa"/>
        </w:tblCellMar>
      </w:tblPr>
      <w:tr>
        <w:trPr>
          <w:trHeight w:val="185"/>
        </w:trPr>
        <w:tc>
          <w:tcPr>
            <w:tcW w:w="3720" w:type="dxa"/>
            <w:vAlign w:val="bottom"/>
            <w:shd w:val="clear" w:color="auto" w:fill="41659C"/>
          </w:tcPr>
          <w:p>
            <w:pPr>
              <w:spacing w:after="0"/>
              <w:rPr>
                <w:sz w:val="16"/>
                <w:szCs w:val="16"/>
                <w:color w:val="auto"/>
              </w:rPr>
            </w:pPr>
          </w:p>
        </w:tc>
        <w:tc>
          <w:tcPr>
            <w:tcW w:w="3160" w:type="dxa"/>
            <w:vAlign w:val="bottom"/>
            <w:gridSpan w:val="2"/>
            <w:shd w:val="clear" w:color="auto" w:fill="41659C"/>
          </w:tcPr>
          <w:p>
            <w:pPr>
              <w:ind w:left="1160"/>
              <w:spacing w:after="0"/>
              <w:rPr>
                <w:sz w:val="20"/>
                <w:szCs w:val="20"/>
                <w:color w:val="auto"/>
              </w:rPr>
            </w:pPr>
            <w:r>
              <w:rPr>
                <w:rFonts w:ascii="Arial" w:cs="Arial" w:eastAsia="Arial" w:hAnsi="Arial"/>
                <w:sz w:val="12"/>
                <w:szCs w:val="12"/>
                <w:b w:val="1"/>
                <w:bCs w:val="1"/>
                <w:color w:val="FFFFFF"/>
              </w:rPr>
              <w:t>Option Awards</w:t>
            </w:r>
          </w:p>
        </w:tc>
        <w:tc>
          <w:tcPr>
            <w:tcW w:w="3660" w:type="dxa"/>
            <w:vAlign w:val="bottom"/>
            <w:gridSpan w:val="2"/>
            <w:shd w:val="clear" w:color="auto" w:fill="41659C"/>
          </w:tcPr>
          <w:p>
            <w:pPr>
              <w:jc w:val="right"/>
              <w:ind w:right="1352"/>
              <w:spacing w:after="0"/>
              <w:rPr>
                <w:sz w:val="20"/>
                <w:szCs w:val="20"/>
                <w:color w:val="auto"/>
              </w:rPr>
            </w:pPr>
            <w:r>
              <w:rPr>
                <w:rFonts w:ascii="Arial" w:cs="Arial" w:eastAsia="Arial" w:hAnsi="Arial"/>
                <w:sz w:val="12"/>
                <w:szCs w:val="12"/>
                <w:b w:val="1"/>
                <w:bCs w:val="1"/>
                <w:color w:val="FFFFFF"/>
              </w:rPr>
              <w:t>Stock Awards</w:t>
            </w:r>
          </w:p>
        </w:tc>
        <w:tc>
          <w:tcPr>
            <w:tcW w:w="0" w:type="dxa"/>
            <w:vAlign w:val="bottom"/>
          </w:tcPr>
          <w:p>
            <w:pPr>
              <w:spacing w:after="0"/>
              <w:rPr>
                <w:sz w:val="1"/>
                <w:szCs w:val="1"/>
                <w:color w:val="auto"/>
              </w:rPr>
            </w:pPr>
          </w:p>
        </w:tc>
      </w:tr>
      <w:tr>
        <w:trPr>
          <w:trHeight w:val="159"/>
        </w:trPr>
        <w:tc>
          <w:tcPr>
            <w:tcW w:w="3720" w:type="dxa"/>
            <w:vAlign w:val="bottom"/>
            <w:shd w:val="clear" w:color="auto" w:fill="41659C"/>
          </w:tcPr>
          <w:p>
            <w:pPr>
              <w:spacing w:after="0"/>
              <w:rPr>
                <w:sz w:val="13"/>
                <w:szCs w:val="13"/>
                <w:color w:val="auto"/>
              </w:rPr>
            </w:pPr>
          </w:p>
        </w:tc>
        <w:tc>
          <w:tcPr>
            <w:tcW w:w="1420" w:type="dxa"/>
            <w:vAlign w:val="bottom"/>
            <w:shd w:val="clear" w:color="auto" w:fill="41659C"/>
          </w:tcPr>
          <w:p>
            <w:pPr>
              <w:jc w:val="center"/>
              <w:spacing w:after="0"/>
              <w:rPr>
                <w:sz w:val="20"/>
                <w:szCs w:val="20"/>
                <w:color w:val="auto"/>
              </w:rPr>
            </w:pPr>
            <w:r>
              <w:rPr>
                <w:rFonts w:ascii="Arial" w:cs="Arial" w:eastAsia="Arial" w:hAnsi="Arial"/>
                <w:sz w:val="12"/>
                <w:szCs w:val="12"/>
                <w:b w:val="1"/>
                <w:bCs w:val="1"/>
                <w:color w:val="FFFFFF"/>
              </w:rPr>
              <w:t>Number of Shares</w:t>
            </w:r>
          </w:p>
        </w:tc>
        <w:tc>
          <w:tcPr>
            <w:tcW w:w="1740" w:type="dxa"/>
            <w:vAlign w:val="bottom"/>
            <w:vMerge w:val="restart"/>
            <w:shd w:val="clear" w:color="auto" w:fill="41659C"/>
          </w:tcPr>
          <w:p>
            <w:pPr>
              <w:jc w:val="center"/>
              <w:spacing w:after="0"/>
              <w:rPr>
                <w:sz w:val="20"/>
                <w:szCs w:val="20"/>
                <w:color w:val="auto"/>
              </w:rPr>
            </w:pPr>
            <w:r>
              <w:rPr>
                <w:rFonts w:ascii="Arial" w:cs="Arial" w:eastAsia="Arial" w:hAnsi="Arial"/>
                <w:sz w:val="12"/>
                <w:szCs w:val="12"/>
                <w:b w:val="1"/>
                <w:bCs w:val="1"/>
                <w:color w:val="FFFFFF"/>
                <w:w w:val="99"/>
              </w:rPr>
              <w:t>Value Realized on Exercise</w:t>
            </w:r>
          </w:p>
        </w:tc>
        <w:tc>
          <w:tcPr>
            <w:tcW w:w="1960" w:type="dxa"/>
            <w:vAlign w:val="bottom"/>
            <w:vMerge w:val="restart"/>
            <w:shd w:val="clear" w:color="auto" w:fill="41659C"/>
          </w:tcPr>
          <w:p>
            <w:pPr>
              <w:jc w:val="right"/>
              <w:ind w:right="13"/>
              <w:spacing w:after="0"/>
              <w:rPr>
                <w:sz w:val="20"/>
                <w:szCs w:val="20"/>
                <w:color w:val="auto"/>
              </w:rPr>
            </w:pPr>
            <w:r>
              <w:rPr>
                <w:rFonts w:ascii="Arial" w:cs="Arial" w:eastAsia="Arial" w:hAnsi="Arial"/>
                <w:sz w:val="12"/>
                <w:szCs w:val="12"/>
                <w:b w:val="1"/>
                <w:bCs w:val="1"/>
                <w:color w:val="FFFFFF"/>
              </w:rPr>
              <w:t>Number of Shares Acquired on</w:t>
            </w:r>
          </w:p>
        </w:tc>
        <w:tc>
          <w:tcPr>
            <w:tcW w:w="1700" w:type="dxa"/>
            <w:vAlign w:val="bottom"/>
            <w:vMerge w:val="restart"/>
            <w:shd w:val="clear" w:color="auto" w:fill="41659C"/>
          </w:tcPr>
          <w:p>
            <w:pPr>
              <w:jc w:val="right"/>
              <w:ind w:right="12"/>
              <w:spacing w:after="0"/>
              <w:rPr>
                <w:sz w:val="20"/>
                <w:szCs w:val="20"/>
                <w:color w:val="auto"/>
              </w:rPr>
            </w:pPr>
            <w:r>
              <w:rPr>
                <w:rFonts w:ascii="Arial" w:cs="Arial" w:eastAsia="Arial" w:hAnsi="Arial"/>
                <w:sz w:val="12"/>
                <w:szCs w:val="12"/>
                <w:b w:val="1"/>
                <w:bCs w:val="1"/>
                <w:color w:val="FFFFFF"/>
              </w:rPr>
              <w:t>Value Realized on Vesting</w:t>
            </w:r>
          </w:p>
        </w:tc>
        <w:tc>
          <w:tcPr>
            <w:tcW w:w="0" w:type="dxa"/>
            <w:vAlign w:val="bottom"/>
          </w:tcPr>
          <w:p>
            <w:pPr>
              <w:spacing w:after="0"/>
              <w:rPr>
                <w:sz w:val="1"/>
                <w:szCs w:val="1"/>
                <w:color w:val="auto"/>
              </w:rPr>
            </w:pPr>
          </w:p>
        </w:tc>
      </w:tr>
      <w:tr>
        <w:trPr>
          <w:trHeight w:val="121"/>
        </w:trPr>
        <w:tc>
          <w:tcPr>
            <w:tcW w:w="3720" w:type="dxa"/>
            <w:vAlign w:val="bottom"/>
            <w:vMerge w:val="restart"/>
            <w:shd w:val="clear" w:color="auto" w:fill="41659C"/>
          </w:tcPr>
          <w:p>
            <w:pPr>
              <w:ind w:left="120"/>
              <w:spacing w:after="0"/>
              <w:rPr>
                <w:sz w:val="20"/>
                <w:szCs w:val="20"/>
                <w:color w:val="auto"/>
              </w:rPr>
            </w:pPr>
            <w:r>
              <w:rPr>
                <w:rFonts w:ascii="Arial" w:cs="Arial" w:eastAsia="Arial" w:hAnsi="Arial"/>
                <w:sz w:val="12"/>
                <w:szCs w:val="12"/>
                <w:b w:val="1"/>
                <w:bCs w:val="1"/>
                <w:color w:val="FFFFFF"/>
              </w:rPr>
              <w:t>Name</w:t>
            </w:r>
          </w:p>
        </w:tc>
        <w:tc>
          <w:tcPr>
            <w:tcW w:w="1420" w:type="dxa"/>
            <w:vAlign w:val="bottom"/>
            <w:shd w:val="clear" w:color="auto" w:fill="41659C"/>
          </w:tcPr>
          <w:p>
            <w:pPr>
              <w:jc w:val="center"/>
              <w:spacing w:after="0" w:line="121" w:lineRule="exact"/>
              <w:rPr>
                <w:sz w:val="20"/>
                <w:szCs w:val="20"/>
                <w:color w:val="auto"/>
              </w:rPr>
            </w:pPr>
            <w:r>
              <w:rPr>
                <w:rFonts w:ascii="Arial" w:cs="Arial" w:eastAsia="Arial" w:hAnsi="Arial"/>
                <w:sz w:val="12"/>
                <w:szCs w:val="12"/>
                <w:b w:val="1"/>
                <w:bCs w:val="1"/>
                <w:color w:val="FFFFFF"/>
              </w:rPr>
              <w:t>Acquired on Exercise</w:t>
            </w:r>
          </w:p>
        </w:tc>
        <w:tc>
          <w:tcPr>
            <w:tcW w:w="1740" w:type="dxa"/>
            <w:vAlign w:val="bottom"/>
            <w:vMerge w:val="continue"/>
            <w:shd w:val="clear" w:color="auto" w:fill="41659C"/>
          </w:tcPr>
          <w:p>
            <w:pPr>
              <w:spacing w:after="0"/>
              <w:rPr>
                <w:sz w:val="10"/>
                <w:szCs w:val="10"/>
                <w:color w:val="auto"/>
              </w:rPr>
            </w:pPr>
          </w:p>
        </w:tc>
        <w:tc>
          <w:tcPr>
            <w:tcW w:w="1960" w:type="dxa"/>
            <w:vAlign w:val="bottom"/>
            <w:vMerge w:val="continue"/>
            <w:shd w:val="clear" w:color="auto" w:fill="41659C"/>
          </w:tcPr>
          <w:p>
            <w:pPr>
              <w:spacing w:after="0"/>
              <w:rPr>
                <w:sz w:val="10"/>
                <w:szCs w:val="10"/>
                <w:color w:val="auto"/>
              </w:rPr>
            </w:pPr>
          </w:p>
        </w:tc>
        <w:tc>
          <w:tcPr>
            <w:tcW w:w="1700" w:type="dxa"/>
            <w:vAlign w:val="bottom"/>
            <w:vMerge w:val="continue"/>
            <w:shd w:val="clear" w:color="auto" w:fill="41659C"/>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720" w:type="dxa"/>
            <w:vAlign w:val="bottom"/>
            <w:tcBorders>
              <w:bottom w:val="single" w:sz="8" w:color="41659C"/>
            </w:tcBorders>
            <w:vMerge w:val="continue"/>
            <w:shd w:val="clear" w:color="auto" w:fill="41659C"/>
          </w:tcPr>
          <w:p>
            <w:pPr>
              <w:spacing w:after="0"/>
              <w:rPr>
                <w:sz w:val="16"/>
                <w:szCs w:val="16"/>
                <w:color w:val="auto"/>
              </w:rPr>
            </w:pPr>
          </w:p>
        </w:tc>
        <w:tc>
          <w:tcPr>
            <w:tcW w:w="1420" w:type="dxa"/>
            <w:vAlign w:val="bottom"/>
            <w:tcBorders>
              <w:bottom w:val="single" w:sz="8" w:color="41659C"/>
            </w:tcBorders>
            <w:shd w:val="clear" w:color="auto" w:fill="41659C"/>
          </w:tcPr>
          <w:p>
            <w:pPr>
              <w:jc w:val="center"/>
              <w:spacing w:after="0"/>
              <w:rPr>
                <w:sz w:val="20"/>
                <w:szCs w:val="20"/>
                <w:color w:val="auto"/>
              </w:rPr>
            </w:pPr>
            <w:r>
              <w:rPr>
                <w:rFonts w:ascii="Arial" w:cs="Arial" w:eastAsia="Arial" w:hAnsi="Arial"/>
                <w:sz w:val="12"/>
                <w:szCs w:val="12"/>
                <w:b w:val="1"/>
                <w:bCs w:val="1"/>
                <w:color w:val="FFFFFF"/>
                <w:w w:val="95"/>
              </w:rPr>
              <w:t>(#)</w:t>
            </w:r>
          </w:p>
        </w:tc>
        <w:tc>
          <w:tcPr>
            <w:tcW w:w="1740" w:type="dxa"/>
            <w:vAlign w:val="bottom"/>
            <w:tcBorders>
              <w:bottom w:val="single" w:sz="8" w:color="41659C"/>
            </w:tcBorders>
            <w:shd w:val="clear" w:color="auto" w:fill="41659C"/>
          </w:tcPr>
          <w:p>
            <w:pPr>
              <w:jc w:val="right"/>
              <w:ind w:right="732"/>
              <w:spacing w:after="0"/>
              <w:rPr>
                <w:sz w:val="20"/>
                <w:szCs w:val="20"/>
                <w:color w:val="auto"/>
              </w:rPr>
            </w:pPr>
            <w:r>
              <w:rPr>
                <w:rFonts w:ascii="Arial" w:cs="Arial" w:eastAsia="Arial" w:hAnsi="Arial"/>
                <w:sz w:val="12"/>
                <w:szCs w:val="12"/>
                <w:b w:val="1"/>
                <w:bCs w:val="1"/>
                <w:color w:val="FFFFFF"/>
              </w:rPr>
              <w:t>($)</w:t>
            </w:r>
          </w:p>
        </w:tc>
        <w:tc>
          <w:tcPr>
            <w:tcW w:w="1960" w:type="dxa"/>
            <w:vAlign w:val="bottom"/>
            <w:tcBorders>
              <w:bottom w:val="single" w:sz="8" w:color="41659C"/>
            </w:tcBorders>
            <w:shd w:val="clear" w:color="auto" w:fill="41659C"/>
          </w:tcPr>
          <w:p>
            <w:pPr>
              <w:jc w:val="right"/>
              <w:ind w:right="613"/>
              <w:spacing w:after="0"/>
              <w:rPr>
                <w:sz w:val="20"/>
                <w:szCs w:val="20"/>
                <w:color w:val="auto"/>
              </w:rPr>
            </w:pPr>
            <w:r>
              <w:rPr>
                <w:rFonts w:ascii="Arial" w:cs="Arial" w:eastAsia="Arial" w:hAnsi="Arial"/>
                <w:sz w:val="12"/>
                <w:szCs w:val="12"/>
                <w:b w:val="1"/>
                <w:bCs w:val="1"/>
                <w:color w:val="FFFFFF"/>
              </w:rPr>
              <w:t>Vesting (#)</w:t>
            </w:r>
          </w:p>
        </w:tc>
        <w:tc>
          <w:tcPr>
            <w:tcW w:w="1700" w:type="dxa"/>
            <w:vAlign w:val="bottom"/>
            <w:tcBorders>
              <w:bottom w:val="single" w:sz="8" w:color="41659C"/>
            </w:tcBorders>
            <w:shd w:val="clear" w:color="auto" w:fill="41659C"/>
          </w:tcPr>
          <w:p>
            <w:pPr>
              <w:jc w:val="right"/>
              <w:ind w:right="672"/>
              <w:spacing w:after="0"/>
              <w:rPr>
                <w:sz w:val="20"/>
                <w:szCs w:val="20"/>
                <w:color w:val="auto"/>
              </w:rPr>
            </w:pPr>
            <w:r>
              <w:rPr>
                <w:rFonts w:ascii="Arial" w:cs="Arial" w:eastAsia="Arial" w:hAnsi="Arial"/>
                <w:sz w:val="12"/>
                <w:szCs w:val="12"/>
                <w:b w:val="1"/>
                <w:bCs w:val="1"/>
                <w:color w:val="FFFFFF"/>
              </w:rPr>
              <w:t>($)</w:t>
            </w:r>
            <w:r>
              <w:rPr>
                <w:rFonts w:ascii="Arial" w:cs="Arial" w:eastAsia="Arial" w:hAnsi="Arial"/>
                <w:sz w:val="10"/>
                <w:szCs w:val="10"/>
                <w:b w:val="1"/>
                <w:bCs w:val="1"/>
                <w:color w:val="FFFFFF"/>
              </w:rPr>
              <w:t>1</w:t>
            </w:r>
          </w:p>
        </w:tc>
        <w:tc>
          <w:tcPr>
            <w:tcW w:w="0" w:type="dxa"/>
            <w:vAlign w:val="bottom"/>
          </w:tcPr>
          <w:p>
            <w:pPr>
              <w:spacing w:after="0"/>
              <w:rPr>
                <w:sz w:val="1"/>
                <w:szCs w:val="1"/>
                <w:color w:val="auto"/>
              </w:rPr>
            </w:pPr>
          </w:p>
        </w:tc>
      </w:tr>
      <w:tr>
        <w:trPr>
          <w:trHeight w:val="213"/>
        </w:trPr>
        <w:tc>
          <w:tcPr>
            <w:tcW w:w="3720" w:type="dxa"/>
            <w:vAlign w:val="bottom"/>
            <w:tcBorders>
              <w:bottom w:val="single" w:sz="8" w:color="E8EED3"/>
            </w:tcBorders>
            <w:shd w:val="clear" w:color="auto" w:fill="E8EED3"/>
          </w:tcPr>
          <w:p>
            <w:pPr>
              <w:ind w:left="120"/>
              <w:spacing w:after="0"/>
              <w:rPr>
                <w:sz w:val="20"/>
                <w:szCs w:val="20"/>
                <w:color w:val="auto"/>
              </w:rPr>
            </w:pPr>
            <w:r>
              <w:rPr>
                <w:rFonts w:ascii="Arial" w:cs="Arial" w:eastAsia="Arial" w:hAnsi="Arial"/>
                <w:sz w:val="15"/>
                <w:szCs w:val="15"/>
                <w:color w:val="auto"/>
              </w:rPr>
              <w:t>Todd Gleason</w:t>
            </w:r>
          </w:p>
        </w:tc>
        <w:tc>
          <w:tcPr>
            <w:tcW w:w="1420" w:type="dxa"/>
            <w:vAlign w:val="bottom"/>
            <w:tcBorders>
              <w:bottom w:val="single" w:sz="8" w:color="E8EED3"/>
            </w:tcBorders>
            <w:shd w:val="clear" w:color="auto" w:fill="E8EED3"/>
          </w:tcPr>
          <w:p>
            <w:pPr>
              <w:ind w:left="1100"/>
              <w:spacing w:after="0"/>
              <w:rPr>
                <w:sz w:val="20"/>
                <w:szCs w:val="20"/>
                <w:color w:val="auto"/>
              </w:rPr>
            </w:pPr>
            <w:r>
              <w:rPr>
                <w:rFonts w:ascii="Arial" w:cs="Arial" w:eastAsia="Arial" w:hAnsi="Arial"/>
                <w:sz w:val="15"/>
                <w:szCs w:val="15"/>
                <w:color w:val="auto"/>
              </w:rPr>
              <w:t>—</w:t>
            </w:r>
          </w:p>
        </w:tc>
        <w:tc>
          <w:tcPr>
            <w:tcW w:w="1740" w:type="dxa"/>
            <w:vAlign w:val="bottom"/>
            <w:tcBorders>
              <w:bottom w:val="single" w:sz="8" w:color="E8EED3"/>
            </w:tcBorders>
            <w:shd w:val="clear" w:color="auto" w:fill="E8EED3"/>
          </w:tcPr>
          <w:p>
            <w:pPr>
              <w:ind w:left="1420"/>
              <w:spacing w:after="0"/>
              <w:rPr>
                <w:sz w:val="20"/>
                <w:szCs w:val="20"/>
                <w:color w:val="auto"/>
              </w:rPr>
            </w:pPr>
            <w:r>
              <w:rPr>
                <w:rFonts w:ascii="Arial" w:cs="Arial" w:eastAsia="Arial" w:hAnsi="Arial"/>
                <w:sz w:val="15"/>
                <w:szCs w:val="15"/>
                <w:color w:val="auto"/>
              </w:rPr>
              <w:t>—</w:t>
            </w:r>
          </w:p>
        </w:tc>
        <w:tc>
          <w:tcPr>
            <w:tcW w:w="1960" w:type="dxa"/>
            <w:vAlign w:val="bottom"/>
            <w:tcBorders>
              <w:bottom w:val="single" w:sz="8" w:color="E8EED3"/>
            </w:tcBorders>
            <w:shd w:val="clear" w:color="auto" w:fill="E8EED3"/>
          </w:tcPr>
          <w:p>
            <w:pPr>
              <w:jc w:val="right"/>
              <w:ind w:right="13"/>
              <w:spacing w:after="0"/>
              <w:rPr>
                <w:sz w:val="20"/>
                <w:szCs w:val="20"/>
                <w:color w:val="auto"/>
              </w:rPr>
            </w:pPr>
            <w:r>
              <w:rPr>
                <w:rFonts w:ascii="Arial" w:cs="Arial" w:eastAsia="Arial" w:hAnsi="Arial"/>
                <w:sz w:val="15"/>
                <w:szCs w:val="15"/>
                <w:color w:val="auto"/>
              </w:rPr>
              <w:t>23,585</w:t>
            </w:r>
          </w:p>
        </w:tc>
        <w:tc>
          <w:tcPr>
            <w:tcW w:w="1700" w:type="dxa"/>
            <w:vAlign w:val="bottom"/>
            <w:tcBorders>
              <w:bottom w:val="single" w:sz="8" w:color="E8EED3"/>
            </w:tcBorders>
            <w:shd w:val="clear" w:color="auto" w:fill="E8EED3"/>
          </w:tcPr>
          <w:p>
            <w:pPr>
              <w:jc w:val="right"/>
              <w:ind w:right="12"/>
              <w:spacing w:after="0"/>
              <w:rPr>
                <w:sz w:val="20"/>
                <w:szCs w:val="20"/>
                <w:color w:val="auto"/>
              </w:rPr>
            </w:pPr>
            <w:r>
              <w:rPr>
                <w:rFonts w:ascii="Arial" w:cs="Arial" w:eastAsia="Arial" w:hAnsi="Arial"/>
                <w:sz w:val="15"/>
                <w:szCs w:val="15"/>
                <w:color w:val="auto"/>
              </w:rPr>
              <w:t>167,925</w:t>
            </w:r>
          </w:p>
        </w:tc>
        <w:tc>
          <w:tcPr>
            <w:tcW w:w="0" w:type="dxa"/>
            <w:vAlign w:val="bottom"/>
          </w:tcPr>
          <w:p>
            <w:pPr>
              <w:spacing w:after="0"/>
              <w:rPr>
                <w:sz w:val="1"/>
                <w:szCs w:val="1"/>
                <w:color w:val="auto"/>
              </w:rPr>
            </w:pPr>
          </w:p>
        </w:tc>
      </w:tr>
      <w:tr>
        <w:trPr>
          <w:trHeight w:val="213"/>
        </w:trPr>
        <w:tc>
          <w:tcPr>
            <w:tcW w:w="3720" w:type="dxa"/>
            <w:vAlign w:val="bottom"/>
            <w:tcBorders>
              <w:bottom w:val="single" w:sz="8" w:color="D2DEA7"/>
            </w:tcBorders>
            <w:shd w:val="clear" w:color="auto" w:fill="D2DEA7"/>
          </w:tcPr>
          <w:p>
            <w:pPr>
              <w:ind w:left="120"/>
              <w:spacing w:after="0"/>
              <w:rPr>
                <w:sz w:val="20"/>
                <w:szCs w:val="20"/>
                <w:color w:val="auto"/>
              </w:rPr>
            </w:pPr>
            <w:r>
              <w:rPr>
                <w:rFonts w:ascii="Arial" w:cs="Arial" w:eastAsia="Arial" w:hAnsi="Arial"/>
                <w:sz w:val="15"/>
                <w:szCs w:val="15"/>
                <w:color w:val="auto"/>
              </w:rPr>
              <w:t>Matthew Eckl</w:t>
            </w:r>
          </w:p>
        </w:tc>
        <w:tc>
          <w:tcPr>
            <w:tcW w:w="1420" w:type="dxa"/>
            <w:vAlign w:val="bottom"/>
            <w:tcBorders>
              <w:bottom w:val="single" w:sz="8" w:color="D2DEA7"/>
            </w:tcBorders>
            <w:shd w:val="clear" w:color="auto" w:fill="D2DEA7"/>
          </w:tcPr>
          <w:p>
            <w:pPr>
              <w:ind w:left="1100"/>
              <w:spacing w:after="0"/>
              <w:rPr>
                <w:sz w:val="20"/>
                <w:szCs w:val="20"/>
                <w:color w:val="auto"/>
              </w:rPr>
            </w:pPr>
            <w:r>
              <w:rPr>
                <w:rFonts w:ascii="Arial" w:cs="Arial" w:eastAsia="Arial" w:hAnsi="Arial"/>
                <w:sz w:val="15"/>
                <w:szCs w:val="15"/>
                <w:color w:val="auto"/>
              </w:rPr>
              <w:t>—</w:t>
            </w:r>
          </w:p>
        </w:tc>
        <w:tc>
          <w:tcPr>
            <w:tcW w:w="1740" w:type="dxa"/>
            <w:vAlign w:val="bottom"/>
            <w:tcBorders>
              <w:bottom w:val="single" w:sz="8" w:color="D2DEA7"/>
            </w:tcBorders>
            <w:shd w:val="clear" w:color="auto" w:fill="D2DEA7"/>
          </w:tcPr>
          <w:p>
            <w:pPr>
              <w:ind w:left="1420"/>
              <w:spacing w:after="0"/>
              <w:rPr>
                <w:sz w:val="20"/>
                <w:szCs w:val="20"/>
                <w:color w:val="auto"/>
              </w:rPr>
            </w:pPr>
            <w:r>
              <w:rPr>
                <w:rFonts w:ascii="Arial" w:cs="Arial" w:eastAsia="Arial" w:hAnsi="Arial"/>
                <w:sz w:val="15"/>
                <w:szCs w:val="15"/>
                <w:color w:val="auto"/>
              </w:rPr>
              <w:t>—</w:t>
            </w:r>
          </w:p>
        </w:tc>
        <w:tc>
          <w:tcPr>
            <w:tcW w:w="1960" w:type="dxa"/>
            <w:vAlign w:val="bottom"/>
            <w:tcBorders>
              <w:bottom w:val="single" w:sz="8" w:color="D2DEA7"/>
            </w:tcBorders>
            <w:shd w:val="clear" w:color="auto" w:fill="D2DEA7"/>
          </w:tcPr>
          <w:p>
            <w:pPr>
              <w:jc w:val="right"/>
              <w:ind w:right="13"/>
              <w:spacing w:after="0"/>
              <w:rPr>
                <w:sz w:val="20"/>
                <w:szCs w:val="20"/>
                <w:color w:val="auto"/>
              </w:rPr>
            </w:pPr>
            <w:r>
              <w:rPr>
                <w:rFonts w:ascii="Arial" w:cs="Arial" w:eastAsia="Arial" w:hAnsi="Arial"/>
                <w:sz w:val="15"/>
                <w:szCs w:val="15"/>
                <w:color w:val="auto"/>
              </w:rPr>
              <w:t>30,067</w:t>
            </w:r>
          </w:p>
        </w:tc>
        <w:tc>
          <w:tcPr>
            <w:tcW w:w="1700" w:type="dxa"/>
            <w:vAlign w:val="bottom"/>
            <w:tcBorders>
              <w:bottom w:val="single" w:sz="8" w:color="D2DEA7"/>
            </w:tcBorders>
            <w:shd w:val="clear" w:color="auto" w:fill="D2DEA7"/>
          </w:tcPr>
          <w:p>
            <w:pPr>
              <w:jc w:val="right"/>
              <w:ind w:right="12"/>
              <w:spacing w:after="0"/>
              <w:rPr>
                <w:sz w:val="20"/>
                <w:szCs w:val="20"/>
                <w:color w:val="auto"/>
              </w:rPr>
            </w:pPr>
            <w:r>
              <w:rPr>
                <w:rFonts w:ascii="Arial" w:cs="Arial" w:eastAsia="Arial" w:hAnsi="Arial"/>
                <w:sz w:val="15"/>
                <w:szCs w:val="15"/>
                <w:color w:val="auto"/>
              </w:rPr>
              <w:t>232,015</w:t>
            </w:r>
          </w:p>
        </w:tc>
        <w:tc>
          <w:tcPr>
            <w:tcW w:w="0" w:type="dxa"/>
            <w:vAlign w:val="bottom"/>
          </w:tcPr>
          <w:p>
            <w:pPr>
              <w:spacing w:after="0"/>
              <w:rPr>
                <w:sz w:val="1"/>
                <w:szCs w:val="1"/>
                <w:color w:val="auto"/>
              </w:rPr>
            </w:pPr>
          </w:p>
        </w:tc>
      </w:tr>
      <w:tr>
        <w:trPr>
          <w:trHeight w:val="201"/>
        </w:trPr>
        <w:tc>
          <w:tcPr>
            <w:tcW w:w="3720" w:type="dxa"/>
            <w:vAlign w:val="bottom"/>
            <w:shd w:val="clear" w:color="auto" w:fill="E8EED3"/>
          </w:tcPr>
          <w:p>
            <w:pPr>
              <w:ind w:left="120"/>
              <w:spacing w:after="0"/>
              <w:rPr>
                <w:sz w:val="20"/>
                <w:szCs w:val="20"/>
                <w:color w:val="auto"/>
              </w:rPr>
            </w:pPr>
            <w:r>
              <w:rPr>
                <w:rFonts w:ascii="Arial" w:cs="Arial" w:eastAsia="Arial" w:hAnsi="Arial"/>
                <w:sz w:val="15"/>
                <w:szCs w:val="15"/>
                <w:color w:val="auto"/>
              </w:rPr>
              <w:t>Ramesh Nuggihalli</w:t>
            </w:r>
          </w:p>
        </w:tc>
        <w:tc>
          <w:tcPr>
            <w:tcW w:w="1420" w:type="dxa"/>
            <w:vAlign w:val="bottom"/>
            <w:shd w:val="clear" w:color="auto" w:fill="E8EED3"/>
          </w:tcPr>
          <w:p>
            <w:pPr>
              <w:ind w:left="1100"/>
              <w:spacing w:after="0"/>
              <w:rPr>
                <w:sz w:val="20"/>
                <w:szCs w:val="20"/>
                <w:color w:val="auto"/>
              </w:rPr>
            </w:pPr>
            <w:r>
              <w:rPr>
                <w:rFonts w:ascii="Arial" w:cs="Arial" w:eastAsia="Arial" w:hAnsi="Arial"/>
                <w:sz w:val="15"/>
                <w:szCs w:val="15"/>
                <w:color w:val="auto"/>
              </w:rPr>
              <w:t>—</w:t>
            </w:r>
          </w:p>
        </w:tc>
        <w:tc>
          <w:tcPr>
            <w:tcW w:w="1740" w:type="dxa"/>
            <w:vAlign w:val="bottom"/>
            <w:shd w:val="clear" w:color="auto" w:fill="E8EED3"/>
          </w:tcPr>
          <w:p>
            <w:pPr>
              <w:ind w:left="1420"/>
              <w:spacing w:after="0"/>
              <w:rPr>
                <w:sz w:val="20"/>
                <w:szCs w:val="20"/>
                <w:color w:val="auto"/>
              </w:rPr>
            </w:pPr>
            <w:r>
              <w:rPr>
                <w:rFonts w:ascii="Arial" w:cs="Arial" w:eastAsia="Arial" w:hAnsi="Arial"/>
                <w:sz w:val="15"/>
                <w:szCs w:val="15"/>
                <w:color w:val="auto"/>
              </w:rPr>
              <w:t>—</w:t>
            </w:r>
          </w:p>
        </w:tc>
        <w:tc>
          <w:tcPr>
            <w:tcW w:w="1960" w:type="dxa"/>
            <w:vAlign w:val="bottom"/>
            <w:shd w:val="clear" w:color="auto" w:fill="E8EED3"/>
          </w:tcPr>
          <w:p>
            <w:pPr>
              <w:jc w:val="right"/>
              <w:ind w:right="93"/>
              <w:spacing w:after="0"/>
              <w:rPr>
                <w:sz w:val="20"/>
                <w:szCs w:val="20"/>
                <w:color w:val="auto"/>
              </w:rPr>
            </w:pPr>
            <w:r>
              <w:rPr>
                <w:rFonts w:ascii="Arial" w:cs="Arial" w:eastAsia="Arial" w:hAnsi="Arial"/>
                <w:sz w:val="15"/>
                <w:szCs w:val="15"/>
                <w:color w:val="auto"/>
              </w:rPr>
              <w:t>—</w:t>
            </w:r>
          </w:p>
        </w:tc>
        <w:tc>
          <w:tcPr>
            <w:tcW w:w="1700" w:type="dxa"/>
            <w:vAlign w:val="bottom"/>
            <w:shd w:val="clear" w:color="auto" w:fill="E8EED3"/>
          </w:tcPr>
          <w:p>
            <w:pPr>
              <w:jc w:val="right"/>
              <w:ind w:right="92"/>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2"/>
        </w:trPr>
        <w:tc>
          <w:tcPr>
            <w:tcW w:w="3720" w:type="dxa"/>
            <w:vAlign w:val="bottom"/>
            <w:shd w:val="clear" w:color="auto" w:fill="E8EED3"/>
          </w:tcPr>
          <w:p>
            <w:pPr>
              <w:spacing w:after="0"/>
              <w:rPr>
                <w:sz w:val="2"/>
                <w:szCs w:val="2"/>
                <w:color w:val="auto"/>
              </w:rPr>
            </w:pPr>
          </w:p>
        </w:tc>
        <w:tc>
          <w:tcPr>
            <w:tcW w:w="1420" w:type="dxa"/>
            <w:vAlign w:val="bottom"/>
            <w:shd w:val="clear" w:color="auto" w:fill="E8EED3"/>
          </w:tcPr>
          <w:p>
            <w:pPr>
              <w:spacing w:after="0"/>
              <w:rPr>
                <w:sz w:val="2"/>
                <w:szCs w:val="2"/>
                <w:color w:val="auto"/>
              </w:rPr>
            </w:pPr>
          </w:p>
        </w:tc>
        <w:tc>
          <w:tcPr>
            <w:tcW w:w="1740" w:type="dxa"/>
            <w:vAlign w:val="bottom"/>
            <w:shd w:val="clear" w:color="auto" w:fill="E8EED3"/>
          </w:tcPr>
          <w:p>
            <w:pPr>
              <w:spacing w:after="0"/>
              <w:rPr>
                <w:sz w:val="2"/>
                <w:szCs w:val="2"/>
                <w:color w:val="auto"/>
              </w:rPr>
            </w:pPr>
          </w:p>
        </w:tc>
        <w:tc>
          <w:tcPr>
            <w:tcW w:w="1960" w:type="dxa"/>
            <w:vAlign w:val="bottom"/>
            <w:shd w:val="clear" w:color="auto" w:fill="E8EED3"/>
          </w:tcPr>
          <w:p>
            <w:pPr>
              <w:spacing w:after="0"/>
              <w:rPr>
                <w:sz w:val="2"/>
                <w:szCs w:val="2"/>
                <w:color w:val="auto"/>
              </w:rPr>
            </w:pPr>
          </w:p>
        </w:tc>
        <w:tc>
          <w:tcPr>
            <w:tcW w:w="1700" w:type="dxa"/>
            <w:vAlign w:val="bottom"/>
            <w:shd w:val="clear" w:color="auto" w:fill="E8EED3"/>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-738505</wp:posOffset>
            </wp:positionV>
            <wp:extent cx="2266950" cy="7391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266950" cy="739140"/>
                    </a:xfrm>
                    <a:prstGeom prst="rect">
                      <a:avLst/>
                    </a:prstGeom>
                    <a:noFill/>
                  </pic:spPr>
                </pic:pic>
              </a:graphicData>
            </a:graphic>
          </wp:anchor>
        </w:drawing>
      </w:r>
    </w:p>
    <w:p>
      <w:pPr>
        <w:spacing w:after="0" w:line="89" w:lineRule="exact"/>
        <w:rPr>
          <w:sz w:val="20"/>
          <w:szCs w:val="20"/>
          <w:color w:val="auto"/>
        </w:rPr>
      </w:pPr>
    </w:p>
    <w:p>
      <w:pPr>
        <w:ind w:left="760" w:right="280" w:hanging="414"/>
        <w:spacing w:after="0" w:line="260" w:lineRule="auto"/>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Amounts reflect the number of shares acquired on vesting valued at the closing price of our common stock on the business day immediately preceding the date of vesting.</w:t>
      </w:r>
    </w:p>
    <w:p>
      <w:pPr>
        <w:spacing w:after="0" w:line="357"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41659C"/>
        </w:rPr>
        <w:t>Potential Payments Upon Termination or Change in Control</w:t>
      </w:r>
    </w:p>
    <w:p>
      <w:pPr>
        <w:spacing w:after="0" w:line="212" w:lineRule="exact"/>
        <w:rPr>
          <w:sz w:val="20"/>
          <w:szCs w:val="20"/>
          <w:color w:val="auto"/>
        </w:rPr>
      </w:pPr>
    </w:p>
    <w:p>
      <w:pPr>
        <w:ind w:left="340" w:right="160"/>
        <w:spacing w:after="0" w:line="245" w:lineRule="auto"/>
        <w:rPr>
          <w:sz w:val="20"/>
          <w:szCs w:val="20"/>
          <w:color w:val="auto"/>
        </w:rPr>
      </w:pPr>
      <w:r>
        <w:rPr>
          <w:rFonts w:ascii="Arial" w:cs="Arial" w:eastAsia="Arial" w:hAnsi="Arial"/>
          <w:sz w:val="16"/>
          <w:szCs w:val="16"/>
          <w:color w:val="auto"/>
        </w:rPr>
        <w:t>Our named executive officers are entitled to certain payments upon voluntary or involuntary termination, retirement, death or disability or change in control. Additionally, certain NEOs may be entitled to severance or other benefits in certain circumstances pursuant to their employment agreements or the terms of their equity awards. We maintain disability and life insurance policies that would provide for certain benefits upon the death or disability of a named executive officer then serving as one of our employees.</w:t>
      </w:r>
    </w:p>
    <w:p>
      <w:pPr>
        <w:spacing w:after="0" w:line="180" w:lineRule="exact"/>
        <w:rPr>
          <w:sz w:val="20"/>
          <w:szCs w:val="20"/>
          <w:color w:val="auto"/>
        </w:rPr>
      </w:pPr>
    </w:p>
    <w:p>
      <w:pPr>
        <w:ind w:left="340" w:right="120"/>
        <w:spacing w:after="0" w:line="242" w:lineRule="auto"/>
        <w:rPr>
          <w:sz w:val="20"/>
          <w:szCs w:val="20"/>
          <w:color w:val="auto"/>
        </w:rPr>
      </w:pPr>
      <w:r>
        <w:rPr>
          <w:rFonts w:ascii="Arial" w:cs="Arial" w:eastAsia="Arial" w:hAnsi="Arial"/>
          <w:sz w:val="16"/>
          <w:szCs w:val="16"/>
          <w:color w:val="auto"/>
        </w:rPr>
        <w:t>In August 2021, the Board of Directors approved the CECO Environmental Corp. Executive Change in Control Severance Plan for certain NEOs and certain other executive leaders (the “CIC Severance Plan”). This CIC Severance Plan is designed to address organizational leadership needs to attract and retain senior level executives in CECO removing barriers and distractions of executives by providing limited protection to senior level leaders should a potential change in control occur. Offering continuity for these leaders while not tying the organization to an employment contract allows CECO to recruit, retain and demonstrate the value our senior level leaders contribute to our organization.</w:t>
      </w:r>
    </w:p>
    <w:p>
      <w:pPr>
        <w:spacing w:after="0" w:line="185" w:lineRule="exact"/>
        <w:rPr>
          <w:sz w:val="20"/>
          <w:szCs w:val="20"/>
          <w:color w:val="auto"/>
        </w:rPr>
      </w:pPr>
    </w:p>
    <w:p>
      <w:pPr>
        <w:ind w:left="340" w:right="20"/>
        <w:spacing w:after="0" w:line="241" w:lineRule="auto"/>
        <w:rPr>
          <w:sz w:val="20"/>
          <w:szCs w:val="20"/>
          <w:color w:val="auto"/>
        </w:rPr>
      </w:pPr>
      <w:r>
        <w:rPr>
          <w:rFonts w:ascii="Arial" w:cs="Arial" w:eastAsia="Arial" w:hAnsi="Arial"/>
          <w:sz w:val="16"/>
          <w:szCs w:val="16"/>
          <w:color w:val="auto"/>
        </w:rPr>
        <w:t>The tables below summarize the amounts that each continuing named executive officer would receive if his employment had terminated on December 31, 2021, the last business day of that year, under the various circumstances shown. The amounts include the value of each named executive officer’s equity awards outstanding as of that date (based on hypothetical vesting under the various circumstances) based on the closing price per share of our common stock on such date ($6.23). For information about these equity awards held by our named executive officers, see the “2021 Outstanding Equity Awards at Fiscal Year-End Table” above. We also discuss these awards in the “Compensation Discussion” above. If a named executive officer’s employment was terminated for cause, no amount would be payable.</w:t>
      </w:r>
    </w:p>
    <w:p>
      <w:pPr>
        <w:spacing w:after="0" w:line="189"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3180" w:type="dxa"/>
            <w:vAlign w:val="bottom"/>
            <w:shd w:val="clear" w:color="auto" w:fill="41659C"/>
          </w:tcPr>
          <w:p>
            <w:pPr>
              <w:spacing w:after="0"/>
              <w:rPr>
                <w:sz w:val="15"/>
                <w:szCs w:val="15"/>
                <w:color w:val="auto"/>
              </w:rPr>
            </w:pPr>
          </w:p>
        </w:tc>
        <w:tc>
          <w:tcPr>
            <w:tcW w:w="520" w:type="dxa"/>
            <w:vAlign w:val="bottom"/>
            <w:shd w:val="clear" w:color="auto" w:fill="41659C"/>
          </w:tcPr>
          <w:p>
            <w:pPr>
              <w:spacing w:after="0"/>
              <w:rPr>
                <w:sz w:val="15"/>
                <w:szCs w:val="15"/>
                <w:color w:val="auto"/>
              </w:rPr>
            </w:pPr>
          </w:p>
        </w:tc>
        <w:tc>
          <w:tcPr>
            <w:tcW w:w="1300" w:type="dxa"/>
            <w:vAlign w:val="bottom"/>
            <w:shd w:val="clear" w:color="auto" w:fill="41659C"/>
          </w:tcPr>
          <w:p>
            <w:pPr>
              <w:spacing w:after="0"/>
              <w:rPr>
                <w:sz w:val="15"/>
                <w:szCs w:val="15"/>
                <w:color w:val="auto"/>
              </w:rPr>
            </w:pPr>
          </w:p>
        </w:tc>
        <w:tc>
          <w:tcPr>
            <w:tcW w:w="160" w:type="dxa"/>
            <w:vAlign w:val="bottom"/>
            <w:shd w:val="clear" w:color="auto" w:fill="41659C"/>
          </w:tcPr>
          <w:p>
            <w:pPr>
              <w:spacing w:after="0"/>
              <w:rPr>
                <w:sz w:val="15"/>
                <w:szCs w:val="15"/>
                <w:color w:val="auto"/>
              </w:rPr>
            </w:pPr>
          </w:p>
        </w:tc>
        <w:tc>
          <w:tcPr>
            <w:tcW w:w="220" w:type="dxa"/>
            <w:vAlign w:val="bottom"/>
            <w:shd w:val="clear" w:color="auto" w:fill="41659C"/>
          </w:tcPr>
          <w:p>
            <w:pPr>
              <w:spacing w:after="0"/>
              <w:rPr>
                <w:sz w:val="15"/>
                <w:szCs w:val="15"/>
                <w:color w:val="auto"/>
              </w:rPr>
            </w:pPr>
          </w:p>
        </w:tc>
        <w:tc>
          <w:tcPr>
            <w:tcW w:w="820" w:type="dxa"/>
            <w:vAlign w:val="bottom"/>
            <w:shd w:val="clear" w:color="auto" w:fill="41659C"/>
          </w:tcPr>
          <w:p>
            <w:pPr>
              <w:spacing w:after="0"/>
              <w:rPr>
                <w:sz w:val="15"/>
                <w:szCs w:val="15"/>
                <w:color w:val="auto"/>
              </w:rPr>
            </w:pPr>
          </w:p>
        </w:tc>
        <w:tc>
          <w:tcPr>
            <w:tcW w:w="1640" w:type="dxa"/>
            <w:vAlign w:val="bottom"/>
            <w:shd w:val="clear" w:color="auto" w:fill="41659C"/>
          </w:tcPr>
          <w:p>
            <w:pPr>
              <w:spacing w:after="0"/>
              <w:rPr>
                <w:sz w:val="15"/>
                <w:szCs w:val="15"/>
                <w:color w:val="auto"/>
              </w:rPr>
            </w:pPr>
          </w:p>
        </w:tc>
        <w:tc>
          <w:tcPr>
            <w:tcW w:w="2700" w:type="dxa"/>
            <w:vAlign w:val="bottom"/>
            <w:gridSpan w:val="5"/>
            <w:shd w:val="clear" w:color="auto" w:fill="41659C"/>
          </w:tcPr>
          <w:p>
            <w:pPr>
              <w:ind w:left="900"/>
              <w:spacing w:after="0"/>
              <w:rPr>
                <w:sz w:val="20"/>
                <w:szCs w:val="20"/>
                <w:color w:val="auto"/>
              </w:rPr>
            </w:pPr>
            <w:r>
              <w:rPr>
                <w:rFonts w:ascii="Arial" w:cs="Arial" w:eastAsia="Arial" w:hAnsi="Arial"/>
                <w:sz w:val="15"/>
                <w:szCs w:val="15"/>
                <w:b w:val="1"/>
                <w:bCs w:val="1"/>
                <w:color w:val="FFFFFF"/>
              </w:rPr>
              <w:t>Without Cause or for</w:t>
            </w:r>
          </w:p>
        </w:tc>
        <w:tc>
          <w:tcPr>
            <w:tcW w:w="0" w:type="dxa"/>
            <w:vAlign w:val="bottom"/>
          </w:tcPr>
          <w:p>
            <w:pPr>
              <w:spacing w:after="0"/>
              <w:rPr>
                <w:sz w:val="1"/>
                <w:szCs w:val="1"/>
                <w:color w:val="auto"/>
              </w:rPr>
            </w:pPr>
          </w:p>
        </w:tc>
      </w:tr>
      <w:tr>
        <w:trPr>
          <w:trHeight w:val="165"/>
        </w:trPr>
        <w:tc>
          <w:tcPr>
            <w:tcW w:w="3180" w:type="dxa"/>
            <w:vAlign w:val="bottom"/>
            <w:tcBorders>
              <w:bottom w:val="single" w:sz="8" w:color="41659C"/>
            </w:tcBorders>
            <w:shd w:val="clear" w:color="auto" w:fill="41659C"/>
          </w:tcPr>
          <w:p>
            <w:pPr>
              <w:ind w:left="120"/>
              <w:spacing w:after="0" w:line="166" w:lineRule="exact"/>
              <w:rPr>
                <w:sz w:val="20"/>
                <w:szCs w:val="20"/>
                <w:color w:val="auto"/>
              </w:rPr>
            </w:pPr>
            <w:r>
              <w:rPr>
                <w:rFonts w:ascii="Arial" w:cs="Arial" w:eastAsia="Arial" w:hAnsi="Arial"/>
                <w:sz w:val="15"/>
                <w:szCs w:val="15"/>
                <w:b w:val="1"/>
                <w:bCs w:val="1"/>
                <w:color w:val="FFFFFF"/>
              </w:rPr>
              <w:t>Todd Gleason</w:t>
            </w:r>
          </w:p>
        </w:tc>
        <w:tc>
          <w:tcPr>
            <w:tcW w:w="2200" w:type="dxa"/>
            <w:vAlign w:val="bottom"/>
            <w:tcBorders>
              <w:bottom w:val="single" w:sz="8" w:color="41659C"/>
            </w:tcBorders>
            <w:gridSpan w:val="4"/>
            <w:shd w:val="clear" w:color="auto" w:fill="41659C"/>
          </w:tcPr>
          <w:p>
            <w:pPr>
              <w:ind w:left="520"/>
              <w:spacing w:after="0" w:line="166" w:lineRule="exact"/>
              <w:rPr>
                <w:sz w:val="20"/>
                <w:szCs w:val="20"/>
                <w:color w:val="auto"/>
              </w:rPr>
            </w:pPr>
            <w:r>
              <w:rPr>
                <w:rFonts w:ascii="Arial" w:cs="Arial" w:eastAsia="Arial" w:hAnsi="Arial"/>
                <w:sz w:val="15"/>
                <w:szCs w:val="15"/>
                <w:b w:val="1"/>
                <w:bCs w:val="1"/>
                <w:color w:val="FFFFFF"/>
                <w:w w:val="98"/>
              </w:rPr>
              <w:t>Death or Disability</w:t>
            </w:r>
            <w:r>
              <w:rPr>
                <w:rFonts w:ascii="Arial" w:cs="Arial" w:eastAsia="Arial" w:hAnsi="Arial"/>
                <w:sz w:val="12"/>
                <w:szCs w:val="12"/>
                <w:b w:val="1"/>
                <w:bCs w:val="1"/>
                <w:color w:val="FFFFFF"/>
                <w:w w:val="98"/>
              </w:rPr>
              <w:t>(1)</w:t>
            </w:r>
            <w:r>
              <w:rPr>
                <w:rFonts w:ascii="Arial" w:cs="Arial" w:eastAsia="Arial" w:hAnsi="Arial"/>
                <w:sz w:val="15"/>
                <w:szCs w:val="15"/>
                <w:b w:val="1"/>
                <w:bCs w:val="1"/>
                <w:color w:val="FFFFFF"/>
                <w:w w:val="98"/>
              </w:rPr>
              <w:t xml:space="preserve"> ($)</w:t>
            </w:r>
          </w:p>
        </w:tc>
        <w:tc>
          <w:tcPr>
            <w:tcW w:w="2460" w:type="dxa"/>
            <w:vAlign w:val="bottom"/>
            <w:tcBorders>
              <w:bottom w:val="single" w:sz="8" w:color="41659C"/>
            </w:tcBorders>
            <w:gridSpan w:val="2"/>
            <w:shd w:val="clear" w:color="auto" w:fill="41659C"/>
          </w:tcPr>
          <w:p>
            <w:pPr>
              <w:jc w:val="right"/>
              <w:spacing w:after="0" w:line="166" w:lineRule="exact"/>
              <w:rPr>
                <w:sz w:val="20"/>
                <w:szCs w:val="20"/>
                <w:color w:val="auto"/>
              </w:rPr>
            </w:pPr>
            <w:r>
              <w:rPr>
                <w:rFonts w:ascii="Arial" w:cs="Arial" w:eastAsia="Arial" w:hAnsi="Arial"/>
                <w:sz w:val="15"/>
                <w:szCs w:val="15"/>
                <w:b w:val="1"/>
                <w:bCs w:val="1"/>
                <w:color w:val="FFFFFF"/>
              </w:rPr>
              <w:t>Change in Control</w:t>
            </w:r>
            <w:r>
              <w:rPr>
                <w:rFonts w:ascii="Arial" w:cs="Arial" w:eastAsia="Arial" w:hAnsi="Arial"/>
                <w:sz w:val="12"/>
                <w:szCs w:val="12"/>
                <w:b w:val="1"/>
                <w:bCs w:val="1"/>
                <w:color w:val="FFFFFF"/>
              </w:rPr>
              <w:t>(2)</w:t>
            </w:r>
            <w:r>
              <w:rPr>
                <w:rFonts w:ascii="Arial" w:cs="Arial" w:eastAsia="Arial" w:hAnsi="Arial"/>
                <w:sz w:val="15"/>
                <w:szCs w:val="15"/>
                <w:b w:val="1"/>
                <w:bCs w:val="1"/>
                <w:color w:val="FFFFFF"/>
              </w:rPr>
              <w:t xml:space="preserve"> ($)</w:t>
            </w:r>
          </w:p>
        </w:tc>
        <w:tc>
          <w:tcPr>
            <w:tcW w:w="900" w:type="dxa"/>
            <w:vAlign w:val="bottom"/>
            <w:tcBorders>
              <w:bottom w:val="single" w:sz="8" w:color="41659C"/>
            </w:tcBorders>
            <w:shd w:val="clear" w:color="auto" w:fill="41659C"/>
          </w:tcPr>
          <w:p>
            <w:pPr>
              <w:spacing w:after="0"/>
              <w:rPr>
                <w:sz w:val="14"/>
                <w:szCs w:val="14"/>
                <w:color w:val="auto"/>
              </w:rPr>
            </w:pPr>
          </w:p>
        </w:tc>
        <w:tc>
          <w:tcPr>
            <w:tcW w:w="1000" w:type="dxa"/>
            <w:vAlign w:val="bottom"/>
            <w:tcBorders>
              <w:bottom w:val="single" w:sz="8" w:color="41659C"/>
            </w:tcBorders>
            <w:shd w:val="clear" w:color="auto" w:fill="41659C"/>
          </w:tcPr>
          <w:p>
            <w:pPr>
              <w:ind w:left="60"/>
              <w:spacing w:after="0" w:line="166" w:lineRule="exact"/>
              <w:rPr>
                <w:sz w:val="20"/>
                <w:szCs w:val="20"/>
                <w:color w:val="auto"/>
              </w:rPr>
            </w:pPr>
            <w:r>
              <w:rPr>
                <w:rFonts w:ascii="Arial" w:cs="Arial" w:eastAsia="Arial" w:hAnsi="Arial"/>
                <w:sz w:val="15"/>
                <w:szCs w:val="15"/>
                <w:b w:val="1"/>
                <w:bCs w:val="1"/>
                <w:color w:val="FFFFFF"/>
                <w:w w:val="94"/>
              </w:rPr>
              <w:t>Good Reason</w:t>
            </w:r>
          </w:p>
        </w:tc>
        <w:tc>
          <w:tcPr>
            <w:tcW w:w="180" w:type="dxa"/>
            <w:vAlign w:val="bottom"/>
            <w:tcBorders>
              <w:bottom w:val="single" w:sz="8" w:color="41659C"/>
            </w:tcBorders>
            <w:shd w:val="clear" w:color="auto" w:fill="41659C"/>
          </w:tcPr>
          <w:p>
            <w:pPr>
              <w:jc w:val="right"/>
              <w:spacing w:after="0"/>
              <w:rPr>
                <w:sz w:val="20"/>
                <w:szCs w:val="20"/>
                <w:color w:val="auto"/>
              </w:rPr>
            </w:pPr>
            <w:r>
              <w:rPr>
                <w:rFonts w:ascii="Arial" w:cs="Arial" w:eastAsia="Arial" w:hAnsi="Arial"/>
                <w:sz w:val="12"/>
                <w:szCs w:val="12"/>
                <w:b w:val="1"/>
                <w:bCs w:val="1"/>
                <w:color w:val="FFFFFF"/>
                <w:w w:val="95"/>
              </w:rPr>
              <w:t>(1)</w:t>
            </w:r>
          </w:p>
        </w:tc>
        <w:tc>
          <w:tcPr>
            <w:tcW w:w="260" w:type="dxa"/>
            <w:vAlign w:val="bottom"/>
            <w:tcBorders>
              <w:bottom w:val="single" w:sz="8" w:color="41659C"/>
            </w:tcBorders>
            <w:shd w:val="clear" w:color="auto" w:fill="41659C"/>
          </w:tcPr>
          <w:p>
            <w:pPr>
              <w:jc w:val="center"/>
              <w:spacing w:after="0" w:line="166" w:lineRule="exact"/>
              <w:rPr>
                <w:sz w:val="20"/>
                <w:szCs w:val="20"/>
                <w:color w:val="auto"/>
              </w:rPr>
            </w:pPr>
            <w:r>
              <w:rPr>
                <w:rFonts w:ascii="Arial" w:cs="Arial" w:eastAsia="Arial" w:hAnsi="Arial"/>
                <w:sz w:val="15"/>
                <w:szCs w:val="15"/>
                <w:b w:val="1"/>
                <w:bCs w:val="1"/>
                <w:color w:val="FFFFFF"/>
                <w:w w:val="97"/>
              </w:rPr>
              <w:t>($)</w:t>
            </w:r>
          </w:p>
        </w:tc>
        <w:tc>
          <w:tcPr>
            <w:tcW w:w="360" w:type="dxa"/>
            <w:vAlign w:val="bottom"/>
            <w:tcBorders>
              <w:bottom w:val="single" w:sz="8" w:color="41659C"/>
            </w:tcBorders>
            <w:shd w:val="clear" w:color="auto" w:fill="41659C"/>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180" w:type="dxa"/>
            <w:vAlign w:val="bottom"/>
            <w:shd w:val="clear" w:color="auto" w:fill="E8EED3"/>
          </w:tcPr>
          <w:p>
            <w:pPr>
              <w:ind w:left="120"/>
              <w:spacing w:after="0"/>
              <w:rPr>
                <w:sz w:val="20"/>
                <w:szCs w:val="20"/>
                <w:color w:val="auto"/>
              </w:rPr>
            </w:pPr>
            <w:r>
              <w:rPr>
                <w:rFonts w:ascii="Arial" w:cs="Arial" w:eastAsia="Arial" w:hAnsi="Arial"/>
                <w:sz w:val="15"/>
                <w:szCs w:val="15"/>
                <w:b w:val="1"/>
                <w:bCs w:val="1"/>
                <w:color w:val="auto"/>
              </w:rPr>
              <w:t>Cash Payments</w:t>
            </w:r>
            <w:r>
              <w:rPr>
                <w:rFonts w:ascii="Arial" w:cs="Arial" w:eastAsia="Arial" w:hAnsi="Arial"/>
                <w:sz w:val="12"/>
                <w:szCs w:val="12"/>
                <w:b w:val="1"/>
                <w:bCs w:val="1"/>
                <w:color w:val="auto"/>
              </w:rPr>
              <w:t>(3)</w:t>
            </w:r>
          </w:p>
        </w:tc>
        <w:tc>
          <w:tcPr>
            <w:tcW w:w="520" w:type="dxa"/>
            <w:vAlign w:val="bottom"/>
            <w:shd w:val="clear" w:color="auto" w:fill="E8EED3"/>
          </w:tcPr>
          <w:p>
            <w:pPr>
              <w:spacing w:after="0"/>
              <w:rPr>
                <w:sz w:val="17"/>
                <w:szCs w:val="17"/>
                <w:color w:val="auto"/>
              </w:rPr>
            </w:pPr>
          </w:p>
        </w:tc>
        <w:tc>
          <w:tcPr>
            <w:tcW w:w="1300" w:type="dxa"/>
            <w:vAlign w:val="bottom"/>
            <w:shd w:val="clear" w:color="auto" w:fill="E8EED3"/>
          </w:tcPr>
          <w:p>
            <w:pPr>
              <w:spacing w:after="0"/>
              <w:rPr>
                <w:sz w:val="17"/>
                <w:szCs w:val="17"/>
                <w:color w:val="auto"/>
              </w:rPr>
            </w:pPr>
          </w:p>
        </w:tc>
        <w:tc>
          <w:tcPr>
            <w:tcW w:w="380" w:type="dxa"/>
            <w:vAlign w:val="bottom"/>
            <w:gridSpan w:val="2"/>
            <w:shd w:val="clear" w:color="auto" w:fill="E8EED3"/>
          </w:tcPr>
          <w:p>
            <w:pPr>
              <w:jc w:val="right"/>
              <w:ind w:right="27"/>
              <w:spacing w:after="0"/>
              <w:rPr>
                <w:sz w:val="20"/>
                <w:szCs w:val="20"/>
                <w:color w:val="auto"/>
              </w:rPr>
            </w:pPr>
            <w:r>
              <w:rPr>
                <w:rFonts w:ascii="Arial" w:cs="Arial" w:eastAsia="Arial" w:hAnsi="Arial"/>
                <w:sz w:val="15"/>
                <w:szCs w:val="15"/>
                <w:color w:val="auto"/>
              </w:rPr>
              <w:t>—</w:t>
            </w:r>
          </w:p>
        </w:tc>
        <w:tc>
          <w:tcPr>
            <w:tcW w:w="2460" w:type="dxa"/>
            <w:vAlign w:val="bottom"/>
            <w:gridSpan w:val="2"/>
            <w:shd w:val="clear" w:color="auto" w:fill="E8EED3"/>
          </w:tcPr>
          <w:p>
            <w:pPr>
              <w:jc w:val="right"/>
              <w:spacing w:after="0"/>
              <w:rPr>
                <w:sz w:val="20"/>
                <w:szCs w:val="20"/>
                <w:color w:val="auto"/>
              </w:rPr>
            </w:pPr>
            <w:r>
              <w:rPr>
                <w:rFonts w:ascii="Arial" w:cs="Arial" w:eastAsia="Arial" w:hAnsi="Arial"/>
                <w:sz w:val="15"/>
                <w:szCs w:val="15"/>
                <w:color w:val="auto"/>
              </w:rPr>
              <w:t>918,000</w:t>
            </w:r>
          </w:p>
        </w:tc>
        <w:tc>
          <w:tcPr>
            <w:tcW w:w="2340" w:type="dxa"/>
            <w:vAlign w:val="bottom"/>
            <w:gridSpan w:val="4"/>
            <w:shd w:val="clear" w:color="auto" w:fill="E8EED3"/>
          </w:tcPr>
          <w:p>
            <w:pPr>
              <w:jc w:val="right"/>
              <w:spacing w:after="0"/>
              <w:rPr>
                <w:sz w:val="20"/>
                <w:szCs w:val="20"/>
                <w:color w:val="auto"/>
              </w:rPr>
            </w:pPr>
            <w:r>
              <w:rPr>
                <w:rFonts w:ascii="Arial" w:cs="Arial" w:eastAsia="Arial" w:hAnsi="Arial"/>
                <w:sz w:val="15"/>
                <w:szCs w:val="15"/>
                <w:color w:val="auto"/>
              </w:rPr>
              <w:t>826,200</w:t>
            </w:r>
          </w:p>
        </w:tc>
        <w:tc>
          <w:tcPr>
            <w:tcW w:w="360" w:type="dxa"/>
            <w:vAlign w:val="bottom"/>
            <w:shd w:val="clear" w:color="auto" w:fill="E8EED3"/>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80" w:type="dxa"/>
            <w:vAlign w:val="bottom"/>
            <w:shd w:val="clear" w:color="auto" w:fill="D2DEA7"/>
          </w:tcPr>
          <w:p>
            <w:pPr>
              <w:ind w:left="120"/>
              <w:spacing w:after="0"/>
              <w:rPr>
                <w:sz w:val="20"/>
                <w:szCs w:val="20"/>
                <w:color w:val="auto"/>
              </w:rPr>
            </w:pPr>
            <w:r>
              <w:rPr>
                <w:rFonts w:ascii="Arial" w:cs="Arial" w:eastAsia="Arial" w:hAnsi="Arial"/>
                <w:sz w:val="15"/>
                <w:szCs w:val="15"/>
                <w:b w:val="1"/>
                <w:bCs w:val="1"/>
                <w:color w:val="auto"/>
              </w:rPr>
              <w:t>Accelerated Equity Awards:</w:t>
            </w:r>
          </w:p>
        </w:tc>
        <w:tc>
          <w:tcPr>
            <w:tcW w:w="520" w:type="dxa"/>
            <w:vAlign w:val="bottom"/>
            <w:shd w:val="clear" w:color="auto" w:fill="D2DEA7"/>
          </w:tcPr>
          <w:p>
            <w:pPr>
              <w:spacing w:after="0"/>
              <w:rPr>
                <w:sz w:val="19"/>
                <w:szCs w:val="19"/>
                <w:color w:val="auto"/>
              </w:rPr>
            </w:pPr>
          </w:p>
        </w:tc>
        <w:tc>
          <w:tcPr>
            <w:tcW w:w="1300" w:type="dxa"/>
            <w:vAlign w:val="bottom"/>
            <w:shd w:val="clear" w:color="auto" w:fill="D2DEA7"/>
          </w:tcPr>
          <w:p>
            <w:pPr>
              <w:spacing w:after="0"/>
              <w:rPr>
                <w:sz w:val="19"/>
                <w:szCs w:val="19"/>
                <w:color w:val="auto"/>
              </w:rPr>
            </w:pPr>
          </w:p>
        </w:tc>
        <w:tc>
          <w:tcPr>
            <w:tcW w:w="160" w:type="dxa"/>
            <w:vAlign w:val="bottom"/>
            <w:shd w:val="clear" w:color="auto" w:fill="D2DEA7"/>
          </w:tcPr>
          <w:p>
            <w:pPr>
              <w:spacing w:after="0"/>
              <w:rPr>
                <w:sz w:val="19"/>
                <w:szCs w:val="19"/>
                <w:color w:val="auto"/>
              </w:rPr>
            </w:pPr>
          </w:p>
        </w:tc>
        <w:tc>
          <w:tcPr>
            <w:tcW w:w="220" w:type="dxa"/>
            <w:vAlign w:val="bottom"/>
            <w:shd w:val="clear" w:color="auto" w:fill="D2DEA7"/>
          </w:tcPr>
          <w:p>
            <w:pPr>
              <w:spacing w:after="0"/>
              <w:rPr>
                <w:sz w:val="19"/>
                <w:szCs w:val="19"/>
                <w:color w:val="auto"/>
              </w:rPr>
            </w:pPr>
          </w:p>
        </w:tc>
        <w:tc>
          <w:tcPr>
            <w:tcW w:w="820" w:type="dxa"/>
            <w:vAlign w:val="bottom"/>
            <w:shd w:val="clear" w:color="auto" w:fill="D2DEA7"/>
          </w:tcPr>
          <w:p>
            <w:pPr>
              <w:spacing w:after="0"/>
              <w:rPr>
                <w:sz w:val="19"/>
                <w:szCs w:val="19"/>
                <w:color w:val="auto"/>
              </w:rPr>
            </w:pPr>
          </w:p>
        </w:tc>
        <w:tc>
          <w:tcPr>
            <w:tcW w:w="1640" w:type="dxa"/>
            <w:vAlign w:val="bottom"/>
            <w:shd w:val="clear" w:color="auto" w:fill="D2DEA7"/>
          </w:tcPr>
          <w:p>
            <w:pPr>
              <w:spacing w:after="0"/>
              <w:rPr>
                <w:sz w:val="19"/>
                <w:szCs w:val="19"/>
                <w:color w:val="auto"/>
              </w:rPr>
            </w:pPr>
          </w:p>
        </w:tc>
        <w:tc>
          <w:tcPr>
            <w:tcW w:w="900" w:type="dxa"/>
            <w:vAlign w:val="bottom"/>
            <w:shd w:val="clear" w:color="auto" w:fill="D2DEA7"/>
          </w:tcPr>
          <w:p>
            <w:pPr>
              <w:spacing w:after="0"/>
              <w:rPr>
                <w:sz w:val="19"/>
                <w:szCs w:val="19"/>
                <w:color w:val="auto"/>
              </w:rPr>
            </w:pPr>
          </w:p>
        </w:tc>
        <w:tc>
          <w:tcPr>
            <w:tcW w:w="1000" w:type="dxa"/>
            <w:vAlign w:val="bottom"/>
            <w:shd w:val="clear" w:color="auto" w:fill="D2DEA7"/>
          </w:tcPr>
          <w:p>
            <w:pPr>
              <w:spacing w:after="0"/>
              <w:rPr>
                <w:sz w:val="19"/>
                <w:szCs w:val="19"/>
                <w:color w:val="auto"/>
              </w:rPr>
            </w:pPr>
          </w:p>
        </w:tc>
        <w:tc>
          <w:tcPr>
            <w:tcW w:w="180" w:type="dxa"/>
            <w:vAlign w:val="bottom"/>
            <w:shd w:val="clear" w:color="auto" w:fill="D2DEA7"/>
          </w:tcPr>
          <w:p>
            <w:pPr>
              <w:spacing w:after="0"/>
              <w:rPr>
                <w:sz w:val="19"/>
                <w:szCs w:val="19"/>
                <w:color w:val="auto"/>
              </w:rPr>
            </w:pPr>
          </w:p>
        </w:tc>
        <w:tc>
          <w:tcPr>
            <w:tcW w:w="260" w:type="dxa"/>
            <w:vAlign w:val="bottom"/>
            <w:shd w:val="clear" w:color="auto" w:fill="D2DEA7"/>
          </w:tcPr>
          <w:p>
            <w:pPr>
              <w:spacing w:after="0"/>
              <w:rPr>
                <w:sz w:val="19"/>
                <w:szCs w:val="19"/>
                <w:color w:val="auto"/>
              </w:rPr>
            </w:pPr>
          </w:p>
        </w:tc>
        <w:tc>
          <w:tcPr>
            <w:tcW w:w="360" w:type="dxa"/>
            <w:vAlign w:val="bottom"/>
            <w:shd w:val="clear" w:color="auto" w:fill="D2DEA7"/>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180" w:type="dxa"/>
            <w:vAlign w:val="bottom"/>
            <w:shd w:val="clear" w:color="auto" w:fill="E8EED3"/>
          </w:tcPr>
          <w:p>
            <w:pPr>
              <w:ind w:left="280"/>
              <w:spacing w:after="0"/>
              <w:rPr>
                <w:sz w:val="20"/>
                <w:szCs w:val="20"/>
                <w:color w:val="auto"/>
              </w:rPr>
            </w:pPr>
            <w:r>
              <w:rPr>
                <w:rFonts w:ascii="Arial" w:cs="Arial" w:eastAsia="Arial" w:hAnsi="Arial"/>
                <w:sz w:val="15"/>
                <w:szCs w:val="15"/>
                <w:b w:val="1"/>
                <w:bCs w:val="1"/>
                <w:color w:val="auto"/>
              </w:rPr>
              <w:t>RSUs</w:t>
            </w:r>
          </w:p>
        </w:tc>
        <w:tc>
          <w:tcPr>
            <w:tcW w:w="2200" w:type="dxa"/>
            <w:vAlign w:val="bottom"/>
            <w:gridSpan w:val="4"/>
            <w:shd w:val="clear" w:color="auto" w:fill="E8EED3"/>
          </w:tcPr>
          <w:p>
            <w:pPr>
              <w:jc w:val="right"/>
              <w:spacing w:after="0"/>
              <w:rPr>
                <w:sz w:val="20"/>
                <w:szCs w:val="20"/>
                <w:color w:val="auto"/>
              </w:rPr>
            </w:pPr>
            <w:r>
              <w:rPr>
                <w:rFonts w:ascii="Arial" w:cs="Arial" w:eastAsia="Arial" w:hAnsi="Arial"/>
                <w:sz w:val="15"/>
                <w:szCs w:val="15"/>
                <w:color w:val="auto"/>
              </w:rPr>
              <w:t>669,850</w:t>
            </w:r>
          </w:p>
        </w:tc>
        <w:tc>
          <w:tcPr>
            <w:tcW w:w="2460" w:type="dxa"/>
            <w:vAlign w:val="bottom"/>
            <w:gridSpan w:val="2"/>
            <w:shd w:val="clear" w:color="auto" w:fill="E8EED3"/>
          </w:tcPr>
          <w:p>
            <w:pPr>
              <w:jc w:val="right"/>
              <w:spacing w:after="0"/>
              <w:rPr>
                <w:sz w:val="20"/>
                <w:szCs w:val="20"/>
                <w:color w:val="auto"/>
              </w:rPr>
            </w:pPr>
            <w:r>
              <w:rPr>
                <w:rFonts w:ascii="Arial" w:cs="Arial" w:eastAsia="Arial" w:hAnsi="Arial"/>
                <w:sz w:val="15"/>
                <w:szCs w:val="15"/>
                <w:color w:val="auto"/>
              </w:rPr>
              <w:t>669,850</w:t>
            </w:r>
          </w:p>
        </w:tc>
        <w:tc>
          <w:tcPr>
            <w:tcW w:w="2340" w:type="dxa"/>
            <w:vAlign w:val="bottom"/>
            <w:gridSpan w:val="4"/>
            <w:shd w:val="clear" w:color="auto" w:fill="E8EED3"/>
          </w:tcPr>
          <w:p>
            <w:pPr>
              <w:jc w:val="right"/>
              <w:spacing w:after="0"/>
              <w:rPr>
                <w:sz w:val="20"/>
                <w:szCs w:val="20"/>
                <w:color w:val="auto"/>
              </w:rPr>
            </w:pPr>
            <w:r>
              <w:rPr>
                <w:rFonts w:ascii="Arial" w:cs="Arial" w:eastAsia="Arial" w:hAnsi="Arial"/>
                <w:sz w:val="15"/>
                <w:szCs w:val="15"/>
                <w:color w:val="auto"/>
              </w:rPr>
              <w:t>669,850</w:t>
            </w:r>
          </w:p>
        </w:tc>
        <w:tc>
          <w:tcPr>
            <w:tcW w:w="360" w:type="dxa"/>
            <w:vAlign w:val="bottom"/>
            <w:shd w:val="clear" w:color="auto" w:fill="E8EED3"/>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180" w:type="dxa"/>
            <w:vAlign w:val="bottom"/>
            <w:shd w:val="clear" w:color="auto" w:fill="D2DEA7"/>
          </w:tcPr>
          <w:p>
            <w:pPr>
              <w:ind w:left="280"/>
              <w:spacing w:after="0"/>
              <w:rPr>
                <w:sz w:val="20"/>
                <w:szCs w:val="20"/>
                <w:color w:val="auto"/>
              </w:rPr>
            </w:pPr>
            <w:r>
              <w:rPr>
                <w:rFonts w:ascii="Arial" w:cs="Arial" w:eastAsia="Arial" w:hAnsi="Arial"/>
                <w:sz w:val="15"/>
                <w:szCs w:val="15"/>
                <w:b w:val="1"/>
                <w:bCs w:val="1"/>
                <w:color w:val="auto"/>
              </w:rPr>
              <w:t>PRSUs</w:t>
            </w:r>
          </w:p>
        </w:tc>
        <w:tc>
          <w:tcPr>
            <w:tcW w:w="2200" w:type="dxa"/>
            <w:vAlign w:val="bottom"/>
            <w:gridSpan w:val="4"/>
            <w:shd w:val="clear" w:color="auto" w:fill="D2DEA7"/>
          </w:tcPr>
          <w:p>
            <w:pPr>
              <w:jc w:val="right"/>
              <w:spacing w:after="0"/>
              <w:rPr>
                <w:sz w:val="20"/>
                <w:szCs w:val="20"/>
                <w:color w:val="auto"/>
              </w:rPr>
            </w:pPr>
            <w:r>
              <w:rPr>
                <w:rFonts w:ascii="Arial" w:cs="Arial" w:eastAsia="Arial" w:hAnsi="Arial"/>
                <w:sz w:val="15"/>
                <w:szCs w:val="15"/>
                <w:color w:val="auto"/>
              </w:rPr>
              <w:t>534,441</w:t>
            </w:r>
          </w:p>
        </w:tc>
        <w:tc>
          <w:tcPr>
            <w:tcW w:w="2460" w:type="dxa"/>
            <w:vAlign w:val="bottom"/>
            <w:gridSpan w:val="2"/>
            <w:shd w:val="clear" w:color="auto" w:fill="D2DEA7"/>
          </w:tcPr>
          <w:p>
            <w:pPr>
              <w:jc w:val="right"/>
              <w:spacing w:after="0"/>
              <w:rPr>
                <w:sz w:val="20"/>
                <w:szCs w:val="20"/>
                <w:color w:val="auto"/>
              </w:rPr>
            </w:pPr>
            <w:r>
              <w:rPr>
                <w:rFonts w:ascii="Arial" w:cs="Arial" w:eastAsia="Arial" w:hAnsi="Arial"/>
                <w:sz w:val="15"/>
                <w:szCs w:val="15"/>
                <w:color w:val="auto"/>
              </w:rPr>
              <w:t>534,441</w:t>
            </w:r>
          </w:p>
        </w:tc>
        <w:tc>
          <w:tcPr>
            <w:tcW w:w="2340" w:type="dxa"/>
            <w:vAlign w:val="bottom"/>
            <w:gridSpan w:val="4"/>
            <w:shd w:val="clear" w:color="auto" w:fill="D2DEA7"/>
          </w:tcPr>
          <w:p>
            <w:pPr>
              <w:jc w:val="right"/>
              <w:spacing w:after="0"/>
              <w:rPr>
                <w:sz w:val="20"/>
                <w:szCs w:val="20"/>
                <w:color w:val="auto"/>
              </w:rPr>
            </w:pPr>
            <w:r>
              <w:rPr>
                <w:rFonts w:ascii="Arial" w:cs="Arial" w:eastAsia="Arial" w:hAnsi="Arial"/>
                <w:sz w:val="15"/>
                <w:szCs w:val="15"/>
                <w:color w:val="auto"/>
              </w:rPr>
              <w:t>534,441</w:t>
            </w:r>
          </w:p>
        </w:tc>
        <w:tc>
          <w:tcPr>
            <w:tcW w:w="360" w:type="dxa"/>
            <w:vAlign w:val="bottom"/>
            <w:shd w:val="clear" w:color="auto" w:fill="D2DEA7"/>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180" w:type="dxa"/>
            <w:vAlign w:val="bottom"/>
            <w:shd w:val="clear" w:color="auto" w:fill="E8EED3"/>
          </w:tcPr>
          <w:p>
            <w:pPr>
              <w:ind w:left="280"/>
              <w:spacing w:after="0"/>
              <w:rPr>
                <w:sz w:val="20"/>
                <w:szCs w:val="20"/>
                <w:color w:val="auto"/>
              </w:rPr>
            </w:pPr>
            <w:r>
              <w:rPr>
                <w:rFonts w:ascii="Arial" w:cs="Arial" w:eastAsia="Arial" w:hAnsi="Arial"/>
                <w:sz w:val="15"/>
                <w:szCs w:val="15"/>
                <w:b w:val="1"/>
                <w:bCs w:val="1"/>
                <w:color w:val="auto"/>
              </w:rPr>
              <w:t>Options</w:t>
            </w:r>
          </w:p>
        </w:tc>
        <w:tc>
          <w:tcPr>
            <w:tcW w:w="520" w:type="dxa"/>
            <w:vAlign w:val="bottom"/>
            <w:shd w:val="clear" w:color="auto" w:fill="E8EED3"/>
          </w:tcPr>
          <w:p>
            <w:pPr>
              <w:spacing w:after="0"/>
              <w:rPr>
                <w:sz w:val="17"/>
                <w:szCs w:val="17"/>
                <w:color w:val="auto"/>
              </w:rPr>
            </w:pPr>
          </w:p>
        </w:tc>
        <w:tc>
          <w:tcPr>
            <w:tcW w:w="1300" w:type="dxa"/>
            <w:vAlign w:val="bottom"/>
            <w:shd w:val="clear" w:color="auto" w:fill="E8EED3"/>
          </w:tcPr>
          <w:p>
            <w:pPr>
              <w:spacing w:after="0"/>
              <w:rPr>
                <w:sz w:val="17"/>
                <w:szCs w:val="17"/>
                <w:color w:val="auto"/>
              </w:rPr>
            </w:pPr>
          </w:p>
        </w:tc>
        <w:tc>
          <w:tcPr>
            <w:tcW w:w="380" w:type="dxa"/>
            <w:vAlign w:val="bottom"/>
            <w:gridSpan w:val="2"/>
            <w:shd w:val="clear" w:color="auto" w:fill="E8EED3"/>
          </w:tcPr>
          <w:p>
            <w:pPr>
              <w:jc w:val="right"/>
              <w:ind w:right="27"/>
              <w:spacing w:after="0"/>
              <w:rPr>
                <w:sz w:val="20"/>
                <w:szCs w:val="20"/>
                <w:color w:val="auto"/>
              </w:rPr>
            </w:pPr>
            <w:r>
              <w:rPr>
                <w:rFonts w:ascii="Arial" w:cs="Arial" w:eastAsia="Arial" w:hAnsi="Arial"/>
                <w:sz w:val="15"/>
                <w:szCs w:val="15"/>
                <w:color w:val="auto"/>
              </w:rPr>
              <w:t>—</w:t>
            </w:r>
          </w:p>
        </w:tc>
        <w:tc>
          <w:tcPr>
            <w:tcW w:w="820" w:type="dxa"/>
            <w:vAlign w:val="bottom"/>
            <w:shd w:val="clear" w:color="auto" w:fill="E8EED3"/>
          </w:tcPr>
          <w:p>
            <w:pPr>
              <w:spacing w:after="0"/>
              <w:rPr>
                <w:sz w:val="17"/>
                <w:szCs w:val="17"/>
                <w:color w:val="auto"/>
              </w:rPr>
            </w:pPr>
          </w:p>
        </w:tc>
        <w:tc>
          <w:tcPr>
            <w:tcW w:w="1640" w:type="dxa"/>
            <w:vAlign w:val="bottom"/>
            <w:shd w:val="clear" w:color="auto" w:fill="E8EED3"/>
          </w:tcPr>
          <w:p>
            <w:pPr>
              <w:jc w:val="right"/>
              <w:ind w:right="7"/>
              <w:spacing w:after="0"/>
              <w:rPr>
                <w:sz w:val="20"/>
                <w:szCs w:val="20"/>
                <w:color w:val="auto"/>
              </w:rPr>
            </w:pPr>
            <w:r>
              <w:rPr>
                <w:rFonts w:ascii="Arial" w:cs="Arial" w:eastAsia="Arial" w:hAnsi="Arial"/>
                <w:sz w:val="15"/>
                <w:szCs w:val="15"/>
                <w:color w:val="auto"/>
              </w:rPr>
              <w:t>—</w:t>
            </w:r>
          </w:p>
        </w:tc>
        <w:tc>
          <w:tcPr>
            <w:tcW w:w="900" w:type="dxa"/>
            <w:vAlign w:val="bottom"/>
            <w:shd w:val="clear" w:color="auto" w:fill="E8EED3"/>
          </w:tcPr>
          <w:p>
            <w:pPr>
              <w:spacing w:after="0"/>
              <w:rPr>
                <w:sz w:val="17"/>
                <w:szCs w:val="17"/>
                <w:color w:val="auto"/>
              </w:rPr>
            </w:pPr>
          </w:p>
        </w:tc>
        <w:tc>
          <w:tcPr>
            <w:tcW w:w="1000" w:type="dxa"/>
            <w:vAlign w:val="bottom"/>
            <w:shd w:val="clear" w:color="auto" w:fill="E8EED3"/>
          </w:tcPr>
          <w:p>
            <w:pPr>
              <w:spacing w:after="0"/>
              <w:rPr>
                <w:sz w:val="17"/>
                <w:szCs w:val="17"/>
                <w:color w:val="auto"/>
              </w:rPr>
            </w:pPr>
          </w:p>
        </w:tc>
        <w:tc>
          <w:tcPr>
            <w:tcW w:w="180" w:type="dxa"/>
            <w:vAlign w:val="bottom"/>
            <w:shd w:val="clear" w:color="auto" w:fill="E8EED3"/>
          </w:tcPr>
          <w:p>
            <w:pPr>
              <w:spacing w:after="0"/>
              <w:rPr>
                <w:sz w:val="17"/>
                <w:szCs w:val="17"/>
                <w:color w:val="auto"/>
              </w:rPr>
            </w:pPr>
          </w:p>
        </w:tc>
        <w:tc>
          <w:tcPr>
            <w:tcW w:w="620" w:type="dxa"/>
            <w:vAlign w:val="bottom"/>
            <w:gridSpan w:val="2"/>
            <w:shd w:val="clear" w:color="auto" w:fill="E8EED3"/>
          </w:tcPr>
          <w:p>
            <w:pPr>
              <w:jc w:val="center"/>
              <w:ind w:right="400"/>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227"/>
        </w:trPr>
        <w:tc>
          <w:tcPr>
            <w:tcW w:w="3180" w:type="dxa"/>
            <w:vAlign w:val="bottom"/>
            <w:tcBorders>
              <w:bottom w:val="single" w:sz="8" w:color="D2DEA7"/>
            </w:tcBorders>
            <w:shd w:val="clear" w:color="auto" w:fill="D2DEA7"/>
          </w:tcPr>
          <w:p>
            <w:pPr>
              <w:ind w:left="120"/>
              <w:spacing w:after="0"/>
              <w:rPr>
                <w:sz w:val="20"/>
                <w:szCs w:val="20"/>
                <w:color w:val="auto"/>
              </w:rPr>
            </w:pPr>
            <w:r>
              <w:rPr>
                <w:rFonts w:ascii="Arial" w:cs="Arial" w:eastAsia="Arial" w:hAnsi="Arial"/>
                <w:sz w:val="15"/>
                <w:szCs w:val="15"/>
                <w:b w:val="1"/>
                <w:bCs w:val="1"/>
                <w:color w:val="auto"/>
              </w:rPr>
              <w:t>COBRA</w:t>
            </w:r>
            <w:r>
              <w:rPr>
                <w:rFonts w:ascii="Arial" w:cs="Arial" w:eastAsia="Arial" w:hAnsi="Arial"/>
                <w:sz w:val="12"/>
                <w:szCs w:val="12"/>
                <w:b w:val="1"/>
                <w:bCs w:val="1"/>
                <w:color w:val="auto"/>
              </w:rPr>
              <w:t>(6)</w:t>
            </w:r>
          </w:p>
        </w:tc>
        <w:tc>
          <w:tcPr>
            <w:tcW w:w="520" w:type="dxa"/>
            <w:vAlign w:val="bottom"/>
            <w:tcBorders>
              <w:bottom w:val="single" w:sz="8" w:color="D2DEA7"/>
            </w:tcBorders>
            <w:shd w:val="clear" w:color="auto" w:fill="D2DEA7"/>
          </w:tcPr>
          <w:p>
            <w:pPr>
              <w:spacing w:after="0"/>
              <w:rPr>
                <w:sz w:val="19"/>
                <w:szCs w:val="19"/>
                <w:color w:val="auto"/>
              </w:rPr>
            </w:pPr>
          </w:p>
        </w:tc>
        <w:tc>
          <w:tcPr>
            <w:tcW w:w="1300" w:type="dxa"/>
            <w:vAlign w:val="bottom"/>
            <w:tcBorders>
              <w:bottom w:val="single" w:sz="8" w:color="auto"/>
            </w:tcBorders>
            <w:shd w:val="clear" w:color="auto" w:fill="D2DEA7"/>
          </w:tcPr>
          <w:p>
            <w:pPr>
              <w:spacing w:after="0"/>
              <w:rPr>
                <w:sz w:val="19"/>
                <w:szCs w:val="19"/>
                <w:color w:val="auto"/>
              </w:rPr>
            </w:pPr>
          </w:p>
        </w:tc>
        <w:tc>
          <w:tcPr>
            <w:tcW w:w="380" w:type="dxa"/>
            <w:vAlign w:val="bottom"/>
            <w:tcBorders>
              <w:bottom w:val="single" w:sz="8" w:color="auto"/>
            </w:tcBorders>
            <w:gridSpan w:val="2"/>
            <w:shd w:val="clear" w:color="auto" w:fill="D2DEA7"/>
          </w:tcPr>
          <w:p>
            <w:pPr>
              <w:jc w:val="right"/>
              <w:ind w:right="27"/>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D2DEA7"/>
            </w:tcBorders>
            <w:shd w:val="clear" w:color="auto" w:fill="D2DEA7"/>
          </w:tcPr>
          <w:p>
            <w:pPr>
              <w:spacing w:after="0"/>
              <w:rPr>
                <w:sz w:val="19"/>
                <w:szCs w:val="19"/>
                <w:color w:val="auto"/>
              </w:rPr>
            </w:pPr>
          </w:p>
        </w:tc>
        <w:tc>
          <w:tcPr>
            <w:tcW w:w="1640" w:type="dxa"/>
            <w:vAlign w:val="bottom"/>
            <w:tcBorders>
              <w:bottom w:val="single" w:sz="8" w:color="auto"/>
            </w:tcBorders>
            <w:shd w:val="clear" w:color="auto" w:fill="D2DEA7"/>
          </w:tcPr>
          <w:p>
            <w:pPr>
              <w:jc w:val="right"/>
              <w:spacing w:after="0"/>
              <w:rPr>
                <w:sz w:val="20"/>
                <w:szCs w:val="20"/>
                <w:color w:val="auto"/>
              </w:rPr>
            </w:pPr>
            <w:r>
              <w:rPr>
                <w:rFonts w:ascii="Arial" w:cs="Arial" w:eastAsia="Arial" w:hAnsi="Arial"/>
                <w:sz w:val="15"/>
                <w:szCs w:val="15"/>
                <w:color w:val="auto"/>
              </w:rPr>
              <w:t>30,271</w:t>
            </w:r>
          </w:p>
        </w:tc>
        <w:tc>
          <w:tcPr>
            <w:tcW w:w="900" w:type="dxa"/>
            <w:vAlign w:val="bottom"/>
            <w:tcBorders>
              <w:bottom w:val="single" w:sz="8" w:color="D2DEA7"/>
            </w:tcBorders>
            <w:shd w:val="clear" w:color="auto" w:fill="D2DEA7"/>
          </w:tcPr>
          <w:p>
            <w:pPr>
              <w:spacing w:after="0"/>
              <w:rPr>
                <w:sz w:val="19"/>
                <w:szCs w:val="19"/>
                <w:color w:val="auto"/>
              </w:rPr>
            </w:pPr>
          </w:p>
        </w:tc>
        <w:tc>
          <w:tcPr>
            <w:tcW w:w="1440" w:type="dxa"/>
            <w:vAlign w:val="bottom"/>
            <w:tcBorders>
              <w:bottom w:val="single" w:sz="8" w:color="auto"/>
            </w:tcBorders>
            <w:gridSpan w:val="3"/>
            <w:shd w:val="clear" w:color="auto" w:fill="D2DEA7"/>
          </w:tcPr>
          <w:p>
            <w:pPr>
              <w:jc w:val="right"/>
              <w:spacing w:after="0"/>
              <w:rPr>
                <w:sz w:val="20"/>
                <w:szCs w:val="20"/>
                <w:color w:val="auto"/>
              </w:rPr>
            </w:pPr>
            <w:r>
              <w:rPr>
                <w:rFonts w:ascii="Arial" w:cs="Arial" w:eastAsia="Arial" w:hAnsi="Arial"/>
                <w:sz w:val="15"/>
                <w:szCs w:val="15"/>
                <w:color w:val="auto"/>
              </w:rPr>
              <w:t>30,271</w:t>
            </w:r>
          </w:p>
        </w:tc>
        <w:tc>
          <w:tcPr>
            <w:tcW w:w="360" w:type="dxa"/>
            <w:vAlign w:val="bottom"/>
            <w:tcBorders>
              <w:bottom w:val="single" w:sz="8" w:color="D2DEA7"/>
            </w:tcBorders>
            <w:shd w:val="clear" w:color="auto" w:fill="D2DEA7"/>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180" w:type="dxa"/>
            <w:vAlign w:val="bottom"/>
            <w:shd w:val="clear" w:color="auto" w:fill="E8EED3"/>
          </w:tcPr>
          <w:p>
            <w:pPr>
              <w:ind w:left="120"/>
              <w:spacing w:after="0"/>
              <w:rPr>
                <w:sz w:val="20"/>
                <w:szCs w:val="20"/>
                <w:color w:val="auto"/>
              </w:rPr>
            </w:pPr>
            <w:r>
              <w:rPr>
                <w:rFonts w:ascii="Arial" w:cs="Arial" w:eastAsia="Arial" w:hAnsi="Arial"/>
                <w:sz w:val="15"/>
                <w:szCs w:val="15"/>
                <w:b w:val="1"/>
                <w:bCs w:val="1"/>
                <w:color w:val="auto"/>
              </w:rPr>
              <w:t>Total</w:t>
            </w:r>
          </w:p>
        </w:tc>
        <w:tc>
          <w:tcPr>
            <w:tcW w:w="2200" w:type="dxa"/>
            <w:vAlign w:val="bottom"/>
            <w:gridSpan w:val="4"/>
            <w:shd w:val="clear" w:color="auto" w:fill="E8EED3"/>
          </w:tcPr>
          <w:p>
            <w:pPr>
              <w:jc w:val="right"/>
              <w:spacing w:after="0"/>
              <w:rPr>
                <w:sz w:val="20"/>
                <w:szCs w:val="20"/>
                <w:color w:val="auto"/>
              </w:rPr>
            </w:pPr>
            <w:r>
              <w:rPr>
                <w:rFonts w:ascii="Arial" w:cs="Arial" w:eastAsia="Arial" w:hAnsi="Arial"/>
                <w:sz w:val="15"/>
                <w:szCs w:val="15"/>
                <w:color w:val="auto"/>
              </w:rPr>
              <w:t>1,204,291</w:t>
            </w:r>
          </w:p>
        </w:tc>
        <w:tc>
          <w:tcPr>
            <w:tcW w:w="2460" w:type="dxa"/>
            <w:vAlign w:val="bottom"/>
            <w:gridSpan w:val="2"/>
            <w:shd w:val="clear" w:color="auto" w:fill="E8EED3"/>
          </w:tcPr>
          <w:p>
            <w:pPr>
              <w:jc w:val="right"/>
              <w:spacing w:after="0"/>
              <w:rPr>
                <w:sz w:val="20"/>
                <w:szCs w:val="20"/>
                <w:color w:val="auto"/>
              </w:rPr>
            </w:pPr>
            <w:r>
              <w:rPr>
                <w:rFonts w:ascii="Arial" w:cs="Arial" w:eastAsia="Arial" w:hAnsi="Arial"/>
                <w:sz w:val="15"/>
                <w:szCs w:val="15"/>
                <w:color w:val="auto"/>
              </w:rPr>
              <w:t>2,152,562</w:t>
            </w:r>
          </w:p>
        </w:tc>
        <w:tc>
          <w:tcPr>
            <w:tcW w:w="2340" w:type="dxa"/>
            <w:vAlign w:val="bottom"/>
            <w:gridSpan w:val="4"/>
            <w:shd w:val="clear" w:color="auto" w:fill="E8EED3"/>
          </w:tcPr>
          <w:p>
            <w:pPr>
              <w:jc w:val="right"/>
              <w:spacing w:after="0"/>
              <w:rPr>
                <w:sz w:val="20"/>
                <w:szCs w:val="20"/>
                <w:color w:val="auto"/>
              </w:rPr>
            </w:pPr>
            <w:r>
              <w:rPr>
                <w:rFonts w:ascii="Arial" w:cs="Arial" w:eastAsia="Arial" w:hAnsi="Arial"/>
                <w:sz w:val="15"/>
                <w:szCs w:val="15"/>
                <w:color w:val="auto"/>
              </w:rPr>
              <w:t>2,060,762</w:t>
            </w:r>
          </w:p>
        </w:tc>
        <w:tc>
          <w:tcPr>
            <w:tcW w:w="360" w:type="dxa"/>
            <w:vAlign w:val="bottom"/>
            <w:shd w:val="clear" w:color="auto" w:fill="E8EED3"/>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40" w:type="dxa"/>
            <w:vAlign w:val="bottom"/>
            <w:gridSpan w:val="3"/>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80" w:type="dxa"/>
            <w:vAlign w:val="bottom"/>
            <w:shd w:val="clear" w:color="auto" w:fill="41659C"/>
          </w:tcPr>
          <w:p>
            <w:pPr>
              <w:spacing w:after="0"/>
              <w:rPr>
                <w:sz w:val="11"/>
                <w:szCs w:val="11"/>
                <w:color w:val="auto"/>
              </w:rPr>
            </w:pPr>
          </w:p>
        </w:tc>
        <w:tc>
          <w:tcPr>
            <w:tcW w:w="520" w:type="dxa"/>
            <w:vAlign w:val="bottom"/>
            <w:shd w:val="clear" w:color="auto" w:fill="41659C"/>
          </w:tcPr>
          <w:p>
            <w:pPr>
              <w:spacing w:after="0"/>
              <w:rPr>
                <w:sz w:val="11"/>
                <w:szCs w:val="11"/>
                <w:color w:val="auto"/>
              </w:rPr>
            </w:pPr>
          </w:p>
        </w:tc>
        <w:tc>
          <w:tcPr>
            <w:tcW w:w="1300" w:type="dxa"/>
            <w:vAlign w:val="bottom"/>
            <w:shd w:val="clear" w:color="auto" w:fill="41659C"/>
          </w:tcPr>
          <w:p>
            <w:pPr>
              <w:spacing w:after="0"/>
              <w:rPr>
                <w:sz w:val="11"/>
                <w:szCs w:val="11"/>
                <w:color w:val="auto"/>
              </w:rPr>
            </w:pPr>
          </w:p>
        </w:tc>
        <w:tc>
          <w:tcPr>
            <w:tcW w:w="160" w:type="dxa"/>
            <w:vAlign w:val="bottom"/>
            <w:shd w:val="clear" w:color="auto" w:fill="41659C"/>
          </w:tcPr>
          <w:p>
            <w:pPr>
              <w:spacing w:after="0"/>
              <w:rPr>
                <w:sz w:val="11"/>
                <w:szCs w:val="11"/>
                <w:color w:val="auto"/>
              </w:rPr>
            </w:pPr>
          </w:p>
        </w:tc>
        <w:tc>
          <w:tcPr>
            <w:tcW w:w="220" w:type="dxa"/>
            <w:vAlign w:val="bottom"/>
            <w:shd w:val="clear" w:color="auto" w:fill="41659C"/>
          </w:tcPr>
          <w:p>
            <w:pPr>
              <w:spacing w:after="0"/>
              <w:rPr>
                <w:sz w:val="11"/>
                <w:szCs w:val="11"/>
                <w:color w:val="auto"/>
              </w:rPr>
            </w:pPr>
          </w:p>
        </w:tc>
        <w:tc>
          <w:tcPr>
            <w:tcW w:w="820" w:type="dxa"/>
            <w:vAlign w:val="bottom"/>
            <w:shd w:val="clear" w:color="auto" w:fill="41659C"/>
          </w:tcPr>
          <w:p>
            <w:pPr>
              <w:spacing w:after="0"/>
              <w:rPr>
                <w:sz w:val="11"/>
                <w:szCs w:val="11"/>
                <w:color w:val="auto"/>
              </w:rPr>
            </w:pPr>
          </w:p>
        </w:tc>
        <w:tc>
          <w:tcPr>
            <w:tcW w:w="1640" w:type="dxa"/>
            <w:vAlign w:val="bottom"/>
            <w:shd w:val="clear" w:color="auto" w:fill="41659C"/>
          </w:tcPr>
          <w:p>
            <w:pPr>
              <w:spacing w:after="0"/>
              <w:rPr>
                <w:sz w:val="11"/>
                <w:szCs w:val="11"/>
                <w:color w:val="auto"/>
              </w:rPr>
            </w:pPr>
          </w:p>
        </w:tc>
        <w:tc>
          <w:tcPr>
            <w:tcW w:w="2700" w:type="dxa"/>
            <w:vAlign w:val="bottom"/>
            <w:gridSpan w:val="5"/>
            <w:shd w:val="clear" w:color="auto" w:fill="41659C"/>
          </w:tcPr>
          <w:p>
            <w:pPr>
              <w:ind w:left="900"/>
              <w:spacing w:after="0" w:line="138" w:lineRule="exact"/>
              <w:rPr>
                <w:sz w:val="20"/>
                <w:szCs w:val="20"/>
                <w:color w:val="auto"/>
              </w:rPr>
            </w:pPr>
            <w:r>
              <w:rPr>
                <w:rFonts w:ascii="Arial" w:cs="Arial" w:eastAsia="Arial" w:hAnsi="Arial"/>
                <w:sz w:val="15"/>
                <w:szCs w:val="15"/>
                <w:b w:val="1"/>
                <w:bCs w:val="1"/>
                <w:color w:val="FFFFFF"/>
              </w:rPr>
              <w:t>Without Cause or for</w:t>
            </w:r>
          </w:p>
        </w:tc>
        <w:tc>
          <w:tcPr>
            <w:tcW w:w="0" w:type="dxa"/>
            <w:vAlign w:val="bottom"/>
          </w:tcPr>
          <w:p>
            <w:pPr>
              <w:spacing w:after="0"/>
              <w:rPr>
                <w:sz w:val="1"/>
                <w:szCs w:val="1"/>
                <w:color w:val="auto"/>
              </w:rPr>
            </w:pPr>
          </w:p>
        </w:tc>
      </w:tr>
      <w:tr>
        <w:trPr>
          <w:trHeight w:val="134"/>
        </w:trPr>
        <w:tc>
          <w:tcPr>
            <w:tcW w:w="3180" w:type="dxa"/>
            <w:vAlign w:val="bottom"/>
            <w:vMerge w:val="restart"/>
            <w:shd w:val="clear" w:color="auto" w:fill="41659C"/>
          </w:tcPr>
          <w:p>
            <w:pPr>
              <w:ind w:left="120"/>
              <w:spacing w:after="0"/>
              <w:rPr>
                <w:sz w:val="20"/>
                <w:szCs w:val="20"/>
                <w:color w:val="auto"/>
              </w:rPr>
            </w:pPr>
            <w:r>
              <w:rPr>
                <w:rFonts w:ascii="Arial" w:cs="Arial" w:eastAsia="Arial" w:hAnsi="Arial"/>
                <w:sz w:val="15"/>
                <w:szCs w:val="15"/>
                <w:b w:val="1"/>
                <w:bCs w:val="1"/>
                <w:color w:val="FFFFFF"/>
              </w:rPr>
              <w:t>Matthew Eckl</w:t>
            </w:r>
          </w:p>
        </w:tc>
        <w:tc>
          <w:tcPr>
            <w:tcW w:w="1820" w:type="dxa"/>
            <w:vAlign w:val="bottom"/>
            <w:gridSpan w:val="2"/>
            <w:vMerge w:val="restart"/>
            <w:shd w:val="clear" w:color="auto" w:fill="41659C"/>
          </w:tcPr>
          <w:p>
            <w:pPr>
              <w:ind w:left="520"/>
              <w:spacing w:after="0"/>
              <w:rPr>
                <w:sz w:val="20"/>
                <w:szCs w:val="20"/>
                <w:color w:val="auto"/>
              </w:rPr>
            </w:pPr>
            <w:r>
              <w:rPr>
                <w:rFonts w:ascii="Arial" w:cs="Arial" w:eastAsia="Arial" w:hAnsi="Arial"/>
                <w:sz w:val="15"/>
                <w:szCs w:val="15"/>
                <w:b w:val="1"/>
                <w:bCs w:val="1"/>
                <w:color w:val="FFFFFF"/>
                <w:w w:val="97"/>
              </w:rPr>
              <w:t>Death or Disability</w:t>
            </w:r>
          </w:p>
        </w:tc>
        <w:tc>
          <w:tcPr>
            <w:tcW w:w="160" w:type="dxa"/>
            <w:vAlign w:val="bottom"/>
            <w:shd w:val="clear" w:color="auto" w:fill="41659C"/>
          </w:tcPr>
          <w:p>
            <w:pPr>
              <w:jc w:val="right"/>
              <w:spacing w:after="0" w:line="134" w:lineRule="exact"/>
              <w:rPr>
                <w:sz w:val="20"/>
                <w:szCs w:val="20"/>
                <w:color w:val="auto"/>
              </w:rPr>
            </w:pPr>
            <w:r>
              <w:rPr>
                <w:rFonts w:ascii="Arial" w:cs="Arial" w:eastAsia="Arial" w:hAnsi="Arial"/>
                <w:sz w:val="12"/>
                <w:szCs w:val="12"/>
                <w:b w:val="1"/>
                <w:bCs w:val="1"/>
                <w:color w:val="FFFFFF"/>
                <w:w w:val="81"/>
              </w:rPr>
              <w:t>(1)</w:t>
            </w:r>
          </w:p>
        </w:tc>
        <w:tc>
          <w:tcPr>
            <w:tcW w:w="220" w:type="dxa"/>
            <w:vAlign w:val="bottom"/>
            <w:vMerge w:val="restart"/>
            <w:shd w:val="clear" w:color="auto" w:fill="41659C"/>
          </w:tcPr>
          <w:p>
            <w:pPr>
              <w:jc w:val="right"/>
              <w:spacing w:after="0"/>
              <w:rPr>
                <w:sz w:val="20"/>
                <w:szCs w:val="20"/>
                <w:color w:val="auto"/>
              </w:rPr>
            </w:pPr>
            <w:r>
              <w:rPr>
                <w:rFonts w:ascii="Arial" w:cs="Arial" w:eastAsia="Arial" w:hAnsi="Arial"/>
                <w:sz w:val="15"/>
                <w:szCs w:val="15"/>
                <w:b w:val="1"/>
                <w:bCs w:val="1"/>
                <w:color w:val="FFFFFF"/>
                <w:w w:val="97"/>
              </w:rPr>
              <w:t>($)</w:t>
            </w:r>
          </w:p>
        </w:tc>
        <w:tc>
          <w:tcPr>
            <w:tcW w:w="2460" w:type="dxa"/>
            <w:vAlign w:val="bottom"/>
            <w:gridSpan w:val="2"/>
            <w:shd w:val="clear" w:color="auto" w:fill="41659C"/>
          </w:tcPr>
          <w:p>
            <w:pPr>
              <w:jc w:val="right"/>
              <w:ind w:right="147"/>
              <w:spacing w:after="0" w:line="134" w:lineRule="exact"/>
              <w:rPr>
                <w:sz w:val="20"/>
                <w:szCs w:val="20"/>
                <w:color w:val="auto"/>
              </w:rPr>
            </w:pPr>
            <w:r>
              <w:rPr>
                <w:rFonts w:ascii="Arial" w:cs="Arial" w:eastAsia="Arial" w:hAnsi="Arial"/>
                <w:sz w:val="12"/>
                <w:szCs w:val="12"/>
                <w:b w:val="1"/>
                <w:bCs w:val="1"/>
                <w:color w:val="FFFFFF"/>
              </w:rPr>
              <w:t>(2)</w:t>
            </w:r>
          </w:p>
        </w:tc>
        <w:tc>
          <w:tcPr>
            <w:tcW w:w="900" w:type="dxa"/>
            <w:vAlign w:val="bottom"/>
            <w:shd w:val="clear" w:color="auto" w:fill="41659C"/>
          </w:tcPr>
          <w:p>
            <w:pPr>
              <w:spacing w:after="0"/>
              <w:rPr>
                <w:sz w:val="11"/>
                <w:szCs w:val="11"/>
                <w:color w:val="auto"/>
              </w:rPr>
            </w:pPr>
          </w:p>
        </w:tc>
        <w:tc>
          <w:tcPr>
            <w:tcW w:w="1000" w:type="dxa"/>
            <w:vAlign w:val="bottom"/>
            <w:vMerge w:val="restart"/>
            <w:shd w:val="clear" w:color="auto" w:fill="41659C"/>
          </w:tcPr>
          <w:p>
            <w:pPr>
              <w:ind w:left="60"/>
              <w:spacing w:after="0"/>
              <w:rPr>
                <w:sz w:val="20"/>
                <w:szCs w:val="20"/>
                <w:color w:val="auto"/>
              </w:rPr>
            </w:pPr>
            <w:r>
              <w:rPr>
                <w:rFonts w:ascii="Arial" w:cs="Arial" w:eastAsia="Arial" w:hAnsi="Arial"/>
                <w:sz w:val="15"/>
                <w:szCs w:val="15"/>
                <w:b w:val="1"/>
                <w:bCs w:val="1"/>
                <w:color w:val="FFFFFF"/>
                <w:w w:val="94"/>
              </w:rPr>
              <w:t>Good Reason</w:t>
            </w:r>
          </w:p>
        </w:tc>
        <w:tc>
          <w:tcPr>
            <w:tcW w:w="180" w:type="dxa"/>
            <w:vAlign w:val="bottom"/>
            <w:shd w:val="clear" w:color="auto" w:fill="41659C"/>
          </w:tcPr>
          <w:p>
            <w:pPr>
              <w:jc w:val="right"/>
              <w:spacing w:after="0" w:line="134" w:lineRule="exact"/>
              <w:rPr>
                <w:sz w:val="20"/>
                <w:szCs w:val="20"/>
                <w:color w:val="auto"/>
              </w:rPr>
            </w:pPr>
            <w:r>
              <w:rPr>
                <w:rFonts w:ascii="Arial" w:cs="Arial" w:eastAsia="Arial" w:hAnsi="Arial"/>
                <w:sz w:val="12"/>
                <w:szCs w:val="12"/>
                <w:b w:val="1"/>
                <w:bCs w:val="1"/>
                <w:color w:val="FFFFFF"/>
                <w:w w:val="95"/>
              </w:rPr>
              <w:t>(1)</w:t>
            </w:r>
          </w:p>
        </w:tc>
        <w:tc>
          <w:tcPr>
            <w:tcW w:w="260" w:type="dxa"/>
            <w:vAlign w:val="bottom"/>
            <w:vMerge w:val="restart"/>
            <w:shd w:val="clear" w:color="auto" w:fill="41659C"/>
          </w:tcPr>
          <w:p>
            <w:pPr>
              <w:jc w:val="center"/>
              <w:spacing w:after="0"/>
              <w:rPr>
                <w:sz w:val="20"/>
                <w:szCs w:val="20"/>
                <w:color w:val="auto"/>
              </w:rPr>
            </w:pPr>
            <w:r>
              <w:rPr>
                <w:rFonts w:ascii="Arial" w:cs="Arial" w:eastAsia="Arial" w:hAnsi="Arial"/>
                <w:sz w:val="15"/>
                <w:szCs w:val="15"/>
                <w:b w:val="1"/>
                <w:bCs w:val="1"/>
                <w:color w:val="FFFFFF"/>
                <w:w w:val="97"/>
              </w:rPr>
              <w:t>($)</w:t>
            </w:r>
          </w:p>
        </w:tc>
        <w:tc>
          <w:tcPr>
            <w:tcW w:w="360" w:type="dxa"/>
            <w:vAlign w:val="bottom"/>
            <w:shd w:val="clear" w:color="auto" w:fill="41659C"/>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3180" w:type="dxa"/>
            <w:vAlign w:val="bottom"/>
            <w:vMerge w:val="continue"/>
            <w:shd w:val="clear" w:color="auto" w:fill="41659C"/>
          </w:tcPr>
          <w:p>
            <w:pPr>
              <w:spacing w:after="0"/>
              <w:rPr>
                <w:sz w:val="3"/>
                <w:szCs w:val="3"/>
                <w:color w:val="auto"/>
              </w:rPr>
            </w:pPr>
          </w:p>
        </w:tc>
        <w:tc>
          <w:tcPr>
            <w:tcW w:w="1820" w:type="dxa"/>
            <w:vAlign w:val="bottom"/>
            <w:gridSpan w:val="2"/>
            <w:vMerge w:val="continue"/>
            <w:shd w:val="clear" w:color="auto" w:fill="41659C"/>
          </w:tcPr>
          <w:p>
            <w:pPr>
              <w:spacing w:after="0"/>
              <w:rPr>
                <w:sz w:val="3"/>
                <w:szCs w:val="3"/>
                <w:color w:val="auto"/>
              </w:rPr>
            </w:pPr>
          </w:p>
        </w:tc>
        <w:tc>
          <w:tcPr>
            <w:tcW w:w="160" w:type="dxa"/>
            <w:vAlign w:val="bottom"/>
            <w:shd w:val="clear" w:color="auto" w:fill="41659C"/>
          </w:tcPr>
          <w:p>
            <w:pPr>
              <w:spacing w:after="0"/>
              <w:rPr>
                <w:sz w:val="3"/>
                <w:szCs w:val="3"/>
                <w:color w:val="auto"/>
              </w:rPr>
            </w:pPr>
          </w:p>
        </w:tc>
        <w:tc>
          <w:tcPr>
            <w:tcW w:w="220" w:type="dxa"/>
            <w:vAlign w:val="bottom"/>
            <w:vMerge w:val="continue"/>
            <w:shd w:val="clear" w:color="auto" w:fill="41659C"/>
          </w:tcPr>
          <w:p>
            <w:pPr>
              <w:spacing w:after="0"/>
              <w:rPr>
                <w:sz w:val="3"/>
                <w:szCs w:val="3"/>
                <w:color w:val="auto"/>
              </w:rPr>
            </w:pPr>
          </w:p>
        </w:tc>
        <w:tc>
          <w:tcPr>
            <w:tcW w:w="2460" w:type="dxa"/>
            <w:vAlign w:val="bottom"/>
            <w:gridSpan w:val="2"/>
            <w:shd w:val="clear" w:color="auto" w:fill="41659C"/>
          </w:tcPr>
          <w:p>
            <w:pPr>
              <w:jc w:val="right"/>
              <w:spacing w:after="0" w:line="39" w:lineRule="exact"/>
              <w:rPr>
                <w:sz w:val="20"/>
                <w:szCs w:val="20"/>
                <w:color w:val="auto"/>
              </w:rPr>
            </w:pPr>
            <w:r>
              <w:rPr>
                <w:rFonts w:ascii="Arial" w:cs="Arial" w:eastAsia="Arial" w:hAnsi="Arial"/>
                <w:sz w:val="4"/>
                <w:szCs w:val="4"/>
                <w:b w:val="1"/>
                <w:bCs w:val="1"/>
                <w:color w:val="FFFFFF"/>
              </w:rPr>
              <w:t>Change in Control   ($)</w:t>
            </w:r>
          </w:p>
        </w:tc>
        <w:tc>
          <w:tcPr>
            <w:tcW w:w="900" w:type="dxa"/>
            <w:vAlign w:val="bottom"/>
            <w:shd w:val="clear" w:color="auto" w:fill="41659C"/>
          </w:tcPr>
          <w:p>
            <w:pPr>
              <w:spacing w:after="0"/>
              <w:rPr>
                <w:sz w:val="3"/>
                <w:szCs w:val="3"/>
                <w:color w:val="auto"/>
              </w:rPr>
            </w:pPr>
          </w:p>
        </w:tc>
        <w:tc>
          <w:tcPr>
            <w:tcW w:w="1000" w:type="dxa"/>
            <w:vAlign w:val="bottom"/>
            <w:vMerge w:val="continue"/>
            <w:shd w:val="clear" w:color="auto" w:fill="41659C"/>
          </w:tcPr>
          <w:p>
            <w:pPr>
              <w:spacing w:after="0"/>
              <w:rPr>
                <w:sz w:val="3"/>
                <w:szCs w:val="3"/>
                <w:color w:val="auto"/>
              </w:rPr>
            </w:pPr>
          </w:p>
        </w:tc>
        <w:tc>
          <w:tcPr>
            <w:tcW w:w="180" w:type="dxa"/>
            <w:vAlign w:val="bottom"/>
            <w:shd w:val="clear" w:color="auto" w:fill="41659C"/>
          </w:tcPr>
          <w:p>
            <w:pPr>
              <w:spacing w:after="0"/>
              <w:rPr>
                <w:sz w:val="3"/>
                <w:szCs w:val="3"/>
                <w:color w:val="auto"/>
              </w:rPr>
            </w:pPr>
          </w:p>
        </w:tc>
        <w:tc>
          <w:tcPr>
            <w:tcW w:w="260" w:type="dxa"/>
            <w:vAlign w:val="bottom"/>
            <w:vMerge w:val="continue"/>
            <w:shd w:val="clear" w:color="auto" w:fill="41659C"/>
          </w:tcPr>
          <w:p>
            <w:pPr>
              <w:spacing w:after="0"/>
              <w:rPr>
                <w:sz w:val="3"/>
                <w:szCs w:val="3"/>
                <w:color w:val="auto"/>
              </w:rPr>
            </w:pPr>
          </w:p>
        </w:tc>
        <w:tc>
          <w:tcPr>
            <w:tcW w:w="360" w:type="dxa"/>
            <w:vAlign w:val="bottom"/>
            <w:shd w:val="clear" w:color="auto" w:fill="41659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3180" w:type="dxa"/>
            <w:vAlign w:val="bottom"/>
            <w:shd w:val="clear" w:color="auto" w:fill="E8EED3"/>
          </w:tcPr>
          <w:p>
            <w:pPr>
              <w:ind w:left="120"/>
              <w:spacing w:after="0"/>
              <w:rPr>
                <w:sz w:val="20"/>
                <w:szCs w:val="20"/>
                <w:color w:val="auto"/>
              </w:rPr>
            </w:pPr>
            <w:r>
              <w:rPr>
                <w:rFonts w:ascii="Arial" w:cs="Arial" w:eastAsia="Arial" w:hAnsi="Arial"/>
                <w:sz w:val="15"/>
                <w:szCs w:val="15"/>
                <w:b w:val="1"/>
                <w:bCs w:val="1"/>
                <w:color w:val="auto"/>
              </w:rPr>
              <w:t>Cash Payments</w:t>
            </w:r>
            <w:r>
              <w:rPr>
                <w:rFonts w:ascii="Arial" w:cs="Arial" w:eastAsia="Arial" w:hAnsi="Arial"/>
                <w:sz w:val="12"/>
                <w:szCs w:val="12"/>
                <w:b w:val="1"/>
                <w:bCs w:val="1"/>
                <w:color w:val="auto"/>
              </w:rPr>
              <w:t>(4)</w:t>
            </w:r>
          </w:p>
        </w:tc>
        <w:tc>
          <w:tcPr>
            <w:tcW w:w="520" w:type="dxa"/>
            <w:vAlign w:val="bottom"/>
            <w:shd w:val="clear" w:color="auto" w:fill="E8EED3"/>
          </w:tcPr>
          <w:p>
            <w:pPr>
              <w:spacing w:after="0"/>
              <w:rPr>
                <w:sz w:val="17"/>
                <w:szCs w:val="17"/>
                <w:color w:val="auto"/>
              </w:rPr>
            </w:pPr>
          </w:p>
        </w:tc>
        <w:tc>
          <w:tcPr>
            <w:tcW w:w="1300" w:type="dxa"/>
            <w:vAlign w:val="bottom"/>
            <w:shd w:val="clear" w:color="auto" w:fill="E8EED3"/>
          </w:tcPr>
          <w:p>
            <w:pPr>
              <w:spacing w:after="0"/>
              <w:rPr>
                <w:sz w:val="17"/>
                <w:szCs w:val="17"/>
                <w:color w:val="auto"/>
              </w:rPr>
            </w:pPr>
          </w:p>
        </w:tc>
        <w:tc>
          <w:tcPr>
            <w:tcW w:w="380" w:type="dxa"/>
            <w:vAlign w:val="bottom"/>
            <w:gridSpan w:val="2"/>
            <w:shd w:val="clear" w:color="auto" w:fill="E8EED3"/>
          </w:tcPr>
          <w:p>
            <w:pPr>
              <w:jc w:val="right"/>
              <w:ind w:right="27"/>
              <w:spacing w:after="0"/>
              <w:rPr>
                <w:sz w:val="20"/>
                <w:szCs w:val="20"/>
                <w:color w:val="auto"/>
              </w:rPr>
            </w:pPr>
            <w:r>
              <w:rPr>
                <w:rFonts w:ascii="Arial" w:cs="Arial" w:eastAsia="Arial" w:hAnsi="Arial"/>
                <w:sz w:val="15"/>
                <w:szCs w:val="15"/>
                <w:color w:val="auto"/>
              </w:rPr>
              <w:t>—</w:t>
            </w:r>
          </w:p>
        </w:tc>
        <w:tc>
          <w:tcPr>
            <w:tcW w:w="2460" w:type="dxa"/>
            <w:vAlign w:val="bottom"/>
            <w:gridSpan w:val="2"/>
            <w:shd w:val="clear" w:color="auto" w:fill="E8EED3"/>
          </w:tcPr>
          <w:p>
            <w:pPr>
              <w:jc w:val="right"/>
              <w:spacing w:after="0"/>
              <w:rPr>
                <w:sz w:val="20"/>
                <w:szCs w:val="20"/>
                <w:color w:val="auto"/>
              </w:rPr>
            </w:pPr>
            <w:r>
              <w:rPr>
                <w:rFonts w:ascii="Arial" w:cs="Arial" w:eastAsia="Arial" w:hAnsi="Arial"/>
                <w:sz w:val="15"/>
                <w:szCs w:val="15"/>
                <w:color w:val="auto"/>
              </w:rPr>
              <w:t>502,330</w:t>
            </w:r>
          </w:p>
        </w:tc>
        <w:tc>
          <w:tcPr>
            <w:tcW w:w="2340" w:type="dxa"/>
            <w:vAlign w:val="bottom"/>
            <w:gridSpan w:val="4"/>
            <w:shd w:val="clear" w:color="auto" w:fill="E8EED3"/>
          </w:tcPr>
          <w:p>
            <w:pPr>
              <w:jc w:val="right"/>
              <w:spacing w:after="0"/>
              <w:rPr>
                <w:sz w:val="20"/>
                <w:szCs w:val="20"/>
                <w:color w:val="auto"/>
              </w:rPr>
            </w:pPr>
            <w:r>
              <w:rPr>
                <w:rFonts w:ascii="Arial" w:cs="Arial" w:eastAsia="Arial" w:hAnsi="Arial"/>
                <w:sz w:val="15"/>
                <w:szCs w:val="15"/>
                <w:color w:val="auto"/>
              </w:rPr>
              <w:t>502,330</w:t>
            </w:r>
          </w:p>
        </w:tc>
        <w:tc>
          <w:tcPr>
            <w:tcW w:w="360" w:type="dxa"/>
            <w:vAlign w:val="bottom"/>
            <w:shd w:val="clear" w:color="auto" w:fill="E8EED3"/>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80" w:type="dxa"/>
            <w:vAlign w:val="bottom"/>
            <w:shd w:val="clear" w:color="auto" w:fill="D2DEA7"/>
          </w:tcPr>
          <w:p>
            <w:pPr>
              <w:ind w:left="120"/>
              <w:spacing w:after="0"/>
              <w:rPr>
                <w:sz w:val="20"/>
                <w:szCs w:val="20"/>
                <w:color w:val="auto"/>
              </w:rPr>
            </w:pPr>
            <w:r>
              <w:rPr>
                <w:rFonts w:ascii="Arial" w:cs="Arial" w:eastAsia="Arial" w:hAnsi="Arial"/>
                <w:sz w:val="15"/>
                <w:szCs w:val="15"/>
                <w:b w:val="1"/>
                <w:bCs w:val="1"/>
                <w:color w:val="auto"/>
              </w:rPr>
              <w:t>Accelerated Equity Awards:</w:t>
            </w:r>
          </w:p>
        </w:tc>
        <w:tc>
          <w:tcPr>
            <w:tcW w:w="520" w:type="dxa"/>
            <w:vAlign w:val="bottom"/>
            <w:shd w:val="clear" w:color="auto" w:fill="D2DEA7"/>
          </w:tcPr>
          <w:p>
            <w:pPr>
              <w:spacing w:after="0"/>
              <w:rPr>
                <w:sz w:val="19"/>
                <w:szCs w:val="19"/>
                <w:color w:val="auto"/>
              </w:rPr>
            </w:pPr>
          </w:p>
        </w:tc>
        <w:tc>
          <w:tcPr>
            <w:tcW w:w="1300" w:type="dxa"/>
            <w:vAlign w:val="bottom"/>
            <w:shd w:val="clear" w:color="auto" w:fill="D2DEA7"/>
          </w:tcPr>
          <w:p>
            <w:pPr>
              <w:spacing w:after="0"/>
              <w:rPr>
                <w:sz w:val="19"/>
                <w:szCs w:val="19"/>
                <w:color w:val="auto"/>
              </w:rPr>
            </w:pPr>
          </w:p>
        </w:tc>
        <w:tc>
          <w:tcPr>
            <w:tcW w:w="160" w:type="dxa"/>
            <w:vAlign w:val="bottom"/>
            <w:shd w:val="clear" w:color="auto" w:fill="D2DEA7"/>
          </w:tcPr>
          <w:p>
            <w:pPr>
              <w:spacing w:after="0"/>
              <w:rPr>
                <w:sz w:val="19"/>
                <w:szCs w:val="19"/>
                <w:color w:val="auto"/>
              </w:rPr>
            </w:pPr>
          </w:p>
        </w:tc>
        <w:tc>
          <w:tcPr>
            <w:tcW w:w="220" w:type="dxa"/>
            <w:vAlign w:val="bottom"/>
            <w:shd w:val="clear" w:color="auto" w:fill="D2DEA7"/>
          </w:tcPr>
          <w:p>
            <w:pPr>
              <w:spacing w:after="0"/>
              <w:rPr>
                <w:sz w:val="19"/>
                <w:szCs w:val="19"/>
                <w:color w:val="auto"/>
              </w:rPr>
            </w:pPr>
          </w:p>
        </w:tc>
        <w:tc>
          <w:tcPr>
            <w:tcW w:w="820" w:type="dxa"/>
            <w:vAlign w:val="bottom"/>
            <w:shd w:val="clear" w:color="auto" w:fill="D2DEA7"/>
          </w:tcPr>
          <w:p>
            <w:pPr>
              <w:spacing w:after="0"/>
              <w:rPr>
                <w:sz w:val="19"/>
                <w:szCs w:val="19"/>
                <w:color w:val="auto"/>
              </w:rPr>
            </w:pPr>
          </w:p>
        </w:tc>
        <w:tc>
          <w:tcPr>
            <w:tcW w:w="1640" w:type="dxa"/>
            <w:vAlign w:val="bottom"/>
            <w:shd w:val="clear" w:color="auto" w:fill="D2DEA7"/>
          </w:tcPr>
          <w:p>
            <w:pPr>
              <w:spacing w:after="0"/>
              <w:rPr>
                <w:sz w:val="19"/>
                <w:szCs w:val="19"/>
                <w:color w:val="auto"/>
              </w:rPr>
            </w:pPr>
          </w:p>
        </w:tc>
        <w:tc>
          <w:tcPr>
            <w:tcW w:w="900" w:type="dxa"/>
            <w:vAlign w:val="bottom"/>
            <w:shd w:val="clear" w:color="auto" w:fill="D2DEA7"/>
          </w:tcPr>
          <w:p>
            <w:pPr>
              <w:spacing w:after="0"/>
              <w:rPr>
                <w:sz w:val="19"/>
                <w:szCs w:val="19"/>
                <w:color w:val="auto"/>
              </w:rPr>
            </w:pPr>
          </w:p>
        </w:tc>
        <w:tc>
          <w:tcPr>
            <w:tcW w:w="1000" w:type="dxa"/>
            <w:vAlign w:val="bottom"/>
            <w:shd w:val="clear" w:color="auto" w:fill="D2DEA7"/>
          </w:tcPr>
          <w:p>
            <w:pPr>
              <w:spacing w:after="0"/>
              <w:rPr>
                <w:sz w:val="19"/>
                <w:szCs w:val="19"/>
                <w:color w:val="auto"/>
              </w:rPr>
            </w:pPr>
          </w:p>
        </w:tc>
        <w:tc>
          <w:tcPr>
            <w:tcW w:w="180" w:type="dxa"/>
            <w:vAlign w:val="bottom"/>
            <w:shd w:val="clear" w:color="auto" w:fill="D2DEA7"/>
          </w:tcPr>
          <w:p>
            <w:pPr>
              <w:spacing w:after="0"/>
              <w:rPr>
                <w:sz w:val="19"/>
                <w:szCs w:val="19"/>
                <w:color w:val="auto"/>
              </w:rPr>
            </w:pPr>
          </w:p>
        </w:tc>
        <w:tc>
          <w:tcPr>
            <w:tcW w:w="260" w:type="dxa"/>
            <w:vAlign w:val="bottom"/>
            <w:shd w:val="clear" w:color="auto" w:fill="D2DEA7"/>
          </w:tcPr>
          <w:p>
            <w:pPr>
              <w:spacing w:after="0"/>
              <w:rPr>
                <w:sz w:val="19"/>
                <w:szCs w:val="19"/>
                <w:color w:val="auto"/>
              </w:rPr>
            </w:pPr>
          </w:p>
        </w:tc>
        <w:tc>
          <w:tcPr>
            <w:tcW w:w="360" w:type="dxa"/>
            <w:vAlign w:val="bottom"/>
            <w:shd w:val="clear" w:color="auto" w:fill="D2DEA7"/>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180" w:type="dxa"/>
            <w:vAlign w:val="bottom"/>
            <w:shd w:val="clear" w:color="auto" w:fill="E8EED3"/>
          </w:tcPr>
          <w:p>
            <w:pPr>
              <w:ind w:left="280"/>
              <w:spacing w:after="0"/>
              <w:rPr>
                <w:sz w:val="20"/>
                <w:szCs w:val="20"/>
                <w:color w:val="auto"/>
              </w:rPr>
            </w:pPr>
            <w:r>
              <w:rPr>
                <w:rFonts w:ascii="Arial" w:cs="Arial" w:eastAsia="Arial" w:hAnsi="Arial"/>
                <w:sz w:val="15"/>
                <w:szCs w:val="15"/>
                <w:b w:val="1"/>
                <w:bCs w:val="1"/>
                <w:color w:val="auto"/>
              </w:rPr>
              <w:t>RSUs</w:t>
            </w:r>
          </w:p>
        </w:tc>
        <w:tc>
          <w:tcPr>
            <w:tcW w:w="2200" w:type="dxa"/>
            <w:vAlign w:val="bottom"/>
            <w:gridSpan w:val="4"/>
            <w:shd w:val="clear" w:color="auto" w:fill="E8EED3"/>
          </w:tcPr>
          <w:p>
            <w:pPr>
              <w:jc w:val="right"/>
              <w:spacing w:after="0"/>
              <w:rPr>
                <w:sz w:val="20"/>
                <w:szCs w:val="20"/>
                <w:color w:val="auto"/>
              </w:rPr>
            </w:pPr>
            <w:r>
              <w:rPr>
                <w:rFonts w:ascii="Arial" w:cs="Arial" w:eastAsia="Arial" w:hAnsi="Arial"/>
                <w:sz w:val="15"/>
                <w:szCs w:val="15"/>
                <w:color w:val="auto"/>
              </w:rPr>
              <w:t>468,508</w:t>
            </w:r>
          </w:p>
        </w:tc>
        <w:tc>
          <w:tcPr>
            <w:tcW w:w="2460" w:type="dxa"/>
            <w:vAlign w:val="bottom"/>
            <w:gridSpan w:val="2"/>
            <w:shd w:val="clear" w:color="auto" w:fill="E8EED3"/>
          </w:tcPr>
          <w:p>
            <w:pPr>
              <w:jc w:val="right"/>
              <w:spacing w:after="0"/>
              <w:rPr>
                <w:sz w:val="20"/>
                <w:szCs w:val="20"/>
                <w:color w:val="auto"/>
              </w:rPr>
            </w:pPr>
            <w:r>
              <w:rPr>
                <w:rFonts w:ascii="Arial" w:cs="Arial" w:eastAsia="Arial" w:hAnsi="Arial"/>
                <w:sz w:val="15"/>
                <w:szCs w:val="15"/>
                <w:color w:val="auto"/>
              </w:rPr>
              <w:t>468,508</w:t>
            </w:r>
          </w:p>
        </w:tc>
        <w:tc>
          <w:tcPr>
            <w:tcW w:w="2340" w:type="dxa"/>
            <w:vAlign w:val="bottom"/>
            <w:gridSpan w:val="4"/>
            <w:shd w:val="clear" w:color="auto" w:fill="E8EED3"/>
          </w:tcPr>
          <w:p>
            <w:pPr>
              <w:jc w:val="right"/>
              <w:spacing w:after="0"/>
              <w:rPr>
                <w:sz w:val="20"/>
                <w:szCs w:val="20"/>
                <w:color w:val="auto"/>
              </w:rPr>
            </w:pPr>
            <w:r>
              <w:rPr>
                <w:rFonts w:ascii="Arial" w:cs="Arial" w:eastAsia="Arial" w:hAnsi="Arial"/>
                <w:sz w:val="15"/>
                <w:szCs w:val="15"/>
                <w:color w:val="auto"/>
              </w:rPr>
              <w:t>468,508</w:t>
            </w:r>
          </w:p>
        </w:tc>
        <w:tc>
          <w:tcPr>
            <w:tcW w:w="360" w:type="dxa"/>
            <w:vAlign w:val="bottom"/>
            <w:shd w:val="clear" w:color="auto" w:fill="E8EED3"/>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180" w:type="dxa"/>
            <w:vAlign w:val="bottom"/>
            <w:shd w:val="clear" w:color="auto" w:fill="D2DEA7"/>
          </w:tcPr>
          <w:p>
            <w:pPr>
              <w:ind w:left="280"/>
              <w:spacing w:after="0"/>
              <w:rPr>
                <w:sz w:val="20"/>
                <w:szCs w:val="20"/>
                <w:color w:val="auto"/>
              </w:rPr>
            </w:pPr>
            <w:r>
              <w:rPr>
                <w:rFonts w:ascii="Arial" w:cs="Arial" w:eastAsia="Arial" w:hAnsi="Arial"/>
                <w:sz w:val="15"/>
                <w:szCs w:val="15"/>
                <w:b w:val="1"/>
                <w:bCs w:val="1"/>
                <w:color w:val="auto"/>
              </w:rPr>
              <w:t>PRSUs</w:t>
            </w:r>
          </w:p>
        </w:tc>
        <w:tc>
          <w:tcPr>
            <w:tcW w:w="2200" w:type="dxa"/>
            <w:vAlign w:val="bottom"/>
            <w:gridSpan w:val="4"/>
            <w:shd w:val="clear" w:color="auto" w:fill="D2DEA7"/>
          </w:tcPr>
          <w:p>
            <w:pPr>
              <w:jc w:val="right"/>
              <w:spacing w:after="0"/>
              <w:rPr>
                <w:sz w:val="20"/>
                <w:szCs w:val="20"/>
                <w:color w:val="auto"/>
              </w:rPr>
            </w:pPr>
            <w:r>
              <w:rPr>
                <w:rFonts w:ascii="Arial" w:cs="Arial" w:eastAsia="Arial" w:hAnsi="Arial"/>
                <w:sz w:val="15"/>
                <w:szCs w:val="15"/>
                <w:color w:val="auto"/>
              </w:rPr>
              <w:t>220,037</w:t>
            </w:r>
          </w:p>
        </w:tc>
        <w:tc>
          <w:tcPr>
            <w:tcW w:w="2460" w:type="dxa"/>
            <w:vAlign w:val="bottom"/>
            <w:gridSpan w:val="2"/>
            <w:shd w:val="clear" w:color="auto" w:fill="D2DEA7"/>
          </w:tcPr>
          <w:p>
            <w:pPr>
              <w:jc w:val="right"/>
              <w:spacing w:after="0"/>
              <w:rPr>
                <w:sz w:val="20"/>
                <w:szCs w:val="20"/>
                <w:color w:val="auto"/>
              </w:rPr>
            </w:pPr>
            <w:r>
              <w:rPr>
                <w:rFonts w:ascii="Arial" w:cs="Arial" w:eastAsia="Arial" w:hAnsi="Arial"/>
                <w:sz w:val="15"/>
                <w:szCs w:val="15"/>
                <w:color w:val="auto"/>
              </w:rPr>
              <w:t>220,037</w:t>
            </w:r>
          </w:p>
        </w:tc>
        <w:tc>
          <w:tcPr>
            <w:tcW w:w="2340" w:type="dxa"/>
            <w:vAlign w:val="bottom"/>
            <w:gridSpan w:val="4"/>
            <w:shd w:val="clear" w:color="auto" w:fill="D2DEA7"/>
          </w:tcPr>
          <w:p>
            <w:pPr>
              <w:jc w:val="right"/>
              <w:spacing w:after="0"/>
              <w:rPr>
                <w:sz w:val="20"/>
                <w:szCs w:val="20"/>
                <w:color w:val="auto"/>
              </w:rPr>
            </w:pPr>
            <w:r>
              <w:rPr>
                <w:rFonts w:ascii="Arial" w:cs="Arial" w:eastAsia="Arial" w:hAnsi="Arial"/>
                <w:sz w:val="15"/>
                <w:szCs w:val="15"/>
                <w:color w:val="auto"/>
              </w:rPr>
              <w:t>220,037</w:t>
            </w:r>
          </w:p>
        </w:tc>
        <w:tc>
          <w:tcPr>
            <w:tcW w:w="360" w:type="dxa"/>
            <w:vAlign w:val="bottom"/>
            <w:shd w:val="clear" w:color="auto" w:fill="D2DEA7"/>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180" w:type="dxa"/>
            <w:vAlign w:val="bottom"/>
            <w:tcBorders>
              <w:bottom w:val="single" w:sz="8" w:color="E8EED3"/>
            </w:tcBorders>
            <w:shd w:val="clear" w:color="auto" w:fill="E8EED3"/>
          </w:tcPr>
          <w:p>
            <w:pPr>
              <w:ind w:left="120"/>
              <w:spacing w:after="0"/>
              <w:rPr>
                <w:sz w:val="20"/>
                <w:szCs w:val="20"/>
                <w:color w:val="auto"/>
              </w:rPr>
            </w:pPr>
            <w:r>
              <w:rPr>
                <w:rFonts w:ascii="Arial" w:cs="Arial" w:eastAsia="Arial" w:hAnsi="Arial"/>
                <w:sz w:val="15"/>
                <w:szCs w:val="15"/>
                <w:b w:val="1"/>
                <w:bCs w:val="1"/>
                <w:color w:val="auto"/>
              </w:rPr>
              <w:t>COBRA</w:t>
            </w:r>
            <w:r>
              <w:rPr>
                <w:rFonts w:ascii="Arial" w:cs="Arial" w:eastAsia="Arial" w:hAnsi="Arial"/>
                <w:sz w:val="12"/>
                <w:szCs w:val="12"/>
                <w:b w:val="1"/>
                <w:bCs w:val="1"/>
                <w:color w:val="auto"/>
              </w:rPr>
              <w:t>(6)</w:t>
            </w:r>
          </w:p>
        </w:tc>
        <w:tc>
          <w:tcPr>
            <w:tcW w:w="520" w:type="dxa"/>
            <w:vAlign w:val="bottom"/>
            <w:tcBorders>
              <w:bottom w:val="single" w:sz="8" w:color="E8EED3"/>
            </w:tcBorders>
            <w:shd w:val="clear" w:color="auto" w:fill="E8EED3"/>
          </w:tcPr>
          <w:p>
            <w:pPr>
              <w:spacing w:after="0"/>
              <w:rPr>
                <w:sz w:val="19"/>
                <w:szCs w:val="19"/>
                <w:color w:val="auto"/>
              </w:rPr>
            </w:pPr>
          </w:p>
        </w:tc>
        <w:tc>
          <w:tcPr>
            <w:tcW w:w="1300" w:type="dxa"/>
            <w:vAlign w:val="bottom"/>
            <w:tcBorders>
              <w:bottom w:val="single" w:sz="8" w:color="auto"/>
            </w:tcBorders>
            <w:shd w:val="clear" w:color="auto" w:fill="E8EED3"/>
          </w:tcPr>
          <w:p>
            <w:pPr>
              <w:spacing w:after="0"/>
              <w:rPr>
                <w:sz w:val="19"/>
                <w:szCs w:val="19"/>
                <w:color w:val="auto"/>
              </w:rPr>
            </w:pPr>
          </w:p>
        </w:tc>
        <w:tc>
          <w:tcPr>
            <w:tcW w:w="380" w:type="dxa"/>
            <w:vAlign w:val="bottom"/>
            <w:tcBorders>
              <w:bottom w:val="single" w:sz="8" w:color="auto"/>
            </w:tcBorders>
            <w:gridSpan w:val="2"/>
            <w:shd w:val="clear" w:color="auto" w:fill="E8EED3"/>
          </w:tcPr>
          <w:p>
            <w:pPr>
              <w:jc w:val="right"/>
              <w:ind w:right="27"/>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E8EED3"/>
            </w:tcBorders>
            <w:shd w:val="clear" w:color="auto" w:fill="E8EED3"/>
          </w:tcPr>
          <w:p>
            <w:pPr>
              <w:spacing w:after="0"/>
              <w:rPr>
                <w:sz w:val="19"/>
                <w:szCs w:val="19"/>
                <w:color w:val="auto"/>
              </w:rPr>
            </w:pPr>
          </w:p>
        </w:tc>
        <w:tc>
          <w:tcPr>
            <w:tcW w:w="1640" w:type="dxa"/>
            <w:vAlign w:val="bottom"/>
            <w:tcBorders>
              <w:bottom w:val="single" w:sz="8" w:color="auto"/>
            </w:tcBorders>
            <w:shd w:val="clear" w:color="auto" w:fill="E8EED3"/>
          </w:tcPr>
          <w:p>
            <w:pPr>
              <w:jc w:val="right"/>
              <w:spacing w:after="0"/>
              <w:rPr>
                <w:sz w:val="20"/>
                <w:szCs w:val="20"/>
                <w:color w:val="auto"/>
              </w:rPr>
            </w:pPr>
            <w:r>
              <w:rPr>
                <w:rFonts w:ascii="Arial" w:cs="Arial" w:eastAsia="Arial" w:hAnsi="Arial"/>
                <w:sz w:val="15"/>
                <w:szCs w:val="15"/>
                <w:color w:val="auto"/>
              </w:rPr>
              <w:t>27,714</w:t>
            </w:r>
          </w:p>
        </w:tc>
        <w:tc>
          <w:tcPr>
            <w:tcW w:w="900" w:type="dxa"/>
            <w:vAlign w:val="bottom"/>
            <w:tcBorders>
              <w:bottom w:val="single" w:sz="8" w:color="E8EED3"/>
            </w:tcBorders>
            <w:shd w:val="clear" w:color="auto" w:fill="E8EED3"/>
          </w:tcPr>
          <w:p>
            <w:pPr>
              <w:spacing w:after="0"/>
              <w:rPr>
                <w:sz w:val="19"/>
                <w:szCs w:val="19"/>
                <w:color w:val="auto"/>
              </w:rPr>
            </w:pPr>
          </w:p>
        </w:tc>
        <w:tc>
          <w:tcPr>
            <w:tcW w:w="1440" w:type="dxa"/>
            <w:vAlign w:val="bottom"/>
            <w:tcBorders>
              <w:bottom w:val="single" w:sz="8" w:color="auto"/>
            </w:tcBorders>
            <w:gridSpan w:val="3"/>
            <w:shd w:val="clear" w:color="auto" w:fill="E8EED3"/>
          </w:tcPr>
          <w:p>
            <w:pPr>
              <w:jc w:val="right"/>
              <w:spacing w:after="0"/>
              <w:rPr>
                <w:sz w:val="20"/>
                <w:szCs w:val="20"/>
                <w:color w:val="auto"/>
              </w:rPr>
            </w:pPr>
            <w:r>
              <w:rPr>
                <w:rFonts w:ascii="Arial" w:cs="Arial" w:eastAsia="Arial" w:hAnsi="Arial"/>
                <w:sz w:val="15"/>
                <w:szCs w:val="15"/>
                <w:color w:val="auto"/>
              </w:rPr>
              <w:t>27,714</w:t>
            </w:r>
          </w:p>
        </w:tc>
        <w:tc>
          <w:tcPr>
            <w:tcW w:w="360" w:type="dxa"/>
            <w:vAlign w:val="bottom"/>
            <w:tcBorders>
              <w:bottom w:val="single" w:sz="8" w:color="E8EED3"/>
            </w:tcBorders>
            <w:shd w:val="clear" w:color="auto" w:fill="E8EED3"/>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180" w:type="dxa"/>
            <w:vAlign w:val="bottom"/>
            <w:shd w:val="clear" w:color="auto" w:fill="D2DEA7"/>
          </w:tcPr>
          <w:p>
            <w:pPr>
              <w:ind w:left="120"/>
              <w:spacing w:after="0"/>
              <w:rPr>
                <w:sz w:val="20"/>
                <w:szCs w:val="20"/>
                <w:color w:val="auto"/>
              </w:rPr>
            </w:pPr>
            <w:r>
              <w:rPr>
                <w:rFonts w:ascii="Arial" w:cs="Arial" w:eastAsia="Arial" w:hAnsi="Arial"/>
                <w:sz w:val="15"/>
                <w:szCs w:val="15"/>
                <w:b w:val="1"/>
                <w:bCs w:val="1"/>
                <w:color w:val="auto"/>
              </w:rPr>
              <w:t>Total</w:t>
            </w:r>
          </w:p>
        </w:tc>
        <w:tc>
          <w:tcPr>
            <w:tcW w:w="2200" w:type="dxa"/>
            <w:vAlign w:val="bottom"/>
            <w:gridSpan w:val="4"/>
            <w:shd w:val="clear" w:color="auto" w:fill="D2DEA7"/>
          </w:tcPr>
          <w:p>
            <w:pPr>
              <w:jc w:val="right"/>
              <w:spacing w:after="0"/>
              <w:rPr>
                <w:sz w:val="20"/>
                <w:szCs w:val="20"/>
                <w:color w:val="auto"/>
              </w:rPr>
            </w:pPr>
            <w:r>
              <w:rPr>
                <w:rFonts w:ascii="Arial" w:cs="Arial" w:eastAsia="Arial" w:hAnsi="Arial"/>
                <w:sz w:val="15"/>
                <w:szCs w:val="15"/>
                <w:color w:val="auto"/>
              </w:rPr>
              <w:t>688,545</w:t>
            </w:r>
          </w:p>
        </w:tc>
        <w:tc>
          <w:tcPr>
            <w:tcW w:w="2460" w:type="dxa"/>
            <w:vAlign w:val="bottom"/>
            <w:gridSpan w:val="2"/>
            <w:shd w:val="clear" w:color="auto" w:fill="D2DEA7"/>
          </w:tcPr>
          <w:p>
            <w:pPr>
              <w:jc w:val="right"/>
              <w:spacing w:after="0"/>
              <w:rPr>
                <w:sz w:val="20"/>
                <w:szCs w:val="20"/>
                <w:color w:val="auto"/>
              </w:rPr>
            </w:pPr>
            <w:r>
              <w:rPr>
                <w:rFonts w:ascii="Arial" w:cs="Arial" w:eastAsia="Arial" w:hAnsi="Arial"/>
                <w:sz w:val="15"/>
                <w:szCs w:val="15"/>
                <w:color w:val="auto"/>
              </w:rPr>
              <w:t>1,218,589</w:t>
            </w:r>
          </w:p>
        </w:tc>
        <w:tc>
          <w:tcPr>
            <w:tcW w:w="2340" w:type="dxa"/>
            <w:vAlign w:val="bottom"/>
            <w:gridSpan w:val="4"/>
            <w:shd w:val="clear" w:color="auto" w:fill="D2DEA7"/>
          </w:tcPr>
          <w:p>
            <w:pPr>
              <w:jc w:val="right"/>
              <w:spacing w:after="0"/>
              <w:rPr>
                <w:sz w:val="20"/>
                <w:szCs w:val="20"/>
                <w:color w:val="auto"/>
              </w:rPr>
            </w:pPr>
            <w:r>
              <w:rPr>
                <w:rFonts w:ascii="Arial" w:cs="Arial" w:eastAsia="Arial" w:hAnsi="Arial"/>
                <w:sz w:val="15"/>
                <w:szCs w:val="15"/>
                <w:color w:val="auto"/>
              </w:rPr>
              <w:t>1,218,589</w:t>
            </w:r>
          </w:p>
        </w:tc>
        <w:tc>
          <w:tcPr>
            <w:tcW w:w="360" w:type="dxa"/>
            <w:vAlign w:val="bottom"/>
            <w:shd w:val="clear" w:color="auto" w:fill="D2DEA7"/>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-2282825</wp:posOffset>
            </wp:positionV>
            <wp:extent cx="8255" cy="22834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228346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-2282825</wp:posOffset>
            </wp:positionV>
            <wp:extent cx="8255" cy="22834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2283460"/>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-2282825</wp:posOffset>
            </wp:positionV>
            <wp:extent cx="8255" cy="22834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2283460"/>
                    </a:xfrm>
                    <a:prstGeom prst="rect">
                      <a:avLst/>
                    </a:prstGeom>
                    <a:noFill/>
                  </pic:spPr>
                </pic:pic>
              </a:graphicData>
            </a:graphic>
          </wp:anchor>
        </w:drawing>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color w:val="262626"/>
        </w:rPr>
        <w:t>28 • CECO Environmental</w:t>
      </w:r>
    </w:p>
    <w:p>
      <w:pPr>
        <w:sectPr>
          <w:pgSz w:w="11900" w:h="16838" w:orient="portrait"/>
          <w:cols w:equalWidth="0" w:num="1">
            <w:col w:w="10900"/>
          </w:cols>
          <w:pgMar w:left="320" w:top="443" w:right="6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81"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3020" w:type="dxa"/>
            <w:vAlign w:val="bottom"/>
            <w:vMerge w:val="restart"/>
            <w:shd w:val="clear" w:color="auto" w:fill="41659C"/>
          </w:tcPr>
          <w:p>
            <w:pPr>
              <w:ind w:left="120"/>
              <w:spacing w:after="0"/>
              <w:rPr>
                <w:sz w:val="20"/>
                <w:szCs w:val="20"/>
                <w:color w:val="auto"/>
              </w:rPr>
            </w:pPr>
            <w:r>
              <w:rPr>
                <w:rFonts w:ascii="Arial" w:cs="Arial" w:eastAsia="Arial" w:hAnsi="Arial"/>
                <w:sz w:val="15"/>
                <w:szCs w:val="15"/>
                <w:b w:val="1"/>
                <w:bCs w:val="1"/>
                <w:color w:val="FFFFFF"/>
              </w:rPr>
              <w:t>Ramesh Nuggihalli</w:t>
            </w:r>
          </w:p>
        </w:tc>
        <w:tc>
          <w:tcPr>
            <w:tcW w:w="2220" w:type="dxa"/>
            <w:vAlign w:val="bottom"/>
            <w:gridSpan w:val="2"/>
            <w:vMerge w:val="restart"/>
            <w:shd w:val="clear" w:color="auto" w:fill="41659C"/>
          </w:tcPr>
          <w:p>
            <w:pPr>
              <w:jc w:val="right"/>
              <w:spacing w:after="0"/>
              <w:rPr>
                <w:sz w:val="20"/>
                <w:szCs w:val="20"/>
                <w:color w:val="auto"/>
              </w:rPr>
            </w:pPr>
            <w:r>
              <w:rPr>
                <w:rFonts w:ascii="Arial" w:cs="Arial" w:eastAsia="Arial" w:hAnsi="Arial"/>
                <w:sz w:val="15"/>
                <w:szCs w:val="15"/>
                <w:b w:val="1"/>
                <w:bCs w:val="1"/>
                <w:color w:val="FFFFFF"/>
              </w:rPr>
              <w:t>Death or Disability   ($)</w:t>
            </w:r>
          </w:p>
        </w:tc>
        <w:tc>
          <w:tcPr>
            <w:tcW w:w="2580" w:type="dxa"/>
            <w:vAlign w:val="bottom"/>
            <w:gridSpan w:val="2"/>
            <w:vMerge w:val="restart"/>
            <w:shd w:val="clear" w:color="auto" w:fill="41659C"/>
          </w:tcPr>
          <w:p>
            <w:pPr>
              <w:jc w:val="right"/>
              <w:spacing w:after="0"/>
              <w:rPr>
                <w:sz w:val="20"/>
                <w:szCs w:val="20"/>
                <w:color w:val="auto"/>
              </w:rPr>
            </w:pPr>
            <w:r>
              <w:rPr>
                <w:rFonts w:ascii="Arial" w:cs="Arial" w:eastAsia="Arial" w:hAnsi="Arial"/>
                <w:sz w:val="15"/>
                <w:szCs w:val="15"/>
                <w:b w:val="1"/>
                <w:bCs w:val="1"/>
                <w:color w:val="FFFFFF"/>
              </w:rPr>
              <w:t>Change in Control   ($)</w:t>
            </w:r>
          </w:p>
        </w:tc>
        <w:tc>
          <w:tcPr>
            <w:tcW w:w="2720" w:type="dxa"/>
            <w:vAlign w:val="bottom"/>
            <w:gridSpan w:val="3"/>
            <w:shd w:val="clear" w:color="auto" w:fill="41659C"/>
          </w:tcPr>
          <w:p>
            <w:pPr>
              <w:jc w:val="center"/>
              <w:ind w:left="529"/>
              <w:spacing w:after="0"/>
              <w:rPr>
                <w:sz w:val="20"/>
                <w:szCs w:val="20"/>
                <w:color w:val="auto"/>
              </w:rPr>
            </w:pPr>
            <w:r>
              <w:rPr>
                <w:rFonts w:ascii="Arial" w:cs="Arial" w:eastAsia="Arial" w:hAnsi="Arial"/>
                <w:sz w:val="15"/>
                <w:szCs w:val="15"/>
                <w:b w:val="1"/>
                <w:bCs w:val="1"/>
                <w:color w:val="FFFFFF"/>
                <w:w w:val="97"/>
              </w:rPr>
              <w:t>Without Cause or for</w:t>
            </w:r>
          </w:p>
        </w:tc>
        <w:tc>
          <w:tcPr>
            <w:tcW w:w="0" w:type="dxa"/>
            <w:vAlign w:val="bottom"/>
          </w:tcPr>
          <w:p>
            <w:pPr>
              <w:spacing w:after="0"/>
              <w:rPr>
                <w:sz w:val="1"/>
                <w:szCs w:val="1"/>
                <w:color w:val="auto"/>
              </w:rPr>
            </w:pPr>
          </w:p>
        </w:tc>
      </w:tr>
      <w:tr>
        <w:trPr>
          <w:trHeight w:val="21"/>
        </w:trPr>
        <w:tc>
          <w:tcPr>
            <w:tcW w:w="3020" w:type="dxa"/>
            <w:vAlign w:val="bottom"/>
            <w:vMerge w:val="continue"/>
            <w:shd w:val="clear" w:color="auto" w:fill="41659C"/>
          </w:tcPr>
          <w:p>
            <w:pPr>
              <w:spacing w:after="0" w:line="20" w:lineRule="exact"/>
              <w:rPr>
                <w:sz w:val="1"/>
                <w:szCs w:val="1"/>
                <w:color w:val="auto"/>
              </w:rPr>
            </w:pPr>
          </w:p>
        </w:tc>
        <w:tc>
          <w:tcPr>
            <w:tcW w:w="2220" w:type="dxa"/>
            <w:vAlign w:val="bottom"/>
            <w:gridSpan w:val="2"/>
            <w:vMerge w:val="continue"/>
            <w:shd w:val="clear" w:color="auto" w:fill="41659C"/>
          </w:tcPr>
          <w:p>
            <w:pPr>
              <w:spacing w:after="0" w:line="20" w:lineRule="exact"/>
              <w:rPr>
                <w:sz w:val="1"/>
                <w:szCs w:val="1"/>
                <w:color w:val="auto"/>
              </w:rPr>
            </w:pPr>
          </w:p>
        </w:tc>
        <w:tc>
          <w:tcPr>
            <w:tcW w:w="2580" w:type="dxa"/>
            <w:vAlign w:val="bottom"/>
            <w:gridSpan w:val="2"/>
            <w:vMerge w:val="continue"/>
            <w:shd w:val="clear" w:color="auto" w:fill="41659C"/>
          </w:tcPr>
          <w:p>
            <w:pPr>
              <w:spacing w:after="0" w:line="20" w:lineRule="exact"/>
              <w:rPr>
                <w:sz w:val="1"/>
                <w:szCs w:val="1"/>
                <w:color w:val="auto"/>
              </w:rPr>
            </w:pPr>
          </w:p>
        </w:tc>
        <w:tc>
          <w:tcPr>
            <w:tcW w:w="940" w:type="dxa"/>
            <w:vAlign w:val="bottom"/>
            <w:shd w:val="clear" w:color="auto" w:fill="41659C"/>
          </w:tcPr>
          <w:p>
            <w:pPr>
              <w:spacing w:after="0" w:line="20" w:lineRule="exact"/>
              <w:rPr>
                <w:sz w:val="1"/>
                <w:szCs w:val="1"/>
                <w:color w:val="auto"/>
              </w:rPr>
            </w:pPr>
          </w:p>
        </w:tc>
        <w:tc>
          <w:tcPr>
            <w:tcW w:w="1780" w:type="dxa"/>
            <w:vAlign w:val="bottom"/>
            <w:gridSpan w:val="2"/>
            <w:shd w:val="clear" w:color="auto" w:fill="41659C"/>
          </w:tcPr>
          <w:p>
            <w:pPr>
              <w:jc w:val="center"/>
              <w:ind w:right="340"/>
              <w:spacing w:after="0" w:line="21" w:lineRule="exact"/>
              <w:rPr>
                <w:sz w:val="20"/>
                <w:szCs w:val="20"/>
                <w:color w:val="auto"/>
              </w:rPr>
            </w:pPr>
            <w:r>
              <w:rPr>
                <w:rFonts w:ascii="Arial" w:cs="Arial" w:eastAsia="Arial" w:hAnsi="Arial"/>
                <w:sz w:val="2"/>
                <w:szCs w:val="2"/>
                <w:b w:val="1"/>
                <w:bCs w:val="1"/>
                <w:color w:val="FFFFFF"/>
              </w:rPr>
              <w:t>Good Reason   ($)</w:t>
            </w:r>
          </w:p>
        </w:tc>
        <w:tc>
          <w:tcPr>
            <w:tcW w:w="0" w:type="dxa"/>
            <w:vAlign w:val="bottom"/>
          </w:tcPr>
          <w:p>
            <w:pPr>
              <w:spacing w:after="0" w:line="20" w:lineRule="exact"/>
              <w:rPr>
                <w:sz w:val="1"/>
                <w:szCs w:val="1"/>
                <w:color w:val="auto"/>
              </w:rPr>
            </w:pPr>
          </w:p>
        </w:tc>
      </w:tr>
      <w:tr>
        <w:trPr>
          <w:trHeight w:val="152"/>
        </w:trPr>
        <w:tc>
          <w:tcPr>
            <w:tcW w:w="3020" w:type="dxa"/>
            <w:vAlign w:val="bottom"/>
            <w:shd w:val="clear" w:color="auto" w:fill="41659C"/>
          </w:tcPr>
          <w:p>
            <w:pPr>
              <w:spacing w:after="0"/>
              <w:rPr>
                <w:sz w:val="13"/>
                <w:szCs w:val="13"/>
                <w:color w:val="auto"/>
              </w:rPr>
            </w:pPr>
          </w:p>
        </w:tc>
        <w:tc>
          <w:tcPr>
            <w:tcW w:w="2220" w:type="dxa"/>
            <w:vAlign w:val="bottom"/>
            <w:gridSpan w:val="2"/>
            <w:shd w:val="clear" w:color="auto" w:fill="41659C"/>
          </w:tcPr>
          <w:p>
            <w:pPr>
              <w:jc w:val="right"/>
              <w:ind w:right="167"/>
              <w:spacing w:after="0"/>
              <w:rPr>
                <w:sz w:val="20"/>
                <w:szCs w:val="20"/>
                <w:color w:val="auto"/>
              </w:rPr>
            </w:pPr>
            <w:r>
              <w:rPr>
                <w:rFonts w:ascii="Arial" w:cs="Arial" w:eastAsia="Arial" w:hAnsi="Arial"/>
                <w:sz w:val="12"/>
                <w:szCs w:val="12"/>
                <w:b w:val="1"/>
                <w:bCs w:val="1"/>
                <w:color w:val="FFFFFF"/>
              </w:rPr>
              <w:t>(1)</w:t>
            </w:r>
          </w:p>
        </w:tc>
        <w:tc>
          <w:tcPr>
            <w:tcW w:w="2580" w:type="dxa"/>
            <w:vAlign w:val="bottom"/>
            <w:gridSpan w:val="2"/>
            <w:shd w:val="clear" w:color="auto" w:fill="41659C"/>
          </w:tcPr>
          <w:p>
            <w:pPr>
              <w:jc w:val="right"/>
              <w:ind w:right="147"/>
              <w:spacing w:after="0"/>
              <w:rPr>
                <w:sz w:val="20"/>
                <w:szCs w:val="20"/>
                <w:color w:val="auto"/>
              </w:rPr>
            </w:pPr>
            <w:r>
              <w:rPr>
                <w:rFonts w:ascii="Arial" w:cs="Arial" w:eastAsia="Arial" w:hAnsi="Arial"/>
                <w:sz w:val="12"/>
                <w:szCs w:val="12"/>
                <w:b w:val="1"/>
                <w:bCs w:val="1"/>
                <w:color w:val="FFFFFF"/>
              </w:rPr>
              <w:t>(2)</w:t>
            </w:r>
          </w:p>
        </w:tc>
        <w:tc>
          <w:tcPr>
            <w:tcW w:w="2400" w:type="dxa"/>
            <w:vAlign w:val="bottom"/>
            <w:gridSpan w:val="2"/>
            <w:shd w:val="clear" w:color="auto" w:fill="41659C"/>
          </w:tcPr>
          <w:p>
            <w:pPr>
              <w:jc w:val="right"/>
              <w:ind w:right="278"/>
              <w:spacing w:after="0"/>
              <w:rPr>
                <w:sz w:val="20"/>
                <w:szCs w:val="20"/>
                <w:color w:val="auto"/>
              </w:rPr>
            </w:pPr>
            <w:r>
              <w:rPr>
                <w:rFonts w:ascii="Arial" w:cs="Arial" w:eastAsia="Arial" w:hAnsi="Arial"/>
                <w:sz w:val="12"/>
                <w:szCs w:val="12"/>
                <w:b w:val="1"/>
                <w:bCs w:val="1"/>
                <w:color w:val="FFFFFF"/>
              </w:rPr>
              <w:t>(1)</w:t>
            </w:r>
          </w:p>
        </w:tc>
        <w:tc>
          <w:tcPr>
            <w:tcW w:w="320" w:type="dxa"/>
            <w:vAlign w:val="bottom"/>
            <w:shd w:val="clear" w:color="auto" w:fill="41659C"/>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020" w:type="dxa"/>
            <w:vAlign w:val="bottom"/>
            <w:shd w:val="clear" w:color="auto" w:fill="E8EED3"/>
          </w:tcPr>
          <w:p>
            <w:pPr>
              <w:ind w:left="120"/>
              <w:spacing w:after="0"/>
              <w:rPr>
                <w:sz w:val="20"/>
                <w:szCs w:val="20"/>
                <w:color w:val="auto"/>
              </w:rPr>
            </w:pPr>
            <w:r>
              <w:rPr>
                <w:rFonts w:ascii="Arial" w:cs="Arial" w:eastAsia="Arial" w:hAnsi="Arial"/>
                <w:sz w:val="15"/>
                <w:szCs w:val="15"/>
                <w:b w:val="1"/>
                <w:bCs w:val="1"/>
                <w:color w:val="auto"/>
              </w:rPr>
              <w:t>Cash Payments</w:t>
            </w:r>
            <w:r>
              <w:rPr>
                <w:rFonts w:ascii="Arial" w:cs="Arial" w:eastAsia="Arial" w:hAnsi="Arial"/>
                <w:sz w:val="12"/>
                <w:szCs w:val="12"/>
                <w:b w:val="1"/>
                <w:bCs w:val="1"/>
                <w:color w:val="auto"/>
              </w:rPr>
              <w:t>(5)</w:t>
            </w:r>
          </w:p>
        </w:tc>
        <w:tc>
          <w:tcPr>
            <w:tcW w:w="540" w:type="dxa"/>
            <w:vAlign w:val="bottom"/>
            <w:shd w:val="clear" w:color="auto" w:fill="E8EED3"/>
          </w:tcPr>
          <w:p>
            <w:pPr>
              <w:spacing w:after="0"/>
              <w:rPr>
                <w:sz w:val="17"/>
                <w:szCs w:val="17"/>
                <w:color w:val="auto"/>
              </w:rPr>
            </w:pPr>
          </w:p>
        </w:tc>
        <w:tc>
          <w:tcPr>
            <w:tcW w:w="1680" w:type="dxa"/>
            <w:vAlign w:val="bottom"/>
            <w:shd w:val="clear" w:color="auto" w:fill="E8EED3"/>
          </w:tcPr>
          <w:p>
            <w:pPr>
              <w:jc w:val="right"/>
              <w:ind w:right="27"/>
              <w:spacing w:after="0"/>
              <w:rPr>
                <w:sz w:val="20"/>
                <w:szCs w:val="20"/>
                <w:color w:val="auto"/>
              </w:rPr>
            </w:pPr>
            <w:r>
              <w:rPr>
                <w:rFonts w:ascii="Arial" w:cs="Arial" w:eastAsia="Arial" w:hAnsi="Arial"/>
                <w:sz w:val="15"/>
                <w:szCs w:val="15"/>
                <w:color w:val="auto"/>
              </w:rPr>
              <w:t>—</w:t>
            </w:r>
          </w:p>
        </w:tc>
        <w:tc>
          <w:tcPr>
            <w:tcW w:w="2580" w:type="dxa"/>
            <w:vAlign w:val="bottom"/>
            <w:gridSpan w:val="2"/>
            <w:shd w:val="clear" w:color="auto" w:fill="E8EED3"/>
          </w:tcPr>
          <w:p>
            <w:pPr>
              <w:jc w:val="right"/>
              <w:spacing w:after="0"/>
              <w:rPr>
                <w:sz w:val="20"/>
                <w:szCs w:val="20"/>
                <w:color w:val="auto"/>
              </w:rPr>
            </w:pPr>
            <w:r>
              <w:rPr>
                <w:rFonts w:ascii="Arial" w:cs="Arial" w:eastAsia="Arial" w:hAnsi="Arial"/>
                <w:sz w:val="15"/>
                <w:szCs w:val="15"/>
                <w:color w:val="auto"/>
              </w:rPr>
              <w:t>581,250</w:t>
            </w:r>
          </w:p>
        </w:tc>
        <w:tc>
          <w:tcPr>
            <w:tcW w:w="2400" w:type="dxa"/>
            <w:vAlign w:val="bottom"/>
            <w:gridSpan w:val="2"/>
            <w:shd w:val="clear" w:color="auto" w:fill="E8EED3"/>
          </w:tcPr>
          <w:p>
            <w:pPr>
              <w:jc w:val="right"/>
              <w:spacing w:after="0"/>
              <w:rPr>
                <w:sz w:val="20"/>
                <w:szCs w:val="20"/>
                <w:color w:val="auto"/>
              </w:rPr>
            </w:pPr>
            <w:r>
              <w:rPr>
                <w:rFonts w:ascii="Arial" w:cs="Arial" w:eastAsia="Arial" w:hAnsi="Arial"/>
                <w:sz w:val="15"/>
                <w:szCs w:val="15"/>
                <w:color w:val="auto"/>
              </w:rPr>
              <w:t>497,055</w:t>
            </w:r>
          </w:p>
        </w:tc>
        <w:tc>
          <w:tcPr>
            <w:tcW w:w="320" w:type="dxa"/>
            <w:vAlign w:val="bottom"/>
            <w:shd w:val="clear" w:color="auto" w:fill="E8EED3"/>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020" w:type="dxa"/>
            <w:vAlign w:val="bottom"/>
            <w:shd w:val="clear" w:color="auto" w:fill="D2DEA7"/>
          </w:tcPr>
          <w:p>
            <w:pPr>
              <w:ind w:left="120"/>
              <w:spacing w:after="0"/>
              <w:rPr>
                <w:sz w:val="20"/>
                <w:szCs w:val="20"/>
                <w:color w:val="auto"/>
              </w:rPr>
            </w:pPr>
            <w:r>
              <w:rPr>
                <w:rFonts w:ascii="Arial" w:cs="Arial" w:eastAsia="Arial" w:hAnsi="Arial"/>
                <w:sz w:val="15"/>
                <w:szCs w:val="15"/>
                <w:b w:val="1"/>
                <w:bCs w:val="1"/>
                <w:color w:val="auto"/>
              </w:rPr>
              <w:t>Accelerated Equity Awards:</w:t>
            </w:r>
          </w:p>
        </w:tc>
        <w:tc>
          <w:tcPr>
            <w:tcW w:w="540" w:type="dxa"/>
            <w:vAlign w:val="bottom"/>
            <w:shd w:val="clear" w:color="auto" w:fill="D2DEA7"/>
          </w:tcPr>
          <w:p>
            <w:pPr>
              <w:spacing w:after="0"/>
              <w:rPr>
                <w:sz w:val="19"/>
                <w:szCs w:val="19"/>
                <w:color w:val="auto"/>
              </w:rPr>
            </w:pPr>
          </w:p>
        </w:tc>
        <w:tc>
          <w:tcPr>
            <w:tcW w:w="1680" w:type="dxa"/>
            <w:vAlign w:val="bottom"/>
            <w:shd w:val="clear" w:color="auto" w:fill="D2DEA7"/>
          </w:tcPr>
          <w:p>
            <w:pPr>
              <w:spacing w:after="0"/>
              <w:rPr>
                <w:sz w:val="19"/>
                <w:szCs w:val="19"/>
                <w:color w:val="auto"/>
              </w:rPr>
            </w:pPr>
          </w:p>
        </w:tc>
        <w:tc>
          <w:tcPr>
            <w:tcW w:w="940" w:type="dxa"/>
            <w:vAlign w:val="bottom"/>
            <w:shd w:val="clear" w:color="auto" w:fill="D2DEA7"/>
          </w:tcPr>
          <w:p>
            <w:pPr>
              <w:spacing w:after="0"/>
              <w:rPr>
                <w:sz w:val="19"/>
                <w:szCs w:val="19"/>
                <w:color w:val="auto"/>
              </w:rPr>
            </w:pPr>
          </w:p>
        </w:tc>
        <w:tc>
          <w:tcPr>
            <w:tcW w:w="1640" w:type="dxa"/>
            <w:vAlign w:val="bottom"/>
            <w:shd w:val="clear" w:color="auto" w:fill="D2DEA7"/>
          </w:tcPr>
          <w:p>
            <w:pPr>
              <w:spacing w:after="0"/>
              <w:rPr>
                <w:sz w:val="19"/>
                <w:szCs w:val="19"/>
                <w:color w:val="auto"/>
              </w:rPr>
            </w:pPr>
          </w:p>
        </w:tc>
        <w:tc>
          <w:tcPr>
            <w:tcW w:w="940" w:type="dxa"/>
            <w:vAlign w:val="bottom"/>
            <w:shd w:val="clear" w:color="auto" w:fill="D2DEA7"/>
          </w:tcPr>
          <w:p>
            <w:pPr>
              <w:spacing w:after="0"/>
              <w:rPr>
                <w:sz w:val="19"/>
                <w:szCs w:val="19"/>
                <w:color w:val="auto"/>
              </w:rPr>
            </w:pPr>
          </w:p>
        </w:tc>
        <w:tc>
          <w:tcPr>
            <w:tcW w:w="1460" w:type="dxa"/>
            <w:vAlign w:val="bottom"/>
            <w:shd w:val="clear" w:color="auto" w:fill="D2DEA7"/>
          </w:tcPr>
          <w:p>
            <w:pPr>
              <w:spacing w:after="0"/>
              <w:rPr>
                <w:sz w:val="19"/>
                <w:szCs w:val="19"/>
                <w:color w:val="auto"/>
              </w:rPr>
            </w:pPr>
          </w:p>
        </w:tc>
        <w:tc>
          <w:tcPr>
            <w:tcW w:w="320" w:type="dxa"/>
            <w:vAlign w:val="bottom"/>
            <w:shd w:val="clear" w:color="auto" w:fill="D2DEA7"/>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20" w:type="dxa"/>
            <w:vAlign w:val="bottom"/>
            <w:shd w:val="clear" w:color="auto" w:fill="E8EED3"/>
          </w:tcPr>
          <w:p>
            <w:pPr>
              <w:ind w:left="280"/>
              <w:spacing w:after="0"/>
              <w:rPr>
                <w:sz w:val="20"/>
                <w:szCs w:val="20"/>
                <w:color w:val="auto"/>
              </w:rPr>
            </w:pPr>
            <w:r>
              <w:rPr>
                <w:rFonts w:ascii="Arial" w:cs="Arial" w:eastAsia="Arial" w:hAnsi="Arial"/>
                <w:sz w:val="15"/>
                <w:szCs w:val="15"/>
                <w:b w:val="1"/>
                <w:bCs w:val="1"/>
                <w:color w:val="auto"/>
              </w:rPr>
              <w:t>RSUs</w:t>
            </w:r>
          </w:p>
        </w:tc>
        <w:tc>
          <w:tcPr>
            <w:tcW w:w="2220" w:type="dxa"/>
            <w:vAlign w:val="bottom"/>
            <w:gridSpan w:val="2"/>
            <w:shd w:val="clear" w:color="auto" w:fill="E8EED3"/>
          </w:tcPr>
          <w:p>
            <w:pPr>
              <w:jc w:val="right"/>
              <w:spacing w:after="0"/>
              <w:rPr>
                <w:sz w:val="20"/>
                <w:szCs w:val="20"/>
                <w:color w:val="auto"/>
              </w:rPr>
            </w:pPr>
            <w:r>
              <w:rPr>
                <w:rFonts w:ascii="Arial" w:cs="Arial" w:eastAsia="Arial" w:hAnsi="Arial"/>
                <w:sz w:val="15"/>
                <w:szCs w:val="15"/>
                <w:color w:val="auto"/>
              </w:rPr>
              <w:t>266,569</w:t>
            </w:r>
          </w:p>
        </w:tc>
        <w:tc>
          <w:tcPr>
            <w:tcW w:w="2580" w:type="dxa"/>
            <w:vAlign w:val="bottom"/>
            <w:gridSpan w:val="2"/>
            <w:shd w:val="clear" w:color="auto" w:fill="E8EED3"/>
          </w:tcPr>
          <w:p>
            <w:pPr>
              <w:jc w:val="right"/>
              <w:spacing w:after="0"/>
              <w:rPr>
                <w:sz w:val="20"/>
                <w:szCs w:val="20"/>
                <w:color w:val="auto"/>
              </w:rPr>
            </w:pPr>
            <w:r>
              <w:rPr>
                <w:rFonts w:ascii="Arial" w:cs="Arial" w:eastAsia="Arial" w:hAnsi="Arial"/>
                <w:sz w:val="15"/>
                <w:szCs w:val="15"/>
                <w:color w:val="auto"/>
              </w:rPr>
              <w:t>266,569</w:t>
            </w:r>
          </w:p>
        </w:tc>
        <w:tc>
          <w:tcPr>
            <w:tcW w:w="2400" w:type="dxa"/>
            <w:vAlign w:val="bottom"/>
            <w:gridSpan w:val="2"/>
            <w:shd w:val="clear" w:color="auto" w:fill="E8EED3"/>
          </w:tcPr>
          <w:p>
            <w:pPr>
              <w:jc w:val="right"/>
              <w:spacing w:after="0"/>
              <w:rPr>
                <w:sz w:val="20"/>
                <w:szCs w:val="20"/>
                <w:color w:val="auto"/>
              </w:rPr>
            </w:pPr>
            <w:r>
              <w:rPr>
                <w:rFonts w:ascii="Arial" w:cs="Arial" w:eastAsia="Arial" w:hAnsi="Arial"/>
                <w:sz w:val="15"/>
                <w:szCs w:val="15"/>
                <w:color w:val="auto"/>
              </w:rPr>
              <w:t>266,569</w:t>
            </w:r>
          </w:p>
        </w:tc>
        <w:tc>
          <w:tcPr>
            <w:tcW w:w="320" w:type="dxa"/>
            <w:vAlign w:val="bottom"/>
            <w:shd w:val="clear" w:color="auto" w:fill="E8EED3"/>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20" w:type="dxa"/>
            <w:vAlign w:val="bottom"/>
            <w:shd w:val="clear" w:color="auto" w:fill="D2DEA7"/>
          </w:tcPr>
          <w:p>
            <w:pPr>
              <w:ind w:left="280"/>
              <w:spacing w:after="0"/>
              <w:rPr>
                <w:sz w:val="20"/>
                <w:szCs w:val="20"/>
                <w:color w:val="auto"/>
              </w:rPr>
            </w:pPr>
            <w:r>
              <w:rPr>
                <w:rFonts w:ascii="Arial" w:cs="Arial" w:eastAsia="Arial" w:hAnsi="Arial"/>
                <w:sz w:val="15"/>
                <w:szCs w:val="15"/>
                <w:b w:val="1"/>
                <w:bCs w:val="1"/>
                <w:color w:val="auto"/>
              </w:rPr>
              <w:t>PRSUs</w:t>
            </w:r>
          </w:p>
        </w:tc>
        <w:tc>
          <w:tcPr>
            <w:tcW w:w="2220" w:type="dxa"/>
            <w:vAlign w:val="bottom"/>
            <w:gridSpan w:val="2"/>
            <w:shd w:val="clear" w:color="auto" w:fill="D2DEA7"/>
          </w:tcPr>
          <w:p>
            <w:pPr>
              <w:jc w:val="right"/>
              <w:spacing w:after="0"/>
              <w:rPr>
                <w:sz w:val="20"/>
                <w:szCs w:val="20"/>
                <w:color w:val="auto"/>
              </w:rPr>
            </w:pPr>
            <w:r>
              <w:rPr>
                <w:rFonts w:ascii="Arial" w:cs="Arial" w:eastAsia="Arial" w:hAnsi="Arial"/>
                <w:sz w:val="15"/>
                <w:szCs w:val="15"/>
                <w:color w:val="auto"/>
              </w:rPr>
              <w:t>114,246</w:t>
            </w:r>
          </w:p>
        </w:tc>
        <w:tc>
          <w:tcPr>
            <w:tcW w:w="2580" w:type="dxa"/>
            <w:vAlign w:val="bottom"/>
            <w:gridSpan w:val="2"/>
            <w:shd w:val="clear" w:color="auto" w:fill="D2DEA7"/>
          </w:tcPr>
          <w:p>
            <w:pPr>
              <w:jc w:val="right"/>
              <w:spacing w:after="0"/>
              <w:rPr>
                <w:sz w:val="20"/>
                <w:szCs w:val="20"/>
                <w:color w:val="auto"/>
              </w:rPr>
            </w:pPr>
            <w:r>
              <w:rPr>
                <w:rFonts w:ascii="Arial" w:cs="Arial" w:eastAsia="Arial" w:hAnsi="Arial"/>
                <w:sz w:val="15"/>
                <w:szCs w:val="15"/>
                <w:color w:val="auto"/>
              </w:rPr>
              <w:t>114,246</w:t>
            </w:r>
          </w:p>
        </w:tc>
        <w:tc>
          <w:tcPr>
            <w:tcW w:w="2400" w:type="dxa"/>
            <w:vAlign w:val="bottom"/>
            <w:gridSpan w:val="2"/>
            <w:shd w:val="clear" w:color="auto" w:fill="D2DEA7"/>
          </w:tcPr>
          <w:p>
            <w:pPr>
              <w:jc w:val="right"/>
              <w:spacing w:after="0"/>
              <w:rPr>
                <w:sz w:val="20"/>
                <w:szCs w:val="20"/>
                <w:color w:val="auto"/>
              </w:rPr>
            </w:pPr>
            <w:r>
              <w:rPr>
                <w:rFonts w:ascii="Arial" w:cs="Arial" w:eastAsia="Arial" w:hAnsi="Arial"/>
                <w:sz w:val="15"/>
                <w:szCs w:val="15"/>
                <w:color w:val="auto"/>
              </w:rPr>
              <w:t>114,246</w:t>
            </w:r>
          </w:p>
        </w:tc>
        <w:tc>
          <w:tcPr>
            <w:tcW w:w="320" w:type="dxa"/>
            <w:vAlign w:val="bottom"/>
            <w:shd w:val="clear" w:color="auto" w:fill="D2DEA7"/>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020" w:type="dxa"/>
            <w:vAlign w:val="bottom"/>
            <w:tcBorders>
              <w:bottom w:val="single" w:sz="8" w:color="E8EED3"/>
            </w:tcBorders>
            <w:shd w:val="clear" w:color="auto" w:fill="E8EED3"/>
          </w:tcPr>
          <w:p>
            <w:pPr>
              <w:ind w:left="120"/>
              <w:spacing w:after="0"/>
              <w:rPr>
                <w:sz w:val="20"/>
                <w:szCs w:val="20"/>
                <w:color w:val="auto"/>
              </w:rPr>
            </w:pPr>
            <w:r>
              <w:rPr>
                <w:rFonts w:ascii="Arial" w:cs="Arial" w:eastAsia="Arial" w:hAnsi="Arial"/>
                <w:sz w:val="15"/>
                <w:szCs w:val="15"/>
                <w:b w:val="1"/>
                <w:bCs w:val="1"/>
                <w:color w:val="auto"/>
              </w:rPr>
              <w:t>COBRA</w:t>
            </w:r>
            <w:r>
              <w:rPr>
                <w:rFonts w:ascii="Arial" w:cs="Arial" w:eastAsia="Arial" w:hAnsi="Arial"/>
                <w:sz w:val="12"/>
                <w:szCs w:val="12"/>
                <w:b w:val="1"/>
                <w:bCs w:val="1"/>
                <w:color w:val="auto"/>
              </w:rPr>
              <w:t>(6)</w:t>
            </w:r>
          </w:p>
        </w:tc>
        <w:tc>
          <w:tcPr>
            <w:tcW w:w="540" w:type="dxa"/>
            <w:vAlign w:val="bottom"/>
            <w:tcBorders>
              <w:bottom w:val="single" w:sz="8" w:color="E8EED3"/>
            </w:tcBorders>
            <w:shd w:val="clear" w:color="auto" w:fill="E8EED3"/>
          </w:tcPr>
          <w:p>
            <w:pPr>
              <w:spacing w:after="0"/>
              <w:rPr>
                <w:sz w:val="19"/>
                <w:szCs w:val="19"/>
                <w:color w:val="auto"/>
              </w:rPr>
            </w:pPr>
          </w:p>
        </w:tc>
        <w:tc>
          <w:tcPr>
            <w:tcW w:w="1680" w:type="dxa"/>
            <w:vAlign w:val="bottom"/>
            <w:tcBorders>
              <w:bottom w:val="single" w:sz="8" w:color="auto"/>
            </w:tcBorders>
            <w:shd w:val="clear" w:color="auto" w:fill="E8EED3"/>
          </w:tcPr>
          <w:p>
            <w:pPr>
              <w:jc w:val="right"/>
              <w:ind w:right="27"/>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E8EED3"/>
            </w:tcBorders>
            <w:shd w:val="clear" w:color="auto" w:fill="E8EED3"/>
          </w:tcPr>
          <w:p>
            <w:pPr>
              <w:spacing w:after="0"/>
              <w:rPr>
                <w:sz w:val="19"/>
                <w:szCs w:val="19"/>
                <w:color w:val="auto"/>
              </w:rPr>
            </w:pPr>
          </w:p>
        </w:tc>
        <w:tc>
          <w:tcPr>
            <w:tcW w:w="1640" w:type="dxa"/>
            <w:vAlign w:val="bottom"/>
            <w:tcBorders>
              <w:bottom w:val="single" w:sz="8" w:color="auto"/>
            </w:tcBorders>
            <w:shd w:val="clear" w:color="auto" w:fill="E8EED3"/>
          </w:tcPr>
          <w:p>
            <w:pPr>
              <w:jc w:val="right"/>
              <w:ind w:right="7"/>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E8EED3"/>
            </w:tcBorders>
            <w:shd w:val="clear" w:color="auto" w:fill="E8EED3"/>
          </w:tcPr>
          <w:p>
            <w:pPr>
              <w:spacing w:after="0"/>
              <w:rPr>
                <w:sz w:val="19"/>
                <w:szCs w:val="19"/>
                <w:color w:val="auto"/>
              </w:rPr>
            </w:pPr>
          </w:p>
        </w:tc>
        <w:tc>
          <w:tcPr>
            <w:tcW w:w="1460" w:type="dxa"/>
            <w:vAlign w:val="bottom"/>
            <w:tcBorders>
              <w:bottom w:val="single" w:sz="8" w:color="auto"/>
            </w:tcBorders>
            <w:shd w:val="clear" w:color="auto" w:fill="E8EED3"/>
          </w:tcPr>
          <w:p>
            <w:pPr>
              <w:jc w:val="right"/>
              <w:ind w:right="58"/>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E8EED3"/>
            </w:tcBorders>
            <w:shd w:val="clear" w:color="auto" w:fill="E8EED3"/>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020" w:type="dxa"/>
            <w:vAlign w:val="bottom"/>
            <w:shd w:val="clear" w:color="auto" w:fill="D2DEA7"/>
          </w:tcPr>
          <w:p>
            <w:pPr>
              <w:ind w:left="120"/>
              <w:spacing w:after="0"/>
              <w:rPr>
                <w:sz w:val="20"/>
                <w:szCs w:val="20"/>
                <w:color w:val="auto"/>
              </w:rPr>
            </w:pPr>
            <w:r>
              <w:rPr>
                <w:rFonts w:ascii="Arial" w:cs="Arial" w:eastAsia="Arial" w:hAnsi="Arial"/>
                <w:sz w:val="15"/>
                <w:szCs w:val="15"/>
                <w:b w:val="1"/>
                <w:bCs w:val="1"/>
                <w:color w:val="auto"/>
              </w:rPr>
              <w:t>Total</w:t>
            </w:r>
          </w:p>
        </w:tc>
        <w:tc>
          <w:tcPr>
            <w:tcW w:w="2220" w:type="dxa"/>
            <w:vAlign w:val="bottom"/>
            <w:gridSpan w:val="2"/>
            <w:shd w:val="clear" w:color="auto" w:fill="D2DEA7"/>
          </w:tcPr>
          <w:p>
            <w:pPr>
              <w:jc w:val="right"/>
              <w:spacing w:after="0"/>
              <w:rPr>
                <w:sz w:val="20"/>
                <w:szCs w:val="20"/>
                <w:color w:val="auto"/>
              </w:rPr>
            </w:pPr>
            <w:r>
              <w:rPr>
                <w:rFonts w:ascii="Arial" w:cs="Arial" w:eastAsia="Arial" w:hAnsi="Arial"/>
                <w:sz w:val="15"/>
                <w:szCs w:val="15"/>
                <w:color w:val="auto"/>
              </w:rPr>
              <w:t>380,815</w:t>
            </w:r>
          </w:p>
        </w:tc>
        <w:tc>
          <w:tcPr>
            <w:tcW w:w="2580" w:type="dxa"/>
            <w:vAlign w:val="bottom"/>
            <w:gridSpan w:val="2"/>
            <w:shd w:val="clear" w:color="auto" w:fill="D2DEA7"/>
          </w:tcPr>
          <w:p>
            <w:pPr>
              <w:jc w:val="right"/>
              <w:spacing w:after="0"/>
              <w:rPr>
                <w:sz w:val="20"/>
                <w:szCs w:val="20"/>
                <w:color w:val="auto"/>
              </w:rPr>
            </w:pPr>
            <w:r>
              <w:rPr>
                <w:rFonts w:ascii="Arial" w:cs="Arial" w:eastAsia="Arial" w:hAnsi="Arial"/>
                <w:sz w:val="15"/>
                <w:szCs w:val="15"/>
                <w:color w:val="auto"/>
              </w:rPr>
              <w:t>962,065</w:t>
            </w:r>
          </w:p>
        </w:tc>
        <w:tc>
          <w:tcPr>
            <w:tcW w:w="2400" w:type="dxa"/>
            <w:vAlign w:val="bottom"/>
            <w:gridSpan w:val="2"/>
            <w:shd w:val="clear" w:color="auto" w:fill="D2DEA7"/>
          </w:tcPr>
          <w:p>
            <w:pPr>
              <w:jc w:val="right"/>
              <w:spacing w:after="0"/>
              <w:rPr>
                <w:sz w:val="20"/>
                <w:szCs w:val="20"/>
                <w:color w:val="auto"/>
              </w:rPr>
            </w:pPr>
            <w:r>
              <w:rPr>
                <w:rFonts w:ascii="Arial" w:cs="Arial" w:eastAsia="Arial" w:hAnsi="Arial"/>
                <w:sz w:val="15"/>
                <w:szCs w:val="15"/>
                <w:color w:val="auto"/>
              </w:rPr>
              <w:t>877,870</w:t>
            </w:r>
          </w:p>
        </w:tc>
        <w:tc>
          <w:tcPr>
            <w:tcW w:w="320" w:type="dxa"/>
            <w:vAlign w:val="bottom"/>
            <w:shd w:val="clear" w:color="auto" w:fill="D2DEA7"/>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5407025</wp:posOffset>
            </wp:positionH>
            <wp:positionV relativeFrom="paragraph">
              <wp:posOffset>-1009650</wp:posOffset>
            </wp:positionV>
            <wp:extent cx="8255" cy="10102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1010285"/>
                    </a:xfrm>
                    <a:prstGeom prst="rect">
                      <a:avLst/>
                    </a:prstGeom>
                    <a:noFill/>
                  </pic:spPr>
                </pic:pic>
              </a:graphicData>
            </a:graphic>
          </wp:anchor>
        </w:drawing>
        <w:drawing>
          <wp:anchor simplePos="0" relativeHeight="251657728" behindDoc="1" locked="0" layoutInCell="0" allowOverlap="1">
            <wp:simplePos x="0" y="0"/>
            <wp:positionH relativeFrom="column">
              <wp:posOffset>3764280</wp:posOffset>
            </wp:positionH>
            <wp:positionV relativeFrom="paragraph">
              <wp:posOffset>-1009650</wp:posOffset>
            </wp:positionV>
            <wp:extent cx="8255" cy="10102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1010285"/>
                    </a:xfrm>
                    <a:prstGeom prst="rect">
                      <a:avLst/>
                    </a:prstGeom>
                    <a:noFill/>
                  </pic:spPr>
                </pic:pic>
              </a:graphicData>
            </a:graphic>
          </wp:anchor>
        </w:drawing>
        <w:drawing>
          <wp:anchor simplePos="0" relativeHeight="251657728" behindDoc="1" locked="0" layoutInCell="0" allowOverlap="1">
            <wp:simplePos x="0" y="0"/>
            <wp:positionH relativeFrom="column">
              <wp:posOffset>2146300</wp:posOffset>
            </wp:positionH>
            <wp:positionV relativeFrom="paragraph">
              <wp:posOffset>-1009650</wp:posOffset>
            </wp:positionV>
            <wp:extent cx="8255" cy="10102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1010285"/>
                    </a:xfrm>
                    <a:prstGeom prst="rect">
                      <a:avLst/>
                    </a:prstGeom>
                    <a:noFill/>
                  </pic:spPr>
                </pic:pic>
              </a:graphicData>
            </a:graphic>
          </wp:anchor>
        </w:drawing>
      </w:r>
    </w:p>
    <w:p>
      <w:pPr>
        <w:spacing w:after="0" w:line="89" w:lineRule="exact"/>
        <w:rPr>
          <w:sz w:val="20"/>
          <w:szCs w:val="20"/>
          <w:color w:val="auto"/>
        </w:rPr>
      </w:pPr>
    </w:p>
    <w:p>
      <w:pPr>
        <w:ind w:left="760" w:right="180" w:hanging="414"/>
        <w:spacing w:after="0" w:line="246" w:lineRule="auto"/>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accelerated vesting of all or part of outstanding RSUs and PRSUs, and stock option awards, is subject to the discretion of our Compensation Committee in the event of an involuntary termination or a termination as a result of death or disability. For the purpose of this disclosure, we have assumed that all outstanding RSUs, PRSUs, and stock option awards will be accelerated in such circumstances.</w:t>
      </w:r>
    </w:p>
    <w:p>
      <w:pPr>
        <w:spacing w:after="0" w:line="87" w:lineRule="exact"/>
        <w:rPr>
          <w:rFonts w:ascii="Arial" w:cs="Arial" w:eastAsia="Arial" w:hAnsi="Arial"/>
          <w:sz w:val="14"/>
          <w:szCs w:val="14"/>
          <w:color w:val="auto"/>
        </w:rPr>
      </w:pPr>
    </w:p>
    <w:p>
      <w:pPr>
        <w:ind w:left="760" w:hanging="414"/>
        <w:spacing w:after="0" w:line="234" w:lineRule="auto"/>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accelerated vesting of all or part of outstanding RSUs and PRSUs, and stock option awards, upon a change in control is generally subject to the discretion of our Compensation Committee, except as described in this footnote. Mr. Eckl’s RSUs will vest immediately prior to the closing of a change in control pursuant to the terms of his employment agreement. Mr. Gleason’s RSUs and stock option awards would generally vest in the event of a change in control, unless a replacement award is provided in accordance with the applicable award agreement. If such a replacement award is provided, and Mr. Gleason is terminated by us without cause (as defined in the applicable award agreement) or by Mr. Gleason for good reason (as defined in the applicable award agreement), in each case within a period of two years after the change in control, 100% of the replacement award will become vested. PRSU awards would generally vest in the event of a change in control based on “target” performance, unless a replacement award is provided in accordance with the applicable award agreement. If such a replacement award is provided, and the grantee is terminated by us without cause (as defined in the applicable award agreement) or by the grantee for good reason (as defined in the applicable award agreement), in each case within two years after the change in control, 100% of the replacement award will become vested. For the purposes of this disclosure, we have assumed that all outstanding awards will accelerate and that the named executive officer experiences a qualifying termination of employment on the date of the change in control.</w:t>
      </w:r>
    </w:p>
    <w:p>
      <w:pPr>
        <w:spacing w:after="0" w:line="97" w:lineRule="exact"/>
        <w:rPr>
          <w:rFonts w:ascii="Arial" w:cs="Arial" w:eastAsia="Arial" w:hAnsi="Arial"/>
          <w:sz w:val="14"/>
          <w:szCs w:val="14"/>
          <w:color w:val="auto"/>
        </w:rPr>
      </w:pPr>
    </w:p>
    <w:p>
      <w:pPr>
        <w:ind w:left="760" w:right="180" w:hanging="414"/>
        <w:spacing w:after="0" w:line="252" w:lineRule="auto"/>
        <w:tabs>
          <w:tab w:leader="none" w:pos="7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Mr. Gleason’s employment agreement provides that if his employment is terminated by the Company without “cause” or by Mr. Gleason for “good reason” (as such terms are defined in his employment agreement) other than during the two-year period following a change in control, he will receive, in addition to certain accrued benefits, (i) a lump sum equal to his annual base salary ($459,000), and (ii) a lump sum equal to a pro-rated annual cash incentive payment based on actual performance (which we have assumed to be $367,200 for this presentation). Mr. Gleason’s employment agreement provides that if his employment is terminated by the Company without cause or by Mr. Gleason for good reason within a period of two years after a change in control, he will receive, in addition to certain accrued benefits, a lump sum payment equal to the sum of (a) his annual base salary and (b) his full year target annual bonus for the year in which termination occurs.</w:t>
      </w:r>
    </w:p>
    <w:p>
      <w:pPr>
        <w:spacing w:after="0" w:line="1"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4"/>
          <w:szCs w:val="14"/>
          <w:color w:val="auto"/>
        </w:rPr>
        <w:t>Mr. Gleason’s cash severance benefits are generally subject to Mr. Gleason’s execution and non-revocation of a release of claims in favor of the Company.</w:t>
      </w:r>
    </w:p>
    <w:p>
      <w:pPr>
        <w:spacing w:after="0" w:line="98" w:lineRule="exact"/>
        <w:rPr>
          <w:rFonts w:ascii="Arial" w:cs="Arial" w:eastAsia="Arial" w:hAnsi="Arial"/>
          <w:sz w:val="13"/>
          <w:szCs w:val="13"/>
          <w:color w:val="auto"/>
        </w:rPr>
      </w:pPr>
    </w:p>
    <w:p>
      <w:pPr>
        <w:ind w:left="760" w:right="40" w:hanging="414"/>
        <w:spacing w:after="0" w:line="259" w:lineRule="auto"/>
        <w:tabs>
          <w:tab w:leader="none" w:pos="7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Mr. Eckl’s employment agreement provides that if his employment is terminated by the Company without “cause” or by Mr. Eckl for “good reason” (as such terms are defined in his employment agreement), he will receive (i) a lump sum equal to the sum of his annual base salary ($348,840), and (ii) a lump sum equal to a pro-rated annual cash incentive payment for 2021 based on actual performance (which we have assumed to be $153,490 for this presentation). In the event of a change in control of the Company, in certain circumstances as described below, Mr. Eckl may be eligible for a lump sum cash amount equal to the sum of his annual base salary ($348,840) plus an annual cash incentive (equal to the same percentage of his annual base salary as the annual cash incentive, if any, that he received for the prior fiscal year ($153,490); if this amount were paid, it would be in lieu of the base salary ($348,840) lump sum that would be paid in a non-change in control termination.</w:t>
      </w:r>
    </w:p>
    <w:p>
      <w:pPr>
        <w:spacing w:after="0" w:line="79" w:lineRule="exact"/>
        <w:rPr>
          <w:rFonts w:ascii="Arial" w:cs="Arial" w:eastAsia="Arial" w:hAnsi="Arial"/>
          <w:sz w:val="13"/>
          <w:szCs w:val="13"/>
          <w:color w:val="auto"/>
        </w:rPr>
      </w:pPr>
    </w:p>
    <w:p>
      <w:pPr>
        <w:ind w:left="760" w:right="100" w:hanging="414"/>
        <w:spacing w:after="0" w:line="254" w:lineRule="auto"/>
        <w:tabs>
          <w:tab w:leader="none" w:pos="7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Mr. Nuggihalli’s employment arrangement provides that in general, if his employment is terminated by the Company without “cause” or by Mr. Nuggihalli for “good reason” (as such terms are defined for purposes of his employment arrangement) other than during the one-year period following a change in control, he will receive, in addition to certain accrued benefits, (i) a lump sum equal to his annual base salary ($375,000); and (ii) a lump sum equal to his full pro-rated year target annual bonus for the year in which the termination occurs (which we have assumed to be $122,055 for this presentation), plus COBRA benefits for one year, if elected.</w:t>
      </w:r>
    </w:p>
    <w:p>
      <w:pPr>
        <w:jc w:val="both"/>
        <w:ind w:left="760" w:right="20"/>
        <w:spacing w:after="0" w:line="256" w:lineRule="auto"/>
        <w:rPr>
          <w:rFonts w:ascii="Arial" w:cs="Arial" w:eastAsia="Arial" w:hAnsi="Arial"/>
          <w:sz w:val="13"/>
          <w:szCs w:val="13"/>
          <w:color w:val="auto"/>
        </w:rPr>
      </w:pPr>
      <w:r>
        <w:rPr>
          <w:rFonts w:ascii="Arial" w:cs="Arial" w:eastAsia="Arial" w:hAnsi="Arial"/>
          <w:sz w:val="13"/>
          <w:szCs w:val="13"/>
          <w:color w:val="auto"/>
        </w:rPr>
        <w:t>Mr. Nuggihalli’s employment participation in the CIC Severance Plan (as defined and further described below) provides that in general, if his employment is terminated by the Company without cause or by Mr. Nuggihalli for good reason within a period of one year after a change in control (or in certain circumstances within six months prior to a change in control), he will receive, in addition to certain accrued benefits, a lump sum payment equal to the sum of (a) his annual base salary and (b) his full year target annual bonus for the year in which termination occurs and up to $20,000 in outplacement services, plus COBRA coverage benefits for one year, if elected. Mr. Nuggihalli’s cash severance benefits are generally subject to Mr. Nuggihalli’s execution and non-revocation of a release of claims in favor of the Company.</w:t>
      </w:r>
    </w:p>
    <w:p>
      <w:pPr>
        <w:spacing w:after="0" w:line="83" w:lineRule="exact"/>
        <w:rPr>
          <w:rFonts w:ascii="Arial" w:cs="Arial" w:eastAsia="Arial" w:hAnsi="Arial"/>
          <w:sz w:val="13"/>
          <w:szCs w:val="13"/>
          <w:color w:val="auto"/>
        </w:rPr>
      </w:pPr>
    </w:p>
    <w:p>
      <w:pPr>
        <w:ind w:left="760" w:right="280" w:hanging="414"/>
        <w:spacing w:after="0" w:line="246" w:lineRule="auto"/>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the payment of COBRA reimbursements following termination. Mr. Gleason’s employment agreement provides for the reimbursement of 12 months COBRA payments if he elects continued coverage. Messrs. Eckl’s employment agreement and Mr. Nuggihalli’s employment arrangement provides for a lump sum payment (or direct payment) for up to 12 months of COBRA coverage if elected.</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2022 Proxy Statement • 29</w:t>
      </w:r>
    </w:p>
    <w:p>
      <w:pPr>
        <w:sectPr>
          <w:pgSz w:w="11900" w:h="16838" w:orient="portrait"/>
          <w:cols w:equalWidth="0" w:num="1">
            <w:col w:w="10900"/>
          </w:cols>
          <w:pgMar w:left="320" w:top="443" w:right="6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9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Employment Agreement with Mr.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89" w:lineRule="exact"/>
        <w:rPr>
          <w:sz w:val="20"/>
          <w:szCs w:val="20"/>
          <w:color w:val="auto"/>
        </w:rPr>
      </w:pPr>
    </w:p>
    <w:p>
      <w:pPr>
        <w:ind w:left="340" w:right="60"/>
        <w:spacing w:after="0" w:line="245" w:lineRule="auto"/>
        <w:rPr>
          <w:sz w:val="20"/>
          <w:szCs w:val="20"/>
          <w:color w:val="auto"/>
        </w:rPr>
      </w:pPr>
      <w:r>
        <w:rPr>
          <w:rFonts w:ascii="Arial" w:cs="Arial" w:eastAsia="Arial" w:hAnsi="Arial"/>
          <w:sz w:val="16"/>
          <w:szCs w:val="16"/>
          <w:color w:val="auto"/>
        </w:rPr>
        <w:t>We entered into an employment agreement on July 6, 2020, with Mr. Gleason in connection with his appointment as our CEO. The employment agreement has an initial term of three years, subject to annual extensions unless the Company timely terminates such extensions. In addition to participation in the employee benefit plans, programs and policies for senior executives of our Company, Mr. Gleason’s employment agreement provides for the following ongoing rights and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138430</wp:posOffset>
            </wp:positionV>
            <wp:extent cx="6702425" cy="20370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02425" cy="2037080"/>
                    </a:xfrm>
                    <a:prstGeom prst="rect">
                      <a:avLst/>
                    </a:prstGeom>
                    <a:noFill/>
                  </pic:spPr>
                </pic:pic>
              </a:graphicData>
            </a:graphic>
          </wp:anchor>
        </w:drawing>
      </w:r>
    </w:p>
    <w:p>
      <w:pPr>
        <w:spacing w:after="0" w:line="380"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a base salary that is subject to annual reviews for increase;</w:t>
      </w:r>
    </w:p>
    <w:p>
      <w:pPr>
        <w:spacing w:after="0" w:line="191" w:lineRule="exact"/>
        <w:rPr>
          <w:sz w:val="20"/>
          <w:szCs w:val="20"/>
          <w:color w:val="auto"/>
        </w:rPr>
      </w:pPr>
    </w:p>
    <w:p>
      <w:pPr>
        <w:ind w:left="740" w:right="420" w:hanging="154"/>
        <w:spacing w:after="0" w:line="249" w:lineRule="auto"/>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the opportunity to earn, based on achievement with respect to the applicable performance criteria established by our Compensation</w:t>
      </w:r>
      <w:r>
        <w:rPr>
          <w:rFonts w:ascii="Arial" w:cs="Arial" w:eastAsia="Arial" w:hAnsi="Arial"/>
          <w:sz w:val="16"/>
          <w:szCs w:val="16"/>
          <w:color w:val="41659C"/>
        </w:rPr>
        <w:t xml:space="preserve"> </w:t>
      </w:r>
      <w:r>
        <w:rPr>
          <w:rFonts w:ascii="Arial" w:cs="Arial" w:eastAsia="Arial" w:hAnsi="Arial"/>
          <w:sz w:val="16"/>
          <w:szCs w:val="16"/>
          <w:color w:val="000000"/>
        </w:rPr>
        <w:t>Committee, an annual cash incentive with a target bonus opportunity equal to no less than 100% of his base salary and a maximum incentive opportunity equal to no less than 200% of his base salary;</w:t>
      </w:r>
    </w:p>
    <w:p>
      <w:pPr>
        <w:spacing w:after="0" w:line="165" w:lineRule="exact"/>
        <w:rPr>
          <w:sz w:val="20"/>
          <w:szCs w:val="20"/>
          <w:color w:val="auto"/>
        </w:rPr>
      </w:pPr>
    </w:p>
    <w:p>
      <w:pPr>
        <w:ind w:left="740" w:right="500" w:hanging="154"/>
        <w:spacing w:after="0" w:line="242" w:lineRule="auto"/>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eligibility for not less than $1 million in annual awards under our Company’s long-term incentive compensation arrangements as reasonably</w:t>
      </w:r>
      <w:r>
        <w:rPr>
          <w:rFonts w:ascii="Arial" w:cs="Arial" w:eastAsia="Arial" w:hAnsi="Arial"/>
          <w:sz w:val="16"/>
          <w:szCs w:val="16"/>
          <w:color w:val="41659C"/>
        </w:rPr>
        <w:t xml:space="preserve"> </w:t>
      </w:r>
      <w:r>
        <w:rPr>
          <w:rFonts w:ascii="Arial" w:cs="Arial" w:eastAsia="Arial" w:hAnsi="Arial"/>
          <w:sz w:val="16"/>
          <w:szCs w:val="16"/>
          <w:color w:val="000000"/>
        </w:rPr>
        <w:t>determined by our Compensation Committee after consideration of competitive market data provided by its independent compensation consultant, in accordance with Company policies and the applicable award agreements and incentive compensation plans under which such awards may be granted (no less than 60% of such annual equity award shall be subject to the achievement of performance objectives determined by the Compensation Committee);</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a $1,000 monthly car allowance; and</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reimbursement for up to $2,500 per month for apartment or comparable rental expense through December 31, 2021.</w:t>
      </w:r>
    </w:p>
    <w:p>
      <w:pPr>
        <w:spacing w:after="0" w:line="200" w:lineRule="exact"/>
        <w:rPr>
          <w:sz w:val="20"/>
          <w:szCs w:val="20"/>
          <w:color w:val="auto"/>
        </w:rPr>
      </w:pPr>
    </w:p>
    <w:p>
      <w:pPr>
        <w:spacing w:after="0" w:line="250" w:lineRule="exact"/>
        <w:rPr>
          <w:sz w:val="20"/>
          <w:szCs w:val="20"/>
          <w:color w:val="auto"/>
        </w:rPr>
      </w:pPr>
    </w:p>
    <w:p>
      <w:pPr>
        <w:jc w:val="both"/>
        <w:ind w:left="340" w:right="20"/>
        <w:spacing w:after="0" w:line="249" w:lineRule="auto"/>
        <w:rPr>
          <w:sz w:val="20"/>
          <w:szCs w:val="20"/>
          <w:color w:val="auto"/>
        </w:rPr>
      </w:pPr>
      <w:r>
        <w:rPr>
          <w:rFonts w:ascii="Arial" w:cs="Arial" w:eastAsia="Arial" w:hAnsi="Arial"/>
          <w:sz w:val="16"/>
          <w:szCs w:val="16"/>
          <w:color w:val="auto"/>
        </w:rPr>
        <w:t>Under the employment agreement, Mr. Gleason is subject to customary one-year post-employment non-competition obligations and indefinite employee non-solicitation and confidentiality obligations. The employment agreement also includes a mutual non-disparagement provision that applies for one year following termination of Mr. Gleason’s employment.</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Employment Agreement with Mr.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89" w:lineRule="exact"/>
        <w:rPr>
          <w:sz w:val="20"/>
          <w:szCs w:val="20"/>
          <w:color w:val="auto"/>
        </w:rPr>
      </w:pPr>
    </w:p>
    <w:p>
      <w:pPr>
        <w:jc w:val="both"/>
        <w:ind w:left="340" w:right="40"/>
        <w:spacing w:after="0" w:line="334" w:lineRule="auto"/>
        <w:rPr>
          <w:sz w:val="20"/>
          <w:szCs w:val="20"/>
          <w:color w:val="auto"/>
        </w:rPr>
      </w:pPr>
      <w:r>
        <w:rPr>
          <w:rFonts w:ascii="Arial" w:cs="Arial" w:eastAsia="Arial" w:hAnsi="Arial"/>
          <w:sz w:val="14"/>
          <w:szCs w:val="14"/>
          <w:color w:val="auto"/>
        </w:rPr>
        <w:t>We entered into an employment agreement with Mr. Eckl in 2017 when he joined our Company. In addition to participation in the employee benefit plans, programs and policies for senior executives of our Company, Mr. Eckl’s employment agreement provides for the following ongoing rights and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100965</wp:posOffset>
            </wp:positionV>
            <wp:extent cx="6702425" cy="9855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02425" cy="985520"/>
                    </a:xfrm>
                    <a:prstGeom prst="rect">
                      <a:avLst/>
                    </a:prstGeom>
                    <a:noFill/>
                  </pic:spPr>
                </pic:pic>
              </a:graphicData>
            </a:graphic>
          </wp:anchor>
        </w:drawing>
      </w:r>
    </w:p>
    <w:p>
      <w:pPr>
        <w:spacing w:after="0" w:line="321"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a base salary that is subject to annual reviews for increase;</w:t>
      </w:r>
    </w:p>
    <w:p>
      <w:pPr>
        <w:spacing w:after="0" w:line="191" w:lineRule="exact"/>
        <w:rPr>
          <w:sz w:val="20"/>
          <w:szCs w:val="20"/>
          <w:color w:val="auto"/>
        </w:rPr>
      </w:pPr>
    </w:p>
    <w:p>
      <w:pPr>
        <w:ind w:left="740" w:right="1080" w:hanging="154"/>
        <w:spacing w:after="0" w:line="262" w:lineRule="auto"/>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the opportunity to earn, based on achievement with respect to the applicable performance criteria established by our Compensation</w:t>
      </w:r>
      <w:r>
        <w:rPr>
          <w:rFonts w:ascii="Arial" w:cs="Arial" w:eastAsia="Arial" w:hAnsi="Arial"/>
          <w:sz w:val="16"/>
          <w:szCs w:val="16"/>
          <w:color w:val="41659C"/>
        </w:rPr>
        <w:t xml:space="preserve"> </w:t>
      </w:r>
      <w:r>
        <w:rPr>
          <w:rFonts w:ascii="Arial" w:cs="Arial" w:eastAsia="Arial" w:hAnsi="Arial"/>
          <w:sz w:val="16"/>
          <w:szCs w:val="16"/>
          <w:color w:val="000000"/>
        </w:rPr>
        <w:t>Committee, an annual cash incentive as determined by the Compensation Committee; and</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a $1,000 monthly car allowance.</w:t>
      </w:r>
    </w:p>
    <w:p>
      <w:pPr>
        <w:spacing w:after="0" w:line="200" w:lineRule="exact"/>
        <w:rPr>
          <w:sz w:val="20"/>
          <w:szCs w:val="20"/>
          <w:color w:val="auto"/>
        </w:rPr>
      </w:pPr>
    </w:p>
    <w:p>
      <w:pPr>
        <w:spacing w:after="0" w:line="250" w:lineRule="exact"/>
        <w:rPr>
          <w:sz w:val="20"/>
          <w:szCs w:val="20"/>
          <w:color w:val="auto"/>
        </w:rPr>
      </w:pPr>
    </w:p>
    <w:p>
      <w:pPr>
        <w:ind w:left="340" w:right="20"/>
        <w:spacing w:after="0" w:line="249" w:lineRule="auto"/>
        <w:rPr>
          <w:sz w:val="20"/>
          <w:szCs w:val="20"/>
          <w:color w:val="auto"/>
        </w:rPr>
      </w:pPr>
      <w:r>
        <w:rPr>
          <w:rFonts w:ascii="Arial" w:cs="Arial" w:eastAsia="Arial" w:hAnsi="Arial"/>
          <w:sz w:val="16"/>
          <w:szCs w:val="16"/>
          <w:color w:val="auto"/>
        </w:rPr>
        <w:t>Under the employment agreement, Mr. Eckl is subject to customary one-year post-employment non-competition obligations and indefinite employee non-solicitation and confidentiality obligations. The employment agreement also includes a mutual non-disparagement provision that applies for one year following termination of Mr. Eckl’s employment.</w:t>
      </w:r>
    </w:p>
    <w:p>
      <w:pPr>
        <w:spacing w:after="0" w:line="178" w:lineRule="exact"/>
        <w:rPr>
          <w:sz w:val="20"/>
          <w:szCs w:val="20"/>
          <w:color w:val="auto"/>
        </w:rPr>
      </w:pPr>
    </w:p>
    <w:p>
      <w:pPr>
        <w:ind w:left="340"/>
        <w:spacing w:after="0" w:line="279" w:lineRule="auto"/>
        <w:rPr>
          <w:sz w:val="20"/>
          <w:szCs w:val="20"/>
          <w:color w:val="auto"/>
        </w:rPr>
      </w:pPr>
      <w:r>
        <w:rPr>
          <w:rFonts w:ascii="Arial" w:cs="Arial" w:eastAsia="Arial" w:hAnsi="Arial"/>
          <w:sz w:val="14"/>
          <w:szCs w:val="14"/>
          <w:color w:val="auto"/>
        </w:rPr>
        <w:t>The employment agreements with Messrs. Gleason and Eckl, and our employment arrangement with Mr. Nuggihalli, also each provide that if we terminate the executive officer’s employment without “cause” (as defined for Messrs. Gleason and Eckl in each of their employment agreements) or if the executive officer terminates employment for “good reason” (as defined for Messrs. Gleason and Eckl in each of their employment agreements), he will be entitled to receive (in addition to certain accrued compensation and other benefits), subject to his execution of a release: (1) a lump sum cash amount equal to his annual base salary; (2) a lump sum cash amount equal to a pro rata portion of the annual incentive he would have earned had he remained employed through the end of the fiscal year in which such termination occurs; and (3) for Messrs. Gleason and Nuggihalli, reimbursement (or direct payment) of monthly COBRA payments for up to 12 months after termination, and for Mr. Eckl, a lump sum cash amount equal to the product of 12 multiplied by the monthly COBRA premium for health, dental and vision benefits in effect for the executive officer, his spouse and his dependents.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262626"/>
        </w:rPr>
        <w:t>30 • CECO Environmental</w:t>
      </w:r>
    </w:p>
    <w:p>
      <w:pPr>
        <w:sectPr>
          <w:pgSz w:w="11900" w:h="16838" w:orient="portrait"/>
          <w:cols w:equalWidth="0" w:num="1">
            <w:col w:w="10840"/>
          </w:cols>
          <w:pgMar w:left="320" w:top="443" w:right="7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4" w:lineRule="exact"/>
        <w:rPr>
          <w:sz w:val="20"/>
          <w:szCs w:val="20"/>
          <w:color w:val="auto"/>
        </w:rPr>
      </w:pPr>
    </w:p>
    <w:p>
      <w:pPr>
        <w:ind w:left="340" w:right="360"/>
        <w:spacing w:after="0" w:line="249" w:lineRule="auto"/>
        <w:rPr>
          <w:sz w:val="20"/>
          <w:szCs w:val="20"/>
          <w:color w:val="auto"/>
        </w:rPr>
      </w:pPr>
      <w:r>
        <w:rPr>
          <w:rFonts w:ascii="Arial" w:cs="Arial" w:eastAsia="Arial" w:hAnsi="Arial"/>
          <w:sz w:val="16"/>
          <w:szCs w:val="16"/>
          <w:color w:val="auto"/>
        </w:rPr>
        <w:t>If Mr. Gleason is terminated without cause or terminates his employment for good reason within two years after a “change in control” (as defined in Mr. Gleason’s employment agreement) of our Company, the cash severance amount would include Mr. Gleason’s target annual bonus for the year of termination (rather than a pro-rata bonus based on actual performance).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event of a “change in control” (as defined in Mr. Eckl’s employment agreement) of our Company, if the successor entity or purchaser does not offer Mr. Eckl employment as Chief Financial Officer with a compensation package equal to or better than the combination of his annual base salary and annual bonus opportunity as in effect immediately prior to such change in control, then Mr. Eckl will resign as of the date of such change in control (or agree to resign as of the end of a reasonable transition period) and, subject to his execution of a release, he will be entitled to receive a lump sum cash amount equal to the sum of his annual base salary plus his annual bonus (equal to the same percentage of his annual base salary as the annual bonus, if any, that he received for the prior fiscal year). Immediately prior to the closing of a change in control, any unvested RSUs held by Mr. Eckl will immediately vest.</w:t>
      </w:r>
    </w:p>
    <w:p>
      <w:pPr>
        <w:spacing w:after="0" w:line="187" w:lineRule="exact"/>
        <w:rPr>
          <w:sz w:val="20"/>
          <w:szCs w:val="20"/>
          <w:color w:val="auto"/>
        </w:rPr>
      </w:pPr>
    </w:p>
    <w:p>
      <w:pPr>
        <w:ind w:left="340" w:right="340"/>
        <w:spacing w:after="0" w:line="245" w:lineRule="auto"/>
        <w:rPr>
          <w:sz w:val="20"/>
          <w:szCs w:val="20"/>
          <w:color w:val="auto"/>
        </w:rPr>
      </w:pPr>
      <w:r>
        <w:rPr>
          <w:rFonts w:ascii="Arial" w:cs="Arial" w:eastAsia="Arial" w:hAnsi="Arial"/>
          <w:sz w:val="16"/>
          <w:szCs w:val="16"/>
          <w:color w:val="auto"/>
        </w:rPr>
        <w:t>Pursuant to their employment agreements, Messrs. Gleason and Eckl are also subject to one-year post-employment non-competition obligations and indefinite non-solicitation and confidentiality obligations. Each of these employment agreements also includes a customary indemnification provision. Mr. Gleason’s employment agreement also includes a mutual non-disparagement provision that applies for one year following termination of his employment.</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CIC Severance Plan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89" w:lineRule="exact"/>
        <w:rPr>
          <w:sz w:val="20"/>
          <w:szCs w:val="20"/>
          <w:color w:val="auto"/>
        </w:rPr>
      </w:pPr>
    </w:p>
    <w:p>
      <w:pPr>
        <w:ind w:left="340" w:right="160"/>
        <w:spacing w:after="0" w:line="249" w:lineRule="auto"/>
        <w:rPr>
          <w:sz w:val="20"/>
          <w:szCs w:val="20"/>
          <w:color w:val="auto"/>
        </w:rPr>
      </w:pPr>
      <w:r>
        <w:rPr>
          <w:rFonts w:ascii="Arial" w:cs="Arial" w:eastAsia="Arial" w:hAnsi="Arial"/>
          <w:sz w:val="16"/>
          <w:szCs w:val="16"/>
          <w:color w:val="auto"/>
        </w:rPr>
        <w:t>As part of Mr. Nuggihalli’s employment, he was granted participation in the employee benefit plans, programs and policies for senior executives of our Company and a monthly car allowance similar to that described above for Mr. Gleason. Additionally, Mr. Nuggihalli is a participant in the CIC Severance Plan.</w:t>
      </w:r>
    </w:p>
    <w:p>
      <w:pPr>
        <w:spacing w:after="0" w:line="178" w:lineRule="exact"/>
        <w:rPr>
          <w:sz w:val="20"/>
          <w:szCs w:val="20"/>
          <w:color w:val="auto"/>
        </w:rPr>
      </w:pPr>
    </w:p>
    <w:p>
      <w:pPr>
        <w:ind w:left="340" w:right="20"/>
        <w:spacing w:after="0" w:line="278" w:lineRule="auto"/>
        <w:rPr>
          <w:sz w:val="20"/>
          <w:szCs w:val="20"/>
          <w:color w:val="auto"/>
        </w:rPr>
      </w:pPr>
      <w:r>
        <w:rPr>
          <w:rFonts w:ascii="Arial" w:cs="Arial" w:eastAsia="Arial" w:hAnsi="Arial"/>
          <w:sz w:val="14"/>
          <w:szCs w:val="14"/>
          <w:color w:val="auto"/>
        </w:rPr>
        <w:t>The CIC Severance Plan generally provides that, if within one year after the date of a change in control of our Company (or within six months of such change in control under certain circumstances described in the CIC Severance Plan), we terminate Mr. Nuggihalli’s employment without “cause” (as defined in the CIC Severance Plan) (and not for death or disability, as explained in the CIC Severance Plan), or if he terminates employment for “good reason” (as defined in the CIC Severance Plan), then he will be entitled to receive (in addition to certain accrued compensation and other benefits), subject to his execution of a release of claims in favor of the Company: (1) a lump sum cash amount equal to his annual base salary; (2) a lump sum cash amount equal to full target achievement of the annual bonus he would have earned had he remained employed through the end of the fiscal year in which such termination occurs; (3) direct payment on his behalf of monthly COBRA payments for up to 12 months after termination; and (4) up to $20,000 in outplacement benefits (plus transfer of certain life insurance policies by the Company if applicable and requested). Participation in the CIC Severance Plan also requires compliance with certain customary confidentiality, non-disparagement, non-competition, and non-solicitation provisions.</w:t>
      </w:r>
    </w:p>
    <w:p>
      <w:pPr>
        <w:spacing w:after="0" w:line="345" w:lineRule="exact"/>
        <w:rPr>
          <w:sz w:val="20"/>
          <w:szCs w:val="20"/>
          <w:color w:val="auto"/>
        </w:rPr>
      </w:pPr>
    </w:p>
    <w:p>
      <w:pPr>
        <w:ind w:left="340" w:right="20"/>
        <w:spacing w:after="0" w:line="262" w:lineRule="auto"/>
        <w:rPr>
          <w:sz w:val="20"/>
          <w:szCs w:val="20"/>
          <w:color w:val="auto"/>
        </w:rPr>
      </w:pPr>
      <w:r>
        <w:rPr>
          <w:rFonts w:ascii="Arial" w:cs="Arial" w:eastAsia="Arial" w:hAnsi="Arial"/>
          <w:sz w:val="16"/>
          <w:szCs w:val="16"/>
          <w:color w:val="auto"/>
        </w:rPr>
        <w:t>Messrs. Gleason and Eckl are not currently participants in the CIC Severance Plan, but instead participate in certain change in control severance benefits under their employment agreements as described above.</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41659C"/>
        </w:rPr>
        <w:t>Chief Executive Officer Pay Ratio</w:t>
      </w:r>
    </w:p>
    <w:p>
      <w:pPr>
        <w:spacing w:after="0" w:line="212" w:lineRule="exact"/>
        <w:rPr>
          <w:sz w:val="20"/>
          <w:szCs w:val="20"/>
          <w:color w:val="auto"/>
        </w:rPr>
      </w:pPr>
    </w:p>
    <w:p>
      <w:pPr>
        <w:ind w:left="340" w:right="60"/>
        <w:spacing w:after="0" w:line="286" w:lineRule="auto"/>
        <w:rPr>
          <w:sz w:val="20"/>
          <w:szCs w:val="20"/>
          <w:color w:val="auto"/>
        </w:rPr>
      </w:pPr>
      <w:r>
        <w:rPr>
          <w:rFonts w:ascii="Arial" w:cs="Arial" w:eastAsia="Arial" w:hAnsi="Arial"/>
          <w:sz w:val="14"/>
          <w:szCs w:val="14"/>
          <w:color w:val="auto"/>
        </w:rPr>
        <w:t>For 2021, the ratio of the annual total compensation of Mr. Gleason, our CEO (“CEO Compensation”), to the median of the annual total compensation of all our employees and those of our consolidated subsidiaries (other than our CEO) (“Median Annual Compensation”) was approximately 31 to 1. We note that due to our permitted use of reasonable estimates and assumptions in preparing this pay ratio disclosure, the disclosure may involve a degree of imprecision. Accordingly, this pay ratio disclosure is a reasonable estimate calculated in a manner consistent with SEC rules, using the data and assumptions described below. We refer to the employee who received the Median Annual Compensation as the “Median Employee.”</w:t>
      </w:r>
    </w:p>
    <w:p>
      <w:pPr>
        <w:spacing w:after="0" w:line="153" w:lineRule="exact"/>
        <w:rPr>
          <w:sz w:val="20"/>
          <w:szCs w:val="20"/>
          <w:color w:val="auto"/>
        </w:rPr>
      </w:pPr>
    </w:p>
    <w:p>
      <w:pPr>
        <w:ind w:left="340" w:right="120"/>
        <w:spacing w:after="0" w:line="245" w:lineRule="auto"/>
        <w:rPr>
          <w:sz w:val="20"/>
          <w:szCs w:val="20"/>
          <w:color w:val="auto"/>
        </w:rPr>
      </w:pPr>
      <w:r>
        <w:rPr>
          <w:rFonts w:ascii="Arial" w:cs="Arial" w:eastAsia="Arial" w:hAnsi="Arial"/>
          <w:sz w:val="16"/>
          <w:szCs w:val="16"/>
          <w:color w:val="auto"/>
        </w:rPr>
        <w:t>For purposes of this pay ratio disclosure, CEO Compensation was determined to be $1,979,299, which represents the total 2021 compensation reported for Mr. Gleason, as set forth above in the 2021 Summary Compensation Table. For purposes of this pay ratio disclosure, Median Annual Compensation was determined to be $63,250 and was calculated using the same methodology we used for our named executive officers in the 2021 Summary Compensation Table.</w:t>
      </w:r>
    </w:p>
    <w:p>
      <w:pPr>
        <w:spacing w:after="0" w:line="180" w:lineRule="exact"/>
        <w:rPr>
          <w:sz w:val="20"/>
          <w:szCs w:val="20"/>
          <w:color w:val="auto"/>
        </w:rPr>
      </w:pPr>
    </w:p>
    <w:p>
      <w:pPr>
        <w:ind w:left="340" w:right="700"/>
        <w:spacing w:after="0" w:line="262" w:lineRule="auto"/>
        <w:rPr>
          <w:sz w:val="20"/>
          <w:szCs w:val="20"/>
          <w:color w:val="auto"/>
        </w:rPr>
      </w:pPr>
      <w:r>
        <w:rPr>
          <w:rFonts w:ascii="Arial" w:cs="Arial" w:eastAsia="Arial" w:hAnsi="Arial"/>
          <w:sz w:val="16"/>
          <w:szCs w:val="16"/>
          <w:color w:val="auto"/>
        </w:rPr>
        <w:t>For purposes of this disclosure, we have used the same Median Employee analysis that was used for the pay ratio disclosure in our 2021 Proxy Statement, because there has been no material changes in our employee population or employee</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2022 Proxy Statement • 31</w:t>
      </w:r>
    </w:p>
    <w:p>
      <w:pPr>
        <w:sectPr>
          <w:pgSz w:w="11900" w:h="16838" w:orient="portrait"/>
          <w:cols w:equalWidth="0" w:num="1">
            <w:col w:w="10900"/>
          </w:cols>
          <w:pgMar w:left="320" w:top="443" w:right="6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4" w:lineRule="exact"/>
        <w:rPr>
          <w:sz w:val="20"/>
          <w:szCs w:val="20"/>
          <w:color w:val="auto"/>
        </w:rPr>
      </w:pPr>
    </w:p>
    <w:p>
      <w:pPr>
        <w:ind w:left="340"/>
        <w:spacing w:after="0" w:line="238" w:lineRule="auto"/>
        <w:rPr>
          <w:sz w:val="20"/>
          <w:szCs w:val="20"/>
          <w:color w:val="auto"/>
        </w:rPr>
      </w:pPr>
      <w:r>
        <w:rPr>
          <w:rFonts w:ascii="Arial" w:cs="Arial" w:eastAsia="Arial" w:hAnsi="Arial"/>
          <w:sz w:val="16"/>
          <w:szCs w:val="16"/>
          <w:color w:val="auto"/>
        </w:rPr>
        <w:t>compensation arrangements that we believe would significantly impact the pay ratio disclosure. The date used to identify such Median Employee was December 31, 2020 (the “Determination Date”). To identify the Median Employee, we measured cash compensation (as described below) for the period beginning on January 1, 2020, and ending on December 31, 2020, for 702 U.S. and non-U.S. employees, representing all full-time, part-time, seasonal, and temporary employees for us and our consolidated subsidiaries as of our Determination Date (except as described below and other than for our CEO). This number does not include any independent contractors or “leased” workers, as permitted by the applicable SEC rules. This number excludes 23 non-U.S. employees (consisting of 8 employees in Singapore, 4 employees in Canada and 11 employees in the United Kingdom, or collectively approximately 3% of our total workforce of 725 employees) and does not exclude any employees of businesses acquired by us or combined with us. The cash compensation measurement was calculated by totaling, for each employee, the following cash compensation elements: salary, wages, commissions, bonuses, and certain cash perquisites (such as moving allowance and automobile allowances). This cash compensation represents the consistently applied compensation measure that we used for our pay ratio determination. Specifically excluded from the consistently applied compensation measure were equity awards and company contributions to 401(k) plans. Further, we did not utilize any statistical sampling, cost-of-living adjustments or other annualizations for purposes of this pay ratio disclosure.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6"/>
          <w:szCs w:val="16"/>
          <w:color w:val="262626"/>
        </w:rPr>
        <w:t>32 • CECO Environmental</w:t>
      </w:r>
    </w:p>
    <w:p>
      <w:pPr>
        <w:sectPr>
          <w:pgSz w:w="11900" w:h="16838" w:orient="portrait"/>
          <w:cols w:equalWidth="0" w:num="1">
            <w:col w:w="10880"/>
          </w:cols>
          <w:pgMar w:left="320" w:top="443" w:right="6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41659C"/>
        </w:rPr>
        <w:t>PROPOSAL 2</w:t>
      </w:r>
    </w:p>
    <w:p>
      <w:pPr>
        <w:spacing w:after="0" w:line="212" w:lineRule="exact"/>
        <w:rPr>
          <w:sz w:val="20"/>
          <w:szCs w:val="20"/>
          <w:color w:val="auto"/>
        </w:rPr>
      </w:pPr>
    </w:p>
    <w:p>
      <w:pPr>
        <w:ind w:left="340" w:right="4420"/>
        <w:spacing w:after="0" w:line="263" w:lineRule="auto"/>
        <w:rPr>
          <w:sz w:val="20"/>
          <w:szCs w:val="20"/>
          <w:color w:val="auto"/>
        </w:rPr>
      </w:pPr>
      <w:r>
        <w:rPr>
          <w:rFonts w:ascii="Arial" w:cs="Arial" w:eastAsia="Arial" w:hAnsi="Arial"/>
          <w:sz w:val="21"/>
          <w:szCs w:val="21"/>
          <w:color w:val="A5BD50"/>
        </w:rPr>
        <w:t>ADVISORY VOTE TO APPROVE THE COMPENSATION OF OUR NAMED EXECUTIVE OFFICERS</w:t>
      </w:r>
    </w:p>
    <w:p>
      <w:pPr>
        <w:spacing w:after="0" w:line="196" w:lineRule="exact"/>
        <w:rPr>
          <w:sz w:val="20"/>
          <w:szCs w:val="20"/>
          <w:color w:val="auto"/>
        </w:rPr>
      </w:pPr>
    </w:p>
    <w:p>
      <w:pPr>
        <w:ind w:left="340" w:right="280"/>
        <w:spacing w:after="0" w:line="291" w:lineRule="auto"/>
        <w:rPr>
          <w:sz w:val="20"/>
          <w:szCs w:val="20"/>
          <w:color w:val="auto"/>
        </w:rPr>
      </w:pPr>
      <w:r>
        <w:rPr>
          <w:rFonts w:ascii="Arial" w:cs="Arial" w:eastAsia="Arial" w:hAnsi="Arial"/>
          <w:sz w:val="14"/>
          <w:szCs w:val="14"/>
          <w:color w:val="auto"/>
        </w:rPr>
        <w:t>We are seeking your advisory (non-binding) vote approving the compensation of our named executive officers. We believe that the structure of our executive officer compensation programs promotes the long-term interests of our stockholders. Our executive officer compensation programs are designed to attract, retain, motivate and reward talented executive officers who will achieve our business objectives and create long-term value for our stockholders. We believe that our compensation program rewards sustained performance that is aligned with long-term stockholder interests.</w:t>
      </w:r>
    </w:p>
    <w:p>
      <w:pPr>
        <w:spacing w:after="0" w:line="151" w:lineRule="exact"/>
        <w:rPr>
          <w:sz w:val="20"/>
          <w:szCs w:val="20"/>
          <w:color w:val="auto"/>
        </w:rPr>
      </w:pPr>
    </w:p>
    <w:p>
      <w:pPr>
        <w:ind w:left="340" w:right="140"/>
        <w:spacing w:after="0" w:line="242" w:lineRule="auto"/>
        <w:rPr>
          <w:sz w:val="20"/>
          <w:szCs w:val="20"/>
          <w:color w:val="auto"/>
        </w:rPr>
      </w:pPr>
      <w:r>
        <w:rPr>
          <w:rFonts w:ascii="Arial" w:cs="Arial" w:eastAsia="Arial" w:hAnsi="Arial"/>
          <w:sz w:val="16"/>
          <w:szCs w:val="16"/>
          <w:color w:val="auto"/>
        </w:rPr>
        <w:t>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We encourage stockholders to read the Executive Compensation sections of this Proxy Statement, including the Compensation Discussion, which discuss our compensation policies and procedures, and the compensation of our named executive officers for 2021.</w:t>
      </w:r>
    </w:p>
    <w:p>
      <w:pPr>
        <w:spacing w:after="0" w:line="185" w:lineRule="exact"/>
        <w:rPr>
          <w:sz w:val="20"/>
          <w:szCs w:val="20"/>
          <w:color w:val="auto"/>
        </w:rPr>
      </w:pPr>
    </w:p>
    <w:p>
      <w:pPr>
        <w:ind w:left="340"/>
        <w:spacing w:after="0" w:line="242" w:lineRule="auto"/>
        <w:rPr>
          <w:sz w:val="20"/>
          <w:szCs w:val="20"/>
          <w:color w:val="auto"/>
        </w:rPr>
      </w:pPr>
      <w:r>
        <w:rPr>
          <w:rFonts w:ascii="Arial" w:cs="Arial" w:eastAsia="Arial" w:hAnsi="Arial"/>
          <w:sz w:val="16"/>
          <w:szCs w:val="16"/>
          <w:color w:val="auto"/>
        </w:rPr>
        <w:t>At our 2021 Annual Meeting of Stockholders, our Say-on-Pay proposal to approve the compensation of our named executive officers received approximately 88% approval of all shares represented at the meeting. We believe that this indicates strong support for our continued focus on aligning our named executive officer compensation programs with the interests of our stockholders. During 2021, we continued to focus on pay for performance, and in addition to granting time-based RSUs, we granted PRSUs that only vest if our market performance meets or exceeds the goals established by our Compensation Committee.</w:t>
      </w:r>
    </w:p>
    <w:p>
      <w:pPr>
        <w:spacing w:after="0" w:line="185" w:lineRule="exact"/>
        <w:rPr>
          <w:sz w:val="20"/>
          <w:szCs w:val="20"/>
          <w:color w:val="auto"/>
        </w:rPr>
      </w:pPr>
    </w:p>
    <w:p>
      <w:pPr>
        <w:ind w:left="340" w:right="20"/>
        <w:spacing w:after="0" w:line="245" w:lineRule="auto"/>
        <w:rPr>
          <w:sz w:val="20"/>
          <w:szCs w:val="20"/>
          <w:color w:val="auto"/>
        </w:rPr>
      </w:pPr>
      <w:r>
        <w:rPr>
          <w:rFonts w:ascii="Arial" w:cs="Arial" w:eastAsia="Arial" w:hAnsi="Arial"/>
          <w:sz w:val="16"/>
          <w:szCs w:val="16"/>
          <w:color w:val="auto"/>
        </w:rPr>
        <w:t>This vote is required pursuant to Section 14A of the Exchange Act and is advisory and non-binding; however, our Compensation Committee and our Board are expected to consider the results of the vote when making future determinations regarding our named executive officer compensation programs. Advisory Say-on-Pay votes have been scheduled to be held once every year. We expect to hold the next advisory vote to approve the compensation of our named executive officers in 2023.</w:t>
      </w:r>
    </w:p>
    <w:p>
      <w:pPr>
        <w:spacing w:after="0" w:line="180" w:lineRule="exact"/>
        <w:rPr>
          <w:sz w:val="20"/>
          <w:szCs w:val="20"/>
          <w:color w:val="auto"/>
        </w:rPr>
      </w:pPr>
    </w:p>
    <w:p>
      <w:pPr>
        <w:ind w:left="340" w:right="340"/>
        <w:spacing w:after="0" w:line="334" w:lineRule="auto"/>
        <w:rPr>
          <w:sz w:val="20"/>
          <w:szCs w:val="20"/>
          <w:color w:val="auto"/>
        </w:rPr>
      </w:pPr>
      <w:r>
        <w:rPr>
          <w:rFonts w:ascii="Arial" w:cs="Arial" w:eastAsia="Arial" w:hAnsi="Arial"/>
          <w:sz w:val="14"/>
          <w:szCs w:val="14"/>
          <w:color w:val="auto"/>
        </w:rPr>
        <w:t>This proposal requires a favorable vote of the majority of shares represented at the Annual Meeting for advisory approval. For the purposes of this proposal, abstentions and broker non-votes are treated as shares represented at the Annual Meeting and will have the same effect as a vote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100965</wp:posOffset>
            </wp:positionV>
            <wp:extent cx="5520055" cy="11169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20055" cy="1116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2022 Proxy Statement • 33</w:t>
      </w:r>
    </w:p>
    <w:p>
      <w:pPr>
        <w:sectPr>
          <w:pgSz w:w="11900" w:h="16838" w:orient="portrait"/>
          <w:cols w:equalWidth="0" w:num="1">
            <w:col w:w="10900"/>
          </w:cols>
          <w:pgMar w:left="320" w:top="443" w:right="6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41659C"/>
        </w:rPr>
        <w:t>AUDIT MATTERS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41659C"/>
        </w:rPr>
        <w:t>Audit Committee Report</w:t>
      </w:r>
    </w:p>
    <w:p>
      <w:pPr>
        <w:spacing w:after="0" w:line="212" w:lineRule="exact"/>
        <w:rPr>
          <w:sz w:val="20"/>
          <w:szCs w:val="20"/>
          <w:color w:val="auto"/>
        </w:rPr>
      </w:pPr>
    </w:p>
    <w:p>
      <w:pPr>
        <w:ind w:left="340" w:right="60"/>
        <w:spacing w:after="0" w:line="302" w:lineRule="auto"/>
        <w:rPr>
          <w:sz w:val="20"/>
          <w:szCs w:val="20"/>
          <w:color w:val="auto"/>
        </w:rPr>
      </w:pPr>
      <w:r>
        <w:rPr>
          <w:rFonts w:ascii="Arial" w:cs="Arial" w:eastAsia="Arial" w:hAnsi="Arial"/>
          <w:sz w:val="14"/>
          <w:szCs w:val="14"/>
          <w:color w:val="auto"/>
        </w:rPr>
        <w:t>Our Audit Committee has reviewed and discussed our Company’s audited financial statements for the fiscal year ended December 31, 2021, with our management and has discussed with BDO USA, LLP (“BDO”), our independent registered public accounting firm, those matters required to be discussed by the applicable requirements of the Public Company Accounting Oversight Board (the “PCAOB”) and the Securities and Exchange Commission.</w:t>
      </w:r>
    </w:p>
    <w:p>
      <w:pPr>
        <w:spacing w:after="0" w:line="143" w:lineRule="exact"/>
        <w:rPr>
          <w:sz w:val="20"/>
          <w:szCs w:val="20"/>
          <w:color w:val="auto"/>
        </w:rPr>
      </w:pPr>
    </w:p>
    <w:p>
      <w:pPr>
        <w:ind w:left="340" w:right="300"/>
        <w:spacing w:after="0" w:line="249" w:lineRule="auto"/>
        <w:rPr>
          <w:sz w:val="20"/>
          <w:szCs w:val="20"/>
          <w:color w:val="auto"/>
        </w:rPr>
      </w:pPr>
      <w:r>
        <w:rPr>
          <w:rFonts w:ascii="Arial" w:cs="Arial" w:eastAsia="Arial" w:hAnsi="Arial"/>
          <w:sz w:val="16"/>
          <w:szCs w:val="16"/>
          <w:color w:val="auto"/>
        </w:rPr>
        <w:t>In addition, our Audit Committee has received the written disclosures and the letter from BDO required by applicable requirements of the PCAOB, regarding BDO’s communications with our Audit Committee concerning independence, and our Audit Committee has discussed BDO’s independence with BDO.</w:t>
      </w:r>
    </w:p>
    <w:p>
      <w:pPr>
        <w:spacing w:after="0" w:line="178" w:lineRule="exact"/>
        <w:rPr>
          <w:sz w:val="20"/>
          <w:szCs w:val="20"/>
          <w:color w:val="auto"/>
        </w:rPr>
      </w:pPr>
    </w:p>
    <w:p>
      <w:pPr>
        <w:ind w:left="340"/>
        <w:spacing w:after="0" w:line="262" w:lineRule="auto"/>
        <w:rPr>
          <w:sz w:val="20"/>
          <w:szCs w:val="20"/>
          <w:color w:val="auto"/>
        </w:rPr>
      </w:pPr>
      <w:r>
        <w:rPr>
          <w:rFonts w:ascii="Arial" w:cs="Arial" w:eastAsia="Arial" w:hAnsi="Arial"/>
          <w:sz w:val="16"/>
          <w:szCs w:val="16"/>
          <w:color w:val="auto"/>
        </w:rPr>
        <w:t>Based on these reviews and discussions, the Audit Committee recommended to our Board that our audited financial statements be included in our Annual Report on Form 10-K for the fiscal year ended December 31, 2021, for filing with the SEC.</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Audit Committee</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Claudio A. Mannarino, Chairman</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David B. Liner</w:t>
      </w:r>
    </w:p>
    <w:p>
      <w:pPr>
        <w:ind w:left="340"/>
        <w:spacing w:after="0"/>
        <w:rPr>
          <w:sz w:val="20"/>
          <w:szCs w:val="20"/>
          <w:color w:val="auto"/>
        </w:rPr>
      </w:pPr>
      <w:r>
        <w:rPr>
          <w:rFonts w:ascii="Arial" w:cs="Arial" w:eastAsia="Arial" w:hAnsi="Arial"/>
          <w:sz w:val="16"/>
          <w:szCs w:val="16"/>
          <w:color w:val="auto"/>
        </w:rPr>
        <w:t>Munish Nanda</w:t>
      </w:r>
    </w:p>
    <w:p>
      <w:pPr>
        <w:spacing w:after="0" w:line="383"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41659C"/>
        </w:rPr>
        <w:t>Independent Registered Public Accounting Firm Fees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fees for services provided to us by BDO for the fiscal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5571490</wp:posOffset>
            </wp:positionH>
            <wp:positionV relativeFrom="paragraph">
              <wp:posOffset>153670</wp:posOffset>
            </wp:positionV>
            <wp:extent cx="8255" cy="9036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90360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153670</wp:posOffset>
            </wp:positionV>
            <wp:extent cx="8255" cy="9036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903605"/>
                    </a:xfrm>
                    <a:prstGeom prst="rect">
                      <a:avLst/>
                    </a:prstGeom>
                    <a:noFill/>
                  </pic:spPr>
                </pic:pic>
              </a:graphicData>
            </a:graphic>
          </wp:anchor>
        </w:drawing>
      </w:r>
    </w:p>
    <w:p>
      <w:pPr>
        <w:spacing w:after="0" w:line="222" w:lineRule="exact"/>
        <w:rPr>
          <w:sz w:val="20"/>
          <w:szCs w:val="20"/>
          <w:color w:val="auto"/>
        </w:rPr>
      </w:pPr>
    </w:p>
    <w:tbl>
      <w:tblPr>
        <w:tblLayout w:type="fixed"/>
        <w:tblInd w:w="360" w:type="dxa"/>
        <w:tblCellMar>
          <w:top w:w="0" w:type="dxa"/>
          <w:left w:w="0" w:type="dxa"/>
          <w:bottom w:w="0" w:type="dxa"/>
          <w:right w:w="0" w:type="dxa"/>
        </w:tblCellMar>
      </w:tblPr>
      <w:tr>
        <w:trPr>
          <w:trHeight w:val="239"/>
        </w:trPr>
        <w:tc>
          <w:tcPr>
            <w:tcW w:w="6340" w:type="dxa"/>
            <w:vAlign w:val="bottom"/>
            <w:tcBorders>
              <w:bottom w:val="single" w:sz="8" w:color="41659C"/>
            </w:tcBorders>
            <w:shd w:val="clear" w:color="auto" w:fill="41659C"/>
          </w:tcPr>
          <w:p>
            <w:pPr>
              <w:spacing w:after="0"/>
              <w:rPr>
                <w:sz w:val="20"/>
                <w:szCs w:val="20"/>
                <w:color w:val="auto"/>
              </w:rPr>
            </w:pPr>
          </w:p>
        </w:tc>
        <w:tc>
          <w:tcPr>
            <w:tcW w:w="1820" w:type="dxa"/>
            <w:vAlign w:val="bottom"/>
            <w:tcBorders>
              <w:bottom w:val="single" w:sz="8" w:color="41659C"/>
            </w:tcBorders>
            <w:gridSpan w:val="2"/>
            <w:shd w:val="clear" w:color="auto" w:fill="41659C"/>
          </w:tcPr>
          <w:p>
            <w:pPr>
              <w:jc w:val="right"/>
              <w:ind w:right="547"/>
              <w:spacing w:after="0"/>
              <w:rPr>
                <w:sz w:val="20"/>
                <w:szCs w:val="20"/>
                <w:color w:val="auto"/>
              </w:rPr>
            </w:pPr>
            <w:r>
              <w:rPr>
                <w:rFonts w:ascii="Arial" w:cs="Arial" w:eastAsia="Arial" w:hAnsi="Arial"/>
                <w:sz w:val="15"/>
                <w:szCs w:val="15"/>
                <w:b w:val="1"/>
                <w:bCs w:val="1"/>
                <w:color w:val="FFFFFF"/>
              </w:rPr>
              <w:t>2021</w:t>
            </w:r>
          </w:p>
        </w:tc>
        <w:tc>
          <w:tcPr>
            <w:tcW w:w="2140" w:type="dxa"/>
            <w:vAlign w:val="bottom"/>
            <w:tcBorders>
              <w:bottom w:val="single" w:sz="8" w:color="41659C"/>
            </w:tcBorders>
            <w:gridSpan w:val="2"/>
            <w:shd w:val="clear" w:color="auto" w:fill="41659C"/>
          </w:tcPr>
          <w:p>
            <w:pPr>
              <w:jc w:val="right"/>
              <w:ind w:right="547"/>
              <w:spacing w:after="0"/>
              <w:rPr>
                <w:sz w:val="20"/>
                <w:szCs w:val="20"/>
                <w:color w:val="auto"/>
              </w:rPr>
            </w:pPr>
            <w:r>
              <w:rPr>
                <w:rFonts w:ascii="Arial" w:cs="Arial" w:eastAsia="Arial" w:hAnsi="Arial"/>
                <w:sz w:val="15"/>
                <w:szCs w:val="15"/>
                <w:b w:val="1"/>
                <w:bCs w:val="1"/>
                <w:color w:val="FFFFFF"/>
              </w:rPr>
              <w:t>2020</w:t>
            </w:r>
          </w:p>
        </w:tc>
        <w:tc>
          <w:tcPr>
            <w:tcW w:w="240" w:type="dxa"/>
            <w:vAlign w:val="bottom"/>
            <w:tcBorders>
              <w:bottom w:val="single" w:sz="8" w:color="41659C"/>
            </w:tcBorders>
            <w:shd w:val="clear" w:color="auto" w:fill="41659C"/>
          </w:tcPr>
          <w:p>
            <w:pPr>
              <w:spacing w:after="0"/>
              <w:rPr>
                <w:sz w:val="20"/>
                <w:szCs w:val="20"/>
                <w:color w:val="auto"/>
              </w:rPr>
            </w:pPr>
          </w:p>
        </w:tc>
      </w:tr>
      <w:tr>
        <w:trPr>
          <w:trHeight w:val="265"/>
        </w:trPr>
        <w:tc>
          <w:tcPr>
            <w:tcW w:w="6340" w:type="dxa"/>
            <w:vAlign w:val="bottom"/>
            <w:tcBorders>
              <w:bottom w:val="single" w:sz="8" w:color="E8EED3"/>
            </w:tcBorders>
            <w:shd w:val="clear" w:color="auto" w:fill="E8EED3"/>
          </w:tcPr>
          <w:p>
            <w:pPr>
              <w:ind w:left="200"/>
              <w:spacing w:after="0"/>
              <w:rPr>
                <w:sz w:val="20"/>
                <w:szCs w:val="20"/>
                <w:color w:val="auto"/>
              </w:rPr>
            </w:pPr>
            <w:r>
              <w:rPr>
                <w:rFonts w:ascii="Arial" w:cs="Arial" w:eastAsia="Arial" w:hAnsi="Arial"/>
                <w:sz w:val="15"/>
                <w:szCs w:val="15"/>
                <w:color w:val="auto"/>
              </w:rPr>
              <w:t>Audit Fees</w:t>
            </w:r>
          </w:p>
        </w:tc>
        <w:tc>
          <w:tcPr>
            <w:tcW w:w="1820" w:type="dxa"/>
            <w:vAlign w:val="bottom"/>
            <w:tcBorders>
              <w:bottom w:val="single" w:sz="8" w:color="E8EED3"/>
            </w:tcBorders>
            <w:gridSpan w:val="2"/>
            <w:shd w:val="clear" w:color="auto" w:fill="E8EED3"/>
          </w:tcPr>
          <w:p>
            <w:pPr>
              <w:jc w:val="right"/>
              <w:spacing w:after="0"/>
              <w:rPr>
                <w:sz w:val="20"/>
                <w:szCs w:val="20"/>
                <w:color w:val="auto"/>
              </w:rPr>
            </w:pPr>
            <w:r>
              <w:rPr>
                <w:rFonts w:ascii="Arial" w:cs="Arial" w:eastAsia="Arial" w:hAnsi="Arial"/>
                <w:sz w:val="15"/>
                <w:szCs w:val="15"/>
                <w:color w:val="auto"/>
              </w:rPr>
              <w:t>$ 1,260,321</w:t>
            </w:r>
          </w:p>
        </w:tc>
        <w:tc>
          <w:tcPr>
            <w:tcW w:w="2140" w:type="dxa"/>
            <w:vAlign w:val="bottom"/>
            <w:tcBorders>
              <w:bottom w:val="single" w:sz="8" w:color="E8EED3"/>
            </w:tcBorders>
            <w:gridSpan w:val="2"/>
            <w:shd w:val="clear" w:color="auto" w:fill="E8EED3"/>
          </w:tcPr>
          <w:p>
            <w:pPr>
              <w:jc w:val="right"/>
              <w:spacing w:after="0"/>
              <w:rPr>
                <w:sz w:val="20"/>
                <w:szCs w:val="20"/>
                <w:color w:val="auto"/>
              </w:rPr>
            </w:pPr>
            <w:r>
              <w:rPr>
                <w:rFonts w:ascii="Arial" w:cs="Arial" w:eastAsia="Arial" w:hAnsi="Arial"/>
                <w:sz w:val="15"/>
                <w:szCs w:val="15"/>
                <w:color w:val="auto"/>
              </w:rPr>
              <w:t>$ 1,267,779</w:t>
            </w:r>
          </w:p>
        </w:tc>
        <w:tc>
          <w:tcPr>
            <w:tcW w:w="240" w:type="dxa"/>
            <w:vAlign w:val="bottom"/>
            <w:tcBorders>
              <w:bottom w:val="single" w:sz="8" w:color="E8EED3"/>
            </w:tcBorders>
            <w:shd w:val="clear" w:color="auto" w:fill="E8EED3"/>
          </w:tcPr>
          <w:p>
            <w:pPr>
              <w:spacing w:after="0"/>
              <w:rPr>
                <w:sz w:val="23"/>
                <w:szCs w:val="23"/>
                <w:color w:val="auto"/>
              </w:rPr>
            </w:pPr>
          </w:p>
        </w:tc>
      </w:tr>
      <w:tr>
        <w:trPr>
          <w:trHeight w:val="265"/>
        </w:trPr>
        <w:tc>
          <w:tcPr>
            <w:tcW w:w="6340" w:type="dxa"/>
            <w:vAlign w:val="bottom"/>
            <w:tcBorders>
              <w:bottom w:val="single" w:sz="8" w:color="D2DEA7"/>
            </w:tcBorders>
            <w:shd w:val="clear" w:color="auto" w:fill="D2DEA7"/>
          </w:tcPr>
          <w:p>
            <w:pPr>
              <w:ind w:left="200"/>
              <w:spacing w:after="0"/>
              <w:rPr>
                <w:sz w:val="20"/>
                <w:szCs w:val="20"/>
                <w:color w:val="auto"/>
              </w:rPr>
            </w:pPr>
            <w:r>
              <w:rPr>
                <w:rFonts w:ascii="Arial" w:cs="Arial" w:eastAsia="Arial" w:hAnsi="Arial"/>
                <w:sz w:val="15"/>
                <w:szCs w:val="15"/>
                <w:color w:val="auto"/>
              </w:rPr>
              <w:t>Audit-Related Fees</w:t>
            </w:r>
          </w:p>
        </w:tc>
        <w:tc>
          <w:tcPr>
            <w:tcW w:w="1820" w:type="dxa"/>
            <w:vAlign w:val="bottom"/>
            <w:tcBorders>
              <w:bottom w:val="single" w:sz="8" w:color="D2DEA7"/>
            </w:tcBorders>
            <w:gridSpan w:val="2"/>
            <w:shd w:val="clear" w:color="auto" w:fill="D2DEA7"/>
          </w:tcPr>
          <w:p>
            <w:pPr>
              <w:jc w:val="right"/>
              <w:spacing w:after="0"/>
              <w:rPr>
                <w:sz w:val="20"/>
                <w:szCs w:val="20"/>
                <w:color w:val="auto"/>
              </w:rPr>
            </w:pPr>
            <w:r>
              <w:rPr>
                <w:rFonts w:ascii="Arial" w:cs="Arial" w:eastAsia="Arial" w:hAnsi="Arial"/>
                <w:sz w:val="15"/>
                <w:szCs w:val="15"/>
                <w:color w:val="auto"/>
              </w:rPr>
              <w:t>127,000</w:t>
            </w:r>
          </w:p>
        </w:tc>
        <w:tc>
          <w:tcPr>
            <w:tcW w:w="2140" w:type="dxa"/>
            <w:vAlign w:val="bottom"/>
            <w:tcBorders>
              <w:bottom w:val="single" w:sz="8" w:color="D2DEA7"/>
            </w:tcBorders>
            <w:gridSpan w:val="2"/>
            <w:shd w:val="clear" w:color="auto" w:fill="D2DEA7"/>
          </w:tcPr>
          <w:p>
            <w:pPr>
              <w:jc w:val="right"/>
              <w:spacing w:after="0"/>
              <w:rPr>
                <w:sz w:val="20"/>
                <w:szCs w:val="20"/>
                <w:color w:val="auto"/>
              </w:rPr>
            </w:pPr>
            <w:r>
              <w:rPr>
                <w:rFonts w:ascii="Arial" w:cs="Arial" w:eastAsia="Arial" w:hAnsi="Arial"/>
                <w:sz w:val="15"/>
                <w:szCs w:val="15"/>
                <w:color w:val="auto"/>
              </w:rPr>
              <w:t>85,000</w:t>
            </w:r>
          </w:p>
        </w:tc>
        <w:tc>
          <w:tcPr>
            <w:tcW w:w="240" w:type="dxa"/>
            <w:vAlign w:val="bottom"/>
            <w:tcBorders>
              <w:bottom w:val="single" w:sz="8" w:color="D2DEA7"/>
            </w:tcBorders>
            <w:shd w:val="clear" w:color="auto" w:fill="D2DEA7"/>
          </w:tcPr>
          <w:p>
            <w:pPr>
              <w:spacing w:after="0"/>
              <w:rPr>
                <w:sz w:val="23"/>
                <w:szCs w:val="23"/>
                <w:color w:val="auto"/>
              </w:rPr>
            </w:pPr>
          </w:p>
        </w:tc>
      </w:tr>
      <w:tr>
        <w:trPr>
          <w:trHeight w:val="310"/>
        </w:trPr>
        <w:tc>
          <w:tcPr>
            <w:tcW w:w="6340" w:type="dxa"/>
            <w:vAlign w:val="bottom"/>
            <w:tcBorders>
              <w:bottom w:val="single" w:sz="8" w:color="E8EED3"/>
            </w:tcBorders>
            <w:shd w:val="clear" w:color="auto" w:fill="E8EED3"/>
          </w:tcPr>
          <w:p>
            <w:pPr>
              <w:ind w:left="200"/>
              <w:spacing w:after="0"/>
              <w:rPr>
                <w:sz w:val="20"/>
                <w:szCs w:val="20"/>
                <w:color w:val="auto"/>
              </w:rPr>
            </w:pPr>
            <w:r>
              <w:rPr>
                <w:rFonts w:ascii="Arial" w:cs="Arial" w:eastAsia="Arial" w:hAnsi="Arial"/>
                <w:sz w:val="15"/>
                <w:szCs w:val="15"/>
                <w:color w:val="auto"/>
              </w:rPr>
              <w:t>Tax Fees</w:t>
            </w:r>
          </w:p>
        </w:tc>
        <w:tc>
          <w:tcPr>
            <w:tcW w:w="260" w:type="dxa"/>
            <w:vAlign w:val="bottom"/>
            <w:tcBorders>
              <w:bottom w:val="single" w:sz="8" w:color="E8EED3"/>
            </w:tcBorders>
            <w:shd w:val="clear" w:color="auto" w:fill="E8EED3"/>
          </w:tcPr>
          <w:p>
            <w:pPr>
              <w:spacing w:after="0"/>
              <w:rPr>
                <w:sz w:val="24"/>
                <w:szCs w:val="24"/>
                <w:color w:val="auto"/>
              </w:rPr>
            </w:pPr>
          </w:p>
        </w:tc>
        <w:tc>
          <w:tcPr>
            <w:tcW w:w="1560" w:type="dxa"/>
            <w:vAlign w:val="bottom"/>
            <w:tcBorders>
              <w:bottom w:val="single" w:sz="8" w:color="E8EED3"/>
            </w:tcBorders>
            <w:shd w:val="clear" w:color="auto" w:fill="E8EED3"/>
          </w:tcPr>
          <w:p>
            <w:pPr>
              <w:jc w:val="right"/>
              <w:ind w:right="7"/>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E8EED3"/>
            </w:tcBorders>
            <w:shd w:val="clear" w:color="auto" w:fill="E8EED3"/>
          </w:tcPr>
          <w:p>
            <w:pPr>
              <w:spacing w:after="0"/>
              <w:rPr>
                <w:sz w:val="24"/>
                <w:szCs w:val="24"/>
                <w:color w:val="auto"/>
              </w:rPr>
            </w:pPr>
          </w:p>
        </w:tc>
        <w:tc>
          <w:tcPr>
            <w:tcW w:w="1800" w:type="dxa"/>
            <w:vAlign w:val="bottom"/>
            <w:tcBorders>
              <w:bottom w:val="single" w:sz="8" w:color="E8EED3"/>
            </w:tcBorders>
            <w:gridSpan w:val="2"/>
            <w:shd w:val="clear" w:color="auto" w:fill="E8EED3"/>
          </w:tcPr>
          <w:p>
            <w:pPr>
              <w:ind w:left="1320"/>
              <w:spacing w:after="0"/>
              <w:rPr>
                <w:sz w:val="20"/>
                <w:szCs w:val="20"/>
                <w:color w:val="auto"/>
              </w:rPr>
            </w:pPr>
            <w:r>
              <w:rPr>
                <w:rFonts w:ascii="Arial" w:cs="Arial" w:eastAsia="Arial" w:hAnsi="Arial"/>
                <w:sz w:val="15"/>
                <w:szCs w:val="15"/>
                <w:color w:val="auto"/>
              </w:rPr>
              <w:t>—</w:t>
            </w:r>
          </w:p>
        </w:tc>
      </w:tr>
      <w:tr>
        <w:trPr>
          <w:trHeight w:val="226"/>
        </w:trPr>
        <w:tc>
          <w:tcPr>
            <w:tcW w:w="6340" w:type="dxa"/>
            <w:vAlign w:val="bottom"/>
            <w:tcBorders>
              <w:top w:val="single" w:sz="8" w:color="E8EED3"/>
            </w:tcBorders>
            <w:shd w:val="clear" w:color="auto" w:fill="D2DEA7"/>
          </w:tcPr>
          <w:p>
            <w:pPr>
              <w:ind w:left="200"/>
              <w:spacing w:after="0"/>
              <w:rPr>
                <w:sz w:val="20"/>
                <w:szCs w:val="20"/>
                <w:color w:val="auto"/>
              </w:rPr>
            </w:pPr>
            <w:r>
              <w:rPr>
                <w:rFonts w:ascii="Arial" w:cs="Arial" w:eastAsia="Arial" w:hAnsi="Arial"/>
                <w:sz w:val="15"/>
                <w:szCs w:val="15"/>
                <w:color w:val="auto"/>
              </w:rPr>
              <w:t>Total</w:t>
            </w:r>
          </w:p>
        </w:tc>
        <w:tc>
          <w:tcPr>
            <w:tcW w:w="260" w:type="dxa"/>
            <w:vAlign w:val="bottom"/>
            <w:tcBorders>
              <w:top w:val="single" w:sz="8" w:color="E8EED3"/>
            </w:tcBorders>
            <w:shd w:val="clear" w:color="auto" w:fill="D2DEA7"/>
          </w:tcPr>
          <w:p>
            <w:pPr>
              <w:spacing w:after="0"/>
              <w:rPr>
                <w:sz w:val="19"/>
                <w:szCs w:val="19"/>
                <w:color w:val="auto"/>
              </w:rPr>
            </w:pPr>
          </w:p>
        </w:tc>
        <w:tc>
          <w:tcPr>
            <w:tcW w:w="1560" w:type="dxa"/>
            <w:vAlign w:val="bottom"/>
            <w:tcBorders>
              <w:top w:val="single" w:sz="8" w:color="auto"/>
            </w:tcBorders>
            <w:shd w:val="clear" w:color="auto" w:fill="D2DEA7"/>
          </w:tcPr>
          <w:p>
            <w:pPr>
              <w:jc w:val="right"/>
              <w:spacing w:after="0"/>
              <w:rPr>
                <w:sz w:val="20"/>
                <w:szCs w:val="20"/>
                <w:color w:val="auto"/>
              </w:rPr>
            </w:pPr>
            <w:r>
              <w:rPr>
                <w:rFonts w:ascii="Arial" w:cs="Arial" w:eastAsia="Arial" w:hAnsi="Arial"/>
                <w:sz w:val="15"/>
                <w:szCs w:val="15"/>
                <w:color w:val="auto"/>
              </w:rPr>
              <w:t>$ 1,387,321</w:t>
            </w:r>
          </w:p>
        </w:tc>
        <w:tc>
          <w:tcPr>
            <w:tcW w:w="580" w:type="dxa"/>
            <w:vAlign w:val="bottom"/>
            <w:tcBorders>
              <w:top w:val="single" w:sz="8" w:color="E8EED3"/>
            </w:tcBorders>
            <w:shd w:val="clear" w:color="auto" w:fill="D2DEA7"/>
          </w:tcPr>
          <w:p>
            <w:pPr>
              <w:spacing w:after="0"/>
              <w:rPr>
                <w:sz w:val="19"/>
                <w:szCs w:val="19"/>
                <w:color w:val="auto"/>
              </w:rPr>
            </w:pPr>
          </w:p>
        </w:tc>
        <w:tc>
          <w:tcPr>
            <w:tcW w:w="1560" w:type="dxa"/>
            <w:vAlign w:val="bottom"/>
            <w:tcBorders>
              <w:top w:val="single" w:sz="8" w:color="auto"/>
            </w:tcBorders>
            <w:shd w:val="clear" w:color="auto" w:fill="D2DEA7"/>
          </w:tcPr>
          <w:p>
            <w:pPr>
              <w:jc w:val="right"/>
              <w:spacing w:after="0"/>
              <w:rPr>
                <w:sz w:val="20"/>
                <w:szCs w:val="20"/>
                <w:color w:val="auto"/>
              </w:rPr>
            </w:pPr>
            <w:r>
              <w:rPr>
                <w:rFonts w:ascii="Arial" w:cs="Arial" w:eastAsia="Arial" w:hAnsi="Arial"/>
                <w:sz w:val="15"/>
                <w:szCs w:val="15"/>
                <w:color w:val="auto"/>
              </w:rPr>
              <w:t>$ 1,352,779</w:t>
            </w:r>
          </w:p>
        </w:tc>
        <w:tc>
          <w:tcPr>
            <w:tcW w:w="240" w:type="dxa"/>
            <w:vAlign w:val="bottom"/>
            <w:tcBorders>
              <w:top w:val="single" w:sz="8" w:color="E8EED3"/>
            </w:tcBorders>
            <w:shd w:val="clear" w:color="auto" w:fill="D2DEA7"/>
          </w:tcPr>
          <w:p>
            <w:pPr>
              <w:spacing w:after="0"/>
              <w:rPr>
                <w:sz w:val="19"/>
                <w:szCs w:val="19"/>
                <w:color w:val="auto"/>
              </w:rPr>
            </w:pPr>
          </w:p>
        </w:tc>
      </w:tr>
      <w:tr>
        <w:trPr>
          <w:trHeight w:val="45"/>
        </w:trPr>
        <w:tc>
          <w:tcPr>
            <w:tcW w:w="6340" w:type="dxa"/>
            <w:vAlign w:val="bottom"/>
            <w:shd w:val="clear" w:color="auto" w:fill="D2DEA7"/>
          </w:tcPr>
          <w:p>
            <w:pPr>
              <w:spacing w:after="0"/>
              <w:rPr>
                <w:sz w:val="3"/>
                <w:szCs w:val="3"/>
                <w:color w:val="auto"/>
              </w:rPr>
            </w:pPr>
          </w:p>
        </w:tc>
        <w:tc>
          <w:tcPr>
            <w:tcW w:w="260" w:type="dxa"/>
            <w:vAlign w:val="bottom"/>
            <w:shd w:val="clear" w:color="auto" w:fill="D2DEA7"/>
          </w:tcPr>
          <w:p>
            <w:pPr>
              <w:spacing w:after="0"/>
              <w:rPr>
                <w:sz w:val="3"/>
                <w:szCs w:val="3"/>
                <w:color w:val="auto"/>
              </w:rPr>
            </w:pPr>
          </w:p>
        </w:tc>
        <w:tc>
          <w:tcPr>
            <w:tcW w:w="1560" w:type="dxa"/>
            <w:vAlign w:val="bottom"/>
            <w:shd w:val="clear" w:color="auto" w:fill="D2DEA7"/>
          </w:tcPr>
          <w:p>
            <w:pPr>
              <w:spacing w:after="0"/>
              <w:rPr>
                <w:sz w:val="3"/>
                <w:szCs w:val="3"/>
                <w:color w:val="auto"/>
              </w:rPr>
            </w:pPr>
          </w:p>
        </w:tc>
        <w:tc>
          <w:tcPr>
            <w:tcW w:w="580" w:type="dxa"/>
            <w:vAlign w:val="bottom"/>
            <w:shd w:val="clear" w:color="auto" w:fill="D2DEA7"/>
          </w:tcPr>
          <w:p>
            <w:pPr>
              <w:spacing w:after="0"/>
              <w:rPr>
                <w:sz w:val="3"/>
                <w:szCs w:val="3"/>
                <w:color w:val="auto"/>
              </w:rPr>
            </w:pPr>
          </w:p>
        </w:tc>
        <w:tc>
          <w:tcPr>
            <w:tcW w:w="1560" w:type="dxa"/>
            <w:vAlign w:val="bottom"/>
            <w:shd w:val="clear" w:color="auto" w:fill="D2DEA7"/>
          </w:tcPr>
          <w:p>
            <w:pPr>
              <w:spacing w:after="0"/>
              <w:rPr>
                <w:sz w:val="3"/>
                <w:szCs w:val="3"/>
                <w:color w:val="auto"/>
              </w:rPr>
            </w:pPr>
          </w:p>
        </w:tc>
        <w:tc>
          <w:tcPr>
            <w:tcW w:w="240" w:type="dxa"/>
            <w:vAlign w:val="bottom"/>
            <w:shd w:val="clear" w:color="auto" w:fill="D2DEA7"/>
          </w:tcPr>
          <w:p>
            <w:pPr>
              <w:spacing w:after="0"/>
              <w:rPr>
                <w:sz w:val="3"/>
                <w:szCs w:val="3"/>
                <w:color w:val="auto"/>
              </w:rPr>
            </w:pPr>
          </w:p>
        </w:tc>
      </w:tr>
    </w:tbl>
    <w:p>
      <w:pPr>
        <w:spacing w:after="0" w:line="19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following is a description of the nature of the services comprising the fees disclosed in the table above for each of the three categories of services.</w:t>
      </w:r>
    </w:p>
    <w:p>
      <w:pPr>
        <w:spacing w:after="0" w:line="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Audit Committee has considered whether providing non-audit services is compatible with maintaining BDO’s independence.</w:t>
      </w:r>
    </w:p>
    <w:p>
      <w:pPr>
        <w:spacing w:after="0" w:line="28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41659C"/>
        </w:rPr>
        <w:t>Audit Fees</w:t>
      </w:r>
    </w:p>
    <w:p>
      <w:pPr>
        <w:spacing w:after="0" w:line="109" w:lineRule="exact"/>
        <w:rPr>
          <w:sz w:val="20"/>
          <w:szCs w:val="20"/>
          <w:color w:val="auto"/>
        </w:rPr>
      </w:pPr>
    </w:p>
    <w:p>
      <w:pPr>
        <w:ind w:left="340" w:right="60"/>
        <w:spacing w:after="0" w:line="249" w:lineRule="auto"/>
        <w:rPr>
          <w:sz w:val="20"/>
          <w:szCs w:val="20"/>
          <w:color w:val="auto"/>
        </w:rPr>
      </w:pPr>
      <w:r>
        <w:rPr>
          <w:rFonts w:ascii="Arial" w:cs="Arial" w:eastAsia="Arial" w:hAnsi="Arial"/>
          <w:sz w:val="16"/>
          <w:szCs w:val="16"/>
          <w:color w:val="auto"/>
        </w:rPr>
        <w:t>These are fees for professional services for the integrated audit of our annual consolidated financial statements, the review of financial statements included in Quarterly Reports on Form 10-Q, Proxy Statements and services that are normally rendered in connection with statutory and regulatory filings or engagements.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41659C"/>
        </w:rPr>
        <w:t>Audit-Related Fees</w:t>
      </w:r>
    </w:p>
    <w:p>
      <w:pPr>
        <w:spacing w:after="0" w:line="109" w:lineRule="exact"/>
        <w:rPr>
          <w:sz w:val="20"/>
          <w:szCs w:val="20"/>
          <w:color w:val="auto"/>
        </w:rPr>
      </w:pPr>
    </w:p>
    <w:p>
      <w:pPr>
        <w:ind w:left="340" w:right="260"/>
        <w:spacing w:after="0" w:line="262" w:lineRule="auto"/>
        <w:rPr>
          <w:sz w:val="20"/>
          <w:szCs w:val="20"/>
          <w:color w:val="auto"/>
        </w:rPr>
      </w:pPr>
      <w:r>
        <w:rPr>
          <w:rFonts w:ascii="Arial" w:cs="Arial" w:eastAsia="Arial" w:hAnsi="Arial"/>
          <w:sz w:val="16"/>
          <w:szCs w:val="16"/>
          <w:color w:val="auto"/>
        </w:rPr>
        <w:t>These are fees for assurance and related services that are reasonably related to the performance of the audit or the review of our financial statements that are not included as audit fees.</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41659C"/>
        </w:rPr>
        <w:t>Tax Fees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These are fees for professional services rendered by BDO with respect to tax compliance and tax planning.</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color w:val="262626"/>
        </w:rPr>
        <w:t>34 • CECO Environmental</w:t>
      </w:r>
    </w:p>
    <w:p>
      <w:pPr>
        <w:sectPr>
          <w:pgSz w:w="11900" w:h="16838" w:orient="portrait"/>
          <w:cols w:equalWidth="0" w:num="1">
            <w:col w:w="10900"/>
          </w:cols>
          <w:pgMar w:left="320" w:top="443" w:right="6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9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41659C"/>
        </w:rPr>
        <w:t>Audit Committee Pre-Approval Policy</w:t>
      </w:r>
    </w:p>
    <w:p>
      <w:pPr>
        <w:spacing w:after="0" w:line="109" w:lineRule="exact"/>
        <w:rPr>
          <w:sz w:val="20"/>
          <w:szCs w:val="20"/>
          <w:color w:val="auto"/>
        </w:rPr>
      </w:pPr>
    </w:p>
    <w:p>
      <w:pPr>
        <w:ind w:left="340" w:right="60"/>
        <w:spacing w:after="0" w:line="286" w:lineRule="auto"/>
        <w:rPr>
          <w:sz w:val="20"/>
          <w:szCs w:val="20"/>
          <w:color w:val="auto"/>
        </w:rPr>
      </w:pPr>
      <w:r>
        <w:rPr>
          <w:rFonts w:ascii="Arial" w:cs="Arial" w:eastAsia="Arial" w:hAnsi="Arial"/>
          <w:sz w:val="14"/>
          <w:szCs w:val="14"/>
          <w:color w:val="auto"/>
        </w:rPr>
        <w:t>Our Audit Committee is responsible for pre-approving all audit services and permitted non-audit services (including the fees and retention terms) to be performed for our Company by its auditors prior to their engagement for such services. Our Audit Committee has delegated to each of its members the authority to grant pre-approvals, such approvals to be presented to the full Audit Committee at the next scheduled meeting. All of the fees paid to BDO under the categories Audit-Related Fees and Tax Fees were pre-approved by the Audit Committee or the Audit Committee Chair and none of the fees for such services were under the de minimis exception to pre-approval provided in the applicable rules rendered established by the SEC.</w:t>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2022 Proxy Statement • 35</w:t>
      </w:r>
    </w:p>
    <w:p>
      <w:pPr>
        <w:sectPr>
          <w:pgSz w:w="11900" w:h="16838" w:orient="portrait"/>
          <w:cols w:equalWidth="0" w:num="1">
            <w:col w:w="10900"/>
          </w:cols>
          <w:pgMar w:left="320" w:top="443" w:right="6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41659C"/>
        </w:rPr>
        <w:t>PROPOSAL 3</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1"/>
          <w:szCs w:val="21"/>
          <w:color w:val="A5BD50"/>
        </w:rPr>
        <w:t>RATIFICATION OF THE APPOINTMENT OF INDEPENDENT REGISTERED PUBLIC ACCOUNTING FIRM</w:t>
      </w:r>
    </w:p>
    <w:p>
      <w:pPr>
        <w:spacing w:after="0" w:line="251" w:lineRule="exact"/>
        <w:rPr>
          <w:sz w:val="20"/>
          <w:szCs w:val="20"/>
          <w:color w:val="auto"/>
        </w:rPr>
      </w:pPr>
    </w:p>
    <w:p>
      <w:pPr>
        <w:ind w:left="340"/>
        <w:spacing w:after="0" w:line="302" w:lineRule="auto"/>
        <w:rPr>
          <w:sz w:val="20"/>
          <w:szCs w:val="20"/>
          <w:color w:val="auto"/>
        </w:rPr>
      </w:pPr>
      <w:r>
        <w:rPr>
          <w:rFonts w:ascii="Arial" w:cs="Arial" w:eastAsia="Arial" w:hAnsi="Arial"/>
          <w:sz w:val="14"/>
          <w:szCs w:val="14"/>
          <w:color w:val="auto"/>
        </w:rPr>
        <w:t>At the recommendation of the Audit Committee, our Board has ratified the appointment of BDO as our independent registered public accounting firm for the fiscal year ending December 31, 2022. BDO has served in that capacity and reported on our consolidated financial statement and the effectiveness of our internal controls over financial reporting continuously since 2008. A representative of BDO is not expected to be present at the Annual Meeting.</w:t>
      </w:r>
    </w:p>
    <w:p>
      <w:pPr>
        <w:spacing w:after="0" w:line="143" w:lineRule="exact"/>
        <w:rPr>
          <w:sz w:val="20"/>
          <w:szCs w:val="20"/>
          <w:color w:val="auto"/>
        </w:rPr>
      </w:pPr>
    </w:p>
    <w:p>
      <w:pPr>
        <w:ind w:left="340" w:right="340"/>
        <w:spacing w:after="0" w:line="334" w:lineRule="auto"/>
        <w:rPr>
          <w:sz w:val="20"/>
          <w:szCs w:val="20"/>
          <w:color w:val="auto"/>
        </w:rPr>
      </w:pPr>
      <w:r>
        <w:rPr>
          <w:rFonts w:ascii="Arial" w:cs="Arial" w:eastAsia="Arial" w:hAnsi="Arial"/>
          <w:sz w:val="14"/>
          <w:szCs w:val="14"/>
          <w:color w:val="auto"/>
        </w:rPr>
        <w:t>Our Audit Committee approves any engagement of BDO and has the ultimate authority and responsibility to select, evaluate and, where appropriate, replace the independent registered public accounting firm and nominate an independent registered public accounting firm for stockholder approval.</w:t>
      </w:r>
    </w:p>
    <w:p>
      <w:pPr>
        <w:spacing w:after="0" w:line="121" w:lineRule="exact"/>
        <w:rPr>
          <w:sz w:val="20"/>
          <w:szCs w:val="20"/>
          <w:color w:val="auto"/>
        </w:rPr>
      </w:pPr>
    </w:p>
    <w:p>
      <w:pPr>
        <w:ind w:left="340" w:right="240"/>
        <w:spacing w:after="0" w:line="242" w:lineRule="auto"/>
        <w:rPr>
          <w:sz w:val="20"/>
          <w:szCs w:val="20"/>
          <w:color w:val="auto"/>
        </w:rPr>
      </w:pPr>
      <w:r>
        <w:rPr>
          <w:rFonts w:ascii="Arial" w:cs="Arial" w:eastAsia="Arial" w:hAnsi="Arial"/>
          <w:sz w:val="16"/>
          <w:szCs w:val="16"/>
          <w:color w:val="auto"/>
        </w:rPr>
        <w:t>Although we are not required to seek stockholder approval of the appointment of BDO, the Board believes that it is consistent with good corporate governance practices to ask stockholders to ratify the appointment. If the appointment is not ratified, the Audit Committee will explore the reasons for stockholder rejection and will reconsider the appointment. In addition, even if stockholders ratify the Audit Committee’s appointment of BDO, the Audit Committee, in its discretion, may still appoint a different independent registered public accounting firm if it believes that such a change would be in the best interests of the Company and our stockholders.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proposal requires a favorable vote of the majority of shares represented at the Annual Meeting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153670</wp:posOffset>
            </wp:positionV>
            <wp:extent cx="5520055" cy="4356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520055" cy="43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spacing w:after="0"/>
        <w:rPr>
          <w:sz w:val="20"/>
          <w:szCs w:val="20"/>
          <w:color w:val="auto"/>
        </w:rPr>
      </w:pPr>
      <w:r>
        <w:rPr>
          <w:rFonts w:ascii="Arial" w:cs="Arial" w:eastAsia="Arial" w:hAnsi="Arial"/>
          <w:sz w:val="16"/>
          <w:szCs w:val="16"/>
          <w:color w:val="262626"/>
        </w:rPr>
        <w:t>36 • CECO Environmental</w:t>
      </w:r>
    </w:p>
    <w:p>
      <w:pPr>
        <w:sectPr>
          <w:pgSz w:w="11900" w:h="16838" w:orient="portrait"/>
          <w:cols w:equalWidth="0" w:num="1">
            <w:col w:w="10860"/>
          </w:cols>
          <w:pgMar w:left="320" w:top="443" w:right="7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90"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41659C"/>
        </w:rPr>
        <w:t>OTHER INFORMATION</w:t>
      </w:r>
    </w:p>
    <w:p>
      <w:pPr>
        <w:spacing w:after="0" w:line="302"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41659C"/>
        </w:rPr>
        <w:t>Security Ownership of Certain Beneficial Owners</w:t>
      </w:r>
    </w:p>
    <w:p>
      <w:pPr>
        <w:spacing w:after="0" w:line="212" w:lineRule="exact"/>
        <w:rPr>
          <w:sz w:val="20"/>
          <w:szCs w:val="20"/>
          <w:color w:val="auto"/>
        </w:rPr>
      </w:pPr>
    </w:p>
    <w:p>
      <w:pPr>
        <w:ind w:left="340" w:right="20"/>
        <w:spacing w:after="0" w:line="242" w:lineRule="auto"/>
        <w:rPr>
          <w:sz w:val="20"/>
          <w:szCs w:val="20"/>
          <w:color w:val="auto"/>
        </w:rPr>
      </w:pPr>
      <w:r>
        <w:rPr>
          <w:rFonts w:ascii="Arial" w:cs="Arial" w:eastAsia="Arial" w:hAnsi="Arial"/>
          <w:sz w:val="16"/>
          <w:szCs w:val="16"/>
          <w:color w:val="auto"/>
        </w:rPr>
        <w:t>The following table shows the beneficial ownership of our common stock as of February 28, 2022, by (i) each of our directors, (ii) each of our named executive officers, (iii) all directors and executive officers as a group, and (iv) all persons whom we know to be the beneficial owner of five percent (5%) or more of our common stock. Beneficial ownership includes the right to acquire shares within 60 days, including upon the exercise of an option or vesting of an RSU; however, such shares are not deemed to be outstanding for the purpose of computing the percentage owned by any other person. Except as noted below, each person exercises sole voting and investment power with respect to the shares listed.</w:t>
      </w:r>
    </w:p>
    <w:p>
      <w:pPr>
        <w:spacing w:after="0" w:line="188"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5280" w:type="dxa"/>
            <w:vAlign w:val="bottom"/>
            <w:shd w:val="clear" w:color="auto" w:fill="41659C"/>
          </w:tcPr>
          <w:p>
            <w:pPr>
              <w:spacing w:after="0"/>
              <w:rPr>
                <w:sz w:val="14"/>
                <w:szCs w:val="14"/>
                <w:color w:val="auto"/>
              </w:rPr>
            </w:pPr>
          </w:p>
        </w:tc>
        <w:tc>
          <w:tcPr>
            <w:tcW w:w="2800" w:type="dxa"/>
            <w:vAlign w:val="bottom"/>
            <w:shd w:val="clear" w:color="auto" w:fill="41659C"/>
          </w:tcPr>
          <w:p>
            <w:pPr>
              <w:jc w:val="center"/>
              <w:ind w:right="87"/>
              <w:spacing w:after="0"/>
              <w:rPr>
                <w:sz w:val="20"/>
                <w:szCs w:val="20"/>
                <w:color w:val="auto"/>
              </w:rPr>
            </w:pPr>
            <w:r>
              <w:rPr>
                <w:rFonts w:ascii="Arial" w:cs="Arial" w:eastAsia="Arial" w:hAnsi="Arial"/>
                <w:sz w:val="15"/>
                <w:szCs w:val="15"/>
                <w:b w:val="1"/>
                <w:bCs w:val="1"/>
                <w:color w:val="FFFFFF"/>
                <w:w w:val="97"/>
              </w:rPr>
              <w:t>Number of Shares of</w:t>
            </w:r>
          </w:p>
        </w:tc>
        <w:tc>
          <w:tcPr>
            <w:tcW w:w="2460" w:type="dxa"/>
            <w:vAlign w:val="bottom"/>
            <w:vMerge w:val="restart"/>
            <w:shd w:val="clear" w:color="auto" w:fill="41659C"/>
          </w:tcPr>
          <w:p>
            <w:pPr>
              <w:jc w:val="right"/>
              <w:ind w:right="347"/>
              <w:spacing w:after="0"/>
              <w:rPr>
                <w:sz w:val="20"/>
                <w:szCs w:val="20"/>
                <w:color w:val="auto"/>
              </w:rPr>
            </w:pPr>
            <w:r>
              <w:rPr>
                <w:rFonts w:ascii="Arial" w:cs="Arial" w:eastAsia="Arial" w:hAnsi="Arial"/>
                <w:sz w:val="15"/>
                <w:szCs w:val="15"/>
                <w:b w:val="1"/>
                <w:bCs w:val="1"/>
                <w:color w:val="FFFFFF"/>
              </w:rPr>
              <w:t>Percent of Total Common</w:t>
            </w:r>
          </w:p>
        </w:tc>
        <w:tc>
          <w:tcPr>
            <w:tcW w:w="0" w:type="dxa"/>
            <w:vAlign w:val="bottom"/>
          </w:tcPr>
          <w:p>
            <w:pPr>
              <w:spacing w:after="0"/>
              <w:rPr>
                <w:sz w:val="1"/>
                <w:szCs w:val="1"/>
                <w:color w:val="auto"/>
              </w:rPr>
            </w:pPr>
          </w:p>
        </w:tc>
      </w:tr>
      <w:tr>
        <w:trPr>
          <w:trHeight w:val="155"/>
        </w:trPr>
        <w:tc>
          <w:tcPr>
            <w:tcW w:w="5280" w:type="dxa"/>
            <w:vAlign w:val="bottom"/>
            <w:shd w:val="clear" w:color="auto" w:fill="41659C"/>
          </w:tcPr>
          <w:p>
            <w:pPr>
              <w:spacing w:after="0"/>
              <w:rPr>
                <w:sz w:val="13"/>
                <w:szCs w:val="13"/>
                <w:color w:val="auto"/>
              </w:rPr>
            </w:pPr>
          </w:p>
        </w:tc>
        <w:tc>
          <w:tcPr>
            <w:tcW w:w="2800" w:type="dxa"/>
            <w:vAlign w:val="bottom"/>
            <w:shd w:val="clear" w:color="auto" w:fill="41659C"/>
          </w:tcPr>
          <w:p>
            <w:pPr>
              <w:jc w:val="center"/>
              <w:ind w:right="87"/>
              <w:spacing w:after="0" w:line="155" w:lineRule="exact"/>
              <w:rPr>
                <w:sz w:val="20"/>
                <w:szCs w:val="20"/>
                <w:color w:val="auto"/>
              </w:rPr>
            </w:pPr>
            <w:r>
              <w:rPr>
                <w:rFonts w:ascii="Arial" w:cs="Arial" w:eastAsia="Arial" w:hAnsi="Arial"/>
                <w:sz w:val="15"/>
                <w:szCs w:val="15"/>
                <w:b w:val="1"/>
                <w:bCs w:val="1"/>
                <w:color w:val="FFFFFF"/>
                <w:w w:val="98"/>
              </w:rPr>
              <w:t>Common Stock</w:t>
            </w:r>
          </w:p>
        </w:tc>
        <w:tc>
          <w:tcPr>
            <w:tcW w:w="2460" w:type="dxa"/>
            <w:vAlign w:val="bottom"/>
            <w:vMerge w:val="continue"/>
            <w:shd w:val="clear" w:color="auto" w:fill="41659C"/>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280" w:type="dxa"/>
            <w:vAlign w:val="bottom"/>
            <w:shd w:val="clear" w:color="auto" w:fill="41659C"/>
          </w:tcPr>
          <w:p>
            <w:pPr>
              <w:ind w:left="120"/>
              <w:spacing w:after="0"/>
              <w:rPr>
                <w:sz w:val="20"/>
                <w:szCs w:val="20"/>
                <w:color w:val="auto"/>
              </w:rPr>
            </w:pPr>
            <w:r>
              <w:rPr>
                <w:rFonts w:ascii="Arial" w:cs="Arial" w:eastAsia="Arial" w:hAnsi="Arial"/>
                <w:sz w:val="15"/>
                <w:szCs w:val="15"/>
                <w:b w:val="1"/>
                <w:bCs w:val="1"/>
                <w:color w:val="FFFFFF"/>
              </w:rPr>
              <w:t>Name of Beneficial Owner</w:t>
            </w:r>
          </w:p>
        </w:tc>
        <w:tc>
          <w:tcPr>
            <w:tcW w:w="2800" w:type="dxa"/>
            <w:vAlign w:val="bottom"/>
            <w:shd w:val="clear" w:color="auto" w:fill="41659C"/>
          </w:tcPr>
          <w:p>
            <w:pPr>
              <w:jc w:val="center"/>
              <w:ind w:right="87"/>
              <w:spacing w:after="0"/>
              <w:rPr>
                <w:sz w:val="20"/>
                <w:szCs w:val="20"/>
                <w:color w:val="auto"/>
              </w:rPr>
            </w:pPr>
            <w:r>
              <w:rPr>
                <w:rFonts w:ascii="Arial" w:cs="Arial" w:eastAsia="Arial" w:hAnsi="Arial"/>
                <w:sz w:val="15"/>
                <w:szCs w:val="15"/>
                <w:b w:val="1"/>
                <w:bCs w:val="1"/>
                <w:color w:val="FFFFFF"/>
                <w:w w:val="97"/>
              </w:rPr>
              <w:t xml:space="preserve">Beneficially Owned </w:t>
            </w:r>
            <w:r>
              <w:rPr>
                <w:rFonts w:ascii="Arial" w:cs="Arial" w:eastAsia="Arial" w:hAnsi="Arial"/>
                <w:sz w:val="12"/>
                <w:szCs w:val="12"/>
                <w:b w:val="1"/>
                <w:bCs w:val="1"/>
                <w:color w:val="FFFFFF"/>
                <w:w w:val="97"/>
              </w:rPr>
              <w:t>2</w:t>
            </w:r>
          </w:p>
        </w:tc>
        <w:tc>
          <w:tcPr>
            <w:tcW w:w="2460" w:type="dxa"/>
            <w:vAlign w:val="bottom"/>
            <w:shd w:val="clear" w:color="auto" w:fill="41659C"/>
          </w:tcPr>
          <w:p>
            <w:pPr>
              <w:jc w:val="right"/>
              <w:ind w:right="527"/>
              <w:spacing w:after="0"/>
              <w:rPr>
                <w:sz w:val="20"/>
                <w:szCs w:val="20"/>
                <w:color w:val="auto"/>
              </w:rPr>
            </w:pPr>
            <w:r>
              <w:rPr>
                <w:rFonts w:ascii="Arial" w:cs="Arial" w:eastAsia="Arial" w:hAnsi="Arial"/>
                <w:sz w:val="15"/>
                <w:szCs w:val="15"/>
                <w:b w:val="1"/>
                <w:bCs w:val="1"/>
                <w:color w:val="FFFFFF"/>
              </w:rPr>
              <w:t xml:space="preserve">Stock Outstanding </w:t>
            </w:r>
            <w:r>
              <w:rPr>
                <w:rFonts w:ascii="Arial" w:cs="Arial" w:eastAsia="Arial" w:hAnsi="Arial"/>
                <w:sz w:val="12"/>
                <w:szCs w:val="12"/>
                <w:b w:val="1"/>
                <w:bCs w:val="1"/>
                <w:color w:val="FFFFFF"/>
              </w:rPr>
              <w:t>1</w:t>
            </w:r>
          </w:p>
        </w:tc>
        <w:tc>
          <w:tcPr>
            <w:tcW w:w="0" w:type="dxa"/>
            <w:vAlign w:val="bottom"/>
          </w:tcPr>
          <w:p>
            <w:pPr>
              <w:spacing w:after="0"/>
              <w:rPr>
                <w:sz w:val="1"/>
                <w:szCs w:val="1"/>
                <w:color w:val="auto"/>
              </w:rPr>
            </w:pPr>
          </w:p>
        </w:tc>
      </w:tr>
      <w:tr>
        <w:trPr>
          <w:trHeight w:val="164"/>
        </w:trPr>
        <w:tc>
          <w:tcPr>
            <w:tcW w:w="5280" w:type="dxa"/>
            <w:vAlign w:val="bottom"/>
            <w:shd w:val="clear" w:color="auto" w:fill="D2DEA7"/>
          </w:tcPr>
          <w:p>
            <w:pPr>
              <w:ind w:left="120"/>
              <w:spacing w:after="0" w:line="164" w:lineRule="exact"/>
              <w:rPr>
                <w:sz w:val="20"/>
                <w:szCs w:val="20"/>
                <w:color w:val="auto"/>
              </w:rPr>
            </w:pPr>
            <w:r>
              <w:rPr>
                <w:rFonts w:ascii="Arial" w:cs="Arial" w:eastAsia="Arial" w:hAnsi="Arial"/>
                <w:sz w:val="15"/>
                <w:szCs w:val="15"/>
                <w:color w:val="auto"/>
              </w:rPr>
              <w:t>Executive Officers, Directors and Director</w:t>
            </w:r>
          </w:p>
        </w:tc>
        <w:tc>
          <w:tcPr>
            <w:tcW w:w="2800" w:type="dxa"/>
            <w:vAlign w:val="bottom"/>
            <w:shd w:val="clear" w:color="auto" w:fill="D2DEA7"/>
          </w:tcPr>
          <w:p>
            <w:pPr>
              <w:spacing w:after="0"/>
              <w:rPr>
                <w:sz w:val="14"/>
                <w:szCs w:val="14"/>
                <w:color w:val="auto"/>
              </w:rPr>
            </w:pPr>
          </w:p>
        </w:tc>
        <w:tc>
          <w:tcPr>
            <w:tcW w:w="2460" w:type="dxa"/>
            <w:vAlign w:val="bottom"/>
            <w:shd w:val="clear" w:color="auto" w:fill="D2DEA7"/>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280" w:type="dxa"/>
            <w:vAlign w:val="bottom"/>
            <w:shd w:val="clear" w:color="auto" w:fill="D2DEA7"/>
          </w:tcPr>
          <w:p>
            <w:pPr>
              <w:ind w:left="120"/>
              <w:spacing w:after="0"/>
              <w:rPr>
                <w:sz w:val="20"/>
                <w:szCs w:val="20"/>
                <w:color w:val="auto"/>
              </w:rPr>
            </w:pPr>
            <w:r>
              <w:rPr>
                <w:rFonts w:ascii="Arial" w:cs="Arial" w:eastAsia="Arial" w:hAnsi="Arial"/>
                <w:sz w:val="15"/>
                <w:szCs w:val="15"/>
                <w:color w:val="auto"/>
              </w:rPr>
              <w:t>Nominees as a group (12 persons)</w:t>
            </w:r>
          </w:p>
        </w:tc>
        <w:tc>
          <w:tcPr>
            <w:tcW w:w="2800" w:type="dxa"/>
            <w:vAlign w:val="bottom"/>
            <w:shd w:val="clear" w:color="auto" w:fill="D2DEA7"/>
          </w:tcPr>
          <w:p>
            <w:pPr>
              <w:jc w:val="right"/>
              <w:ind w:right="187"/>
              <w:spacing w:after="0"/>
              <w:rPr>
                <w:sz w:val="20"/>
                <w:szCs w:val="20"/>
                <w:color w:val="auto"/>
              </w:rPr>
            </w:pPr>
            <w:r>
              <w:rPr>
                <w:rFonts w:ascii="Arial" w:cs="Arial" w:eastAsia="Arial" w:hAnsi="Arial"/>
                <w:sz w:val="15"/>
                <w:szCs w:val="15"/>
                <w:color w:val="auto"/>
              </w:rPr>
              <w:t>5,297,625</w:t>
            </w:r>
          </w:p>
        </w:tc>
        <w:tc>
          <w:tcPr>
            <w:tcW w:w="2460" w:type="dxa"/>
            <w:vAlign w:val="bottom"/>
            <w:shd w:val="clear" w:color="auto" w:fill="D2DEA7"/>
          </w:tcPr>
          <w:p>
            <w:pPr>
              <w:jc w:val="right"/>
              <w:ind w:right="7"/>
              <w:spacing w:after="0"/>
              <w:rPr>
                <w:sz w:val="20"/>
                <w:szCs w:val="20"/>
                <w:color w:val="auto"/>
              </w:rPr>
            </w:pPr>
            <w:r>
              <w:rPr>
                <w:rFonts w:ascii="Arial" w:cs="Arial" w:eastAsia="Arial" w:hAnsi="Arial"/>
                <w:sz w:val="15"/>
                <w:szCs w:val="15"/>
                <w:color w:val="auto"/>
              </w:rPr>
              <w:t>15.1%</w:t>
            </w:r>
          </w:p>
        </w:tc>
        <w:tc>
          <w:tcPr>
            <w:tcW w:w="0" w:type="dxa"/>
            <w:vAlign w:val="bottom"/>
          </w:tcPr>
          <w:p>
            <w:pPr>
              <w:spacing w:after="0"/>
              <w:rPr>
                <w:sz w:val="1"/>
                <w:szCs w:val="1"/>
                <w:color w:val="auto"/>
              </w:rPr>
            </w:pPr>
          </w:p>
        </w:tc>
      </w:tr>
      <w:tr>
        <w:trPr>
          <w:trHeight w:val="204"/>
        </w:trPr>
        <w:tc>
          <w:tcPr>
            <w:tcW w:w="5280" w:type="dxa"/>
            <w:vAlign w:val="bottom"/>
            <w:shd w:val="clear" w:color="auto" w:fill="E8EED3"/>
          </w:tcPr>
          <w:p>
            <w:pPr>
              <w:ind w:left="280"/>
              <w:spacing w:after="0"/>
              <w:rPr>
                <w:sz w:val="20"/>
                <w:szCs w:val="20"/>
                <w:color w:val="auto"/>
              </w:rPr>
            </w:pPr>
            <w:r>
              <w:rPr>
                <w:rFonts w:ascii="Arial" w:cs="Arial" w:eastAsia="Arial" w:hAnsi="Arial"/>
                <w:sz w:val="15"/>
                <w:szCs w:val="15"/>
                <w:color w:val="auto"/>
              </w:rPr>
              <w:t xml:space="preserve">Jason DeZwirek </w:t>
            </w:r>
            <w:r>
              <w:rPr>
                <w:rFonts w:ascii="Arial" w:cs="Arial" w:eastAsia="Arial" w:hAnsi="Arial"/>
                <w:sz w:val="12"/>
                <w:szCs w:val="12"/>
                <w:color w:val="auto"/>
              </w:rPr>
              <w:t>3</w:t>
            </w:r>
          </w:p>
        </w:tc>
        <w:tc>
          <w:tcPr>
            <w:tcW w:w="2800" w:type="dxa"/>
            <w:vAlign w:val="bottom"/>
            <w:shd w:val="clear" w:color="auto" w:fill="E8EED3"/>
          </w:tcPr>
          <w:p>
            <w:pPr>
              <w:jc w:val="right"/>
              <w:ind w:right="187"/>
              <w:spacing w:after="0"/>
              <w:rPr>
                <w:sz w:val="20"/>
                <w:szCs w:val="20"/>
                <w:color w:val="auto"/>
              </w:rPr>
            </w:pPr>
            <w:r>
              <w:rPr>
                <w:rFonts w:ascii="Arial" w:cs="Arial" w:eastAsia="Arial" w:hAnsi="Arial"/>
                <w:sz w:val="15"/>
                <w:szCs w:val="15"/>
                <w:color w:val="auto"/>
              </w:rPr>
              <w:t>4,261,534</w:t>
            </w:r>
          </w:p>
        </w:tc>
        <w:tc>
          <w:tcPr>
            <w:tcW w:w="2460" w:type="dxa"/>
            <w:vAlign w:val="bottom"/>
            <w:shd w:val="clear" w:color="auto" w:fill="E8EED3"/>
          </w:tcPr>
          <w:p>
            <w:pPr>
              <w:jc w:val="right"/>
              <w:ind w:right="7"/>
              <w:spacing w:after="0"/>
              <w:rPr>
                <w:sz w:val="20"/>
                <w:szCs w:val="20"/>
                <w:color w:val="auto"/>
              </w:rPr>
            </w:pPr>
            <w:r>
              <w:rPr>
                <w:rFonts w:ascii="Arial" w:cs="Arial" w:eastAsia="Arial" w:hAnsi="Arial"/>
                <w:sz w:val="15"/>
                <w:szCs w:val="15"/>
                <w:color w:val="auto"/>
              </w:rPr>
              <w:t>12.2%</w:t>
            </w:r>
          </w:p>
        </w:tc>
        <w:tc>
          <w:tcPr>
            <w:tcW w:w="0" w:type="dxa"/>
            <w:vAlign w:val="bottom"/>
          </w:tcPr>
          <w:p>
            <w:pPr>
              <w:spacing w:after="0"/>
              <w:rPr>
                <w:sz w:val="1"/>
                <w:szCs w:val="1"/>
                <w:color w:val="auto"/>
              </w:rPr>
            </w:pPr>
          </w:p>
        </w:tc>
      </w:tr>
      <w:tr>
        <w:trPr>
          <w:trHeight w:val="210"/>
        </w:trPr>
        <w:tc>
          <w:tcPr>
            <w:tcW w:w="5280" w:type="dxa"/>
            <w:vAlign w:val="bottom"/>
            <w:shd w:val="clear" w:color="auto" w:fill="D2DEA7"/>
          </w:tcPr>
          <w:p>
            <w:pPr>
              <w:ind w:left="280"/>
              <w:spacing w:after="0"/>
              <w:rPr>
                <w:sz w:val="20"/>
                <w:szCs w:val="20"/>
                <w:color w:val="auto"/>
              </w:rPr>
            </w:pPr>
            <w:r>
              <w:rPr>
                <w:rFonts w:ascii="Arial" w:cs="Arial" w:eastAsia="Arial" w:hAnsi="Arial"/>
                <w:sz w:val="15"/>
                <w:szCs w:val="15"/>
                <w:color w:val="auto"/>
              </w:rPr>
              <w:t>Matthew Eckl</w:t>
            </w:r>
          </w:p>
        </w:tc>
        <w:tc>
          <w:tcPr>
            <w:tcW w:w="2800" w:type="dxa"/>
            <w:vAlign w:val="bottom"/>
            <w:shd w:val="clear" w:color="auto" w:fill="D2DEA7"/>
          </w:tcPr>
          <w:p>
            <w:pPr>
              <w:jc w:val="right"/>
              <w:ind w:right="187"/>
              <w:spacing w:after="0"/>
              <w:rPr>
                <w:sz w:val="20"/>
                <w:szCs w:val="20"/>
                <w:color w:val="auto"/>
              </w:rPr>
            </w:pPr>
            <w:r>
              <w:rPr>
                <w:rFonts w:ascii="Arial" w:cs="Arial" w:eastAsia="Arial" w:hAnsi="Arial"/>
                <w:sz w:val="15"/>
                <w:szCs w:val="15"/>
                <w:color w:val="auto"/>
              </w:rPr>
              <w:t>92,116</w:t>
            </w:r>
          </w:p>
        </w:tc>
        <w:tc>
          <w:tcPr>
            <w:tcW w:w="2460" w:type="dxa"/>
            <w:vAlign w:val="bottom"/>
            <w:shd w:val="clear" w:color="auto" w:fill="D2DEA7"/>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5280" w:type="dxa"/>
            <w:vAlign w:val="bottom"/>
            <w:shd w:val="clear" w:color="auto" w:fill="E8EED3"/>
          </w:tcPr>
          <w:p>
            <w:pPr>
              <w:ind w:left="280"/>
              <w:spacing w:after="0"/>
              <w:rPr>
                <w:sz w:val="20"/>
                <w:szCs w:val="20"/>
                <w:color w:val="auto"/>
              </w:rPr>
            </w:pPr>
            <w:r>
              <w:rPr>
                <w:rFonts w:ascii="Arial" w:cs="Arial" w:eastAsia="Arial" w:hAnsi="Arial"/>
                <w:sz w:val="15"/>
                <w:szCs w:val="15"/>
                <w:color w:val="auto"/>
              </w:rPr>
              <w:t>Todd Gleason</w:t>
            </w:r>
          </w:p>
        </w:tc>
        <w:tc>
          <w:tcPr>
            <w:tcW w:w="2800" w:type="dxa"/>
            <w:vAlign w:val="bottom"/>
            <w:shd w:val="clear" w:color="auto" w:fill="E8EED3"/>
          </w:tcPr>
          <w:p>
            <w:pPr>
              <w:jc w:val="right"/>
              <w:ind w:right="187"/>
              <w:spacing w:after="0"/>
              <w:rPr>
                <w:sz w:val="20"/>
                <w:szCs w:val="20"/>
                <w:color w:val="auto"/>
              </w:rPr>
            </w:pPr>
            <w:r>
              <w:rPr>
                <w:rFonts w:ascii="Arial" w:cs="Arial" w:eastAsia="Arial" w:hAnsi="Arial"/>
                <w:sz w:val="15"/>
                <w:szCs w:val="15"/>
                <w:color w:val="auto"/>
              </w:rPr>
              <w:t>338,328</w:t>
            </w:r>
          </w:p>
        </w:tc>
        <w:tc>
          <w:tcPr>
            <w:tcW w:w="2460" w:type="dxa"/>
            <w:vAlign w:val="bottom"/>
            <w:shd w:val="clear" w:color="auto" w:fill="E8EED3"/>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5280" w:type="dxa"/>
            <w:vAlign w:val="bottom"/>
            <w:shd w:val="clear" w:color="auto" w:fill="D2DEA7"/>
          </w:tcPr>
          <w:p>
            <w:pPr>
              <w:ind w:left="280"/>
              <w:spacing w:after="0"/>
              <w:rPr>
                <w:sz w:val="20"/>
                <w:szCs w:val="20"/>
                <w:color w:val="auto"/>
              </w:rPr>
            </w:pPr>
            <w:r>
              <w:rPr>
                <w:rFonts w:ascii="Arial" w:cs="Arial" w:eastAsia="Arial" w:hAnsi="Arial"/>
                <w:sz w:val="15"/>
                <w:szCs w:val="15"/>
                <w:color w:val="auto"/>
              </w:rPr>
              <w:t>Ramesh Nuggihalli</w:t>
            </w:r>
          </w:p>
        </w:tc>
        <w:tc>
          <w:tcPr>
            <w:tcW w:w="2800" w:type="dxa"/>
            <w:vAlign w:val="bottom"/>
            <w:shd w:val="clear" w:color="auto" w:fill="D2DEA7"/>
          </w:tcPr>
          <w:p>
            <w:pPr>
              <w:jc w:val="right"/>
              <w:ind w:right="187"/>
              <w:spacing w:after="0"/>
              <w:rPr>
                <w:sz w:val="20"/>
                <w:szCs w:val="20"/>
                <w:color w:val="auto"/>
              </w:rPr>
            </w:pPr>
            <w:r>
              <w:rPr>
                <w:rFonts w:ascii="Arial" w:cs="Arial" w:eastAsia="Arial" w:hAnsi="Arial"/>
                <w:sz w:val="15"/>
                <w:szCs w:val="15"/>
                <w:color w:val="auto"/>
              </w:rPr>
              <w:t>12,568</w:t>
            </w:r>
          </w:p>
        </w:tc>
        <w:tc>
          <w:tcPr>
            <w:tcW w:w="2460" w:type="dxa"/>
            <w:vAlign w:val="bottom"/>
            <w:shd w:val="clear" w:color="auto" w:fill="D2DEA7"/>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5280" w:type="dxa"/>
            <w:vAlign w:val="bottom"/>
            <w:shd w:val="clear" w:color="auto" w:fill="E8EED3"/>
          </w:tcPr>
          <w:p>
            <w:pPr>
              <w:ind w:left="280"/>
              <w:spacing w:after="0"/>
              <w:rPr>
                <w:sz w:val="20"/>
                <w:szCs w:val="20"/>
                <w:color w:val="auto"/>
              </w:rPr>
            </w:pPr>
            <w:r>
              <w:rPr>
                <w:rFonts w:ascii="Arial" w:cs="Arial" w:eastAsia="Arial" w:hAnsi="Arial"/>
                <w:sz w:val="15"/>
                <w:szCs w:val="15"/>
                <w:color w:val="auto"/>
              </w:rPr>
              <w:t>Eric M. Goldberg</w:t>
            </w:r>
          </w:p>
        </w:tc>
        <w:tc>
          <w:tcPr>
            <w:tcW w:w="2800" w:type="dxa"/>
            <w:vAlign w:val="bottom"/>
            <w:shd w:val="clear" w:color="auto" w:fill="E8EED3"/>
          </w:tcPr>
          <w:p>
            <w:pPr>
              <w:jc w:val="right"/>
              <w:ind w:right="187"/>
              <w:spacing w:after="0"/>
              <w:rPr>
                <w:sz w:val="20"/>
                <w:szCs w:val="20"/>
                <w:color w:val="auto"/>
              </w:rPr>
            </w:pPr>
            <w:r>
              <w:rPr>
                <w:rFonts w:ascii="Arial" w:cs="Arial" w:eastAsia="Arial" w:hAnsi="Arial"/>
                <w:sz w:val="15"/>
                <w:szCs w:val="15"/>
                <w:color w:val="auto"/>
              </w:rPr>
              <w:t>73,718</w:t>
            </w:r>
          </w:p>
        </w:tc>
        <w:tc>
          <w:tcPr>
            <w:tcW w:w="2460" w:type="dxa"/>
            <w:vAlign w:val="bottom"/>
            <w:shd w:val="clear" w:color="auto" w:fill="E8EED3"/>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5280" w:type="dxa"/>
            <w:vAlign w:val="bottom"/>
            <w:shd w:val="clear" w:color="auto" w:fill="D2DEA7"/>
          </w:tcPr>
          <w:p>
            <w:pPr>
              <w:ind w:left="280"/>
              <w:spacing w:after="0"/>
              <w:rPr>
                <w:sz w:val="20"/>
                <w:szCs w:val="20"/>
                <w:color w:val="auto"/>
              </w:rPr>
            </w:pPr>
            <w:r>
              <w:rPr>
                <w:rFonts w:ascii="Arial" w:cs="Arial" w:eastAsia="Arial" w:hAnsi="Arial"/>
                <w:sz w:val="15"/>
                <w:szCs w:val="15"/>
                <w:color w:val="auto"/>
              </w:rPr>
              <w:t>David B. Liner</w:t>
            </w:r>
          </w:p>
        </w:tc>
        <w:tc>
          <w:tcPr>
            <w:tcW w:w="2800" w:type="dxa"/>
            <w:vAlign w:val="bottom"/>
            <w:shd w:val="clear" w:color="auto" w:fill="D2DEA7"/>
          </w:tcPr>
          <w:p>
            <w:pPr>
              <w:jc w:val="right"/>
              <w:ind w:right="187"/>
              <w:spacing w:after="0"/>
              <w:rPr>
                <w:sz w:val="20"/>
                <w:szCs w:val="20"/>
                <w:color w:val="auto"/>
              </w:rPr>
            </w:pPr>
            <w:r>
              <w:rPr>
                <w:rFonts w:ascii="Arial" w:cs="Arial" w:eastAsia="Arial" w:hAnsi="Arial"/>
                <w:sz w:val="15"/>
                <w:szCs w:val="15"/>
                <w:color w:val="auto"/>
              </w:rPr>
              <w:t>77,514</w:t>
            </w:r>
          </w:p>
        </w:tc>
        <w:tc>
          <w:tcPr>
            <w:tcW w:w="2460" w:type="dxa"/>
            <w:vAlign w:val="bottom"/>
            <w:shd w:val="clear" w:color="auto" w:fill="D2DEA7"/>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5280" w:type="dxa"/>
            <w:vAlign w:val="bottom"/>
            <w:shd w:val="clear" w:color="auto" w:fill="E8EED3"/>
          </w:tcPr>
          <w:p>
            <w:pPr>
              <w:ind w:left="280"/>
              <w:spacing w:after="0"/>
              <w:rPr>
                <w:sz w:val="20"/>
                <w:szCs w:val="20"/>
                <w:color w:val="auto"/>
              </w:rPr>
            </w:pPr>
            <w:r>
              <w:rPr>
                <w:rFonts w:ascii="Arial" w:cs="Arial" w:eastAsia="Arial" w:hAnsi="Arial"/>
                <w:sz w:val="15"/>
                <w:szCs w:val="15"/>
                <w:color w:val="auto"/>
              </w:rPr>
              <w:t>Claudio A. Mannarino</w:t>
            </w:r>
          </w:p>
        </w:tc>
        <w:tc>
          <w:tcPr>
            <w:tcW w:w="2800" w:type="dxa"/>
            <w:vAlign w:val="bottom"/>
            <w:shd w:val="clear" w:color="auto" w:fill="E8EED3"/>
          </w:tcPr>
          <w:p>
            <w:pPr>
              <w:jc w:val="right"/>
              <w:ind w:right="187"/>
              <w:spacing w:after="0"/>
              <w:rPr>
                <w:sz w:val="20"/>
                <w:szCs w:val="20"/>
                <w:color w:val="auto"/>
              </w:rPr>
            </w:pPr>
            <w:r>
              <w:rPr>
                <w:rFonts w:ascii="Arial" w:cs="Arial" w:eastAsia="Arial" w:hAnsi="Arial"/>
                <w:sz w:val="15"/>
                <w:szCs w:val="15"/>
                <w:color w:val="auto"/>
              </w:rPr>
              <w:t>60,718</w:t>
            </w:r>
          </w:p>
        </w:tc>
        <w:tc>
          <w:tcPr>
            <w:tcW w:w="2460" w:type="dxa"/>
            <w:vAlign w:val="bottom"/>
            <w:shd w:val="clear" w:color="auto" w:fill="E8EED3"/>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5280" w:type="dxa"/>
            <w:vAlign w:val="bottom"/>
            <w:shd w:val="clear" w:color="auto" w:fill="D2DEA7"/>
          </w:tcPr>
          <w:p>
            <w:pPr>
              <w:ind w:left="280"/>
              <w:spacing w:after="0"/>
              <w:rPr>
                <w:sz w:val="20"/>
                <w:szCs w:val="20"/>
                <w:color w:val="auto"/>
              </w:rPr>
            </w:pPr>
            <w:r>
              <w:rPr>
                <w:rFonts w:ascii="Arial" w:cs="Arial" w:eastAsia="Arial" w:hAnsi="Arial"/>
                <w:sz w:val="15"/>
                <w:szCs w:val="15"/>
                <w:color w:val="auto"/>
              </w:rPr>
              <w:t>Munish Nanda</w:t>
            </w:r>
          </w:p>
        </w:tc>
        <w:tc>
          <w:tcPr>
            <w:tcW w:w="2800" w:type="dxa"/>
            <w:vAlign w:val="bottom"/>
            <w:shd w:val="clear" w:color="auto" w:fill="D2DEA7"/>
          </w:tcPr>
          <w:p>
            <w:pPr>
              <w:jc w:val="right"/>
              <w:ind w:right="187"/>
              <w:spacing w:after="0"/>
              <w:rPr>
                <w:sz w:val="20"/>
                <w:szCs w:val="20"/>
                <w:color w:val="auto"/>
              </w:rPr>
            </w:pPr>
            <w:r>
              <w:rPr>
                <w:rFonts w:ascii="Arial" w:cs="Arial" w:eastAsia="Arial" w:hAnsi="Arial"/>
                <w:sz w:val="15"/>
                <w:szCs w:val="15"/>
                <w:color w:val="auto"/>
              </w:rPr>
              <w:t>30,372</w:t>
            </w:r>
          </w:p>
        </w:tc>
        <w:tc>
          <w:tcPr>
            <w:tcW w:w="2460" w:type="dxa"/>
            <w:vAlign w:val="bottom"/>
            <w:shd w:val="clear" w:color="auto" w:fill="D2DEA7"/>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5280" w:type="dxa"/>
            <w:vAlign w:val="bottom"/>
            <w:shd w:val="clear" w:color="auto" w:fill="E8EED3"/>
          </w:tcPr>
          <w:p>
            <w:pPr>
              <w:ind w:left="280"/>
              <w:spacing w:after="0"/>
              <w:rPr>
                <w:sz w:val="20"/>
                <w:szCs w:val="20"/>
                <w:color w:val="auto"/>
              </w:rPr>
            </w:pPr>
            <w:r>
              <w:rPr>
                <w:rFonts w:ascii="Arial" w:cs="Arial" w:eastAsia="Arial" w:hAnsi="Arial"/>
                <w:sz w:val="15"/>
                <w:szCs w:val="15"/>
                <w:color w:val="auto"/>
              </w:rPr>
              <w:t xml:space="preserve">Jonathan Pollack </w:t>
            </w:r>
            <w:r>
              <w:rPr>
                <w:rFonts w:ascii="Arial" w:cs="Arial" w:eastAsia="Arial" w:hAnsi="Arial"/>
                <w:sz w:val="12"/>
                <w:szCs w:val="12"/>
                <w:color w:val="auto"/>
              </w:rPr>
              <w:t>4</w:t>
            </w:r>
          </w:p>
        </w:tc>
        <w:tc>
          <w:tcPr>
            <w:tcW w:w="2800" w:type="dxa"/>
            <w:vAlign w:val="bottom"/>
            <w:shd w:val="clear" w:color="auto" w:fill="E8EED3"/>
          </w:tcPr>
          <w:p>
            <w:pPr>
              <w:jc w:val="right"/>
              <w:ind w:right="187"/>
              <w:spacing w:after="0"/>
              <w:rPr>
                <w:sz w:val="20"/>
                <w:szCs w:val="20"/>
                <w:color w:val="auto"/>
              </w:rPr>
            </w:pPr>
            <w:r>
              <w:rPr>
                <w:rFonts w:ascii="Arial" w:cs="Arial" w:eastAsia="Arial" w:hAnsi="Arial"/>
                <w:sz w:val="15"/>
                <w:szCs w:val="15"/>
                <w:color w:val="auto"/>
              </w:rPr>
              <w:t>223,876</w:t>
            </w:r>
          </w:p>
        </w:tc>
        <w:tc>
          <w:tcPr>
            <w:tcW w:w="2460" w:type="dxa"/>
            <w:vAlign w:val="bottom"/>
            <w:shd w:val="clear" w:color="auto" w:fill="E8EED3"/>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5280" w:type="dxa"/>
            <w:vAlign w:val="bottom"/>
            <w:shd w:val="clear" w:color="auto" w:fill="D2DEA7"/>
          </w:tcPr>
          <w:p>
            <w:pPr>
              <w:ind w:left="280"/>
              <w:spacing w:after="0"/>
              <w:rPr>
                <w:sz w:val="20"/>
                <w:szCs w:val="20"/>
                <w:color w:val="auto"/>
              </w:rPr>
            </w:pPr>
            <w:r>
              <w:rPr>
                <w:rFonts w:ascii="Arial" w:cs="Arial" w:eastAsia="Arial" w:hAnsi="Arial"/>
                <w:sz w:val="15"/>
                <w:szCs w:val="15"/>
                <w:color w:val="auto"/>
              </w:rPr>
              <w:t>Valerie Gentile Sachs</w:t>
            </w:r>
          </w:p>
        </w:tc>
        <w:tc>
          <w:tcPr>
            <w:tcW w:w="2800" w:type="dxa"/>
            <w:vAlign w:val="bottom"/>
            <w:shd w:val="clear" w:color="auto" w:fill="D2DEA7"/>
          </w:tcPr>
          <w:p>
            <w:pPr>
              <w:jc w:val="right"/>
              <w:ind w:right="187"/>
              <w:spacing w:after="0"/>
              <w:rPr>
                <w:sz w:val="20"/>
                <w:szCs w:val="20"/>
                <w:color w:val="auto"/>
              </w:rPr>
            </w:pPr>
            <w:r>
              <w:rPr>
                <w:rFonts w:ascii="Arial" w:cs="Arial" w:eastAsia="Arial" w:hAnsi="Arial"/>
                <w:sz w:val="15"/>
                <w:szCs w:val="15"/>
                <w:color w:val="auto"/>
              </w:rPr>
              <w:t>51,880</w:t>
            </w:r>
          </w:p>
        </w:tc>
        <w:tc>
          <w:tcPr>
            <w:tcW w:w="2460" w:type="dxa"/>
            <w:vAlign w:val="bottom"/>
            <w:shd w:val="clear" w:color="auto" w:fill="D2DEA7"/>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5280" w:type="dxa"/>
            <w:vAlign w:val="bottom"/>
            <w:shd w:val="clear" w:color="auto" w:fill="E8EED3"/>
          </w:tcPr>
          <w:p>
            <w:pPr>
              <w:ind w:left="280"/>
              <w:spacing w:after="0"/>
              <w:rPr>
                <w:sz w:val="20"/>
                <w:szCs w:val="20"/>
                <w:color w:val="auto"/>
              </w:rPr>
            </w:pPr>
            <w:r>
              <w:rPr>
                <w:rFonts w:ascii="Arial" w:cs="Arial" w:eastAsia="Arial" w:hAnsi="Arial"/>
                <w:sz w:val="15"/>
                <w:szCs w:val="15"/>
                <w:color w:val="auto"/>
              </w:rPr>
              <w:t>Richard F. Wallman</w:t>
            </w:r>
          </w:p>
        </w:tc>
        <w:tc>
          <w:tcPr>
            <w:tcW w:w="2800" w:type="dxa"/>
            <w:vAlign w:val="bottom"/>
            <w:shd w:val="clear" w:color="auto" w:fill="E8EED3"/>
          </w:tcPr>
          <w:p>
            <w:pPr>
              <w:jc w:val="right"/>
              <w:ind w:right="187"/>
              <w:spacing w:after="0"/>
              <w:rPr>
                <w:sz w:val="20"/>
                <w:szCs w:val="20"/>
                <w:color w:val="auto"/>
              </w:rPr>
            </w:pPr>
            <w:r>
              <w:rPr>
                <w:rFonts w:ascii="Arial" w:cs="Arial" w:eastAsia="Arial" w:hAnsi="Arial"/>
                <w:sz w:val="15"/>
                <w:szCs w:val="15"/>
                <w:color w:val="auto"/>
              </w:rPr>
              <w:t>75,000</w:t>
            </w:r>
          </w:p>
        </w:tc>
        <w:tc>
          <w:tcPr>
            <w:tcW w:w="2460" w:type="dxa"/>
            <w:vAlign w:val="bottom"/>
            <w:shd w:val="clear" w:color="auto" w:fill="E8EED3"/>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5280" w:type="dxa"/>
            <w:vAlign w:val="bottom"/>
            <w:shd w:val="clear" w:color="auto" w:fill="D2DEA7"/>
          </w:tcPr>
          <w:p>
            <w:pPr>
              <w:ind w:left="120"/>
              <w:spacing w:after="0"/>
              <w:rPr>
                <w:sz w:val="20"/>
                <w:szCs w:val="20"/>
                <w:color w:val="auto"/>
              </w:rPr>
            </w:pPr>
            <w:r>
              <w:rPr>
                <w:rFonts w:ascii="Arial" w:cs="Arial" w:eastAsia="Arial" w:hAnsi="Arial"/>
                <w:sz w:val="15"/>
                <w:szCs w:val="15"/>
                <w:color w:val="auto"/>
              </w:rPr>
              <w:t>Other Beneficial Owners</w:t>
            </w:r>
          </w:p>
        </w:tc>
        <w:tc>
          <w:tcPr>
            <w:tcW w:w="2800" w:type="dxa"/>
            <w:vAlign w:val="bottom"/>
            <w:shd w:val="clear" w:color="auto" w:fill="D2DEA7"/>
          </w:tcPr>
          <w:p>
            <w:pPr>
              <w:spacing w:after="0"/>
              <w:rPr>
                <w:sz w:val="18"/>
                <w:szCs w:val="18"/>
                <w:color w:val="auto"/>
              </w:rPr>
            </w:pPr>
          </w:p>
        </w:tc>
        <w:tc>
          <w:tcPr>
            <w:tcW w:w="2460" w:type="dxa"/>
            <w:vAlign w:val="bottom"/>
            <w:shd w:val="clear" w:color="auto" w:fill="D2DEA7"/>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280" w:type="dxa"/>
            <w:vAlign w:val="bottom"/>
            <w:shd w:val="clear" w:color="auto" w:fill="E8EED3"/>
          </w:tcPr>
          <w:p>
            <w:pPr>
              <w:ind w:left="280"/>
              <w:spacing w:after="0" w:line="164" w:lineRule="exact"/>
              <w:rPr>
                <w:sz w:val="20"/>
                <w:szCs w:val="20"/>
                <w:color w:val="auto"/>
              </w:rPr>
            </w:pPr>
            <w:r>
              <w:rPr>
                <w:rFonts w:ascii="Arial" w:cs="Arial" w:eastAsia="Arial" w:hAnsi="Arial"/>
                <w:sz w:val="15"/>
                <w:szCs w:val="15"/>
                <w:color w:val="auto"/>
              </w:rPr>
              <w:t xml:space="preserve">American Century Investment Management, Inc. </w:t>
            </w:r>
            <w:r>
              <w:rPr>
                <w:rFonts w:ascii="Arial" w:cs="Arial" w:eastAsia="Arial" w:hAnsi="Arial"/>
                <w:sz w:val="12"/>
                <w:szCs w:val="12"/>
                <w:color w:val="auto"/>
              </w:rPr>
              <w:t>5</w:t>
            </w:r>
          </w:p>
        </w:tc>
        <w:tc>
          <w:tcPr>
            <w:tcW w:w="2800" w:type="dxa"/>
            <w:vAlign w:val="bottom"/>
            <w:shd w:val="clear" w:color="auto" w:fill="E8EED3"/>
          </w:tcPr>
          <w:p>
            <w:pPr>
              <w:spacing w:after="0"/>
              <w:rPr>
                <w:sz w:val="14"/>
                <w:szCs w:val="14"/>
                <w:color w:val="auto"/>
              </w:rPr>
            </w:pPr>
          </w:p>
        </w:tc>
        <w:tc>
          <w:tcPr>
            <w:tcW w:w="2460" w:type="dxa"/>
            <w:vAlign w:val="bottom"/>
            <w:shd w:val="clear" w:color="auto" w:fill="E8EED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80" w:type="dxa"/>
            <w:vAlign w:val="bottom"/>
            <w:shd w:val="clear" w:color="auto" w:fill="E8EED3"/>
          </w:tcPr>
          <w:p>
            <w:pPr>
              <w:ind w:left="280"/>
              <w:spacing w:after="0" w:line="155" w:lineRule="exact"/>
              <w:rPr>
                <w:sz w:val="20"/>
                <w:szCs w:val="20"/>
                <w:color w:val="auto"/>
              </w:rPr>
            </w:pPr>
            <w:r>
              <w:rPr>
                <w:rFonts w:ascii="Arial" w:cs="Arial" w:eastAsia="Arial" w:hAnsi="Arial"/>
                <w:sz w:val="15"/>
                <w:szCs w:val="15"/>
                <w:color w:val="auto"/>
              </w:rPr>
              <w:t>4500 Main Street, 9th Floor</w:t>
            </w:r>
          </w:p>
        </w:tc>
        <w:tc>
          <w:tcPr>
            <w:tcW w:w="2800" w:type="dxa"/>
            <w:vAlign w:val="bottom"/>
            <w:shd w:val="clear" w:color="auto" w:fill="E8EED3"/>
          </w:tcPr>
          <w:p>
            <w:pPr>
              <w:spacing w:after="0"/>
              <w:rPr>
                <w:sz w:val="13"/>
                <w:szCs w:val="13"/>
                <w:color w:val="auto"/>
              </w:rPr>
            </w:pPr>
          </w:p>
        </w:tc>
        <w:tc>
          <w:tcPr>
            <w:tcW w:w="2460" w:type="dxa"/>
            <w:vAlign w:val="bottom"/>
            <w:shd w:val="clear" w:color="auto" w:fill="E8EED3"/>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280" w:type="dxa"/>
            <w:vAlign w:val="bottom"/>
            <w:shd w:val="clear" w:color="auto" w:fill="E8EED3"/>
          </w:tcPr>
          <w:p>
            <w:pPr>
              <w:ind w:left="280"/>
              <w:spacing w:after="0"/>
              <w:rPr>
                <w:sz w:val="20"/>
                <w:szCs w:val="20"/>
                <w:color w:val="auto"/>
              </w:rPr>
            </w:pPr>
            <w:r>
              <w:rPr>
                <w:rFonts w:ascii="Arial" w:cs="Arial" w:eastAsia="Arial" w:hAnsi="Arial"/>
                <w:sz w:val="15"/>
                <w:szCs w:val="15"/>
                <w:color w:val="auto"/>
              </w:rPr>
              <w:t>Kansas City, Missouri, 64111</w:t>
            </w:r>
          </w:p>
        </w:tc>
        <w:tc>
          <w:tcPr>
            <w:tcW w:w="2800" w:type="dxa"/>
            <w:vAlign w:val="bottom"/>
            <w:shd w:val="clear" w:color="auto" w:fill="E8EED3"/>
          </w:tcPr>
          <w:p>
            <w:pPr>
              <w:jc w:val="right"/>
              <w:ind w:right="187"/>
              <w:spacing w:after="0"/>
              <w:rPr>
                <w:sz w:val="20"/>
                <w:szCs w:val="20"/>
                <w:color w:val="auto"/>
              </w:rPr>
            </w:pPr>
            <w:r>
              <w:rPr>
                <w:rFonts w:ascii="Arial" w:cs="Arial" w:eastAsia="Arial" w:hAnsi="Arial"/>
                <w:sz w:val="15"/>
                <w:szCs w:val="15"/>
                <w:color w:val="auto"/>
              </w:rPr>
              <w:t>2,293,671</w:t>
            </w:r>
          </w:p>
        </w:tc>
        <w:tc>
          <w:tcPr>
            <w:tcW w:w="2460" w:type="dxa"/>
            <w:vAlign w:val="bottom"/>
            <w:shd w:val="clear" w:color="auto" w:fill="E8EED3"/>
          </w:tcPr>
          <w:p>
            <w:pPr>
              <w:jc w:val="right"/>
              <w:ind w:right="7"/>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167"/>
        </w:trPr>
        <w:tc>
          <w:tcPr>
            <w:tcW w:w="5280" w:type="dxa"/>
            <w:vAlign w:val="bottom"/>
            <w:shd w:val="clear" w:color="auto" w:fill="D2DEA7"/>
          </w:tcPr>
          <w:p>
            <w:pPr>
              <w:ind w:left="280"/>
              <w:spacing w:after="0" w:line="167" w:lineRule="exact"/>
              <w:rPr>
                <w:sz w:val="20"/>
                <w:szCs w:val="20"/>
                <w:color w:val="auto"/>
              </w:rPr>
            </w:pPr>
            <w:r>
              <w:rPr>
                <w:rFonts w:ascii="Arial" w:cs="Arial" w:eastAsia="Arial" w:hAnsi="Arial"/>
                <w:sz w:val="15"/>
                <w:szCs w:val="15"/>
                <w:color w:val="auto"/>
              </w:rPr>
              <w:t xml:space="preserve">BlackRock, Inc. </w:t>
            </w:r>
            <w:r>
              <w:rPr>
                <w:rFonts w:ascii="Arial" w:cs="Arial" w:eastAsia="Arial" w:hAnsi="Arial"/>
                <w:sz w:val="12"/>
                <w:szCs w:val="12"/>
                <w:color w:val="auto"/>
              </w:rPr>
              <w:t>6</w:t>
            </w:r>
          </w:p>
        </w:tc>
        <w:tc>
          <w:tcPr>
            <w:tcW w:w="2800" w:type="dxa"/>
            <w:vAlign w:val="bottom"/>
            <w:shd w:val="clear" w:color="auto" w:fill="D2DEA7"/>
          </w:tcPr>
          <w:p>
            <w:pPr>
              <w:spacing w:after="0"/>
              <w:rPr>
                <w:sz w:val="14"/>
                <w:szCs w:val="14"/>
                <w:color w:val="auto"/>
              </w:rPr>
            </w:pPr>
          </w:p>
        </w:tc>
        <w:tc>
          <w:tcPr>
            <w:tcW w:w="2460" w:type="dxa"/>
            <w:vAlign w:val="bottom"/>
            <w:shd w:val="clear" w:color="auto" w:fill="D2DEA7"/>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80" w:type="dxa"/>
            <w:vAlign w:val="bottom"/>
            <w:shd w:val="clear" w:color="auto" w:fill="D2DEA7"/>
          </w:tcPr>
          <w:p>
            <w:pPr>
              <w:ind w:left="280"/>
              <w:spacing w:after="0" w:line="155" w:lineRule="exact"/>
              <w:rPr>
                <w:sz w:val="20"/>
                <w:szCs w:val="20"/>
                <w:color w:val="auto"/>
              </w:rPr>
            </w:pPr>
            <w:r>
              <w:rPr>
                <w:rFonts w:ascii="Arial" w:cs="Arial" w:eastAsia="Arial" w:hAnsi="Arial"/>
                <w:sz w:val="15"/>
                <w:szCs w:val="15"/>
                <w:color w:val="auto"/>
              </w:rPr>
              <w:t>55 East 52nd Street</w:t>
            </w:r>
          </w:p>
        </w:tc>
        <w:tc>
          <w:tcPr>
            <w:tcW w:w="2800" w:type="dxa"/>
            <w:vAlign w:val="bottom"/>
            <w:shd w:val="clear" w:color="auto" w:fill="D2DEA7"/>
          </w:tcPr>
          <w:p>
            <w:pPr>
              <w:spacing w:after="0"/>
              <w:rPr>
                <w:sz w:val="13"/>
                <w:szCs w:val="13"/>
                <w:color w:val="auto"/>
              </w:rPr>
            </w:pPr>
          </w:p>
        </w:tc>
        <w:tc>
          <w:tcPr>
            <w:tcW w:w="2460" w:type="dxa"/>
            <w:vAlign w:val="bottom"/>
            <w:shd w:val="clear" w:color="auto" w:fill="D2DEA7"/>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280" w:type="dxa"/>
            <w:vAlign w:val="bottom"/>
            <w:shd w:val="clear" w:color="auto" w:fill="D2DEA7"/>
          </w:tcPr>
          <w:p>
            <w:pPr>
              <w:ind w:left="280"/>
              <w:spacing w:after="0"/>
              <w:rPr>
                <w:sz w:val="20"/>
                <w:szCs w:val="20"/>
                <w:color w:val="auto"/>
              </w:rPr>
            </w:pPr>
            <w:r>
              <w:rPr>
                <w:rFonts w:ascii="Arial" w:cs="Arial" w:eastAsia="Arial" w:hAnsi="Arial"/>
                <w:sz w:val="15"/>
                <w:szCs w:val="15"/>
                <w:color w:val="auto"/>
              </w:rPr>
              <w:t>New York, New York 10055</w:t>
            </w:r>
          </w:p>
        </w:tc>
        <w:tc>
          <w:tcPr>
            <w:tcW w:w="2800" w:type="dxa"/>
            <w:vAlign w:val="bottom"/>
            <w:shd w:val="clear" w:color="auto" w:fill="D2DEA7"/>
          </w:tcPr>
          <w:p>
            <w:pPr>
              <w:jc w:val="right"/>
              <w:ind w:right="187"/>
              <w:spacing w:after="0"/>
              <w:rPr>
                <w:sz w:val="20"/>
                <w:szCs w:val="20"/>
                <w:color w:val="auto"/>
              </w:rPr>
            </w:pPr>
            <w:r>
              <w:rPr>
                <w:rFonts w:ascii="Arial" w:cs="Arial" w:eastAsia="Arial" w:hAnsi="Arial"/>
                <w:sz w:val="15"/>
                <w:szCs w:val="15"/>
                <w:color w:val="auto"/>
              </w:rPr>
              <w:t>2,416,268</w:t>
            </w:r>
          </w:p>
        </w:tc>
        <w:tc>
          <w:tcPr>
            <w:tcW w:w="2460" w:type="dxa"/>
            <w:vAlign w:val="bottom"/>
            <w:shd w:val="clear" w:color="auto" w:fill="D2DEA7"/>
          </w:tcPr>
          <w:p>
            <w:pPr>
              <w:jc w:val="right"/>
              <w:ind w:right="7"/>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64"/>
        </w:trPr>
        <w:tc>
          <w:tcPr>
            <w:tcW w:w="5280" w:type="dxa"/>
            <w:vAlign w:val="bottom"/>
            <w:shd w:val="clear" w:color="auto" w:fill="E8EED3"/>
          </w:tcPr>
          <w:p>
            <w:pPr>
              <w:ind w:left="280"/>
              <w:spacing w:after="0" w:line="164" w:lineRule="exact"/>
              <w:rPr>
                <w:sz w:val="20"/>
                <w:szCs w:val="20"/>
                <w:color w:val="auto"/>
              </w:rPr>
            </w:pPr>
            <w:r>
              <w:rPr>
                <w:rFonts w:ascii="Arial" w:cs="Arial" w:eastAsia="Arial" w:hAnsi="Arial"/>
                <w:sz w:val="15"/>
                <w:szCs w:val="15"/>
                <w:color w:val="auto"/>
              </w:rPr>
              <w:t xml:space="preserve">Dimensional Fund Advisors LP </w:t>
            </w:r>
            <w:r>
              <w:rPr>
                <w:rFonts w:ascii="Arial" w:cs="Arial" w:eastAsia="Arial" w:hAnsi="Arial"/>
                <w:sz w:val="12"/>
                <w:szCs w:val="12"/>
                <w:color w:val="auto"/>
              </w:rPr>
              <w:t>6</w:t>
            </w:r>
          </w:p>
        </w:tc>
        <w:tc>
          <w:tcPr>
            <w:tcW w:w="2800" w:type="dxa"/>
            <w:vAlign w:val="bottom"/>
            <w:shd w:val="clear" w:color="auto" w:fill="E8EED3"/>
          </w:tcPr>
          <w:p>
            <w:pPr>
              <w:spacing w:after="0"/>
              <w:rPr>
                <w:sz w:val="14"/>
                <w:szCs w:val="14"/>
                <w:color w:val="auto"/>
              </w:rPr>
            </w:pPr>
          </w:p>
        </w:tc>
        <w:tc>
          <w:tcPr>
            <w:tcW w:w="2460" w:type="dxa"/>
            <w:vAlign w:val="bottom"/>
            <w:shd w:val="clear" w:color="auto" w:fill="E8EED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80" w:type="dxa"/>
            <w:vAlign w:val="bottom"/>
            <w:shd w:val="clear" w:color="auto" w:fill="E8EED3"/>
          </w:tcPr>
          <w:p>
            <w:pPr>
              <w:ind w:left="280"/>
              <w:spacing w:after="0" w:line="155" w:lineRule="exact"/>
              <w:rPr>
                <w:sz w:val="20"/>
                <w:szCs w:val="20"/>
                <w:color w:val="auto"/>
              </w:rPr>
            </w:pPr>
            <w:r>
              <w:rPr>
                <w:rFonts w:ascii="Arial" w:cs="Arial" w:eastAsia="Arial" w:hAnsi="Arial"/>
                <w:sz w:val="15"/>
                <w:szCs w:val="15"/>
                <w:color w:val="auto"/>
              </w:rPr>
              <w:t>Building One</w:t>
            </w:r>
          </w:p>
        </w:tc>
        <w:tc>
          <w:tcPr>
            <w:tcW w:w="2800" w:type="dxa"/>
            <w:vAlign w:val="bottom"/>
            <w:shd w:val="clear" w:color="auto" w:fill="E8EED3"/>
          </w:tcPr>
          <w:p>
            <w:pPr>
              <w:spacing w:after="0"/>
              <w:rPr>
                <w:sz w:val="13"/>
                <w:szCs w:val="13"/>
                <w:color w:val="auto"/>
              </w:rPr>
            </w:pPr>
          </w:p>
        </w:tc>
        <w:tc>
          <w:tcPr>
            <w:tcW w:w="2460" w:type="dxa"/>
            <w:vAlign w:val="bottom"/>
            <w:shd w:val="clear" w:color="auto" w:fill="E8EED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80" w:type="dxa"/>
            <w:vAlign w:val="bottom"/>
            <w:shd w:val="clear" w:color="auto" w:fill="E8EED3"/>
          </w:tcPr>
          <w:p>
            <w:pPr>
              <w:ind w:left="280"/>
              <w:spacing w:after="0" w:line="155" w:lineRule="exact"/>
              <w:rPr>
                <w:sz w:val="20"/>
                <w:szCs w:val="20"/>
                <w:color w:val="auto"/>
              </w:rPr>
            </w:pPr>
            <w:r>
              <w:rPr>
                <w:rFonts w:ascii="Arial" w:cs="Arial" w:eastAsia="Arial" w:hAnsi="Arial"/>
                <w:sz w:val="15"/>
                <w:szCs w:val="15"/>
                <w:color w:val="auto"/>
              </w:rPr>
              <w:t>6300 Bee Cave Road</w:t>
            </w:r>
          </w:p>
        </w:tc>
        <w:tc>
          <w:tcPr>
            <w:tcW w:w="2800" w:type="dxa"/>
            <w:vAlign w:val="bottom"/>
            <w:shd w:val="clear" w:color="auto" w:fill="E8EED3"/>
          </w:tcPr>
          <w:p>
            <w:pPr>
              <w:spacing w:after="0"/>
              <w:rPr>
                <w:sz w:val="13"/>
                <w:szCs w:val="13"/>
                <w:color w:val="auto"/>
              </w:rPr>
            </w:pPr>
          </w:p>
        </w:tc>
        <w:tc>
          <w:tcPr>
            <w:tcW w:w="2460" w:type="dxa"/>
            <w:vAlign w:val="bottom"/>
            <w:shd w:val="clear" w:color="auto" w:fill="E8EED3"/>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280" w:type="dxa"/>
            <w:vAlign w:val="bottom"/>
            <w:shd w:val="clear" w:color="auto" w:fill="E8EED3"/>
          </w:tcPr>
          <w:p>
            <w:pPr>
              <w:ind w:left="280"/>
              <w:spacing w:after="0"/>
              <w:rPr>
                <w:sz w:val="20"/>
                <w:szCs w:val="20"/>
                <w:color w:val="auto"/>
              </w:rPr>
            </w:pPr>
            <w:r>
              <w:rPr>
                <w:rFonts w:ascii="Arial" w:cs="Arial" w:eastAsia="Arial" w:hAnsi="Arial"/>
                <w:sz w:val="15"/>
                <w:szCs w:val="15"/>
                <w:color w:val="auto"/>
              </w:rPr>
              <w:t>Austin, Texas, 78746</w:t>
            </w:r>
          </w:p>
        </w:tc>
        <w:tc>
          <w:tcPr>
            <w:tcW w:w="2800" w:type="dxa"/>
            <w:vAlign w:val="bottom"/>
            <w:shd w:val="clear" w:color="auto" w:fill="E8EED3"/>
          </w:tcPr>
          <w:p>
            <w:pPr>
              <w:jc w:val="right"/>
              <w:ind w:right="187"/>
              <w:spacing w:after="0"/>
              <w:rPr>
                <w:sz w:val="20"/>
                <w:szCs w:val="20"/>
                <w:color w:val="auto"/>
              </w:rPr>
            </w:pPr>
            <w:r>
              <w:rPr>
                <w:rFonts w:ascii="Arial" w:cs="Arial" w:eastAsia="Arial" w:hAnsi="Arial"/>
                <w:sz w:val="15"/>
                <w:szCs w:val="15"/>
                <w:color w:val="auto"/>
              </w:rPr>
              <w:t>2,432,470</w:t>
            </w:r>
          </w:p>
        </w:tc>
        <w:tc>
          <w:tcPr>
            <w:tcW w:w="2460" w:type="dxa"/>
            <w:vAlign w:val="bottom"/>
            <w:shd w:val="clear" w:color="auto" w:fill="E8EED3"/>
          </w:tcPr>
          <w:p>
            <w:pPr>
              <w:jc w:val="right"/>
              <w:ind w:right="7"/>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67"/>
        </w:trPr>
        <w:tc>
          <w:tcPr>
            <w:tcW w:w="5280" w:type="dxa"/>
            <w:vAlign w:val="bottom"/>
            <w:shd w:val="clear" w:color="auto" w:fill="D2DEA7"/>
          </w:tcPr>
          <w:p>
            <w:pPr>
              <w:ind w:left="280"/>
              <w:spacing w:after="0" w:line="167" w:lineRule="exact"/>
              <w:rPr>
                <w:sz w:val="20"/>
                <w:szCs w:val="20"/>
                <w:color w:val="auto"/>
              </w:rPr>
            </w:pPr>
            <w:r>
              <w:rPr>
                <w:rFonts w:ascii="Arial" w:cs="Arial" w:eastAsia="Arial" w:hAnsi="Arial"/>
                <w:sz w:val="15"/>
                <w:szCs w:val="15"/>
                <w:color w:val="auto"/>
              </w:rPr>
              <w:t>Icarus Investment Corp.</w:t>
            </w:r>
            <w:r>
              <w:rPr>
                <w:rFonts w:ascii="Arial" w:cs="Arial" w:eastAsia="Arial" w:hAnsi="Arial"/>
                <w:sz w:val="12"/>
                <w:szCs w:val="12"/>
                <w:color w:val="auto"/>
              </w:rPr>
              <w:t>3</w:t>
            </w:r>
          </w:p>
        </w:tc>
        <w:tc>
          <w:tcPr>
            <w:tcW w:w="2800" w:type="dxa"/>
            <w:vAlign w:val="bottom"/>
            <w:shd w:val="clear" w:color="auto" w:fill="D2DEA7"/>
          </w:tcPr>
          <w:p>
            <w:pPr>
              <w:spacing w:after="0"/>
              <w:rPr>
                <w:sz w:val="14"/>
                <w:szCs w:val="14"/>
                <w:color w:val="auto"/>
              </w:rPr>
            </w:pPr>
          </w:p>
        </w:tc>
        <w:tc>
          <w:tcPr>
            <w:tcW w:w="2460" w:type="dxa"/>
            <w:vAlign w:val="bottom"/>
            <w:shd w:val="clear" w:color="auto" w:fill="D2DEA7"/>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80" w:type="dxa"/>
            <w:vAlign w:val="bottom"/>
            <w:shd w:val="clear" w:color="auto" w:fill="D2DEA7"/>
          </w:tcPr>
          <w:p>
            <w:pPr>
              <w:ind w:left="280"/>
              <w:spacing w:after="0" w:line="155" w:lineRule="exact"/>
              <w:rPr>
                <w:sz w:val="20"/>
                <w:szCs w:val="20"/>
                <w:color w:val="auto"/>
              </w:rPr>
            </w:pPr>
            <w:r>
              <w:rPr>
                <w:rFonts w:ascii="Arial" w:cs="Arial" w:eastAsia="Arial" w:hAnsi="Arial"/>
                <w:sz w:val="15"/>
                <w:szCs w:val="15"/>
                <w:color w:val="auto"/>
              </w:rPr>
              <w:t>127 Davenport Road</w:t>
            </w:r>
          </w:p>
        </w:tc>
        <w:tc>
          <w:tcPr>
            <w:tcW w:w="2800" w:type="dxa"/>
            <w:vAlign w:val="bottom"/>
            <w:shd w:val="clear" w:color="auto" w:fill="D2DEA7"/>
          </w:tcPr>
          <w:p>
            <w:pPr>
              <w:spacing w:after="0"/>
              <w:rPr>
                <w:sz w:val="13"/>
                <w:szCs w:val="13"/>
                <w:color w:val="auto"/>
              </w:rPr>
            </w:pPr>
          </w:p>
        </w:tc>
        <w:tc>
          <w:tcPr>
            <w:tcW w:w="2460" w:type="dxa"/>
            <w:vAlign w:val="bottom"/>
            <w:shd w:val="clear" w:color="auto" w:fill="D2DEA7"/>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280" w:type="dxa"/>
            <w:vAlign w:val="bottom"/>
            <w:shd w:val="clear" w:color="auto" w:fill="D2DEA7"/>
          </w:tcPr>
          <w:p>
            <w:pPr>
              <w:ind w:left="280"/>
              <w:spacing w:after="0"/>
              <w:rPr>
                <w:sz w:val="20"/>
                <w:szCs w:val="20"/>
                <w:color w:val="auto"/>
              </w:rPr>
            </w:pPr>
            <w:r>
              <w:rPr>
                <w:rFonts w:ascii="Arial" w:cs="Arial" w:eastAsia="Arial" w:hAnsi="Arial"/>
                <w:sz w:val="15"/>
                <w:szCs w:val="15"/>
                <w:color w:val="auto"/>
              </w:rPr>
              <w:t>Toronto, Ontario M5R 1H8</w:t>
            </w:r>
          </w:p>
        </w:tc>
        <w:tc>
          <w:tcPr>
            <w:tcW w:w="2800" w:type="dxa"/>
            <w:vAlign w:val="bottom"/>
            <w:shd w:val="clear" w:color="auto" w:fill="D2DEA7"/>
          </w:tcPr>
          <w:p>
            <w:pPr>
              <w:jc w:val="right"/>
              <w:ind w:right="187"/>
              <w:spacing w:after="0"/>
              <w:rPr>
                <w:sz w:val="20"/>
                <w:szCs w:val="20"/>
                <w:color w:val="auto"/>
              </w:rPr>
            </w:pPr>
            <w:r>
              <w:rPr>
                <w:rFonts w:ascii="Arial" w:cs="Arial" w:eastAsia="Arial" w:hAnsi="Arial"/>
                <w:sz w:val="15"/>
                <w:szCs w:val="15"/>
                <w:color w:val="auto"/>
              </w:rPr>
              <w:t>2,770,546</w:t>
            </w:r>
          </w:p>
        </w:tc>
        <w:tc>
          <w:tcPr>
            <w:tcW w:w="2460" w:type="dxa"/>
            <w:vAlign w:val="bottom"/>
            <w:shd w:val="clear" w:color="auto" w:fill="D2DEA7"/>
          </w:tcPr>
          <w:p>
            <w:pPr>
              <w:jc w:val="right"/>
              <w:ind w:right="7"/>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164"/>
        </w:trPr>
        <w:tc>
          <w:tcPr>
            <w:tcW w:w="5280" w:type="dxa"/>
            <w:vAlign w:val="bottom"/>
            <w:shd w:val="clear" w:color="auto" w:fill="E8EED3"/>
          </w:tcPr>
          <w:p>
            <w:pPr>
              <w:ind w:left="280"/>
              <w:spacing w:after="0" w:line="164" w:lineRule="exact"/>
              <w:rPr>
                <w:sz w:val="20"/>
                <w:szCs w:val="20"/>
                <w:color w:val="auto"/>
              </w:rPr>
            </w:pPr>
            <w:r>
              <w:rPr>
                <w:rFonts w:ascii="Arial" w:cs="Arial" w:eastAsia="Arial" w:hAnsi="Arial"/>
                <w:sz w:val="15"/>
                <w:szCs w:val="15"/>
                <w:color w:val="auto"/>
              </w:rPr>
              <w:t>J. Luther King, Jr.</w:t>
            </w:r>
            <w:r>
              <w:rPr>
                <w:rFonts w:ascii="Arial" w:cs="Arial" w:eastAsia="Arial" w:hAnsi="Arial"/>
                <w:sz w:val="12"/>
                <w:szCs w:val="12"/>
                <w:color w:val="auto"/>
              </w:rPr>
              <w:t>7</w:t>
            </w:r>
          </w:p>
        </w:tc>
        <w:tc>
          <w:tcPr>
            <w:tcW w:w="2800" w:type="dxa"/>
            <w:vAlign w:val="bottom"/>
            <w:shd w:val="clear" w:color="auto" w:fill="E8EED3"/>
          </w:tcPr>
          <w:p>
            <w:pPr>
              <w:spacing w:after="0"/>
              <w:rPr>
                <w:sz w:val="14"/>
                <w:szCs w:val="14"/>
                <w:color w:val="auto"/>
              </w:rPr>
            </w:pPr>
          </w:p>
        </w:tc>
        <w:tc>
          <w:tcPr>
            <w:tcW w:w="2460" w:type="dxa"/>
            <w:vAlign w:val="bottom"/>
            <w:shd w:val="clear" w:color="auto" w:fill="E8EED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80" w:type="dxa"/>
            <w:vAlign w:val="bottom"/>
            <w:shd w:val="clear" w:color="auto" w:fill="E8EED3"/>
          </w:tcPr>
          <w:p>
            <w:pPr>
              <w:ind w:left="280"/>
              <w:spacing w:after="0" w:line="155" w:lineRule="exact"/>
              <w:rPr>
                <w:sz w:val="20"/>
                <w:szCs w:val="20"/>
                <w:color w:val="auto"/>
              </w:rPr>
            </w:pPr>
            <w:r>
              <w:rPr>
                <w:rFonts w:ascii="Arial" w:cs="Arial" w:eastAsia="Arial" w:hAnsi="Arial"/>
                <w:sz w:val="15"/>
                <w:szCs w:val="15"/>
                <w:color w:val="auto"/>
              </w:rPr>
              <w:t>301 Commerce Street, Suite 1600</w:t>
            </w:r>
          </w:p>
        </w:tc>
        <w:tc>
          <w:tcPr>
            <w:tcW w:w="2800" w:type="dxa"/>
            <w:vAlign w:val="bottom"/>
            <w:shd w:val="clear" w:color="auto" w:fill="E8EED3"/>
          </w:tcPr>
          <w:p>
            <w:pPr>
              <w:spacing w:after="0"/>
              <w:rPr>
                <w:sz w:val="13"/>
                <w:szCs w:val="13"/>
                <w:color w:val="auto"/>
              </w:rPr>
            </w:pPr>
          </w:p>
        </w:tc>
        <w:tc>
          <w:tcPr>
            <w:tcW w:w="2460" w:type="dxa"/>
            <w:vAlign w:val="bottom"/>
            <w:shd w:val="clear" w:color="auto" w:fill="E8EED3"/>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280" w:type="dxa"/>
            <w:vAlign w:val="bottom"/>
            <w:shd w:val="clear" w:color="auto" w:fill="E8EED3"/>
          </w:tcPr>
          <w:p>
            <w:pPr>
              <w:ind w:left="280"/>
              <w:spacing w:after="0"/>
              <w:rPr>
                <w:sz w:val="20"/>
                <w:szCs w:val="20"/>
                <w:color w:val="auto"/>
              </w:rPr>
            </w:pPr>
            <w:r>
              <w:rPr>
                <w:rFonts w:ascii="Arial" w:cs="Arial" w:eastAsia="Arial" w:hAnsi="Arial"/>
                <w:sz w:val="15"/>
                <w:szCs w:val="15"/>
                <w:color w:val="auto"/>
              </w:rPr>
              <w:t>Fort Worth, Texas 76102</w:t>
            </w:r>
          </w:p>
        </w:tc>
        <w:tc>
          <w:tcPr>
            <w:tcW w:w="2800" w:type="dxa"/>
            <w:vAlign w:val="bottom"/>
            <w:shd w:val="clear" w:color="auto" w:fill="E8EED3"/>
          </w:tcPr>
          <w:p>
            <w:pPr>
              <w:jc w:val="right"/>
              <w:ind w:right="187"/>
              <w:spacing w:after="0"/>
              <w:rPr>
                <w:sz w:val="20"/>
                <w:szCs w:val="20"/>
                <w:color w:val="auto"/>
              </w:rPr>
            </w:pPr>
            <w:r>
              <w:rPr>
                <w:rFonts w:ascii="Arial" w:cs="Arial" w:eastAsia="Arial" w:hAnsi="Arial"/>
                <w:sz w:val="15"/>
                <w:szCs w:val="15"/>
                <w:color w:val="auto"/>
              </w:rPr>
              <w:t>2,300,569</w:t>
            </w:r>
          </w:p>
        </w:tc>
        <w:tc>
          <w:tcPr>
            <w:tcW w:w="2460" w:type="dxa"/>
            <w:vAlign w:val="bottom"/>
            <w:shd w:val="clear" w:color="auto" w:fill="E8EED3"/>
          </w:tcPr>
          <w:p>
            <w:pPr>
              <w:jc w:val="right"/>
              <w:ind w:right="7"/>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67"/>
        </w:trPr>
        <w:tc>
          <w:tcPr>
            <w:tcW w:w="5280" w:type="dxa"/>
            <w:vAlign w:val="bottom"/>
            <w:shd w:val="clear" w:color="auto" w:fill="D2DEA7"/>
          </w:tcPr>
          <w:p>
            <w:pPr>
              <w:ind w:left="280"/>
              <w:spacing w:after="0" w:line="167" w:lineRule="exact"/>
              <w:rPr>
                <w:sz w:val="20"/>
                <w:szCs w:val="20"/>
                <w:color w:val="auto"/>
              </w:rPr>
            </w:pPr>
            <w:r>
              <w:rPr>
                <w:rFonts w:ascii="Arial" w:cs="Arial" w:eastAsia="Arial" w:hAnsi="Arial"/>
                <w:sz w:val="15"/>
                <w:szCs w:val="15"/>
                <w:color w:val="auto"/>
              </w:rPr>
              <w:t>Trigran Investments, Inc.</w:t>
            </w:r>
            <w:r>
              <w:rPr>
                <w:rFonts w:ascii="Arial" w:cs="Arial" w:eastAsia="Arial" w:hAnsi="Arial"/>
                <w:sz w:val="12"/>
                <w:szCs w:val="12"/>
                <w:color w:val="auto"/>
              </w:rPr>
              <w:t>8</w:t>
            </w:r>
          </w:p>
        </w:tc>
        <w:tc>
          <w:tcPr>
            <w:tcW w:w="2800" w:type="dxa"/>
            <w:vAlign w:val="bottom"/>
            <w:shd w:val="clear" w:color="auto" w:fill="D2DEA7"/>
          </w:tcPr>
          <w:p>
            <w:pPr>
              <w:spacing w:after="0"/>
              <w:rPr>
                <w:sz w:val="14"/>
                <w:szCs w:val="14"/>
                <w:color w:val="auto"/>
              </w:rPr>
            </w:pPr>
          </w:p>
        </w:tc>
        <w:tc>
          <w:tcPr>
            <w:tcW w:w="2460" w:type="dxa"/>
            <w:vAlign w:val="bottom"/>
            <w:shd w:val="clear" w:color="auto" w:fill="D2DEA7"/>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80" w:type="dxa"/>
            <w:vAlign w:val="bottom"/>
            <w:shd w:val="clear" w:color="auto" w:fill="D2DEA7"/>
          </w:tcPr>
          <w:p>
            <w:pPr>
              <w:ind w:left="280"/>
              <w:spacing w:after="0" w:line="155" w:lineRule="exact"/>
              <w:rPr>
                <w:sz w:val="20"/>
                <w:szCs w:val="20"/>
                <w:color w:val="auto"/>
              </w:rPr>
            </w:pPr>
            <w:r>
              <w:rPr>
                <w:rFonts w:ascii="Arial" w:cs="Arial" w:eastAsia="Arial" w:hAnsi="Arial"/>
                <w:sz w:val="15"/>
                <w:szCs w:val="15"/>
                <w:color w:val="auto"/>
              </w:rPr>
              <w:t>630 Dundee Road, Suite 230</w:t>
            </w:r>
          </w:p>
        </w:tc>
        <w:tc>
          <w:tcPr>
            <w:tcW w:w="2800" w:type="dxa"/>
            <w:vAlign w:val="bottom"/>
            <w:shd w:val="clear" w:color="auto" w:fill="D2DEA7"/>
          </w:tcPr>
          <w:p>
            <w:pPr>
              <w:spacing w:after="0"/>
              <w:rPr>
                <w:sz w:val="13"/>
                <w:szCs w:val="13"/>
                <w:color w:val="auto"/>
              </w:rPr>
            </w:pPr>
          </w:p>
        </w:tc>
        <w:tc>
          <w:tcPr>
            <w:tcW w:w="2460" w:type="dxa"/>
            <w:vAlign w:val="bottom"/>
            <w:shd w:val="clear" w:color="auto" w:fill="D2DEA7"/>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280" w:type="dxa"/>
            <w:vAlign w:val="bottom"/>
            <w:shd w:val="clear" w:color="auto" w:fill="D2DEA7"/>
          </w:tcPr>
          <w:p>
            <w:pPr>
              <w:ind w:left="280"/>
              <w:spacing w:after="0"/>
              <w:rPr>
                <w:sz w:val="20"/>
                <w:szCs w:val="20"/>
                <w:color w:val="auto"/>
              </w:rPr>
            </w:pPr>
            <w:r>
              <w:rPr>
                <w:rFonts w:ascii="Arial" w:cs="Arial" w:eastAsia="Arial" w:hAnsi="Arial"/>
                <w:sz w:val="15"/>
                <w:szCs w:val="15"/>
                <w:color w:val="auto"/>
              </w:rPr>
              <w:t>Northbrook, Illinois 60062</w:t>
            </w:r>
          </w:p>
        </w:tc>
        <w:tc>
          <w:tcPr>
            <w:tcW w:w="2800" w:type="dxa"/>
            <w:vAlign w:val="bottom"/>
            <w:shd w:val="clear" w:color="auto" w:fill="D2DEA7"/>
          </w:tcPr>
          <w:p>
            <w:pPr>
              <w:jc w:val="right"/>
              <w:ind w:right="187"/>
              <w:spacing w:after="0"/>
              <w:rPr>
                <w:sz w:val="20"/>
                <w:szCs w:val="20"/>
                <w:color w:val="auto"/>
              </w:rPr>
            </w:pPr>
            <w:r>
              <w:rPr>
                <w:rFonts w:ascii="Arial" w:cs="Arial" w:eastAsia="Arial" w:hAnsi="Arial"/>
                <w:sz w:val="15"/>
                <w:szCs w:val="15"/>
                <w:color w:val="auto"/>
              </w:rPr>
              <w:t>4,452,609</w:t>
            </w:r>
          </w:p>
        </w:tc>
        <w:tc>
          <w:tcPr>
            <w:tcW w:w="2460" w:type="dxa"/>
            <w:vAlign w:val="bottom"/>
            <w:shd w:val="clear" w:color="auto" w:fill="D2DEA7"/>
          </w:tcPr>
          <w:p>
            <w:pPr>
              <w:jc w:val="right"/>
              <w:ind w:right="7"/>
              <w:spacing w:after="0"/>
              <w:rPr>
                <w:sz w:val="20"/>
                <w:szCs w:val="20"/>
                <w:color w:val="auto"/>
              </w:rPr>
            </w:pPr>
            <w:r>
              <w:rPr>
                <w:rFonts w:ascii="Arial" w:cs="Arial" w:eastAsia="Arial" w:hAnsi="Arial"/>
                <w:sz w:val="15"/>
                <w:szCs w:val="15"/>
                <w:color w:val="auto"/>
              </w:rPr>
              <w:t>12.7%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-4237990</wp:posOffset>
            </wp:positionV>
            <wp:extent cx="8255" cy="42386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4238625"/>
                    </a:xfrm>
                    <a:prstGeom prst="rect">
                      <a:avLst/>
                    </a:prstGeom>
                    <a:noFill/>
                  </pic:spPr>
                </pic:pic>
              </a:graphicData>
            </a:graphic>
          </wp:anchor>
        </w:drawing>
        <w:drawing>
          <wp:anchor simplePos="0" relativeHeight="251657728" behindDoc="1" locked="0" layoutInCell="0" allowOverlap="1">
            <wp:simplePos x="0" y="0"/>
            <wp:positionH relativeFrom="column">
              <wp:posOffset>3575050</wp:posOffset>
            </wp:positionH>
            <wp:positionV relativeFrom="paragraph">
              <wp:posOffset>-4237990</wp:posOffset>
            </wp:positionV>
            <wp:extent cx="8255" cy="42386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4238625"/>
                    </a:xfrm>
                    <a:prstGeom prst="rect">
                      <a:avLst/>
                    </a:prstGeom>
                    <a:noFill/>
                  </pic:spPr>
                </pic:pic>
              </a:graphicData>
            </a:graphic>
          </wp:anchor>
        </w:drawing>
      </w:r>
    </w:p>
    <w:p>
      <w:pPr>
        <w:spacing w:after="0" w:line="89" w:lineRule="exact"/>
        <w:rPr>
          <w:sz w:val="20"/>
          <w:szCs w:val="20"/>
          <w:color w:val="auto"/>
        </w:rPr>
      </w:pPr>
    </w:p>
    <w:p>
      <w:pPr>
        <w:ind w:left="760" w:hanging="414"/>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32" w:lineRule="exact"/>
        <w:rPr>
          <w:sz w:val="20"/>
          <w:szCs w:val="20"/>
          <w:color w:val="auto"/>
        </w:rPr>
      </w:pPr>
    </w:p>
    <w:p>
      <w:pPr>
        <w:ind w:left="9060"/>
        <w:spacing w:after="0"/>
        <w:rPr>
          <w:sz w:val="20"/>
          <w:szCs w:val="20"/>
          <w:color w:val="auto"/>
        </w:rPr>
      </w:pPr>
      <w:r>
        <w:rPr>
          <w:rFonts w:ascii="Arial" w:cs="Arial" w:eastAsia="Arial" w:hAnsi="Arial"/>
          <w:sz w:val="14"/>
          <w:szCs w:val="14"/>
          <w:color w:val="262626"/>
        </w:rPr>
        <w:t>2022 Proxy Statement • 37</w:t>
      </w:r>
    </w:p>
    <w:p>
      <w:pPr>
        <w:sectPr>
          <w:pgSz w:w="11900" w:h="16838" w:orient="portrait"/>
          <w:cols w:equalWidth="0" w:num="1">
            <w:col w:w="10900"/>
          </w:cols>
          <w:pgMar w:left="320" w:top="443" w:right="6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8" w:lineRule="exact"/>
        <w:rPr>
          <w:sz w:val="20"/>
          <w:szCs w:val="20"/>
          <w:color w:val="auto"/>
        </w:rPr>
      </w:pPr>
    </w:p>
    <w:p>
      <w:pPr>
        <w:ind w:left="760" w:hanging="414"/>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35,047,612 shares of common stock outstanding as of February 28, 2022.</w:t>
      </w:r>
    </w:p>
    <w:p>
      <w:pPr>
        <w:spacing w:after="0" w:line="110" w:lineRule="exact"/>
        <w:rPr>
          <w:rFonts w:ascii="Arial" w:cs="Arial" w:eastAsia="Arial" w:hAnsi="Arial"/>
          <w:sz w:val="14"/>
          <w:szCs w:val="14"/>
          <w:color w:val="auto"/>
        </w:rPr>
      </w:pPr>
    </w:p>
    <w:p>
      <w:pPr>
        <w:ind w:left="760" w:right="220" w:hanging="414"/>
        <w:spacing w:after="0" w:line="260" w:lineRule="auto"/>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Amounts reported in this column include RSUs that vest before April 29, 2022, and shares that could be acquired upon options that are exercisable before April 29, 2022, as shown in this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5062220</wp:posOffset>
            </wp:positionH>
            <wp:positionV relativeFrom="paragraph">
              <wp:posOffset>128270</wp:posOffset>
            </wp:positionV>
            <wp:extent cx="8255" cy="9201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920115"/>
                    </a:xfrm>
                    <a:prstGeom prst="rect">
                      <a:avLst/>
                    </a:prstGeom>
                    <a:noFill/>
                  </pic:spPr>
                </pic:pic>
              </a:graphicData>
            </a:graphic>
          </wp:anchor>
        </w:drawing>
        <w:drawing>
          <wp:anchor simplePos="0" relativeHeight="251657728" behindDoc="1" locked="0" layoutInCell="0" allowOverlap="1">
            <wp:simplePos x="0" y="0"/>
            <wp:positionH relativeFrom="column">
              <wp:posOffset>3764280</wp:posOffset>
            </wp:positionH>
            <wp:positionV relativeFrom="paragraph">
              <wp:posOffset>128270</wp:posOffset>
            </wp:positionV>
            <wp:extent cx="8255" cy="9201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920115"/>
                    </a:xfrm>
                    <a:prstGeom prst="rect">
                      <a:avLst/>
                    </a:prstGeom>
                    <a:noFill/>
                  </pic:spPr>
                </pic:pic>
              </a:graphicData>
            </a:graphic>
          </wp:anchor>
        </w:drawing>
      </w:r>
    </w:p>
    <w:p>
      <w:pPr>
        <w:spacing w:after="0" w:line="182" w:lineRule="exact"/>
        <w:rPr>
          <w:sz w:val="20"/>
          <w:szCs w:val="20"/>
          <w:color w:val="auto"/>
        </w:rPr>
      </w:pPr>
    </w:p>
    <w:tbl>
      <w:tblPr>
        <w:tblLayout w:type="fixed"/>
        <w:tblInd w:w="780" w:type="dxa"/>
        <w:tblCellMar>
          <w:top w:w="0" w:type="dxa"/>
          <w:left w:w="0" w:type="dxa"/>
          <w:bottom w:w="0" w:type="dxa"/>
          <w:right w:w="0" w:type="dxa"/>
        </w:tblCellMar>
      </w:tblPr>
      <w:tr>
        <w:trPr>
          <w:trHeight w:val="222"/>
        </w:trPr>
        <w:tc>
          <w:tcPr>
            <w:tcW w:w="5140" w:type="dxa"/>
            <w:vAlign w:val="bottom"/>
            <w:vMerge w:val="restart"/>
            <w:shd w:val="clear" w:color="auto" w:fill="41659C"/>
          </w:tcPr>
          <w:p>
            <w:pPr>
              <w:ind w:left="140"/>
              <w:spacing w:after="0"/>
              <w:rPr>
                <w:sz w:val="20"/>
                <w:szCs w:val="20"/>
                <w:color w:val="auto"/>
              </w:rPr>
            </w:pPr>
            <w:r>
              <w:rPr>
                <w:rFonts w:ascii="Arial" w:cs="Arial" w:eastAsia="Arial" w:hAnsi="Arial"/>
                <w:sz w:val="15"/>
                <w:szCs w:val="15"/>
                <w:b w:val="1"/>
                <w:bCs w:val="1"/>
                <w:color w:val="FFFFFF"/>
              </w:rPr>
              <w:t>Name of Beneficial Owner</w:t>
            </w:r>
          </w:p>
        </w:tc>
        <w:tc>
          <w:tcPr>
            <w:tcW w:w="2440" w:type="dxa"/>
            <w:vAlign w:val="bottom"/>
            <w:shd w:val="clear" w:color="auto" w:fill="41659C"/>
          </w:tcPr>
          <w:p>
            <w:pPr>
              <w:jc w:val="right"/>
              <w:ind w:right="1067"/>
              <w:spacing w:after="0"/>
              <w:rPr>
                <w:sz w:val="20"/>
                <w:szCs w:val="20"/>
                <w:color w:val="auto"/>
              </w:rPr>
            </w:pPr>
            <w:r>
              <w:rPr>
                <w:rFonts w:ascii="Arial" w:cs="Arial" w:eastAsia="Arial" w:hAnsi="Arial"/>
                <w:sz w:val="15"/>
                <w:szCs w:val="15"/>
                <w:b w:val="1"/>
                <w:bCs w:val="1"/>
                <w:color w:val="FFFFFF"/>
              </w:rPr>
              <w:t>RSUs</w:t>
            </w:r>
          </w:p>
        </w:tc>
        <w:tc>
          <w:tcPr>
            <w:tcW w:w="2540" w:type="dxa"/>
            <w:vAlign w:val="bottom"/>
            <w:vMerge w:val="restart"/>
            <w:shd w:val="clear" w:color="auto" w:fill="41659C"/>
          </w:tcPr>
          <w:p>
            <w:pPr>
              <w:ind w:left="520"/>
              <w:spacing w:after="0"/>
              <w:rPr>
                <w:sz w:val="20"/>
                <w:szCs w:val="20"/>
                <w:color w:val="auto"/>
              </w:rPr>
            </w:pPr>
            <w:r>
              <w:rPr>
                <w:rFonts w:ascii="Arial" w:cs="Arial" w:eastAsia="Arial" w:hAnsi="Arial"/>
                <w:sz w:val="15"/>
                <w:szCs w:val="15"/>
                <w:b w:val="1"/>
                <w:bCs w:val="1"/>
                <w:color w:val="FFFFFF"/>
              </w:rPr>
              <w:t>Option Shares</w:t>
            </w:r>
          </w:p>
        </w:tc>
        <w:tc>
          <w:tcPr>
            <w:tcW w:w="0" w:type="dxa"/>
            <w:vAlign w:val="bottom"/>
          </w:tcPr>
          <w:p>
            <w:pPr>
              <w:spacing w:after="0"/>
              <w:rPr>
                <w:sz w:val="1"/>
                <w:szCs w:val="1"/>
                <w:color w:val="auto"/>
              </w:rPr>
            </w:pPr>
          </w:p>
        </w:tc>
      </w:tr>
      <w:tr>
        <w:trPr>
          <w:trHeight w:val="172"/>
        </w:trPr>
        <w:tc>
          <w:tcPr>
            <w:tcW w:w="5140" w:type="dxa"/>
            <w:vAlign w:val="bottom"/>
            <w:tcBorders>
              <w:bottom w:val="single" w:sz="8" w:color="41659C"/>
            </w:tcBorders>
            <w:vMerge w:val="continue"/>
            <w:shd w:val="clear" w:color="auto" w:fill="41659C"/>
          </w:tcPr>
          <w:p>
            <w:pPr>
              <w:spacing w:after="0"/>
              <w:rPr>
                <w:sz w:val="14"/>
                <w:szCs w:val="14"/>
                <w:color w:val="auto"/>
              </w:rPr>
            </w:pPr>
          </w:p>
        </w:tc>
        <w:tc>
          <w:tcPr>
            <w:tcW w:w="2440" w:type="dxa"/>
            <w:vAlign w:val="bottom"/>
            <w:tcBorders>
              <w:bottom w:val="single" w:sz="8" w:color="41659C"/>
            </w:tcBorders>
            <w:shd w:val="clear" w:color="auto" w:fill="41659C"/>
          </w:tcPr>
          <w:p>
            <w:pPr>
              <w:spacing w:after="0"/>
              <w:rPr>
                <w:sz w:val="14"/>
                <w:szCs w:val="14"/>
                <w:color w:val="auto"/>
              </w:rPr>
            </w:pPr>
          </w:p>
        </w:tc>
        <w:tc>
          <w:tcPr>
            <w:tcW w:w="2540" w:type="dxa"/>
            <w:vAlign w:val="bottom"/>
            <w:tcBorders>
              <w:bottom w:val="single" w:sz="8" w:color="41659C"/>
            </w:tcBorders>
            <w:vMerge w:val="continue"/>
            <w:shd w:val="clear" w:color="auto" w:fill="41659C"/>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140" w:type="dxa"/>
            <w:vAlign w:val="bottom"/>
            <w:shd w:val="clear" w:color="auto" w:fill="D2DEA7"/>
          </w:tcPr>
          <w:p>
            <w:pPr>
              <w:ind w:left="140"/>
              <w:spacing w:after="0"/>
              <w:rPr>
                <w:sz w:val="20"/>
                <w:szCs w:val="20"/>
                <w:color w:val="auto"/>
              </w:rPr>
            </w:pPr>
            <w:r>
              <w:rPr>
                <w:rFonts w:ascii="Arial" w:cs="Arial" w:eastAsia="Arial" w:hAnsi="Arial"/>
                <w:sz w:val="15"/>
                <w:szCs w:val="15"/>
                <w:color w:val="auto"/>
              </w:rPr>
              <w:t>Todd Gleason</w:t>
            </w:r>
          </w:p>
        </w:tc>
        <w:tc>
          <w:tcPr>
            <w:tcW w:w="2440" w:type="dxa"/>
            <w:vAlign w:val="bottom"/>
            <w:shd w:val="clear" w:color="auto" w:fill="D2DEA7"/>
          </w:tcPr>
          <w:p>
            <w:pPr>
              <w:jc w:val="right"/>
              <w:ind w:right="447"/>
              <w:spacing w:after="0"/>
              <w:rPr>
                <w:sz w:val="20"/>
                <w:szCs w:val="20"/>
                <w:color w:val="auto"/>
              </w:rPr>
            </w:pPr>
            <w:r>
              <w:rPr>
                <w:rFonts w:ascii="Arial" w:cs="Arial" w:eastAsia="Arial" w:hAnsi="Arial"/>
                <w:sz w:val="15"/>
                <w:szCs w:val="15"/>
                <w:color w:val="auto"/>
              </w:rPr>
              <w:t>9,191</w:t>
            </w:r>
          </w:p>
        </w:tc>
        <w:tc>
          <w:tcPr>
            <w:tcW w:w="2540" w:type="dxa"/>
            <w:vAlign w:val="bottom"/>
            <w:shd w:val="clear" w:color="auto" w:fill="D2DEA7"/>
          </w:tcPr>
          <w:p>
            <w:pPr>
              <w:ind w:left="2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5140" w:type="dxa"/>
            <w:vAlign w:val="bottom"/>
            <w:shd w:val="clear" w:color="auto" w:fill="E8EED3"/>
          </w:tcPr>
          <w:p>
            <w:pPr>
              <w:ind w:left="140"/>
              <w:spacing w:after="0"/>
              <w:rPr>
                <w:sz w:val="20"/>
                <w:szCs w:val="20"/>
                <w:color w:val="auto"/>
              </w:rPr>
            </w:pPr>
            <w:r>
              <w:rPr>
                <w:rFonts w:ascii="Arial" w:cs="Arial" w:eastAsia="Arial" w:hAnsi="Arial"/>
                <w:sz w:val="15"/>
                <w:szCs w:val="15"/>
                <w:color w:val="auto"/>
              </w:rPr>
              <w:t>Matthew Eckl</w:t>
            </w:r>
          </w:p>
        </w:tc>
        <w:tc>
          <w:tcPr>
            <w:tcW w:w="2440" w:type="dxa"/>
            <w:vAlign w:val="bottom"/>
            <w:shd w:val="clear" w:color="auto" w:fill="E8EED3"/>
          </w:tcPr>
          <w:p>
            <w:pPr>
              <w:jc w:val="right"/>
              <w:ind w:right="447"/>
              <w:spacing w:after="0"/>
              <w:rPr>
                <w:sz w:val="20"/>
                <w:szCs w:val="20"/>
                <w:color w:val="auto"/>
              </w:rPr>
            </w:pPr>
            <w:r>
              <w:rPr>
                <w:rFonts w:ascii="Arial" w:cs="Arial" w:eastAsia="Arial" w:hAnsi="Arial"/>
                <w:sz w:val="15"/>
                <w:szCs w:val="15"/>
                <w:color w:val="auto"/>
              </w:rPr>
              <w:t>16,396</w:t>
            </w:r>
          </w:p>
        </w:tc>
        <w:tc>
          <w:tcPr>
            <w:tcW w:w="2540" w:type="dxa"/>
            <w:vAlign w:val="bottom"/>
            <w:shd w:val="clear" w:color="auto" w:fill="E8EED3"/>
          </w:tcPr>
          <w:p>
            <w:pPr>
              <w:ind w:left="2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5140" w:type="dxa"/>
            <w:vAlign w:val="bottom"/>
            <w:shd w:val="clear" w:color="auto" w:fill="D2DEA7"/>
          </w:tcPr>
          <w:p>
            <w:pPr>
              <w:ind w:left="140"/>
              <w:spacing w:after="0"/>
              <w:rPr>
                <w:sz w:val="20"/>
                <w:szCs w:val="20"/>
                <w:color w:val="auto"/>
              </w:rPr>
            </w:pPr>
            <w:r>
              <w:rPr>
                <w:rFonts w:ascii="Arial" w:cs="Arial" w:eastAsia="Arial" w:hAnsi="Arial"/>
                <w:sz w:val="15"/>
                <w:szCs w:val="15"/>
                <w:color w:val="auto"/>
              </w:rPr>
              <w:t>Ramesh Nuggihalli</w:t>
            </w:r>
          </w:p>
        </w:tc>
        <w:tc>
          <w:tcPr>
            <w:tcW w:w="2440" w:type="dxa"/>
            <w:vAlign w:val="bottom"/>
            <w:shd w:val="clear" w:color="auto" w:fill="D2DEA7"/>
          </w:tcPr>
          <w:p>
            <w:pPr>
              <w:jc w:val="right"/>
              <w:ind w:right="447"/>
              <w:spacing w:after="0"/>
              <w:rPr>
                <w:sz w:val="20"/>
                <w:szCs w:val="20"/>
                <w:color w:val="auto"/>
              </w:rPr>
            </w:pPr>
            <w:r>
              <w:rPr>
                <w:rFonts w:ascii="Arial" w:cs="Arial" w:eastAsia="Arial" w:hAnsi="Arial"/>
                <w:sz w:val="15"/>
                <w:szCs w:val="15"/>
                <w:color w:val="auto"/>
              </w:rPr>
              <w:t>10,697</w:t>
            </w:r>
          </w:p>
        </w:tc>
        <w:tc>
          <w:tcPr>
            <w:tcW w:w="2540" w:type="dxa"/>
            <w:vAlign w:val="bottom"/>
            <w:shd w:val="clear" w:color="auto" w:fill="D2DEA7"/>
          </w:tcPr>
          <w:p>
            <w:pPr>
              <w:ind w:left="2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5140" w:type="dxa"/>
            <w:vAlign w:val="bottom"/>
            <w:shd w:val="clear" w:color="auto" w:fill="E8EED3"/>
          </w:tcPr>
          <w:p>
            <w:pPr>
              <w:ind w:left="140"/>
              <w:spacing w:after="0"/>
              <w:rPr>
                <w:sz w:val="20"/>
                <w:szCs w:val="20"/>
                <w:color w:val="auto"/>
              </w:rPr>
            </w:pPr>
            <w:r>
              <w:rPr>
                <w:rFonts w:ascii="Arial" w:cs="Arial" w:eastAsia="Arial" w:hAnsi="Arial"/>
                <w:sz w:val="15"/>
                <w:szCs w:val="15"/>
                <w:color w:val="auto"/>
              </w:rPr>
              <w:t>Eric M. Goldberg</w:t>
            </w:r>
          </w:p>
        </w:tc>
        <w:tc>
          <w:tcPr>
            <w:tcW w:w="2440" w:type="dxa"/>
            <w:vAlign w:val="bottom"/>
            <w:shd w:val="clear" w:color="auto" w:fill="E8EED3"/>
          </w:tcPr>
          <w:p>
            <w:pPr>
              <w:jc w:val="right"/>
              <w:ind w:right="527"/>
              <w:spacing w:after="0"/>
              <w:rPr>
                <w:sz w:val="20"/>
                <w:szCs w:val="20"/>
                <w:color w:val="auto"/>
              </w:rPr>
            </w:pPr>
            <w:r>
              <w:rPr>
                <w:rFonts w:ascii="Arial" w:cs="Arial" w:eastAsia="Arial" w:hAnsi="Arial"/>
                <w:sz w:val="15"/>
                <w:szCs w:val="15"/>
                <w:color w:val="auto"/>
              </w:rPr>
              <w:t>—</w:t>
            </w:r>
          </w:p>
        </w:tc>
        <w:tc>
          <w:tcPr>
            <w:tcW w:w="2540" w:type="dxa"/>
            <w:vAlign w:val="bottom"/>
            <w:shd w:val="clear" w:color="auto" w:fill="E8EED3"/>
          </w:tcPr>
          <w:p>
            <w:pPr>
              <w:jc w:val="right"/>
              <w:ind w:right="67"/>
              <w:spacing w:after="0"/>
              <w:rPr>
                <w:sz w:val="20"/>
                <w:szCs w:val="20"/>
                <w:color w:val="auto"/>
              </w:rPr>
            </w:pPr>
            <w:r>
              <w:rPr>
                <w:rFonts w:ascii="Arial" w:cs="Arial" w:eastAsia="Arial" w:hAnsi="Arial"/>
                <w:sz w:val="15"/>
                <w:szCs w:val="15"/>
                <w:color w:val="auto"/>
              </w:rPr>
              <w:t>15,000</w:t>
            </w:r>
          </w:p>
        </w:tc>
        <w:tc>
          <w:tcPr>
            <w:tcW w:w="0" w:type="dxa"/>
            <w:vAlign w:val="bottom"/>
          </w:tcPr>
          <w:p>
            <w:pPr>
              <w:spacing w:after="0"/>
              <w:rPr>
                <w:sz w:val="1"/>
                <w:szCs w:val="1"/>
                <w:color w:val="auto"/>
              </w:rPr>
            </w:pPr>
          </w:p>
        </w:tc>
      </w:tr>
      <w:tr>
        <w:trPr>
          <w:trHeight w:val="210"/>
        </w:trPr>
        <w:tc>
          <w:tcPr>
            <w:tcW w:w="5140" w:type="dxa"/>
            <w:vAlign w:val="bottom"/>
            <w:shd w:val="clear" w:color="auto" w:fill="D2DEA7"/>
          </w:tcPr>
          <w:p>
            <w:pPr>
              <w:ind w:left="140"/>
              <w:spacing w:after="0"/>
              <w:rPr>
                <w:sz w:val="20"/>
                <w:szCs w:val="20"/>
                <w:color w:val="auto"/>
              </w:rPr>
            </w:pPr>
            <w:r>
              <w:rPr>
                <w:rFonts w:ascii="Arial" w:cs="Arial" w:eastAsia="Arial" w:hAnsi="Arial"/>
                <w:sz w:val="15"/>
                <w:szCs w:val="15"/>
                <w:color w:val="auto"/>
              </w:rPr>
              <w:t>Jonathan Pollack</w:t>
            </w:r>
          </w:p>
        </w:tc>
        <w:tc>
          <w:tcPr>
            <w:tcW w:w="2440" w:type="dxa"/>
            <w:vAlign w:val="bottom"/>
            <w:shd w:val="clear" w:color="auto" w:fill="D2DEA7"/>
          </w:tcPr>
          <w:p>
            <w:pPr>
              <w:jc w:val="right"/>
              <w:ind w:right="527"/>
              <w:spacing w:after="0"/>
              <w:rPr>
                <w:sz w:val="20"/>
                <w:szCs w:val="20"/>
                <w:color w:val="auto"/>
              </w:rPr>
            </w:pPr>
            <w:r>
              <w:rPr>
                <w:rFonts w:ascii="Arial" w:cs="Arial" w:eastAsia="Arial" w:hAnsi="Arial"/>
                <w:sz w:val="15"/>
                <w:szCs w:val="15"/>
                <w:color w:val="auto"/>
              </w:rPr>
              <w:t>—</w:t>
            </w:r>
          </w:p>
        </w:tc>
        <w:tc>
          <w:tcPr>
            <w:tcW w:w="2540" w:type="dxa"/>
            <w:vAlign w:val="bottom"/>
            <w:shd w:val="clear" w:color="auto" w:fill="D2DEA7"/>
          </w:tcPr>
          <w:p>
            <w:pPr>
              <w:jc w:val="right"/>
              <w:ind w:right="67"/>
              <w:spacing w:after="0"/>
              <w:rPr>
                <w:sz w:val="20"/>
                <w:szCs w:val="20"/>
                <w:color w:val="auto"/>
              </w:rPr>
            </w:pPr>
            <w:r>
              <w:rPr>
                <w:rFonts w:ascii="Arial" w:cs="Arial" w:eastAsia="Arial" w:hAnsi="Arial"/>
                <w:sz w:val="15"/>
                <w:szCs w:val="15"/>
                <w:color w:val="auto"/>
              </w:rPr>
              <w:t>36,000</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760" w:right="80" w:hanging="414"/>
        <w:spacing w:after="0" w:line="246" w:lineRule="auto"/>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This information was obtained from a Schedule 13D/A filed with the SEC on September 11, 2015, and is supplemented by a Form 4 filed with the SEC on May 25, 2021, by Jason DeZwirek. Jason DeZwirek is deemed to control Icarus and has sole voting and dispositive power over the shares of common stock owned by Icarus. Shares shown as beneficially owned by Mr. DeZwirek include the shares owned by Icarus.</w:t>
      </w:r>
    </w:p>
    <w:p>
      <w:pPr>
        <w:spacing w:after="0" w:line="87" w:lineRule="exact"/>
        <w:rPr>
          <w:rFonts w:ascii="Arial" w:cs="Arial" w:eastAsia="Arial" w:hAnsi="Arial"/>
          <w:sz w:val="14"/>
          <w:szCs w:val="14"/>
          <w:color w:val="auto"/>
        </w:rPr>
      </w:pPr>
    </w:p>
    <w:p>
      <w:pPr>
        <w:ind w:left="760" w:right="180" w:hanging="414"/>
        <w:spacing w:after="0" w:line="260" w:lineRule="auto"/>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Shares beneficially owned by Mr. Pollack include 2,300 shares owned by his spouse, over which she has sole voting and dispositive power, and 88,200 shares held by JMP Fam Holdings, Inc., over which Mr. Pollack has sole voting and dispositive power.</w:t>
      </w:r>
    </w:p>
    <w:p>
      <w:pPr>
        <w:spacing w:after="0" w:line="78" w:lineRule="exact"/>
        <w:rPr>
          <w:rFonts w:ascii="Arial" w:cs="Arial" w:eastAsia="Arial" w:hAnsi="Arial"/>
          <w:sz w:val="14"/>
          <w:szCs w:val="14"/>
          <w:color w:val="auto"/>
        </w:rPr>
      </w:pPr>
    </w:p>
    <w:p>
      <w:pPr>
        <w:ind w:left="760" w:right="240" w:hanging="414"/>
        <w:spacing w:after="0" w:line="260" w:lineRule="auto"/>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4, 2022, as of December 31, 2021, American Century Investments Management, Inc. beneficially owned and had sole dispositive power over all of these shares and has sole voting power over 2,246,420 of these shares.</w:t>
      </w:r>
    </w:p>
    <w:p>
      <w:pPr>
        <w:spacing w:after="0" w:line="78" w:lineRule="exact"/>
        <w:rPr>
          <w:rFonts w:ascii="Arial" w:cs="Arial" w:eastAsia="Arial" w:hAnsi="Arial"/>
          <w:sz w:val="14"/>
          <w:szCs w:val="14"/>
          <w:color w:val="auto"/>
        </w:rPr>
      </w:pPr>
    </w:p>
    <w:p>
      <w:pPr>
        <w:ind w:left="760" w:right="240" w:hanging="414"/>
        <w:spacing w:after="0" w:line="260" w:lineRule="auto"/>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a Schedule 13G/A filed with the SEC on January 31, 2022, as of December 31, 2021, BlackRock, Inc. beneficially owned and had sole dispositive power over all of these shares and has sole voting power over 2,362,130 of these shares, which include shares held by certain subsidiaries of BlackRock, Inc.</w:t>
      </w:r>
    </w:p>
    <w:p>
      <w:pPr>
        <w:spacing w:after="0" w:line="78" w:lineRule="exact"/>
        <w:rPr>
          <w:rFonts w:ascii="Arial" w:cs="Arial" w:eastAsia="Arial" w:hAnsi="Arial"/>
          <w:sz w:val="14"/>
          <w:szCs w:val="14"/>
          <w:color w:val="auto"/>
        </w:rPr>
      </w:pPr>
    </w:p>
    <w:p>
      <w:pPr>
        <w:ind w:left="760" w:right="240" w:hanging="414"/>
        <w:spacing w:after="0" w:line="246" w:lineRule="auto"/>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a Schedule 13G/A filed with the SEC on February 12, 2021, as of December 31, 2021, Dimensional Fund Advisors LP beneficially owned and has sole dispositive power over all of these shares and has sole voting power over 2,324,024 shares. Dimensional Fund Advisors LP disclaims beneficial ownership of all of these shares.</w:t>
      </w:r>
    </w:p>
    <w:p>
      <w:pPr>
        <w:spacing w:after="0" w:line="87" w:lineRule="exact"/>
        <w:rPr>
          <w:rFonts w:ascii="Arial" w:cs="Arial" w:eastAsia="Arial" w:hAnsi="Arial"/>
          <w:sz w:val="14"/>
          <w:szCs w:val="14"/>
          <w:color w:val="auto"/>
        </w:rPr>
      </w:pPr>
    </w:p>
    <w:p>
      <w:pPr>
        <w:ind w:left="760" w:right="120" w:hanging="414"/>
        <w:spacing w:after="0" w:line="246" w:lineRule="auto"/>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This information was obtained from a Schedule 13D/A filed with the SEC on November 27, 2017. According to the Schedule 13D/A, J. Luther King, Jr. beneficially owns and has sole dispositive and voting power over all of these shares, which include shares held by J. Bryan King and certain entities controlled by J. Luther King, Jr. and J. Bryan King.</w:t>
      </w:r>
    </w:p>
    <w:p>
      <w:pPr>
        <w:spacing w:after="0" w:line="87" w:lineRule="exact"/>
        <w:rPr>
          <w:rFonts w:ascii="Arial" w:cs="Arial" w:eastAsia="Arial" w:hAnsi="Arial"/>
          <w:sz w:val="14"/>
          <w:szCs w:val="14"/>
          <w:color w:val="auto"/>
        </w:rPr>
      </w:pPr>
    </w:p>
    <w:p>
      <w:pPr>
        <w:ind w:left="760" w:right="220" w:hanging="414"/>
        <w:spacing w:after="0" w:line="260" w:lineRule="auto"/>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a Schedule 13G/A filed with the SEC on February 10, 2022, as of December 31, 2021, Trigran Investments, Inc. and certain control persons of that entity beneficially owned and had shared dispositive and voting power over all of these shares.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6"/>
          <w:szCs w:val="16"/>
          <w:color w:val="262626"/>
        </w:rPr>
        <w:t>38 • CECO Environmental</w:t>
      </w:r>
    </w:p>
    <w:p>
      <w:pPr>
        <w:sectPr>
          <w:pgSz w:w="11900" w:h="16838" w:orient="portrait"/>
          <w:cols w:equalWidth="0" w:num="1">
            <w:col w:w="10900"/>
          </w:cols>
          <w:pgMar w:left="320" w:top="443" w:right="6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90"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41659C"/>
        </w:rPr>
        <w:t>INFORMATION FOR THIS ANNUAL MEETING</w:t>
      </w:r>
    </w:p>
    <w:p>
      <w:pPr>
        <w:spacing w:after="0" w:line="109" w:lineRule="exact"/>
        <w:rPr>
          <w:sz w:val="20"/>
          <w:szCs w:val="20"/>
          <w:color w:val="auto"/>
        </w:rPr>
      </w:pPr>
    </w:p>
    <w:p>
      <w:pPr>
        <w:ind w:left="340" w:right="100"/>
        <w:spacing w:after="0" w:line="249" w:lineRule="auto"/>
        <w:rPr>
          <w:sz w:val="20"/>
          <w:szCs w:val="20"/>
          <w:color w:val="auto"/>
        </w:rPr>
      </w:pPr>
      <w:r>
        <w:rPr>
          <w:rFonts w:ascii="Arial" w:cs="Arial" w:eastAsia="Arial" w:hAnsi="Arial"/>
          <w:sz w:val="16"/>
          <w:szCs w:val="16"/>
          <w:color w:val="auto"/>
        </w:rPr>
        <w:t xml:space="preserve">The Board of Directors of CECO Environmental Corp. is soliciting proxies to be voted at the Annual Meeting to be held solely through virtual participation via webcast at </w:t>
      </w:r>
      <w:r>
        <w:rPr>
          <w:rFonts w:ascii="Arial" w:cs="Arial" w:eastAsia="Arial" w:hAnsi="Arial"/>
          <w:sz w:val="16"/>
          <w:szCs w:val="16"/>
          <w:u w:val="single" w:color="auto"/>
          <w:color w:val="auto"/>
        </w:rPr>
        <w:t>www.virtualshareholdermeeting.com/CECE2022</w:t>
      </w:r>
      <w:r>
        <w:rPr>
          <w:rFonts w:ascii="Arial" w:cs="Arial" w:eastAsia="Arial" w:hAnsi="Arial"/>
          <w:sz w:val="16"/>
          <w:szCs w:val="16"/>
          <w:color w:val="auto"/>
        </w:rPr>
        <w:t xml:space="preserve"> at 8:00 a.m., Central Time, on June 8, 2022, or any postponement or adjournment thereof.</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Why Did I Receive a Notice of Internet Availability of Proxy Materials?</w:t>
      </w:r>
    </w:p>
    <w:p>
      <w:pPr>
        <w:spacing w:after="0" w:line="109" w:lineRule="exact"/>
        <w:rPr>
          <w:sz w:val="20"/>
          <w:szCs w:val="20"/>
          <w:color w:val="auto"/>
        </w:rPr>
      </w:pPr>
    </w:p>
    <w:p>
      <w:pPr>
        <w:ind w:left="340"/>
        <w:spacing w:after="0" w:line="242" w:lineRule="auto"/>
        <w:rPr>
          <w:sz w:val="20"/>
          <w:szCs w:val="20"/>
          <w:color w:val="auto"/>
        </w:rPr>
      </w:pPr>
      <w:r>
        <w:rPr>
          <w:rFonts w:ascii="Arial" w:cs="Arial" w:eastAsia="Arial" w:hAnsi="Arial"/>
          <w:sz w:val="16"/>
          <w:szCs w:val="16"/>
          <w:color w:val="auto"/>
        </w:rPr>
        <w:t>Pursuant to rules adopted by the SEC, we have elected to provide access to our proxy materials over the internet. Accordingly, we have sent you a Notice of Internet Availability of Proxy Materials (“Notice”) because our Board is soliciting your proxy to vote at the Annual Meeting, including at any adjournments or postponements of the Annual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85" w:lineRule="exact"/>
        <w:rPr>
          <w:sz w:val="20"/>
          <w:szCs w:val="20"/>
          <w:color w:val="auto"/>
        </w:rPr>
      </w:pPr>
    </w:p>
    <w:p>
      <w:pPr>
        <w:ind w:left="340"/>
        <w:spacing w:after="0" w:line="262" w:lineRule="auto"/>
        <w:rPr>
          <w:sz w:val="20"/>
          <w:szCs w:val="20"/>
          <w:color w:val="auto"/>
        </w:rPr>
      </w:pPr>
      <w:r>
        <w:rPr>
          <w:rFonts w:ascii="Arial" w:cs="Arial" w:eastAsia="Arial" w:hAnsi="Arial"/>
          <w:sz w:val="16"/>
          <w:szCs w:val="16"/>
          <w:color w:val="auto"/>
        </w:rPr>
        <w:t>We mailed the Notice and released our proxy materials on or about April 29, 2022, to all stockholders of record as of April 11, 2022, the Record Date, who are entitled to vote in connection with the Annual Meeting.</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Will I Receive Other Proxy Materials by Mail?</w:t>
      </w:r>
    </w:p>
    <w:p>
      <w:pPr>
        <w:spacing w:after="0" w:line="109" w:lineRule="exact"/>
        <w:rPr>
          <w:sz w:val="20"/>
          <w:szCs w:val="20"/>
          <w:color w:val="auto"/>
        </w:rPr>
      </w:pPr>
    </w:p>
    <w:p>
      <w:pPr>
        <w:ind w:left="340"/>
        <w:spacing w:after="0" w:line="249" w:lineRule="auto"/>
        <w:rPr>
          <w:sz w:val="20"/>
          <w:szCs w:val="20"/>
          <w:color w:val="auto"/>
        </w:rPr>
      </w:pPr>
      <w:r>
        <w:rPr>
          <w:rFonts w:ascii="Arial" w:cs="Arial" w:eastAsia="Arial" w:hAnsi="Arial"/>
          <w:sz w:val="16"/>
          <w:szCs w:val="16"/>
          <w:color w:val="auto"/>
        </w:rPr>
        <w:t xml:space="preserve">No, you will not receive any proxy materials, other than the Notice, by mail unless you request a paper copy of proxy materials. To request that a full set of the proxy materials be sent to your specified postal address, please go to </w:t>
      </w:r>
      <w:r>
        <w:rPr>
          <w:rFonts w:ascii="Arial" w:cs="Arial" w:eastAsia="Arial" w:hAnsi="Arial"/>
          <w:sz w:val="16"/>
          <w:szCs w:val="16"/>
          <w:i w:val="1"/>
          <w:iCs w:val="1"/>
          <w:u w:val="single" w:color="auto"/>
          <w:color w:val="auto"/>
        </w:rPr>
        <w:t>www.ProxyVote.com</w:t>
      </w:r>
      <w:r>
        <w:rPr>
          <w:rFonts w:ascii="Arial" w:cs="Arial" w:eastAsia="Arial" w:hAnsi="Arial"/>
          <w:sz w:val="16"/>
          <w:szCs w:val="16"/>
          <w:color w:val="auto"/>
        </w:rPr>
        <w:t xml:space="preserve">, call 1-800-579-1639 or send an email to </w:t>
      </w:r>
      <w:r>
        <w:rPr>
          <w:rFonts w:ascii="Arial" w:cs="Arial" w:eastAsia="Arial" w:hAnsi="Arial"/>
          <w:sz w:val="16"/>
          <w:szCs w:val="16"/>
          <w:i w:val="1"/>
          <w:iCs w:val="1"/>
          <w:u w:val="single" w:color="auto"/>
          <w:color w:val="auto"/>
        </w:rPr>
        <w:t>sendmaterial@proxyvote.com</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May 24, 2022.</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Who Bears the Cost of Solicitation?</w:t>
      </w:r>
    </w:p>
    <w:p>
      <w:pPr>
        <w:spacing w:after="0" w:line="109" w:lineRule="exact"/>
        <w:rPr>
          <w:sz w:val="20"/>
          <w:szCs w:val="20"/>
          <w:color w:val="auto"/>
        </w:rPr>
      </w:pPr>
    </w:p>
    <w:p>
      <w:pPr>
        <w:ind w:left="340" w:right="20"/>
        <w:spacing w:after="0" w:line="245" w:lineRule="auto"/>
        <w:rPr>
          <w:sz w:val="20"/>
          <w:szCs w:val="20"/>
          <w:color w:val="auto"/>
        </w:rPr>
      </w:pPr>
      <w:r>
        <w:rPr>
          <w:rFonts w:ascii="Arial" w:cs="Arial" w:eastAsia="Arial" w:hAnsi="Arial"/>
          <w:sz w:val="16"/>
          <w:szCs w:val="16"/>
          <w:color w:val="auto"/>
        </w:rPr>
        <w:t>The Company is soliciting your votes for this Annual Meeting. The cost of solicitation of the proxies will be borne by us. In addition to this solicitation of the proxies, our employees, without extra remuneration, may solicit proxies personally or by telephone. We will reimburse brokerage firms, nominees, custodians, and fiduciaries for their out-of-pocket expenses for forwarding proxy materials to beneficial owners and seeking instruction regarding the proxy materials.</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Who Can Vote?</w:t>
      </w:r>
    </w:p>
    <w:p>
      <w:pPr>
        <w:spacing w:after="0" w:line="109" w:lineRule="exact"/>
        <w:rPr>
          <w:sz w:val="20"/>
          <w:szCs w:val="20"/>
          <w:color w:val="auto"/>
        </w:rPr>
      </w:pPr>
    </w:p>
    <w:p>
      <w:pPr>
        <w:jc w:val="both"/>
        <w:ind w:left="340" w:right="280"/>
        <w:spacing w:after="0" w:line="249" w:lineRule="auto"/>
        <w:rPr>
          <w:sz w:val="20"/>
          <w:szCs w:val="20"/>
          <w:color w:val="auto"/>
        </w:rPr>
      </w:pPr>
      <w:r>
        <w:rPr>
          <w:rFonts w:ascii="Arial" w:cs="Arial" w:eastAsia="Arial" w:hAnsi="Arial"/>
          <w:sz w:val="16"/>
          <w:szCs w:val="16"/>
          <w:color w:val="auto"/>
        </w:rPr>
        <w:t>Only stockholders of record at the close of business on April 11, 2022, which we refer to as the record date, are entitled to notice of, and to attend and vote at, the Annual Meeting. As of the record date, there were 35,076,119 outstanding shares of our common stock. Each share of our common stock outstanding on the record date will be entitled to cast one vote upon each matter submitted to a vote at the Annual Meeting.</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Who is a Stockholder of Record?</w:t>
      </w:r>
    </w:p>
    <w:p>
      <w:pPr>
        <w:spacing w:after="0" w:line="109" w:lineRule="exact"/>
        <w:rPr>
          <w:sz w:val="20"/>
          <w:szCs w:val="20"/>
          <w:color w:val="auto"/>
        </w:rPr>
      </w:pPr>
    </w:p>
    <w:p>
      <w:pPr>
        <w:ind w:left="340" w:right="200"/>
        <w:spacing w:after="0" w:line="334" w:lineRule="auto"/>
        <w:rPr>
          <w:sz w:val="20"/>
          <w:szCs w:val="20"/>
          <w:color w:val="auto"/>
        </w:rPr>
      </w:pPr>
      <w:r>
        <w:rPr>
          <w:rFonts w:ascii="Arial" w:cs="Arial" w:eastAsia="Arial" w:hAnsi="Arial"/>
          <w:sz w:val="14"/>
          <w:szCs w:val="14"/>
          <w:color w:val="auto"/>
        </w:rPr>
        <w:t>A stockholder of record (or record holder or registered holder) means that your shares are registered in your name directly on the books of our registrar and transfer agent Broadridge Financial Services, Inc. If you are a stockholder of record, we have provided these proxy materials directly to you.</w:t>
      </w:r>
    </w:p>
    <w:p>
      <w:pPr>
        <w:spacing w:after="0" w:line="121" w:lineRule="exact"/>
        <w:rPr>
          <w:sz w:val="20"/>
          <w:szCs w:val="20"/>
          <w:color w:val="auto"/>
        </w:rPr>
      </w:pPr>
    </w:p>
    <w:p>
      <w:pPr>
        <w:ind w:left="340" w:right="240"/>
        <w:spacing w:after="0" w:line="249" w:lineRule="auto"/>
        <w:rPr>
          <w:sz w:val="20"/>
          <w:szCs w:val="20"/>
          <w:color w:val="auto"/>
        </w:rPr>
      </w:pPr>
      <w:r>
        <w:rPr>
          <w:rFonts w:ascii="Arial" w:cs="Arial" w:eastAsia="Arial" w:hAnsi="Arial"/>
          <w:sz w:val="16"/>
          <w:szCs w:val="16"/>
          <w:color w:val="auto"/>
        </w:rPr>
        <w:t>If you hold your shares through a bank, broker or other intermediary, you are considered the “beneficial owner” of those shares held in “street name.” If your shares are held in street name, these proxy materials have been forwarded to you by your bank, broker or other intermediary. As the beneficial owner, you have the right to instruct that institution on how to vote the shares you beneficially own.</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How You Can Vote and What You are Voting on</w:t>
      </w:r>
    </w:p>
    <w:p>
      <w:pPr>
        <w:spacing w:after="0" w:line="109" w:lineRule="exact"/>
        <w:rPr>
          <w:sz w:val="20"/>
          <w:szCs w:val="20"/>
          <w:color w:val="auto"/>
        </w:rPr>
      </w:pPr>
    </w:p>
    <w:p>
      <w:pPr>
        <w:ind w:left="340" w:right="20"/>
        <w:spacing w:after="0" w:line="242" w:lineRule="auto"/>
        <w:rPr>
          <w:sz w:val="20"/>
          <w:szCs w:val="20"/>
          <w:color w:val="auto"/>
        </w:rPr>
      </w:pPr>
      <w:r>
        <w:rPr>
          <w:rFonts w:ascii="Arial" w:cs="Arial" w:eastAsia="Arial" w:hAnsi="Arial"/>
          <w:sz w:val="16"/>
          <w:szCs w:val="16"/>
          <w:color w:val="auto"/>
        </w:rPr>
        <w:t>If you are a registered shareholder, there are several ways for you to vote. You may attend the Annual Meeting via the internet and vote during the Annual Meeting. You may also vote by internet before the date of the Annual Meeting, by proxy or by telephone using one of the methods described on the Notice and in the proxy card. We recommend you vote by mail, internet or telephone even if you plan to attend the Annual Meeting. If you vote by internet or telephone, please do not return the proxy card. If voting by mail, please complete, sign and date your proxy card enclosed with these proxy materials. If desired, you can change your vote at the Annual Meeting.</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2022 Proxy Statement • 39</w:t>
      </w:r>
    </w:p>
    <w:p>
      <w:pPr>
        <w:sectPr>
          <w:pgSz w:w="11900" w:h="16838" w:orient="portrait"/>
          <w:cols w:equalWidth="0" w:num="1">
            <w:col w:w="10900"/>
          </w:cols>
          <w:pgMar w:left="320" w:top="443" w:right="6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4" w:lineRule="exact"/>
        <w:rPr>
          <w:sz w:val="20"/>
          <w:szCs w:val="20"/>
          <w:color w:val="auto"/>
        </w:rPr>
      </w:pPr>
    </w:p>
    <w:p>
      <w:pPr>
        <w:ind w:left="340" w:right="180"/>
        <w:spacing w:after="0" w:line="262" w:lineRule="auto"/>
        <w:rPr>
          <w:sz w:val="20"/>
          <w:szCs w:val="20"/>
          <w:color w:val="auto"/>
        </w:rPr>
      </w:pPr>
      <w:r>
        <w:rPr>
          <w:rFonts w:ascii="Arial" w:cs="Arial" w:eastAsia="Arial" w:hAnsi="Arial"/>
          <w:sz w:val="16"/>
          <w:szCs w:val="16"/>
          <w:color w:val="auto"/>
        </w:rPr>
        <w:t>Whether you hold your shares directly as the stockholder of record or beneficially in street name, you may vote without attending the Annual Meeting in one of the following manners:</w:t>
      </w:r>
    </w:p>
    <w:p>
      <w:pPr>
        <w:spacing w:after="0" w:line="62" w:lineRule="exact"/>
        <w:rPr>
          <w:sz w:val="20"/>
          <w:szCs w:val="20"/>
          <w:color w:val="auto"/>
        </w:rPr>
      </w:pPr>
    </w:p>
    <w:p>
      <w:pPr>
        <w:ind w:left="760" w:right="120"/>
        <w:spacing w:after="0" w:line="265" w:lineRule="auto"/>
        <w:rPr>
          <w:sz w:val="20"/>
          <w:szCs w:val="20"/>
          <w:color w:val="auto"/>
        </w:rPr>
      </w:pPr>
      <w:r>
        <w:rPr>
          <w:rFonts w:ascii="Arial" w:cs="Arial" w:eastAsia="Arial" w:hAnsi="Arial"/>
          <w:sz w:val="16"/>
          <w:szCs w:val="16"/>
          <w:b w:val="1"/>
          <w:bCs w:val="1"/>
          <w:color w:val="auto"/>
        </w:rPr>
        <w:t xml:space="preserve">By Internet: </w:t>
      </w:r>
      <w:r>
        <w:rPr>
          <w:rFonts w:ascii="Arial" w:cs="Arial" w:eastAsia="Arial" w:hAnsi="Arial"/>
          <w:sz w:val="16"/>
          <w:szCs w:val="16"/>
          <w:color w:val="auto"/>
        </w:rPr>
        <w:t>Go to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www.proxyvote.com</w:t>
      </w:r>
      <w:r>
        <w:rPr>
          <w:rFonts w:ascii="Arial" w:cs="Arial" w:eastAsia="Arial" w:hAnsi="Arial"/>
          <w:sz w:val="16"/>
          <w:szCs w:val="16"/>
          <w:b w:val="1"/>
          <w:bCs w:val="1"/>
          <w:color w:val="auto"/>
        </w:rPr>
        <w:t xml:space="preserve"> </w:t>
      </w:r>
      <w:r>
        <w:rPr>
          <w:rFonts w:ascii="Arial" w:cs="Arial" w:eastAsia="Arial" w:hAnsi="Arial"/>
          <w:sz w:val="16"/>
          <w:szCs w:val="16"/>
          <w:color w:val="auto"/>
        </w:rPr>
        <w:t>and follow the instructions. You will need the 16-digit control number included on the Notice, proxy card or</w:t>
      </w:r>
      <w:r>
        <w:rPr>
          <w:rFonts w:ascii="Arial" w:cs="Arial" w:eastAsia="Arial" w:hAnsi="Arial"/>
          <w:sz w:val="16"/>
          <w:szCs w:val="16"/>
          <w:b w:val="1"/>
          <w:bCs w:val="1"/>
          <w:color w:val="auto"/>
        </w:rPr>
        <w:t xml:space="preserve"> </w:t>
      </w:r>
      <w:r>
        <w:rPr>
          <w:rFonts w:ascii="Arial" w:cs="Arial" w:eastAsia="Arial" w:hAnsi="Arial"/>
          <w:sz w:val="16"/>
          <w:szCs w:val="16"/>
          <w:color w:val="auto"/>
        </w:rPr>
        <w:t>voting instruction form;</w:t>
      </w:r>
    </w:p>
    <w:p>
      <w:pPr>
        <w:spacing w:after="0" w:line="59"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By Telephone: </w:t>
      </w:r>
      <w:r>
        <w:rPr>
          <w:rFonts w:ascii="Arial" w:cs="Arial" w:eastAsia="Arial" w:hAnsi="Arial"/>
          <w:sz w:val="16"/>
          <w:szCs w:val="16"/>
          <w:color w:val="auto"/>
        </w:rPr>
        <w:t>Dial 1-800-579-1639. You will need the control number included on the Notice, proxy card or voting instruction form; or</w:t>
      </w:r>
    </w:p>
    <w:p>
      <w:pPr>
        <w:spacing w:after="0" w:line="10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By Mail: </w:t>
      </w:r>
      <w:r>
        <w:rPr>
          <w:rFonts w:ascii="Arial" w:cs="Arial" w:eastAsia="Arial" w:hAnsi="Arial"/>
          <w:sz w:val="16"/>
          <w:szCs w:val="16"/>
          <w:color w:val="auto"/>
        </w:rPr>
        <w:t>Complete, date and sign your proxy card or voting instruction form and mail it.</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Internet and telephone voting for stockholders is available 24 hours a day, and will close at 11:59 p.m., Eastern Time, on June 7, 2022.</w:t>
      </w:r>
    </w:p>
    <w:p>
      <w:pPr>
        <w:spacing w:after="0" w:line="204" w:lineRule="exact"/>
        <w:rPr>
          <w:sz w:val="20"/>
          <w:szCs w:val="20"/>
          <w:color w:val="auto"/>
        </w:rPr>
      </w:pPr>
    </w:p>
    <w:p>
      <w:pPr>
        <w:ind w:left="340"/>
        <w:spacing w:after="0" w:line="262" w:lineRule="auto"/>
        <w:rPr>
          <w:sz w:val="20"/>
          <w:szCs w:val="20"/>
          <w:color w:val="auto"/>
        </w:rPr>
      </w:pPr>
      <w:r>
        <w:rPr>
          <w:rFonts w:ascii="Arial" w:cs="Arial" w:eastAsia="Arial" w:hAnsi="Arial"/>
          <w:sz w:val="16"/>
          <w:szCs w:val="16"/>
          <w:color w:val="auto"/>
        </w:rPr>
        <w:t>The persons named as proxies have informed the Company of their intention, if no contrary instructions are given, to vote the shares represented by such proxies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56515</wp:posOffset>
            </wp:positionV>
            <wp:extent cx="6702425" cy="11087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02425" cy="1108710"/>
                    </a:xfrm>
                    <a:prstGeom prst="rect">
                      <a:avLst/>
                    </a:prstGeom>
                    <a:noFill/>
                  </pic:spPr>
                </pic:pic>
              </a:graphicData>
            </a:graphic>
          </wp:anchor>
        </w:drawing>
      </w:r>
    </w:p>
    <w:p>
      <w:pPr>
        <w:spacing w:after="0" w:line="251"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FOR the election of each director nominee (Proposal 1);</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FOR the approval, on an advisory basis, of the compensation of our named executive officers (Proposal 2);</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FOR the ratification of the appointment of BDO USA, LLP as our independent registered public accounting firm for 2022 (Proposal 3); and</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In accordance with their judgment on any other matters which may properly come before the Annual Meeting.</w:t>
      </w:r>
    </w:p>
    <w:p>
      <w:pPr>
        <w:spacing w:after="0" w:line="200" w:lineRule="exact"/>
        <w:rPr>
          <w:sz w:val="20"/>
          <w:szCs w:val="20"/>
          <w:color w:val="auto"/>
        </w:rPr>
      </w:pPr>
    </w:p>
    <w:p>
      <w:pPr>
        <w:spacing w:after="0" w:line="250" w:lineRule="exact"/>
        <w:rPr>
          <w:sz w:val="20"/>
          <w:szCs w:val="20"/>
          <w:color w:val="auto"/>
        </w:rPr>
      </w:pPr>
    </w:p>
    <w:p>
      <w:pPr>
        <w:ind w:left="340" w:right="100"/>
        <w:spacing w:after="0" w:line="245" w:lineRule="auto"/>
        <w:rPr>
          <w:sz w:val="20"/>
          <w:szCs w:val="20"/>
          <w:color w:val="auto"/>
        </w:rPr>
      </w:pPr>
      <w:r>
        <w:rPr>
          <w:rFonts w:ascii="Arial" w:cs="Arial" w:eastAsia="Arial" w:hAnsi="Arial"/>
          <w:sz w:val="16"/>
          <w:szCs w:val="16"/>
          <w:color w:val="auto"/>
        </w:rPr>
        <w:t>The Board does not know of any other business to be brought before the Annual Meeting other than as indicated in the Notice of Annual Meeting of Stockholders. If other matters are properly presented at the Annual Meeting, the persons named as proxies may vote on such matters in their discretion. In addition, the persons named as proxies may vote your shares to adjourn the Annual Meeting and will be authorized to vote your shares at any adjournments or postponements of the Annual Meeting.</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How Many Votes do I Have?</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each matter to be voted upon, you have one vote for each share of common stock you own as of April 11, 2022.</w:t>
      </w:r>
    </w:p>
    <w:p>
      <w:pPr>
        <w:spacing w:after="0" w:line="301"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What Does it Mean if I Receive More Than One Notice?</w:t>
      </w:r>
    </w:p>
    <w:p>
      <w:pPr>
        <w:spacing w:after="0" w:line="109" w:lineRule="exact"/>
        <w:rPr>
          <w:sz w:val="20"/>
          <w:szCs w:val="20"/>
          <w:color w:val="auto"/>
        </w:rPr>
      </w:pPr>
    </w:p>
    <w:p>
      <w:pPr>
        <w:ind w:left="340" w:right="100"/>
        <w:spacing w:after="0" w:line="262" w:lineRule="auto"/>
        <w:rPr>
          <w:sz w:val="20"/>
          <w:szCs w:val="20"/>
          <w:color w:val="auto"/>
        </w:rPr>
      </w:pPr>
      <w:r>
        <w:rPr>
          <w:rFonts w:ascii="Arial" w:cs="Arial" w:eastAsia="Arial" w:hAnsi="Arial"/>
          <w:sz w:val="16"/>
          <w:szCs w:val="16"/>
          <w:color w:val="auto"/>
        </w:rPr>
        <w:t>If you receive more than one Notice, your shares may be registered in more than one name or in different accounts. Please follow the voting instructions on each of the Notices you receive to ensure that all of your shares are voted.</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Revocability of Proxies</w:t>
      </w:r>
    </w:p>
    <w:p>
      <w:pPr>
        <w:spacing w:after="0" w:line="109" w:lineRule="exact"/>
        <w:rPr>
          <w:sz w:val="20"/>
          <w:szCs w:val="20"/>
          <w:color w:val="auto"/>
        </w:rPr>
      </w:pPr>
    </w:p>
    <w:p>
      <w:pPr>
        <w:ind w:left="340"/>
        <w:spacing w:after="0" w:line="242" w:lineRule="auto"/>
        <w:rPr>
          <w:sz w:val="20"/>
          <w:szCs w:val="20"/>
          <w:color w:val="auto"/>
        </w:rPr>
      </w:pPr>
      <w:r>
        <w:rPr>
          <w:rFonts w:ascii="Arial" w:cs="Arial" w:eastAsia="Arial" w:hAnsi="Arial"/>
          <w:sz w:val="16"/>
          <w:szCs w:val="16"/>
          <w:color w:val="auto"/>
        </w:rPr>
        <w:t>Stockholders who execute proxies retain the right to revoke them at any time before the shares are voted by proxy at the meeting. A stockholder may revoke a proxy by delivering a signed statement to our Corporate Secretary at or prior to the Annual Meeting or by timely executing and delivering, by internet, mail or during the Annual Meeting, another proxy dated as of a later date. Furthermore, you may revoke a proxy by attending the Annual Meeting and voting in person, which will automatically cancel any proxy previously given. Unless you revoke your proxy at the Annual Meeting, your revocation must be received by 11:59 p.m. Eastern Time on June 7, 2022.</w:t>
      </w:r>
    </w:p>
    <w:p>
      <w:pPr>
        <w:spacing w:after="0" w:line="185" w:lineRule="exact"/>
        <w:rPr>
          <w:sz w:val="20"/>
          <w:szCs w:val="20"/>
          <w:color w:val="auto"/>
        </w:rPr>
      </w:pPr>
    </w:p>
    <w:p>
      <w:pPr>
        <w:ind w:left="340" w:right="140"/>
        <w:spacing w:after="0" w:line="249" w:lineRule="auto"/>
        <w:rPr>
          <w:sz w:val="20"/>
          <w:szCs w:val="20"/>
          <w:color w:val="auto"/>
        </w:rPr>
      </w:pPr>
      <w:r>
        <w:rPr>
          <w:rFonts w:ascii="Arial" w:cs="Arial" w:eastAsia="Arial" w:hAnsi="Arial"/>
          <w:sz w:val="16"/>
          <w:szCs w:val="16"/>
          <w:color w:val="auto"/>
        </w:rPr>
        <w:t>Attendance at the Annual Meeting, however, will not automatically revoke any proxy that you have given previously unless you request a ballot and vote during the Annual Meeting. If you hold shares through a bank, broker or other intermediary, you must contact the bank, broker or other intermediary to revoke any prior voting instructions.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How do I participate in, and ask questions during the Annual Meeting?</w:t>
      </w:r>
    </w:p>
    <w:p>
      <w:pPr>
        <w:spacing w:after="0" w:line="109" w:lineRule="exact"/>
        <w:rPr>
          <w:sz w:val="20"/>
          <w:szCs w:val="20"/>
          <w:color w:val="auto"/>
        </w:rPr>
      </w:pPr>
    </w:p>
    <w:p>
      <w:pPr>
        <w:ind w:left="340" w:right="260"/>
        <w:spacing w:after="0" w:line="262" w:lineRule="auto"/>
        <w:rPr>
          <w:sz w:val="20"/>
          <w:szCs w:val="20"/>
          <w:color w:val="auto"/>
        </w:rPr>
      </w:pPr>
      <w:r>
        <w:rPr>
          <w:rFonts w:ascii="Arial" w:cs="Arial" w:eastAsia="Arial" w:hAnsi="Arial"/>
          <w:sz w:val="16"/>
          <w:szCs w:val="16"/>
          <w:color w:val="auto"/>
        </w:rPr>
        <w:t xml:space="preserve">If you would like to submit a question during the Annual Meeting, you may log in to </w:t>
      </w:r>
      <w:r>
        <w:rPr>
          <w:rFonts w:ascii="Arial" w:cs="Arial" w:eastAsia="Arial" w:hAnsi="Arial"/>
          <w:sz w:val="16"/>
          <w:szCs w:val="16"/>
          <w:i w:val="1"/>
          <w:iCs w:val="1"/>
          <w:color w:val="auto"/>
        </w:rPr>
        <w:t>www.virtualshareholdermeeting.com/CECE2022</w:t>
      </w:r>
      <w:r>
        <w:rPr>
          <w:rFonts w:ascii="Arial" w:cs="Arial" w:eastAsia="Arial" w:hAnsi="Arial"/>
          <w:sz w:val="16"/>
          <w:szCs w:val="16"/>
          <w:color w:val="auto"/>
        </w:rPr>
        <w:t xml:space="preserve"> using your control number, type your question into the “Ask a Question” field, and click “Submit.”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262626"/>
        </w:rPr>
        <w:t>40 • CECO Environmental</w:t>
      </w:r>
    </w:p>
    <w:p>
      <w:pPr>
        <w:sectPr>
          <w:pgSz w:w="11900" w:h="16838" w:orient="portrait"/>
          <w:cols w:equalWidth="0" w:num="1">
            <w:col w:w="10880"/>
          </w:cols>
          <w:pgMar w:left="320" w:top="443" w:right="6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4" w:lineRule="exact"/>
        <w:rPr>
          <w:sz w:val="20"/>
          <w:szCs w:val="20"/>
          <w:color w:val="auto"/>
        </w:rPr>
      </w:pPr>
    </w:p>
    <w:p>
      <w:pPr>
        <w:ind w:left="340" w:right="340"/>
        <w:spacing w:after="0" w:line="262" w:lineRule="auto"/>
        <w:rPr>
          <w:sz w:val="20"/>
          <w:szCs w:val="20"/>
          <w:color w:val="auto"/>
        </w:rPr>
      </w:pPr>
      <w:r>
        <w:rPr>
          <w:rFonts w:ascii="Arial" w:cs="Arial" w:eastAsia="Arial" w:hAnsi="Arial"/>
          <w:sz w:val="16"/>
          <w:szCs w:val="16"/>
          <w:color w:val="auto"/>
        </w:rPr>
        <w:t>To help ensure that we have a productive and efficient meeting, and in fairness to all stockholders in attendance, you will also find posted our rules of conduct for the Annual Meeting when you log in prior to its start. These rules of conduct will include the following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130810</wp:posOffset>
            </wp:positionV>
            <wp:extent cx="6702425" cy="16922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02425" cy="1692275"/>
                    </a:xfrm>
                    <a:prstGeom prst="rect">
                      <a:avLst/>
                    </a:prstGeom>
                    <a:noFill/>
                  </pic:spPr>
                </pic:pic>
              </a:graphicData>
            </a:graphic>
          </wp:anchor>
        </w:drawing>
      </w:r>
    </w:p>
    <w:p>
      <w:pPr>
        <w:spacing w:after="0" w:line="367"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You may submit questions and comments electronically through the meeting portal during the Annual Meeting.</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Only stockholders of record as of the Record Date for the Annual Meeting and their proxy holders may submit questions or comments.</w:t>
      </w:r>
    </w:p>
    <w:p>
      <w:pPr>
        <w:spacing w:after="0" w:line="191" w:lineRule="exact"/>
        <w:rPr>
          <w:sz w:val="20"/>
          <w:szCs w:val="20"/>
          <w:color w:val="auto"/>
        </w:rPr>
      </w:pPr>
    </w:p>
    <w:p>
      <w:pPr>
        <w:jc w:val="both"/>
        <w:ind w:left="740" w:right="580" w:hanging="154"/>
        <w:spacing w:after="0" w:line="249" w:lineRule="auto"/>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Questions pertinent to the Annual Meeting and related to our business will be answered during the webcast, subject to time constraints. Any</w:t>
      </w:r>
      <w:r>
        <w:rPr>
          <w:rFonts w:ascii="Arial" w:cs="Arial" w:eastAsia="Arial" w:hAnsi="Arial"/>
          <w:sz w:val="16"/>
          <w:szCs w:val="16"/>
          <w:color w:val="41659C"/>
        </w:rPr>
        <w:t xml:space="preserve"> </w:t>
      </w:r>
      <w:r>
        <w:rPr>
          <w:rFonts w:ascii="Arial" w:cs="Arial" w:eastAsia="Arial" w:hAnsi="Arial"/>
          <w:sz w:val="16"/>
          <w:szCs w:val="16"/>
          <w:color w:val="000000"/>
        </w:rPr>
        <w:t>such questions that cannot be answered live due to time constraints will be posted and answered on our website, https://cecoenviro.com as soon as practical after the Annual Meeting.</w:t>
      </w:r>
    </w:p>
    <w:p>
      <w:pPr>
        <w:spacing w:after="0" w:line="165" w:lineRule="exact"/>
        <w:rPr>
          <w:sz w:val="20"/>
          <w:szCs w:val="20"/>
          <w:color w:val="auto"/>
        </w:rPr>
      </w:pPr>
    </w:p>
    <w:p>
      <w:pPr>
        <w:ind w:left="740" w:right="700" w:hanging="154"/>
        <w:spacing w:after="0" w:line="262" w:lineRule="auto"/>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Questions may be omitted if they are, among other things, irrelevant to our business, related to pending or threatened litigation, disorderly,</w:t>
      </w:r>
      <w:r>
        <w:rPr>
          <w:rFonts w:ascii="Arial" w:cs="Arial" w:eastAsia="Arial" w:hAnsi="Arial"/>
          <w:sz w:val="16"/>
          <w:szCs w:val="16"/>
          <w:color w:val="41659C"/>
        </w:rPr>
        <w:t xml:space="preserve"> </w:t>
      </w:r>
      <w:r>
        <w:rPr>
          <w:rFonts w:ascii="Arial" w:cs="Arial" w:eastAsia="Arial" w:hAnsi="Arial"/>
          <w:sz w:val="16"/>
          <w:szCs w:val="16"/>
          <w:color w:val="000000"/>
        </w:rPr>
        <w:t>repetitious of statements already made, or in furtherance of the speaker’s own personal, political or business interests.</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No audio or video recordings of the Annual Meeting are permitted.</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How are Votes Counted?</w:t>
      </w:r>
    </w:p>
    <w:p>
      <w:pPr>
        <w:spacing w:after="0" w:line="109" w:lineRule="exact"/>
        <w:rPr>
          <w:sz w:val="20"/>
          <w:szCs w:val="20"/>
          <w:color w:val="auto"/>
        </w:rPr>
      </w:pPr>
    </w:p>
    <w:p>
      <w:pPr>
        <w:ind w:left="340" w:right="760"/>
        <w:spacing w:after="0" w:line="262" w:lineRule="auto"/>
        <w:rPr>
          <w:sz w:val="20"/>
          <w:szCs w:val="20"/>
          <w:color w:val="auto"/>
        </w:rPr>
      </w:pPr>
      <w:r>
        <w:rPr>
          <w:rFonts w:ascii="Arial" w:cs="Arial" w:eastAsia="Arial" w:hAnsi="Arial"/>
          <w:sz w:val="16"/>
          <w:szCs w:val="16"/>
          <w:color w:val="auto"/>
        </w:rPr>
        <w:t>Votes will be counted by the inspector of election appointed for the meeting, who will separately count votes “For,” “Withhold,” broker non-votes (Proposals 1 and 2) and “Abstain” (Proposals 2 and 3).</w:t>
      </w:r>
    </w:p>
    <w:p>
      <w:pPr>
        <w:spacing w:after="0" w:line="167" w:lineRule="exact"/>
        <w:rPr>
          <w:sz w:val="20"/>
          <w:szCs w:val="20"/>
          <w:color w:val="auto"/>
        </w:rPr>
      </w:pPr>
    </w:p>
    <w:p>
      <w:pPr>
        <w:ind w:left="340" w:right="20"/>
        <w:spacing w:after="0" w:line="262" w:lineRule="auto"/>
        <w:rPr>
          <w:sz w:val="20"/>
          <w:szCs w:val="20"/>
          <w:color w:val="auto"/>
        </w:rPr>
      </w:pPr>
      <w:r>
        <w:rPr>
          <w:rFonts w:ascii="Arial" w:cs="Arial" w:eastAsia="Arial" w:hAnsi="Arial"/>
          <w:sz w:val="16"/>
          <w:szCs w:val="16"/>
          <w:color w:val="auto"/>
        </w:rPr>
        <w:t>Abstentions will be counted towards the vote total for Proposals 2 and 3 and will have the same effect as “Against” votes. Broker non-votes have no effect and will not be counted towards the vote total for Proposal 1 and will have the same effect as a vote against proposals 2 and 3.</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Quorum Required</w:t>
      </w:r>
    </w:p>
    <w:p>
      <w:pPr>
        <w:spacing w:after="0" w:line="109" w:lineRule="exact"/>
        <w:rPr>
          <w:sz w:val="20"/>
          <w:szCs w:val="20"/>
          <w:color w:val="auto"/>
        </w:rPr>
      </w:pPr>
    </w:p>
    <w:p>
      <w:pPr>
        <w:ind w:left="340" w:right="160"/>
        <w:spacing w:after="0" w:line="245" w:lineRule="auto"/>
        <w:rPr>
          <w:sz w:val="20"/>
          <w:szCs w:val="20"/>
          <w:color w:val="auto"/>
        </w:rPr>
      </w:pPr>
      <w:r>
        <w:rPr>
          <w:rFonts w:ascii="Arial" w:cs="Arial" w:eastAsia="Arial" w:hAnsi="Arial"/>
          <w:sz w:val="16"/>
          <w:szCs w:val="16"/>
          <w:color w:val="auto"/>
        </w:rPr>
        <w:t>In order for business to be conducted, a quorum must be represented at the Annual Meeting. The holders of a majority of the outstanding shares of common stock, present at the Annual Meeting or represented by proxy, shall constitute a quorum at the Annual Meeting. Shares represented by a proxy in which authority to vote for any matter considered is “withheld,” a proxy marked “abstain” or a proxy as to which there is a “broker non-vote” will be considered present at the meeting for purposes of determining a quorum.</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Required Vote to Elect Directors</w:t>
      </w:r>
    </w:p>
    <w:p>
      <w:pPr>
        <w:spacing w:after="0" w:line="109" w:lineRule="exact"/>
        <w:rPr>
          <w:sz w:val="20"/>
          <w:szCs w:val="20"/>
          <w:color w:val="auto"/>
        </w:rPr>
      </w:pPr>
    </w:p>
    <w:p>
      <w:pPr>
        <w:ind w:left="340" w:right="300"/>
        <w:spacing w:after="0" w:line="245" w:lineRule="auto"/>
        <w:rPr>
          <w:sz w:val="20"/>
          <w:szCs w:val="20"/>
          <w:color w:val="auto"/>
        </w:rPr>
      </w:pPr>
      <w:r>
        <w:rPr>
          <w:rFonts w:ascii="Arial" w:cs="Arial" w:eastAsia="Arial" w:hAnsi="Arial"/>
          <w:sz w:val="16"/>
          <w:szCs w:val="16"/>
          <w:color w:val="auto"/>
        </w:rPr>
        <w:t>Directors will be elected by a plurality of the votes cast at the Annual Meeting. This means the nine nominees receiving the most votes will be elected. Only votes cast for a nominee will be counted. Unless indicated otherwise by your proxy, the shares will be voted for the nine nominees named in this Proxy Statement. Instructions on the accompanying proxy to withhold authority to vote for one or more of the nominees will result in those nominees receiving fewer votes but will not count as a vote against the nominees.</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Required Votes to Pass Other Proposals</w:t>
      </w:r>
    </w:p>
    <w:p>
      <w:pPr>
        <w:spacing w:after="0" w:line="109" w:lineRule="exact"/>
        <w:rPr>
          <w:sz w:val="20"/>
          <w:szCs w:val="20"/>
          <w:color w:val="auto"/>
        </w:rPr>
      </w:pPr>
    </w:p>
    <w:p>
      <w:pPr>
        <w:ind w:left="340" w:right="180"/>
        <w:spacing w:after="0" w:line="245" w:lineRule="auto"/>
        <w:rPr>
          <w:sz w:val="20"/>
          <w:szCs w:val="20"/>
          <w:color w:val="auto"/>
        </w:rPr>
      </w:pPr>
      <w:r>
        <w:rPr>
          <w:rFonts w:ascii="Arial" w:cs="Arial" w:eastAsia="Arial" w:hAnsi="Arial"/>
          <w:sz w:val="16"/>
          <w:szCs w:val="16"/>
          <w:color w:val="auto"/>
        </w:rPr>
        <w:t>Proposal 2 (to approve, on an advisory basis, the compensation paid to our named executive officers) and Proposal 3 (to ratify the appointment of BDO USA, LLP as our independent registered public accounting firm for 2022), each require the favorable vote of the majority of shares represented at the Annual Meeting for approval. For these proposals, abstentions are treated as shares present or represented and voting, so abstaining has the same effect as a negative vote.</w:t>
      </w:r>
    </w:p>
    <w:p>
      <w:pPr>
        <w:spacing w:after="0" w:line="180" w:lineRule="exact"/>
        <w:rPr>
          <w:sz w:val="20"/>
          <w:szCs w:val="20"/>
          <w:color w:val="auto"/>
        </w:rPr>
      </w:pPr>
    </w:p>
    <w:p>
      <w:pPr>
        <w:ind w:left="340" w:right="220"/>
        <w:spacing w:after="0" w:line="262" w:lineRule="auto"/>
        <w:rPr>
          <w:sz w:val="20"/>
          <w:szCs w:val="20"/>
          <w:color w:val="auto"/>
        </w:rPr>
      </w:pPr>
      <w:r>
        <w:rPr>
          <w:rFonts w:ascii="Arial" w:cs="Arial" w:eastAsia="Arial" w:hAnsi="Arial"/>
          <w:sz w:val="16"/>
          <w:szCs w:val="16"/>
          <w:color w:val="auto"/>
        </w:rPr>
        <w:t>The votes for Proposal 2 and Proposal 3 are advisory in nature and are not binding on our Company, however, our Board will consider the outcomes of these votes in future deliberations.</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Broker Non-Votes</w:t>
      </w:r>
    </w:p>
    <w:p>
      <w:pPr>
        <w:spacing w:after="0" w:line="109" w:lineRule="exact"/>
        <w:rPr>
          <w:sz w:val="20"/>
          <w:szCs w:val="20"/>
          <w:color w:val="auto"/>
        </w:rPr>
      </w:pPr>
    </w:p>
    <w:p>
      <w:pPr>
        <w:ind w:left="340" w:right="80"/>
        <w:spacing w:after="0" w:line="262" w:lineRule="auto"/>
        <w:rPr>
          <w:sz w:val="20"/>
          <w:szCs w:val="20"/>
          <w:color w:val="auto"/>
        </w:rPr>
      </w:pPr>
      <w:r>
        <w:rPr>
          <w:rFonts w:ascii="Arial" w:cs="Arial" w:eastAsia="Arial" w:hAnsi="Arial"/>
          <w:sz w:val="16"/>
          <w:szCs w:val="16"/>
          <w:color w:val="auto"/>
        </w:rPr>
        <w:t>If your shares are held by a bank, broker or other nominee and you do not provide the bank, broker or other nominee with specific voting instructions, the organization that holds your shares may generally vote on “routine” matters but cannot vote</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2022 Proxy Statement • 41</w:t>
      </w:r>
    </w:p>
    <w:p>
      <w:pPr>
        <w:sectPr>
          <w:pgSz w:w="11900" w:h="16838" w:orient="portrait"/>
          <w:cols w:equalWidth="0" w:num="1">
            <w:col w:w="10900"/>
          </w:cols>
          <w:pgMar w:left="320" w:top="443" w:right="6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4" w:lineRule="exact"/>
        <w:rPr>
          <w:sz w:val="20"/>
          <w:szCs w:val="20"/>
          <w:color w:val="auto"/>
        </w:rPr>
      </w:pPr>
    </w:p>
    <w:p>
      <w:pPr>
        <w:ind w:left="340" w:right="20"/>
        <w:spacing w:after="0" w:line="245" w:lineRule="auto"/>
        <w:rPr>
          <w:sz w:val="20"/>
          <w:szCs w:val="20"/>
          <w:color w:val="auto"/>
        </w:rPr>
      </w:pPr>
      <w:r>
        <w:rPr>
          <w:rFonts w:ascii="Arial" w:cs="Arial" w:eastAsia="Arial" w:hAnsi="Arial"/>
          <w:sz w:val="16"/>
          <w:szCs w:val="16"/>
          <w:color w:val="auto"/>
        </w:rPr>
        <w:t>on non-routine matters. If the bank, broker or other nominee that holds your shares does not receive instructions from you on how to vote your shares on a non-routine matter, the organization will inform our Inspector of Elections that it does not have the authority to vote on this matter with respect to your shares. This is generally referred to as a “broker non-vote.” When our Inspector of Elections tabulates the votes for any matter, broker non-votes will be counted for purposes of determining whether a quorum is present.</w:t>
      </w:r>
    </w:p>
    <w:p>
      <w:pPr>
        <w:spacing w:after="0" w:line="180" w:lineRule="exact"/>
        <w:rPr>
          <w:sz w:val="20"/>
          <w:szCs w:val="20"/>
          <w:color w:val="auto"/>
        </w:rPr>
      </w:pPr>
    </w:p>
    <w:p>
      <w:pPr>
        <w:ind w:left="340"/>
        <w:spacing w:after="0" w:line="242" w:lineRule="auto"/>
        <w:rPr>
          <w:sz w:val="20"/>
          <w:szCs w:val="20"/>
          <w:color w:val="auto"/>
        </w:rPr>
      </w:pPr>
      <w:r>
        <w:rPr>
          <w:rFonts w:ascii="Arial" w:cs="Arial" w:eastAsia="Arial" w:hAnsi="Arial"/>
          <w:sz w:val="16"/>
          <w:szCs w:val="16"/>
          <w:color w:val="auto"/>
        </w:rPr>
        <w:t>Only Proposal 3 (ratification of the selection of BDO USA, LLP as our independent registered public accounting firm for 2022) is a routine proposal. Proposal 1 (election of directors) and Proposal 2 (to approve, on an advisory basis, the compensation of our named executive officers) will be considered “non-routine,” and banks, brokers and certain other nominees that hold your shares in street name will not be able to cast votes on these proposals if you do not provide them with voting instructions. Any broker non-votes will have the same effect as a vote against Proposal 2 and will not affect the outcome of Proposal 1 because directors are elected by a plurality of votes cast.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Please provide voting instructions to the bank, broker or other nominee that holds your shares by carefully following their instructions.</w:t>
      </w:r>
    </w:p>
    <w:p>
      <w:pPr>
        <w:spacing w:after="0" w:line="301"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Where Can I Find the Voting Results?</w:t>
      </w:r>
    </w:p>
    <w:p>
      <w:pPr>
        <w:spacing w:after="0" w:line="109" w:lineRule="exact"/>
        <w:rPr>
          <w:sz w:val="20"/>
          <w:szCs w:val="20"/>
          <w:color w:val="auto"/>
        </w:rPr>
      </w:pPr>
    </w:p>
    <w:p>
      <w:pPr>
        <w:ind w:left="340" w:right="40"/>
        <w:spacing w:after="0" w:line="262" w:lineRule="auto"/>
        <w:rPr>
          <w:sz w:val="20"/>
          <w:szCs w:val="20"/>
          <w:color w:val="auto"/>
        </w:rPr>
      </w:pPr>
      <w:r>
        <w:rPr>
          <w:rFonts w:ascii="Arial" w:cs="Arial" w:eastAsia="Arial" w:hAnsi="Arial"/>
          <w:sz w:val="16"/>
          <w:szCs w:val="16"/>
          <w:color w:val="auto"/>
        </w:rPr>
        <w:t xml:space="preserve">Preliminary voting results will be announced at the Annual Meeting. In addition, final voting results will be published in a Current Report on Form 8-K that we expect to file within four business days after the Annual Meeting. The report will be available on our website at </w:t>
      </w:r>
      <w:r>
        <w:rPr>
          <w:rFonts w:ascii="Arial" w:cs="Arial" w:eastAsia="Arial" w:hAnsi="Arial"/>
          <w:sz w:val="16"/>
          <w:szCs w:val="16"/>
          <w:i w:val="1"/>
          <w:iCs w:val="1"/>
          <w:color w:val="auto"/>
        </w:rPr>
        <w:t>www.cecoenviro.com</w:t>
      </w:r>
      <w:r>
        <w:rPr>
          <w:rFonts w:ascii="Arial" w:cs="Arial" w:eastAsia="Arial" w:hAnsi="Arial"/>
          <w:sz w:val="16"/>
          <w:szCs w:val="16"/>
          <w:color w:val="auto"/>
        </w:rPr>
        <w:t>.</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Householding Information</w:t>
      </w:r>
    </w:p>
    <w:p>
      <w:pPr>
        <w:spacing w:after="0" w:line="109" w:lineRule="exact"/>
        <w:rPr>
          <w:sz w:val="20"/>
          <w:szCs w:val="20"/>
          <w:color w:val="auto"/>
        </w:rPr>
      </w:pPr>
    </w:p>
    <w:p>
      <w:pPr>
        <w:ind w:left="340" w:right="120"/>
        <w:spacing w:after="0" w:line="241" w:lineRule="auto"/>
        <w:rPr>
          <w:sz w:val="20"/>
          <w:szCs w:val="20"/>
          <w:color w:val="auto"/>
        </w:rPr>
      </w:pPr>
      <w:r>
        <w:rPr>
          <w:rFonts w:ascii="Arial" w:cs="Arial" w:eastAsia="Arial" w:hAnsi="Arial"/>
          <w:sz w:val="16"/>
          <w:szCs w:val="16"/>
          <w:color w:val="auto"/>
        </w:rPr>
        <w:t>Unless we have received contrary instructions, we may send a single copy of this Proxy Statement to any household at which two or more stockholders reside if we believe the stockholders are members of the same family. This process, known as “householding,” reduces the volume of duplicate information received at any one household and helps reduce our expenses. However, if stockholders prefer to receive multiple sets of our disclosure documents at the same address this year or in future years, the stockholders should follow the instructions described below. Similarly, if an address is shared with another stockholder and together both stockholders would like to receive only a single set of our disclosure documents, the stockholders should follow these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125095</wp:posOffset>
            </wp:positionV>
            <wp:extent cx="6702425" cy="8623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02425" cy="862330"/>
                    </a:xfrm>
                    <a:prstGeom prst="rect">
                      <a:avLst/>
                    </a:prstGeom>
                    <a:noFill/>
                  </pic:spPr>
                </pic:pic>
              </a:graphicData>
            </a:graphic>
          </wp:anchor>
        </w:drawing>
      </w:r>
    </w:p>
    <w:p>
      <w:pPr>
        <w:spacing w:after="0" w:line="359" w:lineRule="exact"/>
        <w:rPr>
          <w:sz w:val="20"/>
          <w:szCs w:val="20"/>
          <w:color w:val="auto"/>
        </w:rPr>
      </w:pPr>
    </w:p>
    <w:p>
      <w:pPr>
        <w:ind w:left="740" w:right="560" w:hanging="154"/>
        <w:spacing w:after="0" w:line="262" w:lineRule="auto"/>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If the shares are registered in the name of the stockholder, the stockholder should contact Corporate Secretary at 14651 N. Dallas Parkway,</w:t>
      </w:r>
      <w:r>
        <w:rPr>
          <w:rFonts w:ascii="Arial" w:cs="Arial" w:eastAsia="Arial" w:hAnsi="Arial"/>
          <w:sz w:val="16"/>
          <w:szCs w:val="16"/>
          <w:color w:val="41659C"/>
        </w:rPr>
        <w:t xml:space="preserve"> </w:t>
      </w:r>
      <w:r>
        <w:rPr>
          <w:rFonts w:ascii="Arial" w:cs="Arial" w:eastAsia="Arial" w:hAnsi="Arial"/>
          <w:sz w:val="16"/>
          <w:szCs w:val="16"/>
          <w:color w:val="000000"/>
        </w:rPr>
        <w:t>Suite 500 Dallas, Texas 75254, or via telephone at (214) 357-6181, to inform us of his or her request; or</w:t>
      </w:r>
    </w:p>
    <w:p>
      <w:pPr>
        <w:spacing w:after="0" w:line="155" w:lineRule="exact"/>
        <w:rPr>
          <w:sz w:val="20"/>
          <w:szCs w:val="20"/>
          <w:color w:val="auto"/>
        </w:rPr>
      </w:pPr>
    </w:p>
    <w:p>
      <w:pPr>
        <w:ind w:left="740" w:right="620" w:hanging="154"/>
        <w:spacing w:after="0" w:line="262" w:lineRule="auto"/>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If a broker, bank, broker-dealer, custodian or other similar organization holds the shares, the stockholder should contact that representative</w:t>
      </w:r>
      <w:r>
        <w:rPr>
          <w:rFonts w:ascii="Arial" w:cs="Arial" w:eastAsia="Arial" w:hAnsi="Arial"/>
          <w:sz w:val="16"/>
          <w:szCs w:val="16"/>
          <w:color w:val="41659C"/>
        </w:rPr>
        <w:t xml:space="preserve"> </w:t>
      </w:r>
      <w:r>
        <w:rPr>
          <w:rFonts w:ascii="Arial" w:cs="Arial" w:eastAsia="Arial" w:hAnsi="Arial"/>
          <w:sz w:val="16"/>
          <w:szCs w:val="16"/>
          <w:color w:val="000000"/>
        </w:rPr>
        <w:t>directly.</w:t>
      </w:r>
    </w:p>
    <w:p>
      <w:pPr>
        <w:spacing w:after="0" w:line="200" w:lineRule="exact"/>
        <w:rPr>
          <w:sz w:val="20"/>
          <w:szCs w:val="20"/>
          <w:color w:val="auto"/>
        </w:rPr>
      </w:pPr>
    </w:p>
    <w:p>
      <w:pPr>
        <w:spacing w:after="0" w:line="310"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Other Information</w:t>
      </w:r>
    </w:p>
    <w:p>
      <w:pPr>
        <w:spacing w:after="0" w:line="109" w:lineRule="exact"/>
        <w:rPr>
          <w:sz w:val="20"/>
          <w:szCs w:val="20"/>
          <w:color w:val="auto"/>
        </w:rPr>
      </w:pPr>
    </w:p>
    <w:p>
      <w:pPr>
        <w:ind w:left="340" w:right="140"/>
        <w:spacing w:after="0" w:line="245" w:lineRule="auto"/>
        <w:rPr>
          <w:sz w:val="20"/>
          <w:szCs w:val="20"/>
          <w:color w:val="auto"/>
        </w:rPr>
      </w:pPr>
      <w:r>
        <w:rPr>
          <w:rFonts w:ascii="Arial" w:cs="Arial" w:eastAsia="Arial" w:hAnsi="Arial"/>
          <w:sz w:val="16"/>
          <w:szCs w:val="16"/>
          <w:color w:val="auto"/>
        </w:rPr>
        <w:t>If no instructions are indicated on a duly executed and returned proxy, the shares represented by the proxy will be voted FOR the election of the nine director nominees proposed by our Board, FOR the approval, on an advisory basis, of the compensation paid to our named executive officers, FOR the ratification of the appointment of BDO USA, LLP as our independent registered public accounting firm for 2022, and in accordance with the judgment of the persons named in the proxy as to such other matters as may properly come before the Annual Meeting.</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262626"/>
        </w:rPr>
        <w:t>42 • CECO Environmental</w:t>
      </w:r>
    </w:p>
    <w:p>
      <w:pPr>
        <w:sectPr>
          <w:pgSz w:w="11900" w:h="16838" w:orient="portrait"/>
          <w:cols w:equalWidth="0" w:num="1">
            <w:col w:w="10840"/>
          </w:cols>
          <w:pgMar w:left="320" w:top="443" w:right="7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90"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41659C"/>
        </w:rPr>
        <w:t>INFORMATION FOR OUR 2023 ANNUAL MEETING</w:t>
      </w:r>
    </w:p>
    <w:p>
      <w:pPr>
        <w:spacing w:after="0" w:line="109" w:lineRule="exact"/>
        <w:rPr>
          <w:sz w:val="20"/>
          <w:szCs w:val="20"/>
          <w:color w:val="auto"/>
        </w:rPr>
      </w:pPr>
    </w:p>
    <w:p>
      <w:pPr>
        <w:ind w:left="340" w:right="100"/>
        <w:spacing w:after="0" w:line="249" w:lineRule="auto"/>
        <w:rPr>
          <w:sz w:val="20"/>
          <w:szCs w:val="20"/>
          <w:color w:val="auto"/>
        </w:rPr>
      </w:pPr>
      <w:r>
        <w:rPr>
          <w:rFonts w:ascii="Arial" w:cs="Arial" w:eastAsia="Arial" w:hAnsi="Arial"/>
          <w:sz w:val="16"/>
          <w:szCs w:val="16"/>
          <w:color w:val="auto"/>
        </w:rPr>
        <w:t>Stockholders who wish to submit a proposal to be considered at our 2023 Annual Meeting of Stockholders, must comply with the following procedures. Any communication to be made to us as described below should be addressed to the Corporate Secretary, CECO Environmental Corp., 14651 N. Dallas Parkway, Suite 500, Dallas, Texas 75254.</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Proxy Statement Proposals</w:t>
      </w:r>
    </w:p>
    <w:p>
      <w:pPr>
        <w:spacing w:after="0" w:line="109" w:lineRule="exact"/>
        <w:rPr>
          <w:sz w:val="20"/>
          <w:szCs w:val="20"/>
          <w:color w:val="auto"/>
        </w:rPr>
      </w:pPr>
    </w:p>
    <w:p>
      <w:pPr>
        <w:ind w:left="340" w:right="100"/>
        <w:spacing w:after="0" w:line="334" w:lineRule="auto"/>
        <w:rPr>
          <w:sz w:val="20"/>
          <w:szCs w:val="20"/>
          <w:color w:val="auto"/>
        </w:rPr>
      </w:pPr>
      <w:r>
        <w:rPr>
          <w:rFonts w:ascii="Arial" w:cs="Arial" w:eastAsia="Arial" w:hAnsi="Arial"/>
          <w:sz w:val="14"/>
          <w:szCs w:val="14"/>
          <w:color w:val="auto"/>
        </w:rPr>
        <w:t>If you intend to present proposals for inclusion in our Proxy Statement for our 2023 Annual Meeting, you must give us written notice of your intent, and your proposal must comply with SEC regulations under Rule 14a-8. Our Corporate Secretary must receive your notice no later than December 28, 2022.</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Matters for Annual Meeting Agenda</w:t>
      </w:r>
    </w:p>
    <w:p>
      <w:pPr>
        <w:spacing w:after="0" w:line="109" w:lineRule="exact"/>
        <w:rPr>
          <w:sz w:val="20"/>
          <w:szCs w:val="20"/>
          <w:color w:val="auto"/>
        </w:rPr>
      </w:pPr>
    </w:p>
    <w:p>
      <w:pPr>
        <w:ind w:left="340" w:right="80"/>
        <w:spacing w:after="0" w:line="245" w:lineRule="auto"/>
        <w:rPr>
          <w:sz w:val="20"/>
          <w:szCs w:val="20"/>
          <w:color w:val="auto"/>
        </w:rPr>
      </w:pPr>
      <w:r>
        <w:rPr>
          <w:rFonts w:ascii="Arial" w:cs="Arial" w:eastAsia="Arial" w:hAnsi="Arial"/>
          <w:sz w:val="16"/>
          <w:szCs w:val="16"/>
          <w:color w:val="auto"/>
        </w:rPr>
        <w:t>If you intend to bring a matter before the 2023 Annual Meeting, other than by submitting a proposal to be included in our Proxy Statement, we must receive your notice in accordance with our Bylaws. To be timely, such notice must be delivered to or mailed and received by us not less than 90 nor more than 120 calendar days prior to the first anniversary of the date of the preceding year’s Annual Meeting of Stockholders. In accordance with our Bylaws, we must receive your notice no earlier than February 8, 2023, and no later than March 10, 2023.</w:t>
      </w:r>
    </w:p>
    <w:p>
      <w:pPr>
        <w:spacing w:after="0" w:line="180" w:lineRule="exact"/>
        <w:rPr>
          <w:sz w:val="20"/>
          <w:szCs w:val="20"/>
          <w:color w:val="auto"/>
        </w:rPr>
      </w:pPr>
    </w:p>
    <w:p>
      <w:pPr>
        <w:ind w:left="340" w:right="80"/>
        <w:spacing w:after="0" w:line="185" w:lineRule="auto"/>
        <w:rPr>
          <w:sz w:val="20"/>
          <w:szCs w:val="20"/>
          <w:color w:val="auto"/>
        </w:rPr>
      </w:pPr>
      <w:r>
        <w:rPr>
          <w:rFonts w:ascii="Arial" w:cs="Arial" w:eastAsia="Arial" w:hAnsi="Arial"/>
          <w:sz w:val="16"/>
          <w:szCs w:val="16"/>
          <w:color w:val="auto"/>
        </w:rPr>
        <w:t>If, however, the date of the 2023 Annual Meeting is changed by more than 30 days from the anniversary date of this year’s Annual Meeting, the stockholder notice described above will be deemed timely if it is received not later than the close of business on the later of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prior to such annual meeting and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after public announcement of the date of such meeting. If the Company does not receive such notice within the timeframe described above, the notice will be considered untimely, and the proposal may not be brought.</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Director Candidate Nominations</w:t>
      </w:r>
    </w:p>
    <w:p>
      <w:pPr>
        <w:spacing w:after="0" w:line="109" w:lineRule="exact"/>
        <w:rPr>
          <w:sz w:val="20"/>
          <w:szCs w:val="20"/>
          <w:color w:val="auto"/>
        </w:rPr>
      </w:pPr>
    </w:p>
    <w:p>
      <w:pPr>
        <w:jc w:val="both"/>
        <w:ind w:left="340" w:right="220"/>
        <w:spacing w:after="0" w:line="286" w:lineRule="auto"/>
        <w:rPr>
          <w:sz w:val="20"/>
          <w:szCs w:val="20"/>
          <w:color w:val="auto"/>
        </w:rPr>
      </w:pPr>
      <w:r>
        <w:rPr>
          <w:rFonts w:ascii="Arial" w:cs="Arial" w:eastAsia="Arial" w:hAnsi="Arial"/>
          <w:sz w:val="14"/>
          <w:szCs w:val="14"/>
          <w:color w:val="auto"/>
        </w:rPr>
        <w:t>Any stockholder may submit one candidate for consideration at each stockholder meeting at which directors are to be elected. Stockholders wishing to recommend a candidate must submit the recommendation no later than 120 days before the date our Proxy Statement was released to stockholders in connection with the previous year’s Annual Meeting of Stockholders, provided, that if we did not hold any annual meeting in the previous year, or if the date of the next annual meeting has been changed by more than 30 days from the date of the previous year’s meeting, then the deadline will be a date that is a reasonable time before we begin to print and mail our proxy materials, but in no event, less than 90 days prior to such mailing.</w:t>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2022 Proxy Statement • 43</w:t>
      </w:r>
    </w:p>
    <w:p>
      <w:pPr>
        <w:sectPr>
          <w:pgSz w:w="11900" w:h="16838" w:orient="portrait"/>
          <w:cols w:equalWidth="0" w:num="1">
            <w:col w:w="10900"/>
          </w:cols>
          <w:pgMar w:left="320" w:top="443" w:right="6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304" w:lineRule="exact"/>
        <w:rPr>
          <w:sz w:val="20"/>
          <w:szCs w:val="20"/>
          <w:color w:val="auto"/>
        </w:rPr>
      </w:pPr>
    </w:p>
    <w:p>
      <w:pPr>
        <w:ind w:left="340"/>
        <w:spacing w:after="0" w:line="249" w:lineRule="auto"/>
        <w:rPr>
          <w:sz w:val="20"/>
          <w:szCs w:val="20"/>
          <w:color w:val="auto"/>
        </w:rPr>
      </w:pPr>
      <w:r>
        <w:rPr>
          <w:rFonts w:ascii="Arial" w:cs="Arial" w:eastAsia="Arial" w:hAnsi="Arial"/>
          <w:sz w:val="16"/>
          <w:szCs w:val="16"/>
          <w:color w:val="auto"/>
        </w:rPr>
        <w:t>Our Bylaws also provide certain requirements as to the form and content of a stockholder’s notice. These provisions may preclude stockholders from making nominations for directors at the Annual Meeting of Stockholders. A stockholder’s notice must set forth, among other things, as to a nomination the stockholder proposes to bring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137160</wp:posOffset>
            </wp:positionV>
            <wp:extent cx="6702425" cy="3573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02425" cy="3573145"/>
                    </a:xfrm>
                    <a:prstGeom prst="rect">
                      <a:avLst/>
                    </a:prstGeom>
                    <a:noFill/>
                  </pic:spPr>
                </pic:pic>
              </a:graphicData>
            </a:graphic>
          </wp:anchor>
        </w:drawing>
      </w:r>
    </w:p>
    <w:p>
      <w:pPr>
        <w:spacing w:after="0" w:line="378"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the name and address of the stockholder and the beneficial owner, if any, on whose behalf the proposal or nomination is made;</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the class, series and number of shares that are owned of record or beneficially by the stockholder nominating the nominee or nominees;</w:t>
      </w:r>
    </w:p>
    <w:p>
      <w:pPr>
        <w:spacing w:after="0" w:line="191" w:lineRule="exact"/>
        <w:rPr>
          <w:sz w:val="20"/>
          <w:szCs w:val="20"/>
          <w:color w:val="auto"/>
        </w:rPr>
      </w:pPr>
    </w:p>
    <w:p>
      <w:pPr>
        <w:ind w:left="740" w:right="920" w:hanging="154"/>
        <w:spacing w:after="0" w:line="334" w:lineRule="auto"/>
        <w:rPr>
          <w:sz w:val="20"/>
          <w:szCs w:val="20"/>
          <w:color w:val="auto"/>
        </w:rPr>
      </w:pPr>
      <w:r>
        <w:rPr>
          <w:rFonts w:ascii="Arial" w:cs="Arial" w:eastAsia="Arial" w:hAnsi="Arial"/>
          <w:sz w:val="14"/>
          <w:szCs w:val="14"/>
          <w:color w:val="41659C"/>
        </w:rPr>
        <w:t>•</w:t>
      </w:r>
      <w:r>
        <w:rPr>
          <w:rFonts w:ascii="Arial" w:cs="Arial" w:eastAsia="Arial" w:hAnsi="Arial"/>
          <w:sz w:val="14"/>
          <w:szCs w:val="14"/>
          <w:color w:val="000000"/>
        </w:rPr>
        <w:t xml:space="preserve">   a representation that the stockholder giving the notice is a holder of record of shares of our voting stock entitled to vote at such annual</w:t>
      </w:r>
      <w:r>
        <w:rPr>
          <w:rFonts w:ascii="Arial" w:cs="Arial" w:eastAsia="Arial" w:hAnsi="Arial"/>
          <w:sz w:val="14"/>
          <w:szCs w:val="14"/>
          <w:color w:val="41659C"/>
        </w:rPr>
        <w:t xml:space="preserve"> </w:t>
      </w:r>
      <w:r>
        <w:rPr>
          <w:rFonts w:ascii="Arial" w:cs="Arial" w:eastAsia="Arial" w:hAnsi="Arial"/>
          <w:sz w:val="14"/>
          <w:szCs w:val="14"/>
          <w:color w:val="000000"/>
        </w:rPr>
        <w:t>meeting and intends to appear in person or by proxy at the annual meeting to nominate the person or persons specified in the notice;</w:t>
      </w:r>
    </w:p>
    <w:p>
      <w:pPr>
        <w:spacing w:after="0" w:line="108" w:lineRule="exact"/>
        <w:rPr>
          <w:sz w:val="20"/>
          <w:szCs w:val="20"/>
          <w:color w:val="auto"/>
        </w:rPr>
      </w:pPr>
    </w:p>
    <w:p>
      <w:pPr>
        <w:ind w:left="740" w:right="460" w:hanging="154"/>
        <w:spacing w:after="0" w:line="262" w:lineRule="auto"/>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whether such stockholder or beneficial owner intends to deliver a Proxy Statement and forms of proxy to holders of at least the percentage of</w:t>
      </w:r>
      <w:r>
        <w:rPr>
          <w:rFonts w:ascii="Arial" w:cs="Arial" w:eastAsia="Arial" w:hAnsi="Arial"/>
          <w:sz w:val="16"/>
          <w:szCs w:val="16"/>
          <w:color w:val="41659C"/>
        </w:rPr>
        <w:t xml:space="preserve"> </w:t>
      </w:r>
      <w:r>
        <w:rPr>
          <w:rFonts w:ascii="Arial" w:cs="Arial" w:eastAsia="Arial" w:hAnsi="Arial"/>
          <w:sz w:val="16"/>
          <w:szCs w:val="16"/>
          <w:color w:val="000000"/>
        </w:rPr>
        <w:t>shares of our voting stock required to nominate such nominee or nominees;</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any derivative interest in our Company’s securities (as such term is defined in our Bylaws);</w:t>
      </w:r>
    </w:p>
    <w:p>
      <w:pPr>
        <w:spacing w:after="0" w:line="191" w:lineRule="exact"/>
        <w:rPr>
          <w:sz w:val="20"/>
          <w:szCs w:val="20"/>
          <w:color w:val="auto"/>
        </w:rPr>
      </w:pPr>
    </w:p>
    <w:p>
      <w:pPr>
        <w:ind w:left="740" w:right="800" w:hanging="154"/>
        <w:spacing w:after="0" w:line="262" w:lineRule="auto"/>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any voting arrangements pursuant to which such stockholder has the right to vote any shares of the Company, or which has the effect of</w:t>
      </w:r>
      <w:r>
        <w:rPr>
          <w:rFonts w:ascii="Arial" w:cs="Arial" w:eastAsia="Arial" w:hAnsi="Arial"/>
          <w:sz w:val="16"/>
          <w:szCs w:val="16"/>
          <w:color w:val="41659C"/>
        </w:rPr>
        <w:t xml:space="preserve"> </w:t>
      </w:r>
      <w:r>
        <w:rPr>
          <w:rFonts w:ascii="Arial" w:cs="Arial" w:eastAsia="Arial" w:hAnsi="Arial"/>
          <w:sz w:val="16"/>
          <w:szCs w:val="16"/>
          <w:color w:val="000000"/>
        </w:rPr>
        <w:t>increasing or decreasing such stockholder’s voting power;</w:t>
      </w:r>
    </w:p>
    <w:p>
      <w:pPr>
        <w:spacing w:after="0" w:line="155" w:lineRule="exact"/>
        <w:rPr>
          <w:sz w:val="20"/>
          <w:szCs w:val="20"/>
          <w:color w:val="auto"/>
        </w:rPr>
      </w:pPr>
    </w:p>
    <w:p>
      <w:pPr>
        <w:ind w:left="740" w:right="340" w:hanging="154"/>
        <w:spacing w:after="0" w:line="262" w:lineRule="auto"/>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any contract or arrangement pursuant to which such stockholder is a party that provides any party, directly or indirectly, the opportunity to profit</w:t>
      </w:r>
      <w:r>
        <w:rPr>
          <w:rFonts w:ascii="Arial" w:cs="Arial" w:eastAsia="Arial" w:hAnsi="Arial"/>
          <w:sz w:val="16"/>
          <w:szCs w:val="16"/>
          <w:color w:val="41659C"/>
        </w:rPr>
        <w:t xml:space="preserve"> </w:t>
      </w:r>
      <w:r>
        <w:rPr>
          <w:rFonts w:ascii="Arial" w:cs="Arial" w:eastAsia="Arial" w:hAnsi="Arial"/>
          <w:sz w:val="16"/>
          <w:szCs w:val="16"/>
          <w:color w:val="000000"/>
        </w:rPr>
        <w:t>from any decrease in the price or value of our stock;</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any material pending or threatened legal proceeding involving our Company, any of its affiliates or any of our directors or officers;</w:t>
      </w:r>
    </w:p>
    <w:p>
      <w:pPr>
        <w:spacing w:after="0" w:line="191" w:lineRule="exact"/>
        <w:rPr>
          <w:sz w:val="20"/>
          <w:szCs w:val="20"/>
          <w:color w:val="auto"/>
        </w:rPr>
      </w:pPr>
    </w:p>
    <w:p>
      <w:pPr>
        <w:ind w:left="740" w:right="520" w:hanging="154"/>
        <w:spacing w:after="0" w:line="249" w:lineRule="auto"/>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any rights to certain dividends on shares of Company stock that are separated or separable from the underlying shares of the Company and</w:t>
      </w:r>
      <w:r>
        <w:rPr>
          <w:rFonts w:ascii="Arial" w:cs="Arial" w:eastAsia="Arial" w:hAnsi="Arial"/>
          <w:sz w:val="16"/>
          <w:szCs w:val="16"/>
          <w:color w:val="41659C"/>
        </w:rPr>
        <w:t xml:space="preserve"> </w:t>
      </w:r>
      <w:r>
        <w:rPr>
          <w:rFonts w:ascii="Arial" w:cs="Arial" w:eastAsia="Arial" w:hAnsi="Arial"/>
          <w:sz w:val="16"/>
          <w:szCs w:val="16"/>
          <w:color w:val="000000"/>
        </w:rPr>
        <w:t>any entitlement to certain performance-related fees resulting from an increase or decrease in the value of shares of Company stock or derivative interests; and</w:t>
      </w:r>
    </w:p>
    <w:p>
      <w:pPr>
        <w:spacing w:after="0" w:line="165" w:lineRule="exact"/>
        <w:rPr>
          <w:sz w:val="20"/>
          <w:szCs w:val="20"/>
          <w:color w:val="auto"/>
        </w:rPr>
      </w:pPr>
    </w:p>
    <w:p>
      <w:pPr>
        <w:ind w:left="740" w:right="360" w:hanging="154"/>
        <w:spacing w:after="0" w:line="245" w:lineRule="auto"/>
        <w:rPr>
          <w:sz w:val="20"/>
          <w:szCs w:val="20"/>
          <w:color w:val="auto"/>
        </w:rPr>
      </w:pPr>
      <w:r>
        <w:rPr>
          <w:rFonts w:ascii="Arial" w:cs="Arial" w:eastAsia="Arial" w:hAnsi="Arial"/>
          <w:sz w:val="16"/>
          <w:szCs w:val="16"/>
          <w:color w:val="41659C"/>
        </w:rPr>
        <w:t>•</w:t>
      </w:r>
      <w:r>
        <w:rPr>
          <w:rFonts w:ascii="Arial" w:cs="Arial" w:eastAsia="Arial" w:hAnsi="Arial"/>
          <w:sz w:val="16"/>
          <w:szCs w:val="16"/>
          <w:color w:val="000000"/>
        </w:rPr>
        <w:t xml:space="preserve">   any equity interests, including any convertible, derivate or short interests, in any competitor of the Company; and any other information relating</w:t>
      </w:r>
      <w:r>
        <w:rPr>
          <w:rFonts w:ascii="Arial" w:cs="Arial" w:eastAsia="Arial" w:hAnsi="Arial"/>
          <w:sz w:val="16"/>
          <w:szCs w:val="16"/>
          <w:color w:val="41659C"/>
        </w:rPr>
        <w:t xml:space="preserve"> </w:t>
      </w:r>
      <w:r>
        <w:rPr>
          <w:rFonts w:ascii="Arial" w:cs="Arial" w:eastAsia="Arial" w:hAnsi="Arial"/>
          <w:sz w:val="16"/>
          <w:szCs w:val="16"/>
          <w:color w:val="000000"/>
        </w:rPr>
        <w:t>to such stockholder that would be required to be disclosed in a Proxy Statement or other filing required pursuant to Section 14(a) of the Exchange Act to be made in connection with a general solicitation of proxies or consents in support of the nomination of the nominee or nominees.</w:t>
      </w:r>
    </w:p>
    <w:p>
      <w:pPr>
        <w:spacing w:after="0" w:line="200" w:lineRule="exact"/>
        <w:rPr>
          <w:sz w:val="20"/>
          <w:szCs w:val="20"/>
          <w:color w:val="auto"/>
        </w:rPr>
      </w:pPr>
    </w:p>
    <w:p>
      <w:pPr>
        <w:spacing w:after="0" w:line="323"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Universal Proxy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43815</wp:posOffset>
            </wp:positionV>
            <wp:extent cx="67024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02425" cy="8255"/>
                    </a:xfrm>
                    <a:prstGeom prst="rect">
                      <a:avLst/>
                    </a:prstGeom>
                    <a:noFill/>
                  </pic:spPr>
                </pic:pic>
              </a:graphicData>
            </a:graphic>
          </wp:anchor>
        </w:drawing>
      </w:r>
    </w:p>
    <w:p>
      <w:pPr>
        <w:spacing w:after="0" w:line="89" w:lineRule="exact"/>
        <w:rPr>
          <w:sz w:val="20"/>
          <w:szCs w:val="20"/>
          <w:color w:val="auto"/>
        </w:rPr>
      </w:pPr>
    </w:p>
    <w:p>
      <w:pPr>
        <w:jc w:val="both"/>
        <w:ind w:left="340" w:right="160"/>
        <w:spacing w:after="0" w:line="249" w:lineRule="auto"/>
        <w:rPr>
          <w:sz w:val="20"/>
          <w:szCs w:val="20"/>
          <w:color w:val="auto"/>
        </w:rPr>
      </w:pPr>
      <w:r>
        <w:rPr>
          <w:rFonts w:ascii="Arial" w:cs="Arial" w:eastAsia="Arial" w:hAnsi="Arial"/>
          <w:sz w:val="16"/>
          <w:szCs w:val="16"/>
          <w:color w:val="auto"/>
        </w:rPr>
        <w:t>In addition to satisfying the requirements under our Bylaws, to comply with the universal proxy rules (once effective), stockholders who intend to solicit proxies in support of director nominees other than the Company’s nominees must provide notice that sets forth the information required by Rule 14a-19 under the Exchange Act no later than April 9, 2023.</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262626"/>
        </w:rPr>
        <w:t>44 • CECO Environmental</w:t>
      </w:r>
    </w:p>
    <w:p>
      <w:pPr>
        <w:sectPr>
          <w:pgSz w:w="11900" w:h="16838" w:orient="portrait"/>
          <w:cols w:equalWidth="0" w:num="1">
            <w:col w:w="10860"/>
          </w:cols>
          <w:pgMar w:left="320" w:top="443" w:right="7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90"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41659C"/>
        </w:rPr>
        <w:t>OTHER MATTERS</w:t>
      </w:r>
    </w:p>
    <w:p>
      <w:pPr>
        <w:spacing w:after="0" w:line="212" w:lineRule="exact"/>
        <w:rPr>
          <w:sz w:val="20"/>
          <w:szCs w:val="20"/>
          <w:color w:val="auto"/>
        </w:rPr>
      </w:pPr>
    </w:p>
    <w:p>
      <w:pPr>
        <w:ind w:left="340" w:right="260"/>
        <w:spacing w:after="0" w:line="249" w:lineRule="auto"/>
        <w:rPr>
          <w:sz w:val="20"/>
          <w:szCs w:val="20"/>
          <w:color w:val="auto"/>
        </w:rPr>
      </w:pPr>
      <w:r>
        <w:rPr>
          <w:rFonts w:ascii="Arial" w:cs="Arial" w:eastAsia="Arial" w:hAnsi="Arial"/>
          <w:sz w:val="16"/>
          <w:szCs w:val="16"/>
          <w:color w:val="auto"/>
        </w:rPr>
        <w:t>As of the date of this Proxy Statement, the Board knows of no matters that will be presented for consideration at the Annual Meeting other than the proposals set forth in this Proxy Statement. If any other matters properly come before the Annual Meeting, it is intended that the persons named in the proxy will vote the shares they represent as the Board may recommend.</w:t>
      </w:r>
    </w:p>
    <w:p>
      <w:pPr>
        <w:spacing w:after="0" w:line="203"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137160</wp:posOffset>
            </wp:positionV>
            <wp:extent cx="1363345" cy="4438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63345" cy="44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Jason DeZwirek</w:t>
      </w:r>
    </w:p>
    <w:p>
      <w:pPr>
        <w:spacing w:after="0" w:line="11"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Chairman of the Board of Directors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April 29, 2022</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6"/>
          <w:szCs w:val="16"/>
          <w:color w:val="262626"/>
        </w:rPr>
        <w:t>2022 Proxy Statement • 45</w:t>
      </w:r>
    </w:p>
    <w:p>
      <w:pPr>
        <w:sectPr>
          <w:pgSz w:w="11900" w:h="16838" w:orient="portrait"/>
          <w:cols w:equalWidth="0" w:num="1">
            <w:col w:w="10900"/>
          </w:cols>
          <w:pgMar w:left="320" w:top="443" w:right="6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99" w:lineRule="exact"/>
        <w:rPr>
          <w:sz w:val="20"/>
          <w:szCs w:val="20"/>
          <w:color w:val="auto"/>
        </w:rPr>
      </w:pPr>
    </w:p>
    <w:p>
      <w:pPr>
        <w:ind w:left="10080"/>
        <w:spacing w:after="0"/>
        <w:rPr>
          <w:sz w:val="20"/>
          <w:szCs w:val="20"/>
          <w:color w:val="auto"/>
        </w:rPr>
      </w:pPr>
      <w:r>
        <w:rPr>
          <w:rFonts w:ascii="Arial" w:cs="Arial" w:eastAsia="Arial" w:hAnsi="Arial"/>
          <w:sz w:val="17"/>
          <w:szCs w:val="17"/>
          <w:color w:val="auto"/>
        </w:rPr>
        <w:t>Appendix I</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Relative TSR peer companies:</w:t>
      </w:r>
    </w:p>
    <w:p>
      <w:pPr>
        <w:spacing w:after="0" w:line="239"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5280" w:type="dxa"/>
            <w:vAlign w:val="bottom"/>
            <w:shd w:val="clear" w:color="auto" w:fill="41659C"/>
          </w:tcPr>
          <w:p>
            <w:pPr>
              <w:ind w:left="80"/>
              <w:spacing w:after="0"/>
              <w:rPr>
                <w:sz w:val="20"/>
                <w:szCs w:val="20"/>
                <w:color w:val="auto"/>
              </w:rPr>
            </w:pPr>
            <w:r>
              <w:rPr>
                <w:rFonts w:ascii="Arial" w:cs="Arial" w:eastAsia="Arial" w:hAnsi="Arial"/>
                <w:sz w:val="15"/>
                <w:szCs w:val="15"/>
                <w:b w:val="1"/>
                <w:bCs w:val="1"/>
                <w:color w:val="FFFFFF"/>
              </w:rPr>
              <w:t>Company (n = 90)</w:t>
            </w:r>
          </w:p>
        </w:tc>
        <w:tc>
          <w:tcPr>
            <w:tcW w:w="5260" w:type="dxa"/>
            <w:vAlign w:val="bottom"/>
            <w:shd w:val="clear" w:color="auto" w:fill="41659C"/>
          </w:tcPr>
          <w:p>
            <w:pPr>
              <w:spacing w:after="0"/>
              <w:rPr>
                <w:sz w:val="18"/>
                <w:szCs w:val="18"/>
                <w:color w:val="auto"/>
              </w:rPr>
            </w:pPr>
          </w:p>
        </w:tc>
      </w:tr>
      <w:tr>
        <w:trPr>
          <w:trHeight w:val="230"/>
        </w:trPr>
        <w:tc>
          <w:tcPr>
            <w:tcW w:w="5280" w:type="dxa"/>
            <w:vAlign w:val="bottom"/>
            <w:shd w:val="clear" w:color="auto" w:fill="E8EED3"/>
          </w:tcPr>
          <w:p>
            <w:pPr>
              <w:ind w:left="80"/>
              <w:spacing w:after="0"/>
              <w:rPr>
                <w:sz w:val="20"/>
                <w:szCs w:val="20"/>
                <w:color w:val="auto"/>
              </w:rPr>
            </w:pPr>
            <w:r>
              <w:rPr>
                <w:rFonts w:ascii="Arial" w:cs="Arial" w:eastAsia="Arial" w:hAnsi="Arial"/>
                <w:sz w:val="15"/>
                <w:szCs w:val="15"/>
                <w:color w:val="auto"/>
              </w:rPr>
              <w:t>Acme United Corporation</w:t>
            </w:r>
          </w:p>
        </w:tc>
        <w:tc>
          <w:tcPr>
            <w:tcW w:w="5260" w:type="dxa"/>
            <w:vAlign w:val="bottom"/>
            <w:shd w:val="clear" w:color="auto" w:fill="E8EED3"/>
          </w:tcPr>
          <w:p>
            <w:pPr>
              <w:ind w:left="200"/>
              <w:spacing w:after="0"/>
              <w:rPr>
                <w:sz w:val="20"/>
                <w:szCs w:val="20"/>
                <w:color w:val="auto"/>
              </w:rPr>
            </w:pPr>
            <w:r>
              <w:rPr>
                <w:rFonts w:ascii="Arial" w:cs="Arial" w:eastAsia="Arial" w:hAnsi="Arial"/>
                <w:sz w:val="15"/>
                <w:szCs w:val="15"/>
                <w:color w:val="auto"/>
              </w:rPr>
              <w:t>Hurco Companies, Inc.</w:t>
            </w:r>
          </w:p>
        </w:tc>
      </w:tr>
      <w:tr>
        <w:trPr>
          <w:trHeight w:val="236"/>
        </w:trPr>
        <w:tc>
          <w:tcPr>
            <w:tcW w:w="5280" w:type="dxa"/>
            <w:vAlign w:val="bottom"/>
            <w:shd w:val="clear" w:color="auto" w:fill="D2DEA7"/>
          </w:tcPr>
          <w:p>
            <w:pPr>
              <w:ind w:left="80"/>
              <w:spacing w:after="0"/>
              <w:rPr>
                <w:sz w:val="20"/>
                <w:szCs w:val="20"/>
                <w:color w:val="auto"/>
              </w:rPr>
            </w:pPr>
            <w:r>
              <w:rPr>
                <w:rFonts w:ascii="Arial" w:cs="Arial" w:eastAsia="Arial" w:hAnsi="Arial"/>
                <w:sz w:val="15"/>
                <w:szCs w:val="15"/>
                <w:color w:val="auto"/>
              </w:rPr>
              <w:t>AgroFresh Solutions, Inc.</w:t>
            </w:r>
          </w:p>
        </w:tc>
        <w:tc>
          <w:tcPr>
            <w:tcW w:w="5260" w:type="dxa"/>
            <w:vAlign w:val="bottom"/>
            <w:shd w:val="clear" w:color="auto" w:fill="D2DEA7"/>
          </w:tcPr>
          <w:p>
            <w:pPr>
              <w:ind w:left="200"/>
              <w:spacing w:after="0"/>
              <w:rPr>
                <w:sz w:val="20"/>
                <w:szCs w:val="20"/>
                <w:color w:val="auto"/>
              </w:rPr>
            </w:pPr>
            <w:r>
              <w:rPr>
                <w:rFonts w:ascii="Arial" w:cs="Arial" w:eastAsia="Arial" w:hAnsi="Arial"/>
                <w:sz w:val="15"/>
                <w:szCs w:val="15"/>
                <w:color w:val="auto"/>
              </w:rPr>
              <w:t>Infrastructure and Energy Alternatives, Inc.</w:t>
            </w:r>
          </w:p>
        </w:tc>
      </w:tr>
      <w:tr>
        <w:trPr>
          <w:trHeight w:val="230"/>
        </w:trPr>
        <w:tc>
          <w:tcPr>
            <w:tcW w:w="5280" w:type="dxa"/>
            <w:vAlign w:val="bottom"/>
            <w:shd w:val="clear" w:color="auto" w:fill="E8EED3"/>
          </w:tcPr>
          <w:p>
            <w:pPr>
              <w:ind w:left="80"/>
              <w:spacing w:after="0"/>
              <w:rPr>
                <w:sz w:val="20"/>
                <w:szCs w:val="20"/>
                <w:color w:val="auto"/>
              </w:rPr>
            </w:pPr>
            <w:r>
              <w:rPr>
                <w:rFonts w:ascii="Arial" w:cs="Arial" w:eastAsia="Arial" w:hAnsi="Arial"/>
                <w:sz w:val="15"/>
                <w:szCs w:val="15"/>
                <w:color w:val="auto"/>
              </w:rPr>
              <w:t>Allied Motion Technologies Inc.</w:t>
            </w:r>
          </w:p>
        </w:tc>
        <w:tc>
          <w:tcPr>
            <w:tcW w:w="5260" w:type="dxa"/>
            <w:vAlign w:val="bottom"/>
            <w:shd w:val="clear" w:color="auto" w:fill="E8EED3"/>
          </w:tcPr>
          <w:p>
            <w:pPr>
              <w:ind w:left="200"/>
              <w:spacing w:after="0"/>
              <w:rPr>
                <w:sz w:val="20"/>
                <w:szCs w:val="20"/>
                <w:color w:val="auto"/>
              </w:rPr>
            </w:pPr>
            <w:r>
              <w:rPr>
                <w:rFonts w:ascii="Arial" w:cs="Arial" w:eastAsia="Arial" w:hAnsi="Arial"/>
                <w:sz w:val="15"/>
                <w:szCs w:val="15"/>
                <w:color w:val="auto"/>
              </w:rPr>
              <w:t>Insteel Industries, Inc.</w:t>
            </w:r>
          </w:p>
        </w:tc>
      </w:tr>
      <w:tr>
        <w:trPr>
          <w:trHeight w:val="236"/>
        </w:trPr>
        <w:tc>
          <w:tcPr>
            <w:tcW w:w="5280" w:type="dxa"/>
            <w:vAlign w:val="bottom"/>
            <w:shd w:val="clear" w:color="auto" w:fill="D2DEA7"/>
          </w:tcPr>
          <w:p>
            <w:pPr>
              <w:ind w:left="80"/>
              <w:spacing w:after="0"/>
              <w:rPr>
                <w:sz w:val="20"/>
                <w:szCs w:val="20"/>
                <w:color w:val="auto"/>
              </w:rPr>
            </w:pPr>
            <w:r>
              <w:rPr>
                <w:rFonts w:ascii="Arial" w:cs="Arial" w:eastAsia="Arial" w:hAnsi="Arial"/>
                <w:sz w:val="15"/>
                <w:szCs w:val="15"/>
                <w:color w:val="auto"/>
              </w:rPr>
              <w:t>Alpha Metallurgical Resources, Inc.</w:t>
            </w:r>
          </w:p>
        </w:tc>
        <w:tc>
          <w:tcPr>
            <w:tcW w:w="5260" w:type="dxa"/>
            <w:vAlign w:val="bottom"/>
            <w:shd w:val="clear" w:color="auto" w:fill="D2DEA7"/>
          </w:tcPr>
          <w:p>
            <w:pPr>
              <w:ind w:left="200"/>
              <w:spacing w:after="0"/>
              <w:rPr>
                <w:sz w:val="20"/>
                <w:szCs w:val="20"/>
                <w:color w:val="auto"/>
              </w:rPr>
            </w:pPr>
            <w:r>
              <w:rPr>
                <w:rFonts w:ascii="Arial" w:cs="Arial" w:eastAsia="Arial" w:hAnsi="Arial"/>
                <w:sz w:val="15"/>
                <w:szCs w:val="15"/>
                <w:color w:val="auto"/>
              </w:rPr>
              <w:t>Intrepid Potash, Inc.</w:t>
            </w:r>
          </w:p>
        </w:tc>
      </w:tr>
      <w:tr>
        <w:trPr>
          <w:trHeight w:val="230"/>
        </w:trPr>
        <w:tc>
          <w:tcPr>
            <w:tcW w:w="5280" w:type="dxa"/>
            <w:vAlign w:val="bottom"/>
            <w:shd w:val="clear" w:color="auto" w:fill="E8EED3"/>
          </w:tcPr>
          <w:p>
            <w:pPr>
              <w:ind w:left="80"/>
              <w:spacing w:after="0"/>
              <w:rPr>
                <w:sz w:val="20"/>
                <w:szCs w:val="20"/>
                <w:color w:val="auto"/>
              </w:rPr>
            </w:pPr>
            <w:r>
              <w:rPr>
                <w:rFonts w:ascii="Arial" w:cs="Arial" w:eastAsia="Arial" w:hAnsi="Arial"/>
                <w:sz w:val="15"/>
                <w:szCs w:val="15"/>
                <w:color w:val="auto"/>
              </w:rPr>
              <w:t>Alta Equipment Group Inc.</w:t>
            </w:r>
          </w:p>
        </w:tc>
        <w:tc>
          <w:tcPr>
            <w:tcW w:w="5260" w:type="dxa"/>
            <w:vAlign w:val="bottom"/>
            <w:shd w:val="clear" w:color="auto" w:fill="E8EED3"/>
          </w:tcPr>
          <w:p>
            <w:pPr>
              <w:ind w:left="200"/>
              <w:spacing w:after="0"/>
              <w:rPr>
                <w:sz w:val="20"/>
                <w:szCs w:val="20"/>
                <w:color w:val="auto"/>
              </w:rPr>
            </w:pPr>
            <w:r>
              <w:rPr>
                <w:rFonts w:ascii="Arial" w:cs="Arial" w:eastAsia="Arial" w:hAnsi="Arial"/>
                <w:sz w:val="15"/>
                <w:szCs w:val="15"/>
                <w:color w:val="auto"/>
              </w:rPr>
              <w:t>Kimball International, Inc.</w:t>
            </w:r>
          </w:p>
        </w:tc>
      </w:tr>
      <w:tr>
        <w:trPr>
          <w:trHeight w:val="236"/>
        </w:trPr>
        <w:tc>
          <w:tcPr>
            <w:tcW w:w="5280" w:type="dxa"/>
            <w:vAlign w:val="bottom"/>
            <w:shd w:val="clear" w:color="auto" w:fill="D2DEA7"/>
          </w:tcPr>
          <w:p>
            <w:pPr>
              <w:ind w:left="80"/>
              <w:spacing w:after="0"/>
              <w:rPr>
                <w:sz w:val="20"/>
                <w:szCs w:val="20"/>
                <w:color w:val="auto"/>
              </w:rPr>
            </w:pPr>
            <w:r>
              <w:rPr>
                <w:rFonts w:ascii="Arial" w:cs="Arial" w:eastAsia="Arial" w:hAnsi="Arial"/>
                <w:sz w:val="15"/>
                <w:szCs w:val="15"/>
                <w:color w:val="auto"/>
              </w:rPr>
              <w:t>American Vanguard Corporation</w:t>
            </w:r>
          </w:p>
        </w:tc>
        <w:tc>
          <w:tcPr>
            <w:tcW w:w="5260" w:type="dxa"/>
            <w:vAlign w:val="bottom"/>
            <w:shd w:val="clear" w:color="auto" w:fill="D2DEA7"/>
          </w:tcPr>
          <w:p>
            <w:pPr>
              <w:ind w:left="200"/>
              <w:spacing w:after="0"/>
              <w:rPr>
                <w:sz w:val="20"/>
                <w:szCs w:val="20"/>
                <w:color w:val="auto"/>
              </w:rPr>
            </w:pPr>
            <w:r>
              <w:rPr>
                <w:rFonts w:ascii="Arial" w:cs="Arial" w:eastAsia="Arial" w:hAnsi="Arial"/>
                <w:sz w:val="15"/>
                <w:szCs w:val="15"/>
                <w:color w:val="auto"/>
              </w:rPr>
              <w:t>L.B. Foster Company</w:t>
            </w:r>
          </w:p>
        </w:tc>
      </w:tr>
      <w:tr>
        <w:trPr>
          <w:trHeight w:val="230"/>
        </w:trPr>
        <w:tc>
          <w:tcPr>
            <w:tcW w:w="5280" w:type="dxa"/>
            <w:vAlign w:val="bottom"/>
            <w:shd w:val="clear" w:color="auto" w:fill="E8EED3"/>
          </w:tcPr>
          <w:p>
            <w:pPr>
              <w:ind w:left="80"/>
              <w:spacing w:after="0"/>
              <w:rPr>
                <w:sz w:val="20"/>
                <w:szCs w:val="20"/>
                <w:color w:val="auto"/>
              </w:rPr>
            </w:pPr>
            <w:r>
              <w:rPr>
                <w:rFonts w:ascii="Arial" w:cs="Arial" w:eastAsia="Arial" w:hAnsi="Arial"/>
                <w:sz w:val="15"/>
                <w:szCs w:val="15"/>
                <w:color w:val="auto"/>
              </w:rPr>
              <w:t>Ampco-Pittsburgh Corporation</w:t>
            </w:r>
          </w:p>
        </w:tc>
        <w:tc>
          <w:tcPr>
            <w:tcW w:w="5260" w:type="dxa"/>
            <w:vAlign w:val="bottom"/>
            <w:shd w:val="clear" w:color="auto" w:fill="E8EED3"/>
          </w:tcPr>
          <w:p>
            <w:pPr>
              <w:ind w:left="200"/>
              <w:spacing w:after="0"/>
              <w:rPr>
                <w:sz w:val="20"/>
                <w:szCs w:val="20"/>
                <w:color w:val="auto"/>
              </w:rPr>
            </w:pPr>
            <w:r>
              <w:rPr>
                <w:rFonts w:ascii="Arial" w:cs="Arial" w:eastAsia="Arial" w:hAnsi="Arial"/>
                <w:sz w:val="15"/>
                <w:szCs w:val="15"/>
                <w:color w:val="auto"/>
              </w:rPr>
              <w:t>Lawson Products, Inc.</w:t>
            </w:r>
          </w:p>
        </w:tc>
      </w:tr>
      <w:tr>
        <w:trPr>
          <w:trHeight w:val="236"/>
        </w:trPr>
        <w:tc>
          <w:tcPr>
            <w:tcW w:w="5280" w:type="dxa"/>
            <w:vAlign w:val="bottom"/>
            <w:shd w:val="clear" w:color="auto" w:fill="D2DEA7"/>
          </w:tcPr>
          <w:p>
            <w:pPr>
              <w:ind w:left="80"/>
              <w:spacing w:after="0"/>
              <w:rPr>
                <w:sz w:val="20"/>
                <w:szCs w:val="20"/>
                <w:color w:val="auto"/>
              </w:rPr>
            </w:pPr>
            <w:r>
              <w:rPr>
                <w:rFonts w:ascii="Arial" w:cs="Arial" w:eastAsia="Arial" w:hAnsi="Arial"/>
                <w:sz w:val="15"/>
                <w:szCs w:val="15"/>
                <w:color w:val="auto"/>
              </w:rPr>
              <w:t>Astronics Corporation</w:t>
            </w:r>
          </w:p>
        </w:tc>
        <w:tc>
          <w:tcPr>
            <w:tcW w:w="5260" w:type="dxa"/>
            <w:vAlign w:val="bottom"/>
            <w:shd w:val="clear" w:color="auto" w:fill="D2DEA7"/>
          </w:tcPr>
          <w:p>
            <w:pPr>
              <w:ind w:left="200"/>
              <w:spacing w:after="0"/>
              <w:rPr>
                <w:sz w:val="20"/>
                <w:szCs w:val="20"/>
                <w:color w:val="auto"/>
              </w:rPr>
            </w:pPr>
            <w:r>
              <w:rPr>
                <w:rFonts w:ascii="Arial" w:cs="Arial" w:eastAsia="Arial" w:hAnsi="Arial"/>
                <w:sz w:val="15"/>
                <w:szCs w:val="15"/>
                <w:color w:val="auto"/>
              </w:rPr>
              <w:t>LSI Industries Inc.</w:t>
            </w:r>
          </w:p>
        </w:tc>
      </w:tr>
      <w:tr>
        <w:trPr>
          <w:trHeight w:val="230"/>
        </w:trPr>
        <w:tc>
          <w:tcPr>
            <w:tcW w:w="5280" w:type="dxa"/>
            <w:vAlign w:val="bottom"/>
            <w:shd w:val="clear" w:color="auto" w:fill="E8EED3"/>
          </w:tcPr>
          <w:p>
            <w:pPr>
              <w:ind w:left="80"/>
              <w:spacing w:after="0"/>
              <w:rPr>
                <w:sz w:val="20"/>
                <w:szCs w:val="20"/>
                <w:color w:val="auto"/>
              </w:rPr>
            </w:pPr>
            <w:r>
              <w:rPr>
                <w:rFonts w:ascii="Arial" w:cs="Arial" w:eastAsia="Arial" w:hAnsi="Arial"/>
                <w:sz w:val="15"/>
                <w:szCs w:val="15"/>
                <w:color w:val="auto"/>
              </w:rPr>
              <w:t>Atento S.A.</w:t>
            </w:r>
          </w:p>
        </w:tc>
        <w:tc>
          <w:tcPr>
            <w:tcW w:w="5260" w:type="dxa"/>
            <w:vAlign w:val="bottom"/>
            <w:shd w:val="clear" w:color="auto" w:fill="E8EED3"/>
          </w:tcPr>
          <w:p>
            <w:pPr>
              <w:ind w:left="200"/>
              <w:spacing w:after="0"/>
              <w:rPr>
                <w:sz w:val="20"/>
                <w:szCs w:val="20"/>
                <w:color w:val="auto"/>
              </w:rPr>
            </w:pPr>
            <w:r>
              <w:rPr>
                <w:rFonts w:ascii="Arial" w:cs="Arial" w:eastAsia="Arial" w:hAnsi="Arial"/>
                <w:sz w:val="15"/>
                <w:szCs w:val="15"/>
                <w:color w:val="auto"/>
              </w:rPr>
              <w:t>Luxfer Holdings PLC</w:t>
            </w:r>
          </w:p>
        </w:tc>
      </w:tr>
      <w:tr>
        <w:trPr>
          <w:trHeight w:val="236"/>
        </w:trPr>
        <w:tc>
          <w:tcPr>
            <w:tcW w:w="5280" w:type="dxa"/>
            <w:vAlign w:val="bottom"/>
            <w:shd w:val="clear" w:color="auto" w:fill="D2DEA7"/>
          </w:tcPr>
          <w:p>
            <w:pPr>
              <w:ind w:left="80"/>
              <w:spacing w:after="0"/>
              <w:rPr>
                <w:sz w:val="20"/>
                <w:szCs w:val="20"/>
                <w:color w:val="auto"/>
              </w:rPr>
            </w:pPr>
            <w:r>
              <w:rPr>
                <w:rFonts w:ascii="Arial" w:cs="Arial" w:eastAsia="Arial" w:hAnsi="Arial"/>
                <w:sz w:val="15"/>
                <w:szCs w:val="15"/>
                <w:color w:val="auto"/>
              </w:rPr>
              <w:t>Babcock &amp; Wilcox Enterprises, Inc.</w:t>
            </w:r>
          </w:p>
        </w:tc>
        <w:tc>
          <w:tcPr>
            <w:tcW w:w="5260" w:type="dxa"/>
            <w:vAlign w:val="bottom"/>
            <w:shd w:val="clear" w:color="auto" w:fill="D2DEA7"/>
          </w:tcPr>
          <w:p>
            <w:pPr>
              <w:ind w:left="200"/>
              <w:spacing w:after="0"/>
              <w:rPr>
                <w:sz w:val="20"/>
                <w:szCs w:val="20"/>
                <w:color w:val="auto"/>
              </w:rPr>
            </w:pPr>
            <w:r>
              <w:rPr>
                <w:rFonts w:ascii="Arial" w:cs="Arial" w:eastAsia="Arial" w:hAnsi="Arial"/>
                <w:sz w:val="15"/>
                <w:szCs w:val="15"/>
                <w:color w:val="auto"/>
              </w:rPr>
              <w:t>Manitex International, Inc.</w:t>
            </w:r>
          </w:p>
        </w:tc>
      </w:tr>
      <w:tr>
        <w:trPr>
          <w:trHeight w:val="230"/>
        </w:trPr>
        <w:tc>
          <w:tcPr>
            <w:tcW w:w="5280" w:type="dxa"/>
            <w:vAlign w:val="bottom"/>
            <w:shd w:val="clear" w:color="auto" w:fill="E8EED3"/>
          </w:tcPr>
          <w:p>
            <w:pPr>
              <w:ind w:left="80"/>
              <w:spacing w:after="0"/>
              <w:rPr>
                <w:sz w:val="20"/>
                <w:szCs w:val="20"/>
                <w:color w:val="auto"/>
              </w:rPr>
            </w:pPr>
            <w:r>
              <w:rPr>
                <w:rFonts w:ascii="Arial" w:cs="Arial" w:eastAsia="Arial" w:hAnsi="Arial"/>
                <w:sz w:val="15"/>
                <w:szCs w:val="15"/>
                <w:color w:val="auto"/>
              </w:rPr>
              <w:t>BGSF, Inc.</w:t>
            </w:r>
          </w:p>
        </w:tc>
        <w:tc>
          <w:tcPr>
            <w:tcW w:w="5260" w:type="dxa"/>
            <w:vAlign w:val="bottom"/>
            <w:shd w:val="clear" w:color="auto" w:fill="E8EED3"/>
          </w:tcPr>
          <w:p>
            <w:pPr>
              <w:ind w:left="200"/>
              <w:spacing w:after="0"/>
              <w:rPr>
                <w:sz w:val="20"/>
                <w:szCs w:val="20"/>
                <w:color w:val="auto"/>
              </w:rPr>
            </w:pPr>
            <w:r>
              <w:rPr>
                <w:rFonts w:ascii="Arial" w:cs="Arial" w:eastAsia="Arial" w:hAnsi="Arial"/>
                <w:sz w:val="15"/>
                <w:szCs w:val="15"/>
                <w:color w:val="auto"/>
              </w:rPr>
              <w:t>Mastech Digital, Inc.</w:t>
            </w:r>
          </w:p>
        </w:tc>
      </w:tr>
      <w:tr>
        <w:trPr>
          <w:trHeight w:val="236"/>
        </w:trPr>
        <w:tc>
          <w:tcPr>
            <w:tcW w:w="5280" w:type="dxa"/>
            <w:vAlign w:val="bottom"/>
            <w:shd w:val="clear" w:color="auto" w:fill="D2DEA7"/>
          </w:tcPr>
          <w:p>
            <w:pPr>
              <w:ind w:left="80"/>
              <w:spacing w:after="0"/>
              <w:rPr>
                <w:sz w:val="20"/>
                <w:szCs w:val="20"/>
                <w:color w:val="auto"/>
              </w:rPr>
            </w:pPr>
            <w:r>
              <w:rPr>
                <w:rFonts w:ascii="Arial" w:cs="Arial" w:eastAsia="Arial" w:hAnsi="Arial"/>
                <w:sz w:val="15"/>
                <w:szCs w:val="15"/>
                <w:color w:val="auto"/>
              </w:rPr>
              <w:t>Blue Bird Corporation</w:t>
            </w:r>
          </w:p>
        </w:tc>
        <w:tc>
          <w:tcPr>
            <w:tcW w:w="5260" w:type="dxa"/>
            <w:vAlign w:val="bottom"/>
            <w:shd w:val="clear" w:color="auto" w:fill="D2DEA7"/>
          </w:tcPr>
          <w:p>
            <w:pPr>
              <w:ind w:left="200"/>
              <w:spacing w:after="0"/>
              <w:rPr>
                <w:sz w:val="20"/>
                <w:szCs w:val="20"/>
                <w:color w:val="auto"/>
              </w:rPr>
            </w:pPr>
            <w:r>
              <w:rPr>
                <w:rFonts w:ascii="Arial" w:cs="Arial" w:eastAsia="Arial" w:hAnsi="Arial"/>
                <w:sz w:val="15"/>
                <w:szCs w:val="15"/>
                <w:color w:val="auto"/>
              </w:rPr>
              <w:t>Matrix Service Company</w:t>
            </w:r>
          </w:p>
        </w:tc>
      </w:tr>
      <w:tr>
        <w:trPr>
          <w:trHeight w:val="230"/>
        </w:trPr>
        <w:tc>
          <w:tcPr>
            <w:tcW w:w="5280" w:type="dxa"/>
            <w:vAlign w:val="bottom"/>
            <w:shd w:val="clear" w:color="auto" w:fill="E8EED3"/>
          </w:tcPr>
          <w:p>
            <w:pPr>
              <w:ind w:left="80"/>
              <w:spacing w:after="0"/>
              <w:rPr>
                <w:sz w:val="20"/>
                <w:szCs w:val="20"/>
                <w:color w:val="auto"/>
              </w:rPr>
            </w:pPr>
            <w:r>
              <w:rPr>
                <w:rFonts w:ascii="Arial" w:cs="Arial" w:eastAsia="Arial" w:hAnsi="Arial"/>
                <w:sz w:val="15"/>
                <w:szCs w:val="15"/>
                <w:color w:val="auto"/>
              </w:rPr>
              <w:t>BlueLinx Holdings Inc.</w:t>
            </w:r>
          </w:p>
        </w:tc>
        <w:tc>
          <w:tcPr>
            <w:tcW w:w="5260" w:type="dxa"/>
            <w:vAlign w:val="bottom"/>
            <w:shd w:val="clear" w:color="auto" w:fill="E8EED3"/>
          </w:tcPr>
          <w:p>
            <w:pPr>
              <w:ind w:left="200"/>
              <w:spacing w:after="0"/>
              <w:rPr>
                <w:sz w:val="20"/>
                <w:szCs w:val="20"/>
                <w:color w:val="auto"/>
              </w:rPr>
            </w:pPr>
            <w:r>
              <w:rPr>
                <w:rFonts w:ascii="Arial" w:cs="Arial" w:eastAsia="Arial" w:hAnsi="Arial"/>
                <w:sz w:val="15"/>
                <w:szCs w:val="15"/>
                <w:color w:val="auto"/>
              </w:rPr>
              <w:t>Mayville Engineering Company, Inc.</w:t>
            </w:r>
          </w:p>
        </w:tc>
      </w:tr>
      <w:tr>
        <w:trPr>
          <w:trHeight w:val="236"/>
        </w:trPr>
        <w:tc>
          <w:tcPr>
            <w:tcW w:w="5280" w:type="dxa"/>
            <w:vAlign w:val="bottom"/>
            <w:shd w:val="clear" w:color="auto" w:fill="D2DEA7"/>
          </w:tcPr>
          <w:p>
            <w:pPr>
              <w:ind w:left="80"/>
              <w:spacing w:after="0"/>
              <w:rPr>
                <w:sz w:val="20"/>
                <w:szCs w:val="20"/>
                <w:color w:val="auto"/>
              </w:rPr>
            </w:pPr>
            <w:r>
              <w:rPr>
                <w:rFonts w:ascii="Arial" w:cs="Arial" w:eastAsia="Arial" w:hAnsi="Arial"/>
                <w:sz w:val="15"/>
                <w:szCs w:val="15"/>
                <w:color w:val="auto"/>
              </w:rPr>
              <w:t>Broadwind, Inc.</w:t>
            </w:r>
          </w:p>
        </w:tc>
        <w:tc>
          <w:tcPr>
            <w:tcW w:w="5260" w:type="dxa"/>
            <w:vAlign w:val="bottom"/>
            <w:shd w:val="clear" w:color="auto" w:fill="D2DEA7"/>
          </w:tcPr>
          <w:p>
            <w:pPr>
              <w:ind w:left="200"/>
              <w:spacing w:after="0"/>
              <w:rPr>
                <w:sz w:val="20"/>
                <w:szCs w:val="20"/>
                <w:color w:val="auto"/>
              </w:rPr>
            </w:pPr>
            <w:r>
              <w:rPr>
                <w:rFonts w:ascii="Arial" w:cs="Arial" w:eastAsia="Arial" w:hAnsi="Arial"/>
                <w:sz w:val="15"/>
                <w:szCs w:val="15"/>
                <w:color w:val="auto"/>
              </w:rPr>
              <w:t>McEwen Mining Inc.</w:t>
            </w:r>
          </w:p>
        </w:tc>
      </w:tr>
      <w:tr>
        <w:trPr>
          <w:trHeight w:val="230"/>
        </w:trPr>
        <w:tc>
          <w:tcPr>
            <w:tcW w:w="5280" w:type="dxa"/>
            <w:vAlign w:val="bottom"/>
            <w:shd w:val="clear" w:color="auto" w:fill="E8EED3"/>
          </w:tcPr>
          <w:p>
            <w:pPr>
              <w:ind w:left="80"/>
              <w:spacing w:after="0"/>
              <w:rPr>
                <w:sz w:val="20"/>
                <w:szCs w:val="20"/>
                <w:color w:val="auto"/>
              </w:rPr>
            </w:pPr>
            <w:r>
              <w:rPr>
                <w:rFonts w:ascii="Arial" w:cs="Arial" w:eastAsia="Arial" w:hAnsi="Arial"/>
                <w:sz w:val="15"/>
                <w:szCs w:val="15"/>
                <w:color w:val="auto"/>
              </w:rPr>
              <w:t>Caesarstone Ltd.</w:t>
            </w:r>
          </w:p>
        </w:tc>
        <w:tc>
          <w:tcPr>
            <w:tcW w:w="5260" w:type="dxa"/>
            <w:vAlign w:val="bottom"/>
            <w:shd w:val="clear" w:color="auto" w:fill="E8EED3"/>
          </w:tcPr>
          <w:p>
            <w:pPr>
              <w:ind w:left="200"/>
              <w:spacing w:after="0"/>
              <w:rPr>
                <w:sz w:val="20"/>
                <w:szCs w:val="20"/>
                <w:color w:val="auto"/>
              </w:rPr>
            </w:pPr>
            <w:r>
              <w:rPr>
                <w:rFonts w:ascii="Arial" w:cs="Arial" w:eastAsia="Arial" w:hAnsi="Arial"/>
                <w:sz w:val="15"/>
                <w:szCs w:val="15"/>
                <w:color w:val="auto"/>
              </w:rPr>
              <w:t>Mechel PAO</w:t>
            </w:r>
          </w:p>
        </w:tc>
      </w:tr>
      <w:tr>
        <w:trPr>
          <w:trHeight w:val="236"/>
        </w:trPr>
        <w:tc>
          <w:tcPr>
            <w:tcW w:w="5280" w:type="dxa"/>
            <w:vAlign w:val="bottom"/>
            <w:shd w:val="clear" w:color="auto" w:fill="D2DEA7"/>
          </w:tcPr>
          <w:p>
            <w:pPr>
              <w:ind w:left="80"/>
              <w:spacing w:after="0"/>
              <w:rPr>
                <w:sz w:val="20"/>
                <w:szCs w:val="20"/>
                <w:color w:val="auto"/>
              </w:rPr>
            </w:pPr>
            <w:r>
              <w:rPr>
                <w:rFonts w:ascii="Arial" w:cs="Arial" w:eastAsia="Arial" w:hAnsi="Arial"/>
                <w:sz w:val="15"/>
                <w:szCs w:val="15"/>
                <w:color w:val="auto"/>
              </w:rPr>
              <w:t>Capital Product Partners L.P.</w:t>
            </w:r>
          </w:p>
        </w:tc>
        <w:tc>
          <w:tcPr>
            <w:tcW w:w="5260" w:type="dxa"/>
            <w:vAlign w:val="bottom"/>
            <w:shd w:val="clear" w:color="auto" w:fill="D2DEA7"/>
          </w:tcPr>
          <w:p>
            <w:pPr>
              <w:ind w:left="200"/>
              <w:spacing w:after="0"/>
              <w:rPr>
                <w:sz w:val="20"/>
                <w:szCs w:val="20"/>
                <w:color w:val="auto"/>
              </w:rPr>
            </w:pPr>
            <w:r>
              <w:rPr>
                <w:rFonts w:ascii="Arial" w:cs="Arial" w:eastAsia="Arial" w:hAnsi="Arial"/>
                <w:sz w:val="15"/>
                <w:szCs w:val="15"/>
                <w:color w:val="auto"/>
              </w:rPr>
              <w:t>Mesa Air Group, Inc.</w:t>
            </w:r>
          </w:p>
        </w:tc>
      </w:tr>
      <w:tr>
        <w:trPr>
          <w:trHeight w:val="230"/>
        </w:trPr>
        <w:tc>
          <w:tcPr>
            <w:tcW w:w="5280" w:type="dxa"/>
            <w:vAlign w:val="bottom"/>
            <w:shd w:val="clear" w:color="auto" w:fill="E8EED3"/>
          </w:tcPr>
          <w:p>
            <w:pPr>
              <w:ind w:left="80"/>
              <w:spacing w:after="0"/>
              <w:rPr>
                <w:sz w:val="20"/>
                <w:szCs w:val="20"/>
                <w:color w:val="auto"/>
              </w:rPr>
            </w:pPr>
            <w:r>
              <w:rPr>
                <w:rFonts w:ascii="Arial" w:cs="Arial" w:eastAsia="Arial" w:hAnsi="Arial"/>
                <w:sz w:val="15"/>
                <w:szCs w:val="15"/>
                <w:color w:val="auto"/>
              </w:rPr>
              <w:t>Ciner Resources LP</w:t>
            </w:r>
          </w:p>
        </w:tc>
        <w:tc>
          <w:tcPr>
            <w:tcW w:w="5260" w:type="dxa"/>
            <w:vAlign w:val="bottom"/>
            <w:shd w:val="clear" w:color="auto" w:fill="E8EED3"/>
          </w:tcPr>
          <w:p>
            <w:pPr>
              <w:ind w:left="200"/>
              <w:spacing w:after="0"/>
              <w:rPr>
                <w:sz w:val="20"/>
                <w:szCs w:val="20"/>
                <w:color w:val="auto"/>
              </w:rPr>
            </w:pPr>
            <w:r>
              <w:rPr>
                <w:rFonts w:ascii="Arial" w:cs="Arial" w:eastAsia="Arial" w:hAnsi="Arial"/>
                <w:sz w:val="15"/>
                <w:szCs w:val="15"/>
                <w:color w:val="auto"/>
              </w:rPr>
              <w:t>Miller Industries, Inc.</w:t>
            </w:r>
          </w:p>
        </w:tc>
      </w:tr>
      <w:tr>
        <w:trPr>
          <w:trHeight w:val="236"/>
        </w:trPr>
        <w:tc>
          <w:tcPr>
            <w:tcW w:w="5280" w:type="dxa"/>
            <w:vAlign w:val="bottom"/>
            <w:shd w:val="clear" w:color="auto" w:fill="D2DEA7"/>
          </w:tcPr>
          <w:p>
            <w:pPr>
              <w:ind w:left="80"/>
              <w:spacing w:after="0"/>
              <w:rPr>
                <w:sz w:val="20"/>
                <w:szCs w:val="20"/>
                <w:color w:val="auto"/>
              </w:rPr>
            </w:pPr>
            <w:r>
              <w:rPr>
                <w:rFonts w:ascii="Arial" w:cs="Arial" w:eastAsia="Arial" w:hAnsi="Arial"/>
                <w:sz w:val="15"/>
                <w:szCs w:val="15"/>
                <w:color w:val="auto"/>
              </w:rPr>
              <w:t>Civeo Corporation</w:t>
            </w:r>
          </w:p>
        </w:tc>
        <w:tc>
          <w:tcPr>
            <w:tcW w:w="5260" w:type="dxa"/>
            <w:vAlign w:val="bottom"/>
            <w:shd w:val="clear" w:color="auto" w:fill="D2DEA7"/>
          </w:tcPr>
          <w:p>
            <w:pPr>
              <w:ind w:left="200"/>
              <w:spacing w:after="0"/>
              <w:rPr>
                <w:sz w:val="20"/>
                <w:szCs w:val="20"/>
                <w:color w:val="auto"/>
              </w:rPr>
            </w:pPr>
            <w:r>
              <w:rPr>
                <w:rFonts w:ascii="Arial" w:cs="Arial" w:eastAsia="Arial" w:hAnsi="Arial"/>
                <w:sz w:val="15"/>
                <w:szCs w:val="15"/>
                <w:color w:val="auto"/>
              </w:rPr>
              <w:t>Mistras Group, Inc.</w:t>
            </w:r>
          </w:p>
        </w:tc>
      </w:tr>
      <w:tr>
        <w:trPr>
          <w:trHeight w:val="230"/>
        </w:trPr>
        <w:tc>
          <w:tcPr>
            <w:tcW w:w="5280" w:type="dxa"/>
            <w:vAlign w:val="bottom"/>
            <w:shd w:val="clear" w:color="auto" w:fill="E8EED3"/>
          </w:tcPr>
          <w:p>
            <w:pPr>
              <w:ind w:left="80"/>
              <w:spacing w:after="0"/>
              <w:rPr>
                <w:sz w:val="20"/>
                <w:szCs w:val="20"/>
                <w:color w:val="auto"/>
              </w:rPr>
            </w:pPr>
            <w:r>
              <w:rPr>
                <w:rFonts w:ascii="Arial" w:cs="Arial" w:eastAsia="Arial" w:hAnsi="Arial"/>
                <w:sz w:val="15"/>
                <w:szCs w:val="15"/>
                <w:color w:val="auto"/>
              </w:rPr>
              <w:t>Commercial Vehicle Group, Inc.</w:t>
            </w:r>
          </w:p>
        </w:tc>
        <w:tc>
          <w:tcPr>
            <w:tcW w:w="5260" w:type="dxa"/>
            <w:vAlign w:val="bottom"/>
            <w:shd w:val="clear" w:color="auto" w:fill="E8EED3"/>
          </w:tcPr>
          <w:p>
            <w:pPr>
              <w:ind w:left="200"/>
              <w:spacing w:after="0"/>
              <w:rPr>
                <w:sz w:val="20"/>
                <w:szCs w:val="20"/>
                <w:color w:val="auto"/>
              </w:rPr>
            </w:pPr>
            <w:r>
              <w:rPr>
                <w:rFonts w:ascii="Arial" w:cs="Arial" w:eastAsia="Arial" w:hAnsi="Arial"/>
                <w:sz w:val="15"/>
                <w:szCs w:val="15"/>
                <w:color w:val="auto"/>
              </w:rPr>
              <w:t>Navios Maritime Containers Partners L.P.</w:t>
            </w:r>
          </w:p>
        </w:tc>
      </w:tr>
      <w:tr>
        <w:trPr>
          <w:trHeight w:val="236"/>
        </w:trPr>
        <w:tc>
          <w:tcPr>
            <w:tcW w:w="5280" w:type="dxa"/>
            <w:vAlign w:val="bottom"/>
            <w:shd w:val="clear" w:color="auto" w:fill="D2DEA7"/>
          </w:tcPr>
          <w:p>
            <w:pPr>
              <w:ind w:left="80"/>
              <w:spacing w:after="0"/>
              <w:rPr>
                <w:sz w:val="20"/>
                <w:szCs w:val="20"/>
                <w:color w:val="auto"/>
              </w:rPr>
            </w:pPr>
            <w:r>
              <w:rPr>
                <w:rFonts w:ascii="Arial" w:cs="Arial" w:eastAsia="Arial" w:hAnsi="Arial"/>
                <w:sz w:val="15"/>
                <w:szCs w:val="15"/>
                <w:color w:val="auto"/>
              </w:rPr>
              <w:t>CompX International Inc.</w:t>
            </w:r>
          </w:p>
        </w:tc>
        <w:tc>
          <w:tcPr>
            <w:tcW w:w="5260" w:type="dxa"/>
            <w:vAlign w:val="bottom"/>
            <w:shd w:val="clear" w:color="auto" w:fill="D2DEA7"/>
          </w:tcPr>
          <w:p>
            <w:pPr>
              <w:ind w:left="200"/>
              <w:spacing w:after="0"/>
              <w:rPr>
                <w:sz w:val="20"/>
                <w:szCs w:val="20"/>
                <w:color w:val="auto"/>
              </w:rPr>
            </w:pPr>
            <w:r>
              <w:rPr>
                <w:rFonts w:ascii="Arial" w:cs="Arial" w:eastAsia="Arial" w:hAnsi="Arial"/>
                <w:sz w:val="15"/>
                <w:szCs w:val="15"/>
                <w:color w:val="auto"/>
              </w:rPr>
              <w:t>Navios Maritime Partners L.P.</w:t>
            </w:r>
          </w:p>
        </w:tc>
      </w:tr>
      <w:tr>
        <w:trPr>
          <w:trHeight w:val="230"/>
        </w:trPr>
        <w:tc>
          <w:tcPr>
            <w:tcW w:w="5280" w:type="dxa"/>
            <w:vAlign w:val="bottom"/>
            <w:shd w:val="clear" w:color="auto" w:fill="E8EED3"/>
          </w:tcPr>
          <w:p>
            <w:pPr>
              <w:ind w:left="80"/>
              <w:spacing w:after="0"/>
              <w:rPr>
                <w:sz w:val="20"/>
                <w:szCs w:val="20"/>
                <w:color w:val="auto"/>
              </w:rPr>
            </w:pPr>
            <w:r>
              <w:rPr>
                <w:rFonts w:ascii="Arial" w:cs="Arial" w:eastAsia="Arial" w:hAnsi="Arial"/>
                <w:sz w:val="15"/>
                <w:szCs w:val="15"/>
                <w:color w:val="auto"/>
              </w:rPr>
              <w:t>Concrete Pumping Holdings, Inc.</w:t>
            </w:r>
          </w:p>
        </w:tc>
        <w:tc>
          <w:tcPr>
            <w:tcW w:w="5260" w:type="dxa"/>
            <w:vAlign w:val="bottom"/>
            <w:shd w:val="clear" w:color="auto" w:fill="E8EED3"/>
          </w:tcPr>
          <w:p>
            <w:pPr>
              <w:ind w:left="200"/>
              <w:spacing w:after="0"/>
              <w:rPr>
                <w:sz w:val="20"/>
                <w:szCs w:val="20"/>
                <w:color w:val="auto"/>
              </w:rPr>
            </w:pPr>
            <w:r>
              <w:rPr>
                <w:rFonts w:ascii="Arial" w:cs="Arial" w:eastAsia="Arial" w:hAnsi="Arial"/>
                <w:sz w:val="15"/>
                <w:szCs w:val="15"/>
                <w:color w:val="auto"/>
              </w:rPr>
              <w:t>Custom Truck One Source, Inc.</w:t>
            </w:r>
          </w:p>
        </w:tc>
      </w:tr>
      <w:tr>
        <w:trPr>
          <w:trHeight w:val="236"/>
        </w:trPr>
        <w:tc>
          <w:tcPr>
            <w:tcW w:w="5280" w:type="dxa"/>
            <w:vAlign w:val="bottom"/>
            <w:shd w:val="clear" w:color="auto" w:fill="D2DEA7"/>
          </w:tcPr>
          <w:p>
            <w:pPr>
              <w:ind w:left="80"/>
              <w:spacing w:after="0"/>
              <w:rPr>
                <w:sz w:val="20"/>
                <w:szCs w:val="20"/>
                <w:color w:val="auto"/>
              </w:rPr>
            </w:pPr>
            <w:r>
              <w:rPr>
                <w:rFonts w:ascii="Arial" w:cs="Arial" w:eastAsia="Arial" w:hAnsi="Arial"/>
                <w:sz w:val="15"/>
                <w:szCs w:val="15"/>
                <w:color w:val="auto"/>
              </w:rPr>
              <w:t>Core Molding Technologies, Inc.</w:t>
            </w:r>
          </w:p>
        </w:tc>
        <w:tc>
          <w:tcPr>
            <w:tcW w:w="5260" w:type="dxa"/>
            <w:vAlign w:val="bottom"/>
            <w:shd w:val="clear" w:color="auto" w:fill="D2DEA7"/>
          </w:tcPr>
          <w:p>
            <w:pPr>
              <w:ind w:left="200"/>
              <w:spacing w:after="0"/>
              <w:rPr>
                <w:sz w:val="20"/>
                <w:szCs w:val="20"/>
                <w:color w:val="auto"/>
              </w:rPr>
            </w:pPr>
            <w:r>
              <w:rPr>
                <w:rFonts w:ascii="Arial" w:cs="Arial" w:eastAsia="Arial" w:hAnsi="Arial"/>
                <w:sz w:val="15"/>
                <w:szCs w:val="15"/>
                <w:color w:val="auto"/>
              </w:rPr>
              <w:t>NL Industries, Inc.</w:t>
            </w:r>
          </w:p>
        </w:tc>
      </w:tr>
      <w:tr>
        <w:trPr>
          <w:trHeight w:val="230"/>
        </w:trPr>
        <w:tc>
          <w:tcPr>
            <w:tcW w:w="5280" w:type="dxa"/>
            <w:vAlign w:val="bottom"/>
            <w:shd w:val="clear" w:color="auto" w:fill="E8EED3"/>
          </w:tcPr>
          <w:p>
            <w:pPr>
              <w:ind w:left="80"/>
              <w:spacing w:after="0"/>
              <w:rPr>
                <w:sz w:val="20"/>
                <w:szCs w:val="20"/>
                <w:color w:val="auto"/>
              </w:rPr>
            </w:pPr>
            <w:r>
              <w:rPr>
                <w:rFonts w:ascii="Arial" w:cs="Arial" w:eastAsia="Arial" w:hAnsi="Arial"/>
                <w:sz w:val="15"/>
                <w:szCs w:val="15"/>
                <w:color w:val="auto"/>
              </w:rPr>
              <w:t>Covenant Logistics Group, Inc.</w:t>
            </w:r>
          </w:p>
        </w:tc>
        <w:tc>
          <w:tcPr>
            <w:tcW w:w="5260" w:type="dxa"/>
            <w:vAlign w:val="bottom"/>
            <w:shd w:val="clear" w:color="auto" w:fill="E8EED3"/>
          </w:tcPr>
          <w:p>
            <w:pPr>
              <w:ind w:left="200"/>
              <w:spacing w:after="0"/>
              <w:rPr>
                <w:sz w:val="20"/>
                <w:szCs w:val="20"/>
                <w:color w:val="auto"/>
              </w:rPr>
            </w:pPr>
            <w:r>
              <w:rPr>
                <w:rFonts w:ascii="Arial" w:cs="Arial" w:eastAsia="Arial" w:hAnsi="Arial"/>
                <w:sz w:val="15"/>
                <w:szCs w:val="15"/>
                <w:color w:val="auto"/>
              </w:rPr>
              <w:t>NN, Inc.</w:t>
            </w:r>
          </w:p>
        </w:tc>
      </w:tr>
      <w:tr>
        <w:trPr>
          <w:trHeight w:val="236"/>
        </w:trPr>
        <w:tc>
          <w:tcPr>
            <w:tcW w:w="5280" w:type="dxa"/>
            <w:vAlign w:val="bottom"/>
            <w:shd w:val="clear" w:color="auto" w:fill="D2DEA7"/>
          </w:tcPr>
          <w:p>
            <w:pPr>
              <w:ind w:left="80"/>
              <w:spacing w:after="0"/>
              <w:rPr>
                <w:sz w:val="20"/>
                <w:szCs w:val="20"/>
                <w:color w:val="auto"/>
              </w:rPr>
            </w:pPr>
            <w:r>
              <w:rPr>
                <w:rFonts w:ascii="Arial" w:cs="Arial" w:eastAsia="Arial" w:hAnsi="Arial"/>
                <w:sz w:val="15"/>
                <w:szCs w:val="15"/>
                <w:color w:val="auto"/>
              </w:rPr>
              <w:t>CRA International, Inc.</w:t>
            </w:r>
          </w:p>
        </w:tc>
        <w:tc>
          <w:tcPr>
            <w:tcW w:w="5260" w:type="dxa"/>
            <w:vAlign w:val="bottom"/>
            <w:shd w:val="clear" w:color="auto" w:fill="D2DEA7"/>
          </w:tcPr>
          <w:p>
            <w:pPr>
              <w:ind w:left="200"/>
              <w:spacing w:after="0"/>
              <w:rPr>
                <w:sz w:val="20"/>
                <w:szCs w:val="20"/>
                <w:color w:val="auto"/>
              </w:rPr>
            </w:pPr>
            <w:r>
              <w:rPr>
                <w:rFonts w:ascii="Arial" w:cs="Arial" w:eastAsia="Arial" w:hAnsi="Arial"/>
                <w:sz w:val="15"/>
                <w:szCs w:val="15"/>
                <w:color w:val="auto"/>
              </w:rPr>
              <w:t>Northwest Pipe Company</w:t>
            </w:r>
          </w:p>
        </w:tc>
      </w:tr>
      <w:tr>
        <w:trPr>
          <w:trHeight w:val="230"/>
        </w:trPr>
        <w:tc>
          <w:tcPr>
            <w:tcW w:w="5280" w:type="dxa"/>
            <w:vAlign w:val="bottom"/>
            <w:shd w:val="clear" w:color="auto" w:fill="E8EED3"/>
          </w:tcPr>
          <w:p>
            <w:pPr>
              <w:ind w:left="80"/>
              <w:spacing w:after="0"/>
              <w:rPr>
                <w:sz w:val="20"/>
                <w:szCs w:val="20"/>
                <w:color w:val="auto"/>
              </w:rPr>
            </w:pPr>
            <w:r>
              <w:rPr>
                <w:rFonts w:ascii="Arial" w:cs="Arial" w:eastAsia="Arial" w:hAnsi="Arial"/>
                <w:sz w:val="15"/>
                <w:szCs w:val="15"/>
                <w:color w:val="auto"/>
              </w:rPr>
              <w:t>CVR Partners, LP</w:t>
            </w:r>
          </w:p>
        </w:tc>
        <w:tc>
          <w:tcPr>
            <w:tcW w:w="5260" w:type="dxa"/>
            <w:vAlign w:val="bottom"/>
            <w:shd w:val="clear" w:color="auto" w:fill="E8EED3"/>
          </w:tcPr>
          <w:p>
            <w:pPr>
              <w:ind w:left="200"/>
              <w:spacing w:after="0"/>
              <w:rPr>
                <w:sz w:val="20"/>
                <w:szCs w:val="20"/>
                <w:color w:val="auto"/>
              </w:rPr>
            </w:pPr>
            <w:r>
              <w:rPr>
                <w:rFonts w:ascii="Arial" w:cs="Arial" w:eastAsia="Arial" w:hAnsi="Arial"/>
                <w:sz w:val="15"/>
                <w:szCs w:val="15"/>
                <w:color w:val="auto"/>
              </w:rPr>
              <w:t>Olympic Steel, Inc.</w:t>
            </w:r>
          </w:p>
        </w:tc>
      </w:tr>
      <w:tr>
        <w:trPr>
          <w:trHeight w:val="236"/>
        </w:trPr>
        <w:tc>
          <w:tcPr>
            <w:tcW w:w="5280" w:type="dxa"/>
            <w:vAlign w:val="bottom"/>
            <w:shd w:val="clear" w:color="auto" w:fill="D2DEA7"/>
          </w:tcPr>
          <w:p>
            <w:pPr>
              <w:ind w:left="80"/>
              <w:spacing w:after="0"/>
              <w:rPr>
                <w:sz w:val="20"/>
                <w:szCs w:val="20"/>
                <w:color w:val="auto"/>
              </w:rPr>
            </w:pPr>
            <w:r>
              <w:rPr>
                <w:rFonts w:ascii="Arial" w:cs="Arial" w:eastAsia="Arial" w:hAnsi="Arial"/>
                <w:sz w:val="15"/>
                <w:szCs w:val="15"/>
                <w:color w:val="auto"/>
              </w:rPr>
              <w:t>Danaos Corporation</w:t>
            </w:r>
          </w:p>
        </w:tc>
        <w:tc>
          <w:tcPr>
            <w:tcW w:w="5260" w:type="dxa"/>
            <w:vAlign w:val="bottom"/>
            <w:shd w:val="clear" w:color="auto" w:fill="D2DEA7"/>
          </w:tcPr>
          <w:p>
            <w:pPr>
              <w:ind w:left="200"/>
              <w:spacing w:after="0"/>
              <w:rPr>
                <w:sz w:val="20"/>
                <w:szCs w:val="20"/>
                <w:color w:val="auto"/>
              </w:rPr>
            </w:pPr>
            <w:r>
              <w:rPr>
                <w:rFonts w:ascii="Arial" w:cs="Arial" w:eastAsia="Arial" w:hAnsi="Arial"/>
                <w:sz w:val="15"/>
                <w:szCs w:val="15"/>
                <w:color w:val="auto"/>
              </w:rPr>
              <w:t>Orion Energy Systems, Inc.</w:t>
            </w:r>
          </w:p>
        </w:tc>
      </w:tr>
      <w:tr>
        <w:trPr>
          <w:trHeight w:val="230"/>
        </w:trPr>
        <w:tc>
          <w:tcPr>
            <w:tcW w:w="5280" w:type="dxa"/>
            <w:vAlign w:val="bottom"/>
            <w:shd w:val="clear" w:color="auto" w:fill="E8EED3"/>
          </w:tcPr>
          <w:p>
            <w:pPr>
              <w:ind w:left="80"/>
              <w:spacing w:after="0"/>
              <w:rPr>
                <w:sz w:val="20"/>
                <w:szCs w:val="20"/>
                <w:color w:val="auto"/>
              </w:rPr>
            </w:pPr>
            <w:r>
              <w:rPr>
                <w:rFonts w:ascii="Arial" w:cs="Arial" w:eastAsia="Arial" w:hAnsi="Arial"/>
                <w:sz w:val="15"/>
                <w:szCs w:val="15"/>
                <w:color w:val="auto"/>
              </w:rPr>
              <w:t>Daseke, Inc.</w:t>
            </w:r>
          </w:p>
        </w:tc>
        <w:tc>
          <w:tcPr>
            <w:tcW w:w="5260" w:type="dxa"/>
            <w:vAlign w:val="bottom"/>
            <w:shd w:val="clear" w:color="auto" w:fill="E8EED3"/>
          </w:tcPr>
          <w:p>
            <w:pPr>
              <w:ind w:left="200"/>
              <w:spacing w:after="0"/>
              <w:rPr>
                <w:sz w:val="20"/>
                <w:szCs w:val="20"/>
                <w:color w:val="auto"/>
              </w:rPr>
            </w:pPr>
            <w:r>
              <w:rPr>
                <w:rFonts w:ascii="Arial" w:cs="Arial" w:eastAsia="Arial" w:hAnsi="Arial"/>
                <w:sz w:val="15"/>
                <w:szCs w:val="15"/>
                <w:color w:val="auto"/>
              </w:rPr>
              <w:t>Orion Group Holdings, Inc.</w:t>
            </w:r>
          </w:p>
        </w:tc>
      </w:tr>
      <w:tr>
        <w:trPr>
          <w:trHeight w:val="236"/>
        </w:trPr>
        <w:tc>
          <w:tcPr>
            <w:tcW w:w="5280" w:type="dxa"/>
            <w:vAlign w:val="bottom"/>
            <w:shd w:val="clear" w:color="auto" w:fill="D2DEA7"/>
          </w:tcPr>
          <w:p>
            <w:pPr>
              <w:ind w:left="80"/>
              <w:spacing w:after="0"/>
              <w:rPr>
                <w:sz w:val="20"/>
                <w:szCs w:val="20"/>
                <w:color w:val="auto"/>
              </w:rPr>
            </w:pPr>
            <w:r>
              <w:rPr>
                <w:rFonts w:ascii="Arial" w:cs="Arial" w:eastAsia="Arial" w:hAnsi="Arial"/>
                <w:sz w:val="15"/>
                <w:szCs w:val="15"/>
                <w:color w:val="auto"/>
              </w:rPr>
              <w:t>Diana Shipping Inc.</w:t>
            </w:r>
          </w:p>
        </w:tc>
        <w:tc>
          <w:tcPr>
            <w:tcW w:w="5260" w:type="dxa"/>
            <w:vAlign w:val="bottom"/>
            <w:shd w:val="clear" w:color="auto" w:fill="D2DEA7"/>
          </w:tcPr>
          <w:p>
            <w:pPr>
              <w:ind w:left="200"/>
              <w:spacing w:after="0"/>
              <w:rPr>
                <w:sz w:val="20"/>
                <w:szCs w:val="20"/>
                <w:color w:val="auto"/>
              </w:rPr>
            </w:pPr>
            <w:r>
              <w:rPr>
                <w:rFonts w:ascii="Arial" w:cs="Arial" w:eastAsia="Arial" w:hAnsi="Arial"/>
                <w:sz w:val="15"/>
                <w:szCs w:val="15"/>
                <w:color w:val="auto"/>
              </w:rPr>
              <w:t>P.A.M. Transportation Services, Inc.</w:t>
            </w:r>
          </w:p>
        </w:tc>
      </w:tr>
      <w:tr>
        <w:trPr>
          <w:trHeight w:val="230"/>
        </w:trPr>
        <w:tc>
          <w:tcPr>
            <w:tcW w:w="5280" w:type="dxa"/>
            <w:vAlign w:val="bottom"/>
            <w:shd w:val="clear" w:color="auto" w:fill="E8EED3"/>
          </w:tcPr>
          <w:p>
            <w:pPr>
              <w:ind w:left="80"/>
              <w:spacing w:after="0"/>
              <w:rPr>
                <w:sz w:val="20"/>
                <w:szCs w:val="20"/>
                <w:color w:val="auto"/>
              </w:rPr>
            </w:pPr>
            <w:r>
              <w:rPr>
                <w:rFonts w:ascii="Arial" w:cs="Arial" w:eastAsia="Arial" w:hAnsi="Arial"/>
                <w:sz w:val="15"/>
                <w:szCs w:val="15"/>
                <w:color w:val="auto"/>
              </w:rPr>
              <w:t>DLH Holding Corp.</w:t>
            </w:r>
          </w:p>
        </w:tc>
        <w:tc>
          <w:tcPr>
            <w:tcW w:w="5260" w:type="dxa"/>
            <w:vAlign w:val="bottom"/>
            <w:shd w:val="clear" w:color="auto" w:fill="E8EED3"/>
          </w:tcPr>
          <w:p>
            <w:pPr>
              <w:ind w:left="200"/>
              <w:spacing w:after="0"/>
              <w:rPr>
                <w:sz w:val="20"/>
                <w:szCs w:val="20"/>
                <w:color w:val="auto"/>
              </w:rPr>
            </w:pPr>
            <w:r>
              <w:rPr>
                <w:rFonts w:ascii="Arial" w:cs="Arial" w:eastAsia="Arial" w:hAnsi="Arial"/>
                <w:sz w:val="15"/>
                <w:szCs w:val="15"/>
                <w:color w:val="auto"/>
              </w:rPr>
              <w:t>Pangaea Logistics Solutions, Ltd.</w:t>
            </w:r>
          </w:p>
        </w:tc>
      </w:tr>
      <w:tr>
        <w:trPr>
          <w:trHeight w:val="236"/>
        </w:trPr>
        <w:tc>
          <w:tcPr>
            <w:tcW w:w="5280" w:type="dxa"/>
            <w:vAlign w:val="bottom"/>
            <w:shd w:val="clear" w:color="auto" w:fill="D2DEA7"/>
          </w:tcPr>
          <w:p>
            <w:pPr>
              <w:ind w:left="80"/>
              <w:spacing w:after="0"/>
              <w:rPr>
                <w:sz w:val="20"/>
                <w:szCs w:val="20"/>
                <w:color w:val="auto"/>
              </w:rPr>
            </w:pPr>
            <w:r>
              <w:rPr>
                <w:rFonts w:ascii="Arial" w:cs="Arial" w:eastAsia="Arial" w:hAnsi="Arial"/>
                <w:sz w:val="15"/>
                <w:szCs w:val="15"/>
                <w:color w:val="auto"/>
              </w:rPr>
              <w:t>DXP Enterprises, Inc.</w:t>
            </w:r>
          </w:p>
        </w:tc>
        <w:tc>
          <w:tcPr>
            <w:tcW w:w="5260" w:type="dxa"/>
            <w:vAlign w:val="bottom"/>
            <w:shd w:val="clear" w:color="auto" w:fill="D2DEA7"/>
          </w:tcPr>
          <w:p>
            <w:pPr>
              <w:ind w:left="200"/>
              <w:spacing w:after="0"/>
              <w:rPr>
                <w:sz w:val="20"/>
                <w:szCs w:val="20"/>
                <w:color w:val="auto"/>
              </w:rPr>
            </w:pPr>
            <w:r>
              <w:rPr>
                <w:rFonts w:ascii="Arial" w:cs="Arial" w:eastAsia="Arial" w:hAnsi="Arial"/>
                <w:sz w:val="15"/>
                <w:szCs w:val="15"/>
                <w:color w:val="auto"/>
              </w:rPr>
              <w:t>Park-Ohio Holdings Corp.</w:t>
            </w:r>
          </w:p>
        </w:tc>
      </w:tr>
      <w:tr>
        <w:trPr>
          <w:trHeight w:val="230"/>
        </w:trPr>
        <w:tc>
          <w:tcPr>
            <w:tcW w:w="5280" w:type="dxa"/>
            <w:vAlign w:val="bottom"/>
            <w:shd w:val="clear" w:color="auto" w:fill="E8EED3"/>
          </w:tcPr>
          <w:p>
            <w:pPr>
              <w:ind w:left="80"/>
              <w:spacing w:after="0"/>
              <w:rPr>
                <w:sz w:val="20"/>
                <w:szCs w:val="20"/>
                <w:color w:val="auto"/>
              </w:rPr>
            </w:pPr>
            <w:r>
              <w:rPr>
                <w:rFonts w:ascii="Arial" w:cs="Arial" w:eastAsia="Arial" w:hAnsi="Arial"/>
                <w:sz w:val="15"/>
                <w:szCs w:val="15"/>
                <w:color w:val="auto"/>
              </w:rPr>
              <w:t>Eagle Bulk Shipping Inc.</w:t>
            </w:r>
          </w:p>
        </w:tc>
        <w:tc>
          <w:tcPr>
            <w:tcW w:w="5260" w:type="dxa"/>
            <w:vAlign w:val="bottom"/>
            <w:shd w:val="clear" w:color="auto" w:fill="E8EED3"/>
          </w:tcPr>
          <w:p>
            <w:pPr>
              <w:ind w:left="200"/>
              <w:spacing w:after="0"/>
              <w:rPr>
                <w:sz w:val="20"/>
                <w:szCs w:val="20"/>
                <w:color w:val="auto"/>
              </w:rPr>
            </w:pPr>
            <w:r>
              <w:rPr>
                <w:rFonts w:ascii="Arial" w:cs="Arial" w:eastAsia="Arial" w:hAnsi="Arial"/>
                <w:sz w:val="15"/>
                <w:szCs w:val="15"/>
                <w:color w:val="auto"/>
              </w:rPr>
              <w:t>Powell Industries, Inc.</w:t>
            </w:r>
          </w:p>
        </w:tc>
      </w:tr>
      <w:tr>
        <w:trPr>
          <w:trHeight w:val="236"/>
        </w:trPr>
        <w:tc>
          <w:tcPr>
            <w:tcW w:w="5280" w:type="dxa"/>
            <w:vAlign w:val="bottom"/>
            <w:shd w:val="clear" w:color="auto" w:fill="D2DEA7"/>
          </w:tcPr>
          <w:p>
            <w:pPr>
              <w:ind w:left="80"/>
              <w:spacing w:after="0"/>
              <w:rPr>
                <w:sz w:val="20"/>
                <w:szCs w:val="20"/>
                <w:color w:val="auto"/>
              </w:rPr>
            </w:pPr>
            <w:r>
              <w:rPr>
                <w:rFonts w:ascii="Arial" w:cs="Arial" w:eastAsia="Arial" w:hAnsi="Arial"/>
                <w:sz w:val="15"/>
                <w:szCs w:val="15"/>
                <w:color w:val="auto"/>
              </w:rPr>
              <w:t>Eneti Inc.</w:t>
            </w:r>
          </w:p>
        </w:tc>
        <w:tc>
          <w:tcPr>
            <w:tcW w:w="5260" w:type="dxa"/>
            <w:vAlign w:val="bottom"/>
            <w:shd w:val="clear" w:color="auto" w:fill="D2DEA7"/>
          </w:tcPr>
          <w:p>
            <w:pPr>
              <w:ind w:left="200"/>
              <w:spacing w:after="0"/>
              <w:rPr>
                <w:sz w:val="20"/>
                <w:szCs w:val="20"/>
                <w:color w:val="auto"/>
              </w:rPr>
            </w:pPr>
            <w:r>
              <w:rPr>
                <w:rFonts w:ascii="Arial" w:cs="Arial" w:eastAsia="Arial" w:hAnsi="Arial"/>
                <w:sz w:val="15"/>
                <w:szCs w:val="15"/>
                <w:color w:val="auto"/>
              </w:rPr>
              <w:t>Preformed Line Products Company</w:t>
            </w:r>
          </w:p>
        </w:tc>
      </w:tr>
      <w:tr>
        <w:trPr>
          <w:trHeight w:val="230"/>
        </w:trPr>
        <w:tc>
          <w:tcPr>
            <w:tcW w:w="5280" w:type="dxa"/>
            <w:vAlign w:val="bottom"/>
            <w:shd w:val="clear" w:color="auto" w:fill="E8EED3"/>
          </w:tcPr>
          <w:p>
            <w:pPr>
              <w:ind w:left="80"/>
              <w:spacing w:after="0"/>
              <w:rPr>
                <w:sz w:val="20"/>
                <w:szCs w:val="20"/>
                <w:color w:val="auto"/>
              </w:rPr>
            </w:pPr>
            <w:r>
              <w:rPr>
                <w:rFonts w:ascii="Arial" w:cs="Arial" w:eastAsia="Arial" w:hAnsi="Arial"/>
                <w:sz w:val="15"/>
                <w:szCs w:val="15"/>
                <w:color w:val="auto"/>
              </w:rPr>
              <w:t>Ennis, Inc.</w:t>
            </w:r>
          </w:p>
        </w:tc>
        <w:tc>
          <w:tcPr>
            <w:tcW w:w="5260" w:type="dxa"/>
            <w:vAlign w:val="bottom"/>
            <w:shd w:val="clear" w:color="auto" w:fill="E8EED3"/>
          </w:tcPr>
          <w:p>
            <w:pPr>
              <w:ind w:left="200"/>
              <w:spacing w:after="0"/>
              <w:rPr>
                <w:sz w:val="20"/>
                <w:szCs w:val="20"/>
                <w:color w:val="auto"/>
              </w:rPr>
            </w:pPr>
            <w:r>
              <w:rPr>
                <w:rFonts w:ascii="Arial" w:cs="Arial" w:eastAsia="Arial" w:hAnsi="Arial"/>
                <w:sz w:val="15"/>
                <w:szCs w:val="15"/>
                <w:color w:val="auto"/>
              </w:rPr>
              <w:t>Quad/Graphics, Inc.</w:t>
            </w:r>
          </w:p>
        </w:tc>
      </w:tr>
      <w:tr>
        <w:trPr>
          <w:trHeight w:val="236"/>
        </w:trPr>
        <w:tc>
          <w:tcPr>
            <w:tcW w:w="5280" w:type="dxa"/>
            <w:vAlign w:val="bottom"/>
            <w:shd w:val="clear" w:color="auto" w:fill="D2DEA7"/>
          </w:tcPr>
          <w:p>
            <w:pPr>
              <w:ind w:left="80"/>
              <w:spacing w:after="0"/>
              <w:rPr>
                <w:sz w:val="20"/>
                <w:szCs w:val="20"/>
                <w:color w:val="auto"/>
              </w:rPr>
            </w:pPr>
            <w:r>
              <w:rPr>
                <w:rFonts w:ascii="Arial" w:cs="Arial" w:eastAsia="Arial" w:hAnsi="Arial"/>
                <w:sz w:val="15"/>
                <w:szCs w:val="15"/>
                <w:color w:val="auto"/>
              </w:rPr>
              <w:t>EVI Industries, Inc.</w:t>
            </w:r>
          </w:p>
        </w:tc>
        <w:tc>
          <w:tcPr>
            <w:tcW w:w="5260" w:type="dxa"/>
            <w:vAlign w:val="bottom"/>
            <w:shd w:val="clear" w:color="auto" w:fill="D2DEA7"/>
          </w:tcPr>
          <w:p>
            <w:pPr>
              <w:ind w:left="200"/>
              <w:spacing w:after="0"/>
              <w:rPr>
                <w:sz w:val="20"/>
                <w:szCs w:val="20"/>
                <w:color w:val="auto"/>
              </w:rPr>
            </w:pPr>
            <w:r>
              <w:rPr>
                <w:rFonts w:ascii="Arial" w:cs="Arial" w:eastAsia="Arial" w:hAnsi="Arial"/>
                <w:sz w:val="15"/>
                <w:szCs w:val="15"/>
                <w:color w:val="auto"/>
              </w:rPr>
              <w:t>Quhuo Limited</w:t>
            </w:r>
          </w:p>
        </w:tc>
      </w:tr>
      <w:tr>
        <w:trPr>
          <w:trHeight w:val="230"/>
        </w:trPr>
        <w:tc>
          <w:tcPr>
            <w:tcW w:w="5280" w:type="dxa"/>
            <w:vAlign w:val="bottom"/>
            <w:shd w:val="clear" w:color="auto" w:fill="E8EED3"/>
          </w:tcPr>
          <w:p>
            <w:pPr>
              <w:ind w:left="80"/>
              <w:spacing w:after="0"/>
              <w:rPr>
                <w:sz w:val="20"/>
                <w:szCs w:val="20"/>
                <w:color w:val="auto"/>
              </w:rPr>
            </w:pPr>
            <w:r>
              <w:rPr>
                <w:rFonts w:ascii="Arial" w:cs="Arial" w:eastAsia="Arial" w:hAnsi="Arial"/>
                <w:sz w:val="15"/>
                <w:szCs w:val="15"/>
                <w:color w:val="auto"/>
              </w:rPr>
              <w:t>Ferroglobe PLC</w:t>
            </w:r>
          </w:p>
        </w:tc>
        <w:tc>
          <w:tcPr>
            <w:tcW w:w="5260" w:type="dxa"/>
            <w:vAlign w:val="bottom"/>
            <w:shd w:val="clear" w:color="auto" w:fill="E8EED3"/>
          </w:tcPr>
          <w:p>
            <w:pPr>
              <w:ind w:left="200"/>
              <w:spacing w:after="0"/>
              <w:rPr>
                <w:sz w:val="20"/>
                <w:szCs w:val="20"/>
                <w:color w:val="auto"/>
              </w:rPr>
            </w:pPr>
            <w:r>
              <w:rPr>
                <w:rFonts w:ascii="Arial" w:cs="Arial" w:eastAsia="Arial" w:hAnsi="Arial"/>
                <w:sz w:val="15"/>
                <w:szCs w:val="15"/>
                <w:color w:val="auto"/>
              </w:rPr>
              <w:t>R.R. Donnelley &amp; Sons Company</w:t>
            </w:r>
          </w:p>
        </w:tc>
      </w:tr>
      <w:tr>
        <w:trPr>
          <w:trHeight w:val="236"/>
        </w:trPr>
        <w:tc>
          <w:tcPr>
            <w:tcW w:w="5280" w:type="dxa"/>
            <w:vAlign w:val="bottom"/>
            <w:shd w:val="clear" w:color="auto" w:fill="D2DEA7"/>
          </w:tcPr>
          <w:p>
            <w:pPr>
              <w:ind w:left="80"/>
              <w:spacing w:after="0"/>
              <w:rPr>
                <w:sz w:val="20"/>
                <w:szCs w:val="20"/>
                <w:color w:val="auto"/>
              </w:rPr>
            </w:pPr>
            <w:r>
              <w:rPr>
                <w:rFonts w:ascii="Arial" w:cs="Arial" w:eastAsia="Arial" w:hAnsi="Arial"/>
                <w:sz w:val="15"/>
                <w:szCs w:val="15"/>
                <w:color w:val="auto"/>
              </w:rPr>
              <w:t>Fly Leasing Limited</w:t>
            </w:r>
          </w:p>
        </w:tc>
        <w:tc>
          <w:tcPr>
            <w:tcW w:w="5260" w:type="dxa"/>
            <w:vAlign w:val="bottom"/>
            <w:shd w:val="clear" w:color="auto" w:fill="D2DEA7"/>
          </w:tcPr>
          <w:p>
            <w:pPr>
              <w:ind w:left="200"/>
              <w:spacing w:after="0"/>
              <w:rPr>
                <w:sz w:val="20"/>
                <w:szCs w:val="20"/>
                <w:color w:val="auto"/>
              </w:rPr>
            </w:pPr>
            <w:r>
              <w:rPr>
                <w:rFonts w:ascii="Arial" w:cs="Arial" w:eastAsia="Arial" w:hAnsi="Arial"/>
                <w:sz w:val="15"/>
                <w:szCs w:val="15"/>
                <w:color w:val="auto"/>
              </w:rPr>
              <w:t>Radiant Logistics, Inc.</w:t>
            </w:r>
          </w:p>
        </w:tc>
      </w:tr>
      <w:tr>
        <w:trPr>
          <w:trHeight w:val="230"/>
        </w:trPr>
        <w:tc>
          <w:tcPr>
            <w:tcW w:w="5280" w:type="dxa"/>
            <w:vAlign w:val="bottom"/>
            <w:shd w:val="clear" w:color="auto" w:fill="E8EED3"/>
          </w:tcPr>
          <w:p>
            <w:pPr>
              <w:ind w:left="80"/>
              <w:spacing w:after="0"/>
              <w:rPr>
                <w:sz w:val="20"/>
                <w:szCs w:val="20"/>
                <w:color w:val="auto"/>
              </w:rPr>
            </w:pPr>
            <w:r>
              <w:rPr>
                <w:rFonts w:ascii="Arial" w:cs="Arial" w:eastAsia="Arial" w:hAnsi="Arial"/>
                <w:sz w:val="15"/>
                <w:szCs w:val="15"/>
                <w:color w:val="auto"/>
              </w:rPr>
              <w:t>Franklin Covey Co.</w:t>
            </w:r>
          </w:p>
        </w:tc>
        <w:tc>
          <w:tcPr>
            <w:tcW w:w="5260" w:type="dxa"/>
            <w:vAlign w:val="bottom"/>
            <w:shd w:val="clear" w:color="auto" w:fill="E8EED3"/>
          </w:tcPr>
          <w:p>
            <w:pPr>
              <w:ind w:left="200"/>
              <w:spacing w:after="0"/>
              <w:rPr>
                <w:sz w:val="20"/>
                <w:szCs w:val="20"/>
                <w:color w:val="auto"/>
              </w:rPr>
            </w:pPr>
            <w:r>
              <w:rPr>
                <w:rFonts w:ascii="Arial" w:cs="Arial" w:eastAsia="Arial" w:hAnsi="Arial"/>
                <w:sz w:val="15"/>
                <w:szCs w:val="15"/>
                <w:color w:val="auto"/>
              </w:rPr>
              <w:t>Ramaco Resources, Inc.</w:t>
            </w:r>
          </w:p>
        </w:tc>
      </w:tr>
      <w:tr>
        <w:trPr>
          <w:trHeight w:val="236"/>
        </w:trPr>
        <w:tc>
          <w:tcPr>
            <w:tcW w:w="5280" w:type="dxa"/>
            <w:vAlign w:val="bottom"/>
            <w:shd w:val="clear" w:color="auto" w:fill="D2DEA7"/>
          </w:tcPr>
          <w:p>
            <w:pPr>
              <w:ind w:left="80"/>
              <w:spacing w:after="0"/>
              <w:rPr>
                <w:sz w:val="20"/>
                <w:szCs w:val="20"/>
                <w:color w:val="auto"/>
              </w:rPr>
            </w:pPr>
            <w:r>
              <w:rPr>
                <w:rFonts w:ascii="Arial" w:cs="Arial" w:eastAsia="Arial" w:hAnsi="Arial"/>
                <w:sz w:val="15"/>
                <w:szCs w:val="15"/>
                <w:color w:val="auto"/>
              </w:rPr>
              <w:t>Genco Shipping &amp; Trading Limited</w:t>
            </w:r>
          </w:p>
        </w:tc>
        <w:tc>
          <w:tcPr>
            <w:tcW w:w="5260" w:type="dxa"/>
            <w:vAlign w:val="bottom"/>
            <w:shd w:val="clear" w:color="auto" w:fill="D2DEA7"/>
          </w:tcPr>
          <w:p>
            <w:pPr>
              <w:ind w:left="200"/>
              <w:spacing w:after="0"/>
              <w:rPr>
                <w:sz w:val="20"/>
                <w:szCs w:val="20"/>
                <w:color w:val="auto"/>
              </w:rPr>
            </w:pPr>
            <w:r>
              <w:rPr>
                <w:rFonts w:ascii="Arial" w:cs="Arial" w:eastAsia="Arial" w:hAnsi="Arial"/>
                <w:sz w:val="15"/>
                <w:szCs w:val="15"/>
                <w:color w:val="auto"/>
              </w:rPr>
              <w:t>Rayonier Advanced Materials Inc.</w:t>
            </w:r>
          </w:p>
        </w:tc>
      </w:tr>
      <w:tr>
        <w:trPr>
          <w:trHeight w:val="230"/>
        </w:trPr>
        <w:tc>
          <w:tcPr>
            <w:tcW w:w="5280" w:type="dxa"/>
            <w:vAlign w:val="bottom"/>
            <w:shd w:val="clear" w:color="auto" w:fill="E8EED3"/>
          </w:tcPr>
          <w:p>
            <w:pPr>
              <w:ind w:left="80"/>
              <w:spacing w:after="0"/>
              <w:rPr>
                <w:sz w:val="20"/>
                <w:szCs w:val="20"/>
                <w:color w:val="auto"/>
              </w:rPr>
            </w:pPr>
            <w:r>
              <w:rPr>
                <w:rFonts w:ascii="Arial" w:cs="Arial" w:eastAsia="Arial" w:hAnsi="Arial"/>
                <w:sz w:val="15"/>
                <w:szCs w:val="15"/>
                <w:color w:val="auto"/>
              </w:rPr>
              <w:t>General Finance Corporation</w:t>
            </w:r>
          </w:p>
        </w:tc>
        <w:tc>
          <w:tcPr>
            <w:tcW w:w="5260" w:type="dxa"/>
            <w:vAlign w:val="bottom"/>
            <w:shd w:val="clear" w:color="auto" w:fill="E8EED3"/>
          </w:tcPr>
          <w:p>
            <w:pPr>
              <w:ind w:left="200"/>
              <w:spacing w:after="0"/>
              <w:rPr>
                <w:sz w:val="20"/>
                <w:szCs w:val="20"/>
                <w:color w:val="auto"/>
              </w:rPr>
            </w:pPr>
            <w:r>
              <w:rPr>
                <w:rFonts w:ascii="Arial" w:cs="Arial" w:eastAsia="Arial" w:hAnsi="Arial"/>
                <w:sz w:val="15"/>
                <w:szCs w:val="15"/>
                <w:color w:val="auto"/>
              </w:rPr>
              <w:t>Resources Connection, Inc.</w:t>
            </w:r>
          </w:p>
        </w:tc>
      </w:tr>
      <w:tr>
        <w:trPr>
          <w:trHeight w:val="236"/>
        </w:trPr>
        <w:tc>
          <w:tcPr>
            <w:tcW w:w="5280" w:type="dxa"/>
            <w:vAlign w:val="bottom"/>
            <w:shd w:val="clear" w:color="auto" w:fill="D2DEA7"/>
          </w:tcPr>
          <w:p>
            <w:pPr>
              <w:ind w:left="80"/>
              <w:spacing w:after="0"/>
              <w:rPr>
                <w:sz w:val="20"/>
                <w:szCs w:val="20"/>
                <w:color w:val="auto"/>
              </w:rPr>
            </w:pPr>
            <w:r>
              <w:rPr>
                <w:rFonts w:ascii="Arial" w:cs="Arial" w:eastAsia="Arial" w:hAnsi="Arial"/>
                <w:sz w:val="15"/>
                <w:szCs w:val="15"/>
                <w:color w:val="auto"/>
              </w:rPr>
              <w:t>Global Ship Lease, Inc.</w:t>
            </w:r>
          </w:p>
        </w:tc>
        <w:tc>
          <w:tcPr>
            <w:tcW w:w="5260" w:type="dxa"/>
            <w:vAlign w:val="bottom"/>
            <w:shd w:val="clear" w:color="auto" w:fill="D2DEA7"/>
          </w:tcPr>
          <w:p>
            <w:pPr>
              <w:ind w:left="200"/>
              <w:spacing w:after="0"/>
              <w:rPr>
                <w:sz w:val="20"/>
                <w:szCs w:val="20"/>
                <w:color w:val="auto"/>
              </w:rPr>
            </w:pPr>
            <w:r>
              <w:rPr>
                <w:rFonts w:ascii="Arial" w:cs="Arial" w:eastAsia="Arial" w:hAnsi="Arial"/>
                <w:sz w:val="15"/>
                <w:szCs w:val="15"/>
                <w:color w:val="auto"/>
              </w:rPr>
              <w:t>Safe Bulkers, Inc.</w:t>
            </w:r>
          </w:p>
        </w:tc>
      </w:tr>
      <w:tr>
        <w:trPr>
          <w:trHeight w:val="230"/>
        </w:trPr>
        <w:tc>
          <w:tcPr>
            <w:tcW w:w="5280" w:type="dxa"/>
            <w:vAlign w:val="bottom"/>
            <w:shd w:val="clear" w:color="auto" w:fill="E8EED3"/>
          </w:tcPr>
          <w:p>
            <w:pPr>
              <w:ind w:left="80"/>
              <w:spacing w:after="0"/>
              <w:rPr>
                <w:sz w:val="20"/>
                <w:szCs w:val="20"/>
                <w:color w:val="auto"/>
              </w:rPr>
            </w:pPr>
            <w:r>
              <w:rPr>
                <w:rFonts w:ascii="Arial" w:cs="Arial" w:eastAsia="Arial" w:hAnsi="Arial"/>
                <w:sz w:val="15"/>
                <w:szCs w:val="15"/>
                <w:color w:val="auto"/>
              </w:rPr>
              <w:t>Gold Resource Corporation</w:t>
            </w:r>
          </w:p>
        </w:tc>
        <w:tc>
          <w:tcPr>
            <w:tcW w:w="5260" w:type="dxa"/>
            <w:vAlign w:val="bottom"/>
            <w:shd w:val="clear" w:color="auto" w:fill="E8EED3"/>
          </w:tcPr>
          <w:p>
            <w:pPr>
              <w:ind w:left="200"/>
              <w:spacing w:after="0"/>
              <w:rPr>
                <w:sz w:val="20"/>
                <w:szCs w:val="20"/>
                <w:color w:val="auto"/>
              </w:rPr>
            </w:pPr>
            <w:r>
              <w:rPr>
                <w:rFonts w:ascii="Arial" w:cs="Arial" w:eastAsia="Arial" w:hAnsi="Arial"/>
                <w:sz w:val="15"/>
                <w:szCs w:val="15"/>
                <w:color w:val="auto"/>
              </w:rPr>
              <w:t>Steel Partners Holdings L.P.</w:t>
            </w:r>
          </w:p>
        </w:tc>
      </w:tr>
      <w:tr>
        <w:trPr>
          <w:trHeight w:val="236"/>
        </w:trPr>
        <w:tc>
          <w:tcPr>
            <w:tcW w:w="5280" w:type="dxa"/>
            <w:vAlign w:val="bottom"/>
            <w:shd w:val="clear" w:color="auto" w:fill="D2DEA7"/>
          </w:tcPr>
          <w:p>
            <w:pPr>
              <w:ind w:left="80"/>
              <w:spacing w:after="0"/>
              <w:rPr>
                <w:sz w:val="20"/>
                <w:szCs w:val="20"/>
                <w:color w:val="auto"/>
              </w:rPr>
            </w:pPr>
            <w:r>
              <w:rPr>
                <w:rFonts w:ascii="Arial" w:cs="Arial" w:eastAsia="Arial" w:hAnsi="Arial"/>
                <w:sz w:val="15"/>
                <w:szCs w:val="15"/>
                <w:color w:val="auto"/>
              </w:rPr>
              <w:t>GP Strategies Corporation</w:t>
            </w:r>
          </w:p>
        </w:tc>
        <w:tc>
          <w:tcPr>
            <w:tcW w:w="5260" w:type="dxa"/>
            <w:vAlign w:val="bottom"/>
            <w:shd w:val="clear" w:color="auto" w:fill="D2DEA7"/>
          </w:tcPr>
          <w:p>
            <w:pPr>
              <w:ind w:left="200"/>
              <w:spacing w:after="0"/>
              <w:rPr>
                <w:sz w:val="20"/>
                <w:szCs w:val="20"/>
                <w:color w:val="auto"/>
              </w:rPr>
            </w:pPr>
            <w:r>
              <w:rPr>
                <w:rFonts w:ascii="Arial" w:cs="Arial" w:eastAsia="Arial" w:hAnsi="Arial"/>
                <w:sz w:val="15"/>
                <w:szCs w:val="15"/>
                <w:color w:val="auto"/>
              </w:rPr>
              <w:t>SunCoke Energy, Inc.</w:t>
            </w:r>
          </w:p>
        </w:tc>
      </w:tr>
      <w:tr>
        <w:trPr>
          <w:trHeight w:val="230"/>
        </w:trPr>
        <w:tc>
          <w:tcPr>
            <w:tcW w:w="5280" w:type="dxa"/>
            <w:vAlign w:val="bottom"/>
            <w:shd w:val="clear" w:color="auto" w:fill="E8EED3"/>
          </w:tcPr>
          <w:p>
            <w:pPr>
              <w:ind w:left="80"/>
              <w:spacing w:after="0"/>
              <w:rPr>
                <w:sz w:val="20"/>
                <w:szCs w:val="20"/>
                <w:color w:val="auto"/>
              </w:rPr>
            </w:pPr>
            <w:r>
              <w:rPr>
                <w:rFonts w:ascii="Arial" w:cs="Arial" w:eastAsia="Arial" w:hAnsi="Arial"/>
                <w:sz w:val="15"/>
                <w:szCs w:val="15"/>
                <w:color w:val="auto"/>
              </w:rPr>
              <w:t>Haynes International, Inc.</w:t>
            </w:r>
          </w:p>
        </w:tc>
        <w:tc>
          <w:tcPr>
            <w:tcW w:w="5260" w:type="dxa"/>
            <w:vAlign w:val="bottom"/>
            <w:shd w:val="clear" w:color="auto" w:fill="E8EED3"/>
          </w:tcPr>
          <w:p>
            <w:pPr>
              <w:ind w:left="200"/>
              <w:spacing w:after="0"/>
              <w:rPr>
                <w:sz w:val="20"/>
                <w:szCs w:val="20"/>
                <w:color w:val="auto"/>
              </w:rPr>
            </w:pPr>
            <w:r>
              <w:rPr>
                <w:rFonts w:ascii="Arial" w:cs="Arial" w:eastAsia="Arial" w:hAnsi="Arial"/>
                <w:sz w:val="15"/>
                <w:szCs w:val="15"/>
                <w:color w:val="auto"/>
              </w:rPr>
              <w:t>Team, Inc.</w:t>
            </w:r>
          </w:p>
        </w:tc>
      </w:tr>
      <w:tr>
        <w:trPr>
          <w:trHeight w:val="236"/>
        </w:trPr>
        <w:tc>
          <w:tcPr>
            <w:tcW w:w="5280" w:type="dxa"/>
            <w:vAlign w:val="bottom"/>
            <w:shd w:val="clear" w:color="auto" w:fill="D2DEA7"/>
          </w:tcPr>
          <w:p>
            <w:pPr>
              <w:ind w:left="80"/>
              <w:spacing w:after="0"/>
              <w:rPr>
                <w:sz w:val="20"/>
                <w:szCs w:val="20"/>
                <w:color w:val="auto"/>
              </w:rPr>
            </w:pPr>
            <w:r>
              <w:rPr>
                <w:rFonts w:ascii="Arial" w:cs="Arial" w:eastAsia="Arial" w:hAnsi="Arial"/>
                <w:sz w:val="15"/>
                <w:szCs w:val="15"/>
                <w:color w:val="auto"/>
              </w:rPr>
              <w:t>HC2 Holdings, Inc.</w:t>
            </w:r>
          </w:p>
        </w:tc>
        <w:tc>
          <w:tcPr>
            <w:tcW w:w="5260" w:type="dxa"/>
            <w:vAlign w:val="bottom"/>
            <w:shd w:val="clear" w:color="auto" w:fill="D2DEA7"/>
          </w:tcPr>
          <w:p>
            <w:pPr>
              <w:ind w:left="200"/>
              <w:spacing w:after="0"/>
              <w:rPr>
                <w:sz w:val="20"/>
                <w:szCs w:val="20"/>
                <w:color w:val="auto"/>
              </w:rPr>
            </w:pPr>
            <w:r>
              <w:rPr>
                <w:rFonts w:ascii="Arial" w:cs="Arial" w:eastAsia="Arial" w:hAnsi="Arial"/>
                <w:sz w:val="15"/>
                <w:szCs w:val="15"/>
                <w:color w:val="auto"/>
              </w:rPr>
              <w:t>Tecnoglass Inc.</w:t>
            </w:r>
          </w:p>
        </w:tc>
      </w:tr>
      <w:tr>
        <w:trPr>
          <w:trHeight w:val="233"/>
        </w:trPr>
        <w:tc>
          <w:tcPr>
            <w:tcW w:w="5280" w:type="dxa"/>
            <w:vAlign w:val="bottom"/>
            <w:shd w:val="clear" w:color="auto" w:fill="E8EED3"/>
          </w:tcPr>
          <w:p>
            <w:pPr>
              <w:ind w:left="80"/>
              <w:spacing w:after="0"/>
              <w:rPr>
                <w:sz w:val="20"/>
                <w:szCs w:val="20"/>
                <w:color w:val="auto"/>
              </w:rPr>
            </w:pPr>
            <w:r>
              <w:rPr>
                <w:rFonts w:ascii="Arial" w:cs="Arial" w:eastAsia="Arial" w:hAnsi="Arial"/>
                <w:sz w:val="15"/>
                <w:szCs w:val="15"/>
                <w:color w:val="auto"/>
              </w:rPr>
              <w:t>Hill International, Inc.</w:t>
            </w:r>
          </w:p>
        </w:tc>
        <w:tc>
          <w:tcPr>
            <w:tcW w:w="5260" w:type="dxa"/>
            <w:vAlign w:val="bottom"/>
            <w:shd w:val="clear" w:color="auto" w:fill="E8EED3"/>
          </w:tcPr>
          <w:p>
            <w:pPr>
              <w:ind w:left="200"/>
              <w:spacing w:after="0"/>
              <w:rPr>
                <w:sz w:val="20"/>
                <w:szCs w:val="20"/>
                <w:color w:val="auto"/>
              </w:rPr>
            </w:pPr>
            <w:r>
              <w:rPr>
                <w:rFonts w:ascii="Arial" w:cs="Arial" w:eastAsia="Arial" w:hAnsi="Arial"/>
                <w:sz w:val="15"/>
                <w:szCs w:val="15"/>
                <w:color w:val="auto"/>
              </w:rPr>
              <w:t>The Eastern Company</w:t>
            </w:r>
          </w:p>
        </w:tc>
      </w:tr>
    </w:tbl>
    <w:p>
      <w:pPr>
        <w:spacing w:after="0" w:line="130" w:lineRule="exact"/>
        <w:rPr>
          <w:sz w:val="20"/>
          <w:szCs w:val="20"/>
          <w:color w:val="auto"/>
        </w:rPr>
      </w:pPr>
    </w:p>
    <w:p>
      <w:pPr>
        <w:ind w:left="9040"/>
        <w:spacing w:after="0"/>
        <w:rPr>
          <w:sz w:val="20"/>
          <w:szCs w:val="20"/>
          <w:color w:val="auto"/>
        </w:rPr>
      </w:pPr>
      <w:r>
        <w:rPr>
          <w:rFonts w:ascii="Arial" w:cs="Arial" w:eastAsia="Arial" w:hAnsi="Arial"/>
          <w:sz w:val="14"/>
          <w:szCs w:val="14"/>
          <w:color w:val="262626"/>
        </w:rPr>
        <w:t>2022 Proxy Statement • I-1</w:t>
      </w:r>
    </w:p>
    <w:p>
      <w:pPr>
        <w:sectPr>
          <w:pgSz w:w="11900" w:h="16838" w:orient="portrait"/>
          <w:cols w:equalWidth="0" w:num="1">
            <w:col w:w="10900"/>
          </w:cols>
          <w:pgMar w:left="320" w:top="443" w:right="6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798830</wp:posOffset>
            </wp:positionH>
            <wp:positionV relativeFrom="paragraph">
              <wp:posOffset>200660</wp:posOffset>
            </wp:positionV>
            <wp:extent cx="5544820" cy="72282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544820" cy="7228205"/>
                    </a:xfrm>
                    <a:prstGeom prst="rect">
                      <a:avLst/>
                    </a:prstGeom>
                    <a:noFill/>
                  </pic:spPr>
                </pic:pic>
              </a:graphicData>
            </a:graphic>
          </wp:anchor>
        </w:drawing>
      </w:r>
    </w:p>
    <w:p>
      <w:pPr>
        <w:sectPr>
          <w:pgSz w:w="11900" w:h="16838" w:orient="portrait"/>
          <w:cols w:equalWidth="0" w:num="1">
            <w:col w:w="10139"/>
          </w:cols>
          <w:pgMar w:left="320" w:top="443"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3895725</wp:posOffset>
            </wp:positionH>
            <wp:positionV relativeFrom="paragraph">
              <wp:posOffset>233680</wp:posOffset>
            </wp:positionV>
            <wp:extent cx="2086610" cy="5257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086610" cy="525780"/>
                    </a:xfrm>
                    <a:prstGeom prst="rect">
                      <a:avLst/>
                    </a:prstGeom>
                    <a:noFill/>
                  </pic:spPr>
                </pic:pic>
              </a:graphicData>
            </a:graphic>
          </wp:anchor>
        </w:drawing>
      </w:r>
    </w:p>
    <w:p>
      <w:pPr>
        <w:sectPr>
          <w:pgSz w:w="11900" w:h="16838" w:orient="portrait"/>
          <w:cols w:equalWidth="0" w:num="1">
            <w:col w:w="11300"/>
          </w:cols>
          <w:pgMar w:left="320" w:top="443"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i w:val="1"/>
          <w:iCs w:val="1"/>
          <w:color w:val="auto"/>
        </w:rPr>
        <w:t>CECO ENVIRONMENTAL CORP.</w:t>
      </w:r>
    </w:p>
    <w:p>
      <w:pPr>
        <w:ind w:left="1280"/>
        <w:spacing w:after="0" w:line="228" w:lineRule="auto"/>
        <w:rPr>
          <w:sz w:val="20"/>
          <w:szCs w:val="20"/>
          <w:color w:val="auto"/>
        </w:rPr>
      </w:pPr>
      <w:r>
        <w:rPr>
          <w:rFonts w:ascii="Times New Roman" w:cs="Times New Roman" w:eastAsia="Times New Roman" w:hAnsi="Times New Roman"/>
          <w:sz w:val="14"/>
          <w:szCs w:val="14"/>
          <w:i w:val="1"/>
          <w:iCs w:val="1"/>
          <w:color w:val="auto"/>
        </w:rPr>
        <w:t>C/O BROADRIDGE</w:t>
      </w:r>
    </w:p>
    <w:p>
      <w:pPr>
        <w:ind w:left="1280"/>
        <w:spacing w:after="0" w:line="212" w:lineRule="auto"/>
        <w:rPr>
          <w:sz w:val="20"/>
          <w:szCs w:val="20"/>
          <w:color w:val="auto"/>
        </w:rPr>
      </w:pPr>
      <w:r>
        <w:rPr>
          <w:rFonts w:ascii="Times New Roman" w:cs="Times New Roman" w:eastAsia="Times New Roman" w:hAnsi="Times New Roman"/>
          <w:sz w:val="14"/>
          <w:szCs w:val="14"/>
          <w:i w:val="1"/>
          <w:iCs w:val="1"/>
          <w:color w:val="auto"/>
        </w:rPr>
        <w:t>P.O. BOX 1342</w:t>
      </w:r>
    </w:p>
    <w:p>
      <w:pPr>
        <w:ind w:left="1280"/>
        <w:spacing w:after="0"/>
        <w:rPr>
          <w:sz w:val="20"/>
          <w:szCs w:val="20"/>
          <w:color w:val="auto"/>
        </w:rPr>
      </w:pPr>
      <w:r>
        <w:rPr>
          <w:rFonts w:ascii="Times New Roman" w:cs="Times New Roman" w:eastAsia="Times New Roman" w:hAnsi="Times New Roman"/>
          <w:sz w:val="14"/>
          <w:szCs w:val="14"/>
          <w:i w:val="1"/>
          <w:iCs w:val="1"/>
          <w:color w:val="auto"/>
        </w:rPr>
        <w:t>BRENTWOOD, NY 11717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900"/>
        <w:spacing w:after="0" w:line="230" w:lineRule="auto"/>
        <w:rPr>
          <w:sz w:val="20"/>
          <w:szCs w:val="20"/>
          <w:color w:val="auto"/>
        </w:rPr>
      </w:pPr>
      <w:r>
        <w:rPr>
          <w:rFonts w:ascii="Times New Roman" w:cs="Times New Roman" w:eastAsia="Times New Roman" w:hAnsi="Times New Roman"/>
          <w:sz w:val="12"/>
          <w:szCs w:val="12"/>
          <w:b w:val="1"/>
          <w:bCs w:val="1"/>
          <w:color w:val="auto"/>
        </w:rPr>
        <w:t xml:space="preserve">VOTE BY INTERNET - www.proxyvote.com or scan the QR Barcode above </w:t>
      </w:r>
      <w:r>
        <w:rPr>
          <w:rFonts w:ascii="Times New Roman" w:cs="Times New Roman" w:eastAsia="Times New Roman" w:hAnsi="Times New Roman"/>
          <w:sz w:val="12"/>
          <w:szCs w:val="12"/>
          <w:color w:val="auto"/>
        </w:rPr>
        <w:t>Use the Internet to transmit your voting instructions and for electronic delivery of information. Vote by 11:59 p.m. Eastern Time on June 7, 2022. Have your proxy card in hand when you access the web site and follow the instructions to obtain your records and to create an electronic voting instruction form.</w:t>
      </w:r>
    </w:p>
    <w:p>
      <w:pPr>
        <w:spacing w:after="0" w:line="223" w:lineRule="auto"/>
        <w:rPr>
          <w:sz w:val="20"/>
          <w:szCs w:val="20"/>
          <w:color w:val="auto"/>
        </w:rPr>
      </w:pPr>
      <w:r>
        <w:rPr>
          <w:rFonts w:ascii="Times New Roman" w:cs="Times New Roman" w:eastAsia="Times New Roman" w:hAnsi="Times New Roman"/>
          <w:sz w:val="12"/>
          <w:szCs w:val="12"/>
          <w:i w:val="1"/>
          <w:iCs w:val="1"/>
          <w:color w:val="auto"/>
        </w:rPr>
        <w:t xml:space="preserve">During The Meeting </w:t>
      </w:r>
      <w:r>
        <w:rPr>
          <w:rFonts w:ascii="Times New Roman" w:cs="Times New Roman" w:eastAsia="Times New Roman" w:hAnsi="Times New Roman"/>
          <w:sz w:val="12"/>
          <w:szCs w:val="12"/>
          <w:color w:val="auto"/>
        </w:rPr>
        <w:t>- Go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b w:val="1"/>
          <w:bCs w:val="1"/>
          <w:u w:val="single" w:color="auto"/>
          <w:color w:val="auto"/>
        </w:rPr>
        <w:t>www.virtualshareholdermeeting.com/CECE2022</w:t>
      </w:r>
    </w:p>
    <w:p>
      <w:pPr>
        <w:ind w:right="960"/>
        <w:spacing w:after="0" w:line="213" w:lineRule="auto"/>
        <w:rPr>
          <w:sz w:val="20"/>
          <w:szCs w:val="20"/>
          <w:color w:val="auto"/>
        </w:rPr>
      </w:pPr>
      <w:r>
        <w:rPr>
          <w:rFonts w:ascii="Times New Roman" w:cs="Times New Roman" w:eastAsia="Times New Roman" w:hAnsi="Times New Roman"/>
          <w:sz w:val="14"/>
          <w:szCs w:val="14"/>
          <w:color w:val="auto"/>
        </w:rPr>
        <w:t>You may attend the meeting via the Internet and vote during the meeting. Have the information that is printed in the box marked by the arrow available and follow the instructions.</w:t>
      </w:r>
    </w:p>
    <w:p>
      <w:pPr>
        <w:spacing w:after="0" w:line="226" w:lineRule="auto"/>
        <w:rPr>
          <w:sz w:val="20"/>
          <w:szCs w:val="20"/>
          <w:color w:val="auto"/>
        </w:rPr>
      </w:pPr>
      <w:r>
        <w:rPr>
          <w:rFonts w:ascii="Times New Roman" w:cs="Times New Roman" w:eastAsia="Times New Roman" w:hAnsi="Times New Roman"/>
          <w:sz w:val="12"/>
          <w:szCs w:val="12"/>
          <w:b w:val="1"/>
          <w:bCs w:val="1"/>
          <w:color w:val="auto"/>
        </w:rPr>
        <w:t>VOTE BY PHONE - 1-800-690-6903</w:t>
      </w:r>
    </w:p>
    <w:p>
      <w:pPr>
        <w:ind w:right="880"/>
        <w:spacing w:after="0" w:line="224" w:lineRule="auto"/>
        <w:rPr>
          <w:sz w:val="20"/>
          <w:szCs w:val="20"/>
          <w:color w:val="auto"/>
        </w:rPr>
      </w:pPr>
      <w:r>
        <w:rPr>
          <w:rFonts w:ascii="Times New Roman" w:cs="Times New Roman" w:eastAsia="Times New Roman" w:hAnsi="Times New Roman"/>
          <w:sz w:val="12"/>
          <w:szCs w:val="12"/>
          <w:color w:val="auto"/>
        </w:rPr>
        <w:t>Use any touch-tone telephone to transmit your voting instructions. Vote by 11:59 p.m. Eastern Time on June 7, 2022. Have your proxy card in hand when you call and then follow the instructions.</w:t>
      </w:r>
    </w:p>
    <w:p>
      <w:pPr>
        <w:spacing w:after="0" w:line="227" w:lineRule="auto"/>
        <w:rPr>
          <w:sz w:val="20"/>
          <w:szCs w:val="20"/>
          <w:color w:val="auto"/>
        </w:rPr>
      </w:pPr>
      <w:r>
        <w:rPr>
          <w:rFonts w:ascii="Times New Roman" w:cs="Times New Roman" w:eastAsia="Times New Roman" w:hAnsi="Times New Roman"/>
          <w:sz w:val="12"/>
          <w:szCs w:val="12"/>
          <w:b w:val="1"/>
          <w:bCs w:val="1"/>
          <w:color w:val="auto"/>
        </w:rPr>
        <w:t>VOTE BY MAIL</w:t>
      </w:r>
    </w:p>
    <w:p>
      <w:pPr>
        <w:spacing w:after="0" w:line="1" w:lineRule="exact"/>
        <w:rPr>
          <w:sz w:val="20"/>
          <w:szCs w:val="20"/>
          <w:color w:val="auto"/>
        </w:rPr>
      </w:pPr>
    </w:p>
    <w:p>
      <w:pPr>
        <w:ind w:right="900"/>
        <w:spacing w:after="0" w:line="233" w:lineRule="auto"/>
        <w:rPr>
          <w:sz w:val="20"/>
          <w:szCs w:val="20"/>
          <w:color w:val="auto"/>
        </w:rPr>
      </w:pPr>
      <w:r>
        <w:rPr>
          <w:rFonts w:ascii="Times New Roman" w:cs="Times New Roman" w:eastAsia="Times New Roman" w:hAnsi="Times New Roman"/>
          <w:sz w:val="12"/>
          <w:szCs w:val="12"/>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260" w:space="720"/>
            <w:col w:w="5320"/>
          </w:cols>
          <w:pgMar w:left="320" w:top="443"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880" w:type="dxa"/>
        <w:tblCellMar>
          <w:top w:w="0" w:type="dxa"/>
          <w:left w:w="0" w:type="dxa"/>
          <w:bottom w:w="0" w:type="dxa"/>
          <w:right w:w="0" w:type="dxa"/>
        </w:tblCellMar>
      </w:tblPr>
      <w:tr>
        <w:trPr>
          <w:trHeight w:val="179"/>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TO VOTE, MARK BLOCKS BELOW IN BLUE OR BLACK INK AS FOLLOWS:</w:t>
            </w:r>
          </w:p>
        </w:tc>
        <w:tc>
          <w:tcPr>
            <w:tcW w:w="408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color w:val="auto"/>
                <w:w w:val="96"/>
              </w:rPr>
              <w:t>KEEP THIS PORTION FOR YOUR RECO</w:t>
            </w:r>
          </w:p>
        </w:tc>
        <w:tc>
          <w:tcPr>
            <w:tcW w:w="0" w:type="dxa"/>
            <w:vAlign w:val="bottom"/>
          </w:tcPr>
          <w:p>
            <w:pPr>
              <w:spacing w:after="0"/>
              <w:rPr>
                <w:sz w:val="1"/>
                <w:szCs w:val="1"/>
                <w:color w:val="auto"/>
              </w:rPr>
            </w:pPr>
          </w:p>
        </w:tc>
      </w:tr>
      <w:tr>
        <w:trPr>
          <w:trHeight w:val="68"/>
        </w:trPr>
        <w:tc>
          <w:tcPr>
            <w:tcW w:w="6340" w:type="dxa"/>
            <w:vAlign w:val="bottom"/>
          </w:tcPr>
          <w:p>
            <w:pPr>
              <w:spacing w:after="0"/>
              <w:rPr>
                <w:sz w:val="5"/>
                <w:szCs w:val="5"/>
                <w:color w:val="auto"/>
              </w:rPr>
            </w:pPr>
          </w:p>
        </w:tc>
        <w:tc>
          <w:tcPr>
            <w:tcW w:w="4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880"/>
        <w:spacing w:after="0" w:line="212" w:lineRule="auto"/>
        <w:rPr>
          <w:sz w:val="20"/>
          <w:szCs w:val="20"/>
          <w:color w:val="auto"/>
        </w:rPr>
      </w:pPr>
      <w:r>
        <w:rPr>
          <w:rFonts w:ascii="Times New Roman" w:cs="Times New Roman" w:eastAsia="Times New Roman" w:hAnsi="Times New Roman"/>
          <w:sz w:val="14"/>
          <w:szCs w:val="14"/>
          <w:color w:val="auto"/>
        </w:rPr>
        <w:t>— — — — — — — — — — — — — — — — — — — — — — — — — — — — — — — — — — — — — — — — — — — — — — — — — — — — — — — — — — —</w:t>
      </w:r>
    </w:p>
    <w:p>
      <w:pPr>
        <w:jc w:val="right"/>
        <w:spacing w:after="0" w:line="212" w:lineRule="auto"/>
        <w:rPr>
          <w:sz w:val="20"/>
          <w:szCs w:val="20"/>
          <w:color w:val="auto"/>
        </w:rPr>
      </w:pPr>
      <w:r>
        <w:rPr>
          <w:rFonts w:ascii="Times New Roman" w:cs="Times New Roman" w:eastAsia="Times New Roman" w:hAnsi="Times New Roman"/>
          <w:sz w:val="14"/>
          <w:szCs w:val="14"/>
          <w:color w:val="auto"/>
        </w:rPr>
        <w:t>DETACH AND RETURN THIS PORTION O</w:t>
      </w:r>
    </w:p>
    <w:p>
      <w:pPr>
        <w:ind w:left="3760"/>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67945</wp:posOffset>
            </wp:positionV>
            <wp:extent cx="6362065" cy="41605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362065" cy="4160520"/>
                    </a:xfrm>
                    <a:prstGeom prst="rect">
                      <a:avLst/>
                    </a:prstGeom>
                    <a:noFill/>
                  </pic:spPr>
                </pic:pic>
              </a:graphicData>
            </a:graphic>
          </wp:anchor>
        </w:drawing>
      </w:r>
    </w:p>
    <w:p>
      <w:pPr>
        <w:spacing w:after="0" w:line="119"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440" w:type="dxa"/>
            <w:vAlign w:val="bottom"/>
          </w:tcPr>
          <w:p>
            <w:pPr>
              <w:jc w:val="center"/>
              <w:ind w:left="45"/>
              <w:spacing w:after="0"/>
              <w:rPr>
                <w:sz w:val="20"/>
                <w:szCs w:val="20"/>
                <w:color w:val="auto"/>
              </w:rPr>
            </w:pPr>
            <w:r>
              <w:rPr>
                <w:rFonts w:ascii="Times New Roman" w:cs="Times New Roman" w:eastAsia="Times New Roman" w:hAnsi="Times New Roman"/>
                <w:sz w:val="14"/>
                <w:szCs w:val="14"/>
                <w:b w:val="1"/>
                <w:bCs w:val="1"/>
                <w:color w:val="auto"/>
                <w:w w:val="91"/>
              </w:rPr>
              <w:t>For</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Withhold</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 All</w:t>
            </w:r>
          </w:p>
        </w:tc>
        <w:tc>
          <w:tcPr>
            <w:tcW w:w="2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 withhold authority to vote for any</w:t>
            </w: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40" w:type="dxa"/>
            <w:vAlign w:val="bottom"/>
          </w:tcPr>
          <w:p>
            <w:pPr>
              <w:jc w:val="center"/>
              <w:ind w:left="45"/>
              <w:spacing w:after="0" w:line="147" w:lineRule="exact"/>
              <w:rPr>
                <w:sz w:val="20"/>
                <w:szCs w:val="20"/>
                <w:color w:val="auto"/>
              </w:rPr>
            </w:pPr>
            <w:r>
              <w:rPr>
                <w:rFonts w:ascii="Times New Roman" w:cs="Times New Roman" w:eastAsia="Times New Roman" w:hAnsi="Times New Roman"/>
                <w:sz w:val="14"/>
                <w:szCs w:val="14"/>
                <w:b w:val="1"/>
                <w:bCs w:val="1"/>
                <w:color w:val="auto"/>
                <w:w w:val="89"/>
              </w:rPr>
              <w:t>All</w:t>
            </w:r>
          </w:p>
        </w:tc>
        <w:tc>
          <w:tcPr>
            <w:tcW w:w="6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All</w:t>
            </w:r>
          </w:p>
        </w:tc>
        <w:tc>
          <w:tcPr>
            <w:tcW w:w="5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6"/>
              </w:rPr>
              <w:t>Except</w:t>
            </w:r>
          </w:p>
        </w:tc>
        <w:tc>
          <w:tcPr>
            <w:tcW w:w="220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rPr>
              <w:t>individual nominee(s), mark “For All</w:t>
            </w:r>
          </w:p>
        </w:tc>
        <w:tc>
          <w:tcPr>
            <w:tcW w:w="0" w:type="dxa"/>
            <w:vAlign w:val="bottom"/>
          </w:tcPr>
          <w:p>
            <w:pPr>
              <w:spacing w:after="0"/>
              <w:rPr>
                <w:sz w:val="1"/>
                <w:szCs w:val="1"/>
                <w:color w:val="auto"/>
              </w:rPr>
            </w:pPr>
          </w:p>
        </w:tc>
      </w:tr>
      <w:tr>
        <w:trPr>
          <w:trHeight w:val="150"/>
        </w:trPr>
        <w:tc>
          <w:tcPr>
            <w:tcW w:w="284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The Board of Directors recommends you vote</w:t>
            </w: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0" w:type="dxa"/>
            <w:vAlign w:val="bottom"/>
          </w:tcPr>
          <w:p>
            <w:pPr>
              <w:ind w:left="60"/>
              <w:spacing w:after="0" w:line="150" w:lineRule="exact"/>
              <w:rPr>
                <w:sz w:val="20"/>
                <w:szCs w:val="20"/>
                <w:color w:val="auto"/>
              </w:rPr>
            </w:pPr>
            <w:r>
              <w:rPr>
                <w:rFonts w:ascii="Times New Roman" w:cs="Times New Roman" w:eastAsia="Times New Roman" w:hAnsi="Times New Roman"/>
                <w:sz w:val="14"/>
                <w:szCs w:val="14"/>
                <w:color w:val="auto"/>
                <w:w w:val="97"/>
              </w:rPr>
              <w:t>Except” and write the number(s) of the</w:t>
            </w:r>
          </w:p>
        </w:tc>
        <w:tc>
          <w:tcPr>
            <w:tcW w:w="0" w:type="dxa"/>
            <w:vAlign w:val="bottom"/>
          </w:tcPr>
          <w:p>
            <w:pPr>
              <w:spacing w:after="0"/>
              <w:rPr>
                <w:sz w:val="1"/>
                <w:szCs w:val="1"/>
                <w:color w:val="auto"/>
              </w:rPr>
            </w:pPr>
          </w:p>
        </w:tc>
      </w:tr>
      <w:tr>
        <w:trPr>
          <w:trHeight w:val="155"/>
        </w:trPr>
        <w:tc>
          <w:tcPr>
            <w:tcW w:w="34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FOR</w:t>
            </w:r>
          </w:p>
        </w:tc>
        <w:tc>
          <w:tcPr>
            <w:tcW w:w="2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each of the nominees in proposal 1:</w:t>
            </w:r>
          </w:p>
        </w:tc>
        <w:tc>
          <w:tcPr>
            <w:tcW w:w="440" w:type="dxa"/>
            <w:vAlign w:val="bottom"/>
            <w:vMerge w:val="restart"/>
          </w:tcPr>
          <w:p>
            <w:pPr>
              <w:jc w:val="center"/>
              <w:ind w:left="45"/>
              <w:spacing w:after="0" w:line="171" w:lineRule="exact"/>
              <w:rPr>
                <w:sz w:val="20"/>
                <w:szCs w:val="20"/>
                <w:color w:val="auto"/>
              </w:rPr>
            </w:pPr>
            <w:r>
              <w:rPr>
                <w:rFonts w:ascii="MS PGothic" w:cs="MS PGothic" w:eastAsia="MS PGothic" w:hAnsi="MS PGothic"/>
                <w:sz w:val="17"/>
                <w:szCs w:val="17"/>
                <w:color w:val="auto"/>
                <w:w w:val="93"/>
              </w:rPr>
              <w:t>☐</w:t>
            </w:r>
          </w:p>
        </w:tc>
        <w:tc>
          <w:tcPr>
            <w:tcW w:w="66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0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2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nominee(s) on the line below.</w:t>
            </w:r>
          </w:p>
        </w:tc>
        <w:tc>
          <w:tcPr>
            <w:tcW w:w="0" w:type="dxa"/>
            <w:vAlign w:val="bottom"/>
          </w:tcPr>
          <w:p>
            <w:pPr>
              <w:spacing w:after="0"/>
              <w:rPr>
                <w:sz w:val="1"/>
                <w:szCs w:val="1"/>
                <w:color w:val="auto"/>
              </w:rPr>
            </w:pPr>
          </w:p>
        </w:tc>
      </w:tr>
      <w:tr>
        <w:trPr>
          <w:trHeight w:val="153"/>
        </w:trPr>
        <w:tc>
          <w:tcPr>
            <w:tcW w:w="340" w:type="dxa"/>
            <w:vAlign w:val="bottom"/>
          </w:tcPr>
          <w:p>
            <w:pPr>
              <w:spacing w:after="0"/>
              <w:rPr>
                <w:sz w:val="13"/>
                <w:szCs w:val="13"/>
                <w:color w:val="auto"/>
              </w:rPr>
            </w:pPr>
          </w:p>
        </w:tc>
        <w:tc>
          <w:tcPr>
            <w:tcW w:w="250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tbl>
      <w:tblPr>
        <w:tblLayout w:type="fixed"/>
        <w:tblInd w:w="1230" w:type="dxa"/>
        <w:tblCellMar>
          <w:top w:w="0" w:type="dxa"/>
          <w:left w:w="0" w:type="dxa"/>
          <w:bottom w:w="0" w:type="dxa"/>
          <w:right w:w="0" w:type="dxa"/>
        </w:tblCellMar>
      </w:tblPr>
      <w:tr>
        <w:trPr>
          <w:trHeight w:val="161"/>
        </w:trPr>
        <w:tc>
          <w:tcPr>
            <w:tcW w:w="3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1.</w:t>
            </w:r>
          </w:p>
        </w:tc>
        <w:tc>
          <w:tcPr>
            <w:tcW w:w="1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Election of Directors</w:t>
            </w: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320" w:type="dxa"/>
            <w:vAlign w:val="bottom"/>
          </w:tcPr>
          <w:p>
            <w:pPr>
              <w:spacing w:after="0"/>
              <w:rPr>
                <w:sz w:val="24"/>
                <w:szCs w:val="24"/>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01)</w:t>
            </w:r>
          </w:p>
        </w:tc>
        <w:tc>
          <w:tcPr>
            <w:tcW w:w="1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Jason DeZwirek</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David B. Liner</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03)</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Claudio A. Mannarino</w:t>
            </w:r>
          </w:p>
        </w:tc>
        <w:tc>
          <w:tcPr>
            <w:tcW w:w="1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04)  Munish Nanda</w:t>
            </w:r>
          </w:p>
        </w:tc>
        <w:tc>
          <w:tcPr>
            <w:tcW w:w="2240" w:type="dxa"/>
            <w:vAlign w:val="bottom"/>
            <w:gridSpan w:val="4"/>
          </w:tcPr>
          <w:p>
            <w:pPr>
              <w:ind w:left="480"/>
              <w:spacing w:after="0"/>
              <w:rPr>
                <w:sz w:val="20"/>
                <w:szCs w:val="20"/>
                <w:color w:val="auto"/>
              </w:rPr>
            </w:pPr>
            <w:r>
              <w:rPr>
                <w:rFonts w:ascii="Times New Roman" w:cs="Times New Roman" w:eastAsia="Times New Roman" w:hAnsi="Times New Roman"/>
                <w:sz w:val="14"/>
                <w:szCs w:val="14"/>
                <w:color w:val="auto"/>
              </w:rPr>
              <w:t>05)  Valerie Gentile Sachs</w:t>
            </w:r>
          </w:p>
        </w:tc>
        <w:tc>
          <w:tcPr>
            <w:tcW w:w="0" w:type="dxa"/>
            <w:vAlign w:val="bottom"/>
          </w:tcPr>
          <w:p>
            <w:pPr>
              <w:spacing w:after="0"/>
              <w:rPr>
                <w:sz w:val="1"/>
                <w:szCs w:val="1"/>
                <w:color w:val="auto"/>
              </w:rPr>
            </w:pPr>
          </w:p>
        </w:tc>
      </w:tr>
      <w:tr>
        <w:trPr>
          <w:trHeight w:val="179"/>
        </w:trPr>
        <w:tc>
          <w:tcPr>
            <w:tcW w:w="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06)</w:t>
            </w:r>
          </w:p>
        </w:tc>
        <w:tc>
          <w:tcPr>
            <w:tcW w:w="1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Richard F. Wallman</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Todd Gleason</w:t>
            </w: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5460" w:type="dxa"/>
            <w:vAlign w:val="bottom"/>
            <w:gridSpan w:val="10"/>
          </w:tcPr>
          <w:p>
            <w:pPr>
              <w:ind w:left="100"/>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FOR proposals 2 and 3:</w:t>
            </w:r>
          </w:p>
        </w:tc>
        <w:tc>
          <w:tcPr>
            <w:tcW w:w="1540" w:type="dxa"/>
            <w:vAlign w:val="bottom"/>
          </w:tcPr>
          <w:p>
            <w:pPr>
              <w:spacing w:after="0"/>
              <w:rPr>
                <w:sz w:val="24"/>
                <w:szCs w:val="24"/>
                <w:color w:val="auto"/>
              </w:rPr>
            </w:pPr>
          </w:p>
        </w:tc>
        <w:tc>
          <w:tcPr>
            <w:tcW w:w="1180" w:type="dxa"/>
            <w:vAlign w:val="bottom"/>
          </w:tcPr>
          <w:p>
            <w:pPr>
              <w:jc w:val="center"/>
              <w:ind w:left="702"/>
              <w:spacing w:after="0"/>
              <w:rPr>
                <w:sz w:val="20"/>
                <w:szCs w:val="20"/>
                <w:color w:val="auto"/>
              </w:rPr>
            </w:pPr>
            <w:r>
              <w:rPr>
                <w:rFonts w:ascii="Times New Roman" w:cs="Times New Roman" w:eastAsia="Times New Roman" w:hAnsi="Times New Roman"/>
                <w:sz w:val="14"/>
                <w:szCs w:val="14"/>
                <w:b w:val="1"/>
                <w:bCs w:val="1"/>
                <w:color w:val="auto"/>
                <w:w w:val="91"/>
              </w:rPr>
              <w:t>For</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Abstain</w:t>
            </w:r>
          </w:p>
        </w:tc>
        <w:tc>
          <w:tcPr>
            <w:tcW w:w="0" w:type="dxa"/>
            <w:vAlign w:val="bottom"/>
          </w:tcPr>
          <w:p>
            <w:pPr>
              <w:spacing w:after="0"/>
              <w:rPr>
                <w:sz w:val="1"/>
                <w:szCs w:val="1"/>
                <w:color w:val="auto"/>
              </w:rPr>
            </w:pPr>
          </w:p>
        </w:tc>
      </w:tr>
      <w:tr>
        <w:trPr>
          <w:trHeight w:val="20"/>
        </w:trPr>
        <w:tc>
          <w:tcPr>
            <w:tcW w:w="2820" w:type="dxa"/>
            <w:vAlign w:val="bottom"/>
            <w:gridSpan w:val="4"/>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900" w:type="dxa"/>
            <w:vAlign w:val="bottom"/>
            <w:gridSpan w:val="6"/>
          </w:tcPr>
          <w:p>
            <w:pPr>
              <w:spacing w:after="0" w:line="20" w:lineRule="exact"/>
              <w:rPr>
                <w:sz w:val="1"/>
                <w:szCs w:val="1"/>
                <w:color w:val="auto"/>
              </w:rPr>
            </w:pPr>
          </w:p>
        </w:tc>
        <w:tc>
          <w:tcPr>
            <w:tcW w:w="1180" w:type="dxa"/>
            <w:vAlign w:val="bottom"/>
            <w:vMerge w:val="restart"/>
          </w:tcPr>
          <w:p>
            <w:pPr>
              <w:jc w:val="center"/>
              <w:ind w:left="702"/>
              <w:spacing w:after="0" w:line="171" w:lineRule="exact"/>
              <w:rPr>
                <w:sz w:val="20"/>
                <w:szCs w:val="20"/>
                <w:color w:val="auto"/>
              </w:rPr>
            </w:pPr>
            <w:r>
              <w:rPr>
                <w:rFonts w:ascii="MS PGothic" w:cs="MS PGothic" w:eastAsia="MS PGothic" w:hAnsi="MS PGothic"/>
                <w:sz w:val="17"/>
                <w:szCs w:val="17"/>
                <w:color w:val="auto"/>
                <w:w w:val="93"/>
              </w:rPr>
              <w:t>☐</w:t>
            </w:r>
          </w:p>
        </w:tc>
        <w:tc>
          <w:tcPr>
            <w:tcW w:w="54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20" w:type="dxa"/>
            <w:vAlign w:val="bottom"/>
            <w:gridSpan w:val="2"/>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line="20" w:lineRule="exact"/>
              <w:rPr>
                <w:sz w:val="1"/>
                <w:szCs w:val="1"/>
                <w:color w:val="auto"/>
              </w:rPr>
            </w:pPr>
          </w:p>
        </w:tc>
      </w:tr>
      <w:tr>
        <w:trPr>
          <w:trHeight w:val="335"/>
        </w:trPr>
        <w:tc>
          <w:tcPr>
            <w:tcW w:w="7000" w:type="dxa"/>
            <w:vAlign w:val="bottom"/>
            <w:gridSpan w:val="11"/>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2.   </w:t>
            </w:r>
            <w:r>
              <w:rPr>
                <w:rFonts w:ascii="Times New Roman" w:cs="Times New Roman" w:eastAsia="Times New Roman" w:hAnsi="Times New Roman"/>
                <w:sz w:val="14"/>
                <w:szCs w:val="14"/>
                <w:color w:val="auto"/>
              </w:rPr>
              <w:t>To approve, on an advisory basis, the compensation of the Company’s named executive officers.</w:t>
            </w:r>
          </w:p>
        </w:tc>
        <w:tc>
          <w:tcPr>
            <w:tcW w:w="1180" w:type="dxa"/>
            <w:vAlign w:val="bottom"/>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5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7000" w:type="dxa"/>
            <w:vAlign w:val="bottom"/>
            <w:gridSpan w:val="11"/>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3.   </w:t>
            </w:r>
            <w:r>
              <w:rPr>
                <w:rFonts w:ascii="Times New Roman" w:cs="Times New Roman" w:eastAsia="Times New Roman" w:hAnsi="Times New Roman"/>
                <w:sz w:val="14"/>
                <w:szCs w:val="14"/>
                <w:color w:val="auto"/>
              </w:rPr>
              <w:t>To ratify the appointment of BDO USA, LLP as our independent registered public accounting firm for 2022.</w:t>
            </w:r>
          </w:p>
        </w:tc>
        <w:tc>
          <w:tcPr>
            <w:tcW w:w="1180" w:type="dxa"/>
            <w:vAlign w:val="bottom"/>
          </w:tcPr>
          <w:p>
            <w:pPr>
              <w:jc w:val="center"/>
              <w:ind w:left="702"/>
              <w:spacing w:after="0" w:line="171" w:lineRule="exact"/>
              <w:rPr>
                <w:sz w:val="20"/>
                <w:szCs w:val="20"/>
                <w:color w:val="auto"/>
              </w:rPr>
            </w:pPr>
            <w:r>
              <w:rPr>
                <w:rFonts w:ascii="MS PGothic" w:cs="MS PGothic" w:eastAsia="MS PGothic" w:hAnsi="MS PGothic"/>
                <w:sz w:val="17"/>
                <w:szCs w:val="17"/>
                <w:color w:val="auto"/>
                <w:w w:val="93"/>
              </w:rPr>
              <w:t>☐</w:t>
            </w:r>
          </w:p>
        </w:tc>
        <w:tc>
          <w:tcPr>
            <w:tcW w:w="5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20" w:type="dxa"/>
            <w:vAlign w:val="bottom"/>
            <w:gridSpan w:val="2"/>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373"/>
        </w:trPr>
        <w:tc>
          <w:tcPr>
            <w:tcW w:w="7000" w:type="dxa"/>
            <w:vAlign w:val="bottom"/>
            <w:gridSpan w:val="11"/>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To transact such other business as may properly come before the meeting or any adjourments thereof.</w:t>
            </w: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4020" w:type="dxa"/>
            <w:vAlign w:val="bottom"/>
            <w:gridSpan w:val="7"/>
          </w:tcPr>
          <w:p>
            <w:pPr>
              <w:ind w:left="100"/>
              <w:spacing w:after="0"/>
              <w:rPr>
                <w:sz w:val="20"/>
                <w:szCs w:val="20"/>
                <w:color w:val="auto"/>
              </w:rPr>
            </w:pPr>
            <w:r>
              <w:rPr>
                <w:rFonts w:ascii="Times New Roman" w:cs="Times New Roman" w:eastAsia="Times New Roman" w:hAnsi="Times New Roman"/>
                <w:sz w:val="14"/>
                <w:szCs w:val="14"/>
                <w:color w:val="auto"/>
              </w:rPr>
              <w:t>Please sign exactly as your name(s) appear(s) hereon. When signing</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20" w:type="dxa"/>
            <w:vAlign w:val="bottom"/>
            <w:gridSpan w:val="7"/>
          </w:tcPr>
          <w:p>
            <w:pPr>
              <w:ind w:left="100"/>
              <w:spacing w:after="0" w:line="143" w:lineRule="exact"/>
              <w:rPr>
                <w:sz w:val="20"/>
                <w:szCs w:val="20"/>
                <w:color w:val="auto"/>
              </w:rPr>
            </w:pPr>
            <w:r>
              <w:rPr>
                <w:rFonts w:ascii="Times New Roman" w:cs="Times New Roman" w:eastAsia="Times New Roman" w:hAnsi="Times New Roman"/>
                <w:sz w:val="14"/>
                <w:szCs w:val="14"/>
                <w:color w:val="auto"/>
                <w:w w:val="98"/>
              </w:rPr>
              <w:t>as attorney, executor, administrator, or other fiduciary, please give full</w:t>
            </w: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gridSpan w:val="7"/>
          </w:tcPr>
          <w:p>
            <w:pPr>
              <w:ind w:left="100"/>
              <w:spacing w:after="0" w:line="143" w:lineRule="exact"/>
              <w:rPr>
                <w:sz w:val="20"/>
                <w:szCs w:val="20"/>
                <w:color w:val="auto"/>
              </w:rPr>
            </w:pPr>
            <w:r>
              <w:rPr>
                <w:rFonts w:ascii="Times New Roman" w:cs="Times New Roman" w:eastAsia="Times New Roman" w:hAnsi="Times New Roman"/>
                <w:sz w:val="14"/>
                <w:szCs w:val="14"/>
                <w:color w:val="auto"/>
              </w:rPr>
              <w:t>title as such. Joint owners should each sign personally. All holders</w:t>
            </w: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gridSpan w:val="7"/>
          </w:tcPr>
          <w:p>
            <w:pPr>
              <w:ind w:left="100"/>
              <w:spacing w:after="0" w:line="143" w:lineRule="exact"/>
              <w:rPr>
                <w:sz w:val="20"/>
                <w:szCs w:val="20"/>
                <w:color w:val="auto"/>
              </w:rPr>
            </w:pPr>
            <w:r>
              <w:rPr>
                <w:rFonts w:ascii="Times New Roman" w:cs="Times New Roman" w:eastAsia="Times New Roman" w:hAnsi="Times New Roman"/>
                <w:sz w:val="14"/>
                <w:szCs w:val="14"/>
                <w:color w:val="auto"/>
                <w:w w:val="98"/>
              </w:rPr>
              <w:t>must sign. If a corporation or partnership, please sign in full corporate</w:t>
            </w: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22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or partnership name, by authorized officer.</w:t>
            </w: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1"/>
        </w:trPr>
        <w:tc>
          <w:tcPr>
            <w:tcW w:w="2820" w:type="dxa"/>
            <w:vAlign w:val="bottom"/>
            <w:tcBorders>
              <w:bottom w:val="single" w:sz="8" w:color="auto"/>
            </w:tcBorders>
            <w:gridSpan w:val="4"/>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8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320" w:type="dxa"/>
            <w:vAlign w:val="bottom"/>
            <w:tcBorders>
              <w:left w:val="single" w:sz="8" w:color="auto"/>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22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Signature [PLEASE SIGN WITHIN BOX]</w:t>
            </w:r>
          </w:p>
        </w:tc>
        <w:tc>
          <w:tcPr>
            <w:tcW w:w="80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rPr>
              <w:t>Date</w:t>
            </w: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Signature (Joint Owners)</w:t>
            </w:r>
          </w:p>
        </w:tc>
        <w:tc>
          <w:tcPr>
            <w:tcW w:w="1180" w:type="dxa"/>
            <w:vAlign w:val="bottom"/>
          </w:tcPr>
          <w:p>
            <w:pPr>
              <w:spacing w:after="0"/>
              <w:rPr>
                <w:sz w:val="15"/>
                <w:szCs w:val="15"/>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Date</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20" w:top="443" w:right="27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79945"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Annual Meeting:</w:t>
      </w:r>
    </w:p>
    <w:p>
      <w:pPr>
        <w:spacing w:after="0" w:line="32"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6"/>
          <w:szCs w:val="16"/>
          <w:color w:val="auto"/>
        </w:rPr>
        <w:t>Our Annual Report to Stockholders and Proxy Statement are available at www.proxyvote.com</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142240</wp:posOffset>
            </wp:positionV>
            <wp:extent cx="6362065" cy="29698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362065" cy="2969895"/>
                    </a:xfrm>
                    <a:prstGeom prst="rect">
                      <a:avLst/>
                    </a:prstGeom>
                    <a:noFill/>
                  </pic:spPr>
                </pic:pic>
              </a:graphicData>
            </a:graphic>
          </wp:anchor>
        </w:drawing>
      </w:r>
    </w:p>
    <w:p>
      <w:pPr>
        <w:spacing w:after="0" w:line="258"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b w:val="1"/>
          <w:bCs w:val="1"/>
          <w:color w:val="auto"/>
        </w:rPr>
        <w:t>CECO ENVIRONMENTAL CORP.</w:t>
      </w:r>
    </w:p>
    <w:p>
      <w:pPr>
        <w:spacing w:after="0" w:line="32"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b w:val="1"/>
          <w:bCs w:val="1"/>
          <w:color w:val="auto"/>
        </w:rPr>
        <w:t>Annual Meeting of Stockholders</w:t>
      </w:r>
    </w:p>
    <w:p>
      <w:pPr>
        <w:spacing w:after="0" w:line="11"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b w:val="1"/>
          <w:bCs w:val="1"/>
          <w:color w:val="auto"/>
        </w:rPr>
        <w:t>June 8, 2022 8:00 AM Central Time</w:t>
      </w:r>
    </w:p>
    <w:p>
      <w:pPr>
        <w:spacing w:after="0" w:line="11"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b w:val="1"/>
          <w:bCs w:val="1"/>
          <w:color w:val="auto"/>
        </w:rPr>
        <w:t>THIS PROXY IS SOLICITED ON BEHALF OF THE BOARD OF DIRECTORS</w:t>
      </w:r>
    </w:p>
    <w:p>
      <w:pPr>
        <w:spacing w:after="0" w:line="200" w:lineRule="exact"/>
        <w:rPr>
          <w:sz w:val="20"/>
          <w:szCs w:val="20"/>
          <w:color w:val="auto"/>
        </w:rPr>
      </w:pPr>
    </w:p>
    <w:p>
      <w:pPr>
        <w:spacing w:after="0" w:line="233" w:lineRule="exact"/>
        <w:rPr>
          <w:sz w:val="20"/>
          <w:szCs w:val="20"/>
          <w:color w:val="auto"/>
        </w:rPr>
      </w:pPr>
    </w:p>
    <w:p>
      <w:pPr>
        <w:ind w:left="1300" w:right="20"/>
        <w:spacing w:after="0" w:line="266" w:lineRule="auto"/>
        <w:rPr>
          <w:sz w:val="20"/>
          <w:szCs w:val="20"/>
          <w:color w:val="auto"/>
        </w:rPr>
      </w:pPr>
      <w:r>
        <w:rPr>
          <w:rFonts w:ascii="Times New Roman" w:cs="Times New Roman" w:eastAsia="Times New Roman" w:hAnsi="Times New Roman"/>
          <w:sz w:val="17"/>
          <w:szCs w:val="17"/>
          <w:color w:val="auto"/>
        </w:rPr>
        <w:t>The undersigned stockholder hereby appoints Todd Gleason and Alyson Richter, or either of them, as proxy, and each with full power of substitution and revocation, to represent and to vote as designated on this proxy, all of the shares of common stock that the undersigned would be entitled to vote at the Annual Meeting of Stockholders to be held at 8:00 AM Central Time on Wednesday, June 8, 2022, at www.virtualshareholdermeeting.com/CECE2022, or at any adjournment or postponement thereof.</w:t>
      </w:r>
    </w:p>
    <w:p>
      <w:pPr>
        <w:spacing w:after="0" w:line="166" w:lineRule="exact"/>
        <w:rPr>
          <w:sz w:val="20"/>
          <w:szCs w:val="20"/>
          <w:color w:val="auto"/>
        </w:rPr>
      </w:pPr>
    </w:p>
    <w:p>
      <w:pPr>
        <w:ind w:left="1300" w:right="140"/>
        <w:spacing w:after="0" w:line="273" w:lineRule="auto"/>
        <w:rPr>
          <w:sz w:val="20"/>
          <w:szCs w:val="20"/>
          <w:color w:val="auto"/>
        </w:rPr>
      </w:pPr>
      <w:r>
        <w:rPr>
          <w:rFonts w:ascii="Times New Roman" w:cs="Times New Roman" w:eastAsia="Times New Roman" w:hAnsi="Times New Roman"/>
          <w:sz w:val="17"/>
          <w:szCs w:val="17"/>
          <w:b w:val="1"/>
          <w:bCs w:val="1"/>
          <w:color w:val="auto"/>
        </w:rPr>
        <w:t>THIS PROXY, WHEN PROPERLY EXECUTED, WILL BE VOTED AS DIRECTED BY THE STOCKHOLDER. IF NO SUCH DIRECTIONS ARE MADE, THIS PROXY WILL BE VOTED “FOR” ALL OF THE NOMINEES LISTED IN PROPOSAL 1 AND “FOR” PROPOSALS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-262255</wp:posOffset>
            </wp:positionV>
            <wp:extent cx="98425" cy="11334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8425" cy="1133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b w:val="1"/>
          <w:bCs w:val="1"/>
          <w:color w:val="auto"/>
        </w:rPr>
        <w:t>Continued and to be signed on reverse side</w:t>
      </w:r>
    </w:p>
    <w:sectPr>
      <w:pgSz w:w="11900" w:h="16838" w:orient="portrait"/>
      <w:cols w:equalWidth="0" w:num="1">
        <w:col w:w="10440"/>
      </w:cols>
      <w:pgMar w:left="320" w:top="443"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214"/>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2"/>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2022-04-29T11:06:54Z</dcterms:created>
  <dcterms:modified xsi:type="dcterms:W3CDTF">2022-04-29T11:06:54Z</dcterms:modified>
</cp:coreProperties>
</file>