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146050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157480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41910</wp:posOffset>
            </wp:positionV>
            <wp:extent cx="14585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77"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39370</wp:posOffset>
            </wp:positionV>
            <wp:extent cx="14585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78" w:lineRule="exact"/>
        <w:rPr>
          <w:sz w:val="24"/>
          <w:szCs w:val="24"/>
          <w:color w:val="auto"/>
        </w:rPr>
      </w:pPr>
    </w:p>
    <w:p>
      <w:pPr>
        <w:ind w:left="8"/>
        <w:spacing w:after="0"/>
        <w:rPr>
          <w:sz w:val="20"/>
          <w:szCs w:val="20"/>
          <w:color w:val="auto"/>
        </w:rPr>
      </w:pPr>
      <w:r>
        <w:rPr>
          <w:rFonts w:ascii="Arial" w:cs="Arial" w:eastAsia="Arial" w:hAnsi="Arial"/>
          <w:sz w:val="11"/>
          <w:szCs w:val="11"/>
          <w:b w:val="1"/>
          <w:bCs w:val="1"/>
          <w:color w:val="auto"/>
        </w:rPr>
        <w:t>(Mark one)</w:t>
      </w:r>
    </w:p>
    <w:p>
      <w:pPr>
        <w:spacing w:after="0" w:line="14" w:lineRule="exact"/>
        <w:rPr>
          <w:sz w:val="24"/>
          <w:szCs w:val="24"/>
          <w:color w:val="auto"/>
        </w:rPr>
      </w:pPr>
    </w:p>
    <w:p>
      <w:pPr>
        <w:ind w:left="508" w:hanging="508"/>
        <w:spacing w:after="0"/>
        <w:tabs>
          <w:tab w:leader="none" w:pos="50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41"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For the fiscal year ended December 31, 2018</w:t>
      </w:r>
    </w:p>
    <w:p>
      <w:pPr>
        <w:spacing w:after="0" w:line="14"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or</w:t>
      </w:r>
    </w:p>
    <w:p>
      <w:pPr>
        <w:spacing w:after="0" w:line="9" w:lineRule="exact"/>
        <w:rPr>
          <w:sz w:val="24"/>
          <w:szCs w:val="24"/>
          <w:color w:val="auto"/>
        </w:rPr>
      </w:pPr>
    </w:p>
    <w:p>
      <w:pPr>
        <w:ind w:left="508" w:hanging="508"/>
        <w:spacing w:after="0"/>
        <w:tabs>
          <w:tab w:leader="none" w:pos="508"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32" w:lineRule="exact"/>
        <w:rPr>
          <w:sz w:val="24"/>
          <w:szCs w:val="24"/>
          <w:color w:val="auto"/>
        </w:rPr>
      </w:pPr>
    </w:p>
    <w:tbl>
      <w:tblPr>
        <w:tblLayout w:type="fixed"/>
        <w:tblInd w:w="8"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w w:val="90"/>
              </w:rPr>
              <w:t>For the transition period from</w:t>
            </w:r>
          </w:p>
        </w:tc>
        <w:tc>
          <w:tcPr>
            <w:tcW w:w="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b w:val="1"/>
                <w:bCs w:val="1"/>
                <w:color w:val="auto"/>
                <w:w w:val="95"/>
              </w:rPr>
              <w:t>to</w:t>
            </w:r>
          </w:p>
        </w:tc>
        <w:tc>
          <w:tcPr>
            <w:tcW w:w="320" w:type="dxa"/>
            <w:vAlign w:val="bottom"/>
            <w:tcBorders>
              <w:bottom w:val="single" w:sz="8" w:color="auto"/>
            </w:tcBorders>
          </w:tcPr>
          <w:p>
            <w:pPr>
              <w:spacing w:after="0"/>
              <w:rPr>
                <w:sz w:val="10"/>
                <w:szCs w:val="10"/>
                <w:color w:val="auto"/>
              </w:rPr>
            </w:pPr>
          </w:p>
        </w:tc>
        <w:tc>
          <w:tcPr>
            <w:tcW w:w="4540" w:type="dxa"/>
            <w:vAlign w:val="bottom"/>
            <w:gridSpan w:val="4"/>
          </w:tcPr>
          <w:p>
            <w:pPr>
              <w:spacing w:after="0"/>
              <w:rPr>
                <w:sz w:val="10"/>
                <w:szCs w:val="10"/>
                <w:color w:val="auto"/>
              </w:rPr>
            </w:pPr>
          </w:p>
        </w:tc>
      </w:tr>
      <w:tr>
        <w:trPr>
          <w:trHeight w:val="174"/>
        </w:trPr>
        <w:tc>
          <w:tcPr>
            <w:tcW w:w="2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20" w:type="dxa"/>
            <w:vAlign w:val="bottom"/>
            <w:gridSpan w:val="4"/>
          </w:tcPr>
          <w:p>
            <w:pPr>
              <w:jc w:val="center"/>
              <w:ind w:left="426"/>
              <w:spacing w:after="0"/>
              <w:rPr>
                <w:sz w:val="20"/>
                <w:szCs w:val="20"/>
                <w:color w:val="auto"/>
              </w:rPr>
            </w:pPr>
            <w:r>
              <w:rPr>
                <w:rFonts w:ascii="Arial" w:cs="Arial" w:eastAsia="Arial" w:hAnsi="Arial"/>
                <w:sz w:val="11"/>
                <w:szCs w:val="11"/>
                <w:b w:val="1"/>
                <w:bCs w:val="1"/>
                <w:color w:val="auto"/>
                <w:w w:val="88"/>
              </w:rPr>
              <w:t>Commission File No. 0-7099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58"/>
        </w:trPr>
        <w:tc>
          <w:tcPr>
            <w:tcW w:w="2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60" w:type="dxa"/>
            <w:vAlign w:val="bottom"/>
            <w:tcBorders>
              <w:bottom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278"/>
        </w:trPr>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180" w:type="dxa"/>
            <w:vAlign w:val="bottom"/>
            <w:gridSpan w:val="11"/>
          </w:tcPr>
          <w:p>
            <w:pPr>
              <w:jc w:val="center"/>
              <w:ind w:right="3120"/>
              <w:spacing w:after="0"/>
              <w:rPr>
                <w:sz w:val="20"/>
                <w:szCs w:val="20"/>
                <w:color w:val="auto"/>
              </w:rPr>
            </w:pPr>
            <w:r>
              <w:rPr>
                <w:rFonts w:ascii="Arial" w:cs="Arial" w:eastAsia="Arial" w:hAnsi="Arial"/>
                <w:sz w:val="22"/>
                <w:szCs w:val="22"/>
                <w:b w:val="1"/>
                <w:bCs w:val="1"/>
                <w:color w:val="auto"/>
                <w:w w:val="98"/>
              </w:rPr>
              <w:t>CECO ENVIRONMENTAL CORP.</w:t>
            </w:r>
          </w:p>
        </w:tc>
      </w:tr>
      <w:tr>
        <w:trPr>
          <w:trHeight w:val="458"/>
        </w:trPr>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55"/>
        </w:trPr>
        <w:tc>
          <w:tcPr>
            <w:tcW w:w="2420" w:type="dxa"/>
            <w:vAlign w:val="bottom"/>
          </w:tcPr>
          <w:p>
            <w:pPr>
              <w:spacing w:after="0"/>
              <w:rPr>
                <w:sz w:val="13"/>
                <w:szCs w:val="13"/>
                <w:color w:val="auto"/>
              </w:rPr>
            </w:pPr>
          </w:p>
        </w:tc>
        <w:tc>
          <w:tcPr>
            <w:tcW w:w="2680" w:type="dxa"/>
            <w:vAlign w:val="bottom"/>
            <w:gridSpan w:val="3"/>
          </w:tcPr>
          <w:p>
            <w:pPr>
              <w:jc w:val="center"/>
              <w:ind w:right="1866"/>
              <w:spacing w:after="0"/>
              <w:rPr>
                <w:sz w:val="20"/>
                <w:szCs w:val="20"/>
                <w:color w:val="auto"/>
              </w:rPr>
            </w:pPr>
            <w:r>
              <w:rPr>
                <w:rFonts w:ascii="Arial" w:cs="Arial" w:eastAsia="Arial" w:hAnsi="Arial"/>
                <w:sz w:val="11"/>
                <w:szCs w:val="11"/>
                <w:b w:val="1"/>
                <w:bCs w:val="1"/>
                <w:color w:val="auto"/>
                <w:w w:val="90"/>
              </w:rPr>
              <w:t>Delaware</w:t>
            </w: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gridSpan w:val="5"/>
          </w:tcPr>
          <w:p>
            <w:pPr>
              <w:jc w:val="right"/>
              <w:ind w:right="671"/>
              <w:spacing w:after="0"/>
              <w:rPr>
                <w:sz w:val="20"/>
                <w:szCs w:val="20"/>
                <w:color w:val="auto"/>
              </w:rPr>
            </w:pPr>
            <w:r>
              <w:rPr>
                <w:rFonts w:ascii="Arial" w:cs="Arial" w:eastAsia="Arial" w:hAnsi="Arial"/>
                <w:sz w:val="11"/>
                <w:szCs w:val="11"/>
                <w:b w:val="1"/>
                <w:bCs w:val="1"/>
                <w:color w:val="auto"/>
              </w:rPr>
              <w:t>13-2566064</w:t>
            </w:r>
          </w:p>
        </w:tc>
        <w:tc>
          <w:tcPr>
            <w:tcW w:w="1740" w:type="dxa"/>
            <w:vAlign w:val="bottom"/>
          </w:tcPr>
          <w:p>
            <w:pPr>
              <w:spacing w:after="0"/>
              <w:rPr>
                <w:sz w:val="13"/>
                <w:szCs w:val="13"/>
                <w:color w:val="auto"/>
              </w:rPr>
            </w:pPr>
          </w:p>
        </w:tc>
      </w:tr>
      <w:tr>
        <w:trPr>
          <w:trHeight w:val="99"/>
        </w:trPr>
        <w:tc>
          <w:tcPr>
            <w:tcW w:w="5100" w:type="dxa"/>
            <w:vAlign w:val="bottom"/>
            <w:gridSpan w:val="4"/>
          </w:tcPr>
          <w:p>
            <w:pPr>
              <w:jc w:val="center"/>
              <w:ind w:left="451"/>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20" w:type="dxa"/>
            <w:vAlign w:val="bottom"/>
            <w:gridSpan w:val="2"/>
          </w:tcPr>
          <w:p>
            <w:pPr>
              <w:jc w:val="center"/>
              <w:ind w:right="1800"/>
              <w:spacing w:after="0" w:line="99" w:lineRule="exact"/>
              <w:rPr>
                <w:sz w:val="20"/>
                <w:szCs w:val="20"/>
                <w:color w:val="auto"/>
              </w:rPr>
            </w:pPr>
            <w:r>
              <w:rPr>
                <w:rFonts w:ascii="Arial" w:cs="Arial" w:eastAsia="Arial" w:hAnsi="Arial"/>
                <w:sz w:val="10"/>
                <w:szCs w:val="10"/>
                <w:b w:val="1"/>
                <w:bCs w:val="1"/>
                <w:color w:val="auto"/>
                <w:w w:val="91"/>
              </w:rPr>
              <w:t>(I.R.S. Employer</w:t>
            </w:r>
          </w:p>
        </w:tc>
      </w:tr>
      <w:tr>
        <w:trPr>
          <w:trHeight w:val="124"/>
        </w:trPr>
        <w:tc>
          <w:tcPr>
            <w:tcW w:w="5100" w:type="dxa"/>
            <w:vAlign w:val="bottom"/>
            <w:gridSpan w:val="4"/>
          </w:tcPr>
          <w:p>
            <w:pPr>
              <w:jc w:val="center"/>
              <w:ind w:left="471"/>
              <w:spacing w:after="0"/>
              <w:rPr>
                <w:sz w:val="20"/>
                <w:szCs w:val="20"/>
                <w:color w:val="auto"/>
              </w:rPr>
            </w:pPr>
            <w:r>
              <w:rPr>
                <w:rFonts w:ascii="Arial" w:cs="Arial" w:eastAsia="Arial" w:hAnsi="Arial"/>
                <w:sz w:val="10"/>
                <w:szCs w:val="10"/>
                <w:b w:val="1"/>
                <w:bCs w:val="1"/>
                <w:color w:val="auto"/>
                <w:w w:val="88"/>
              </w:rPr>
              <w:t>incorporation or organization)</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20" w:type="dxa"/>
            <w:vAlign w:val="bottom"/>
            <w:gridSpan w:val="2"/>
          </w:tcPr>
          <w:p>
            <w:pPr>
              <w:jc w:val="center"/>
              <w:ind w:right="1820"/>
              <w:spacing w:after="0"/>
              <w:rPr>
                <w:sz w:val="20"/>
                <w:szCs w:val="20"/>
                <w:color w:val="auto"/>
              </w:rPr>
            </w:pPr>
            <w:r>
              <w:rPr>
                <w:rFonts w:ascii="Arial" w:cs="Arial" w:eastAsia="Arial" w:hAnsi="Arial"/>
                <w:sz w:val="10"/>
                <w:szCs w:val="10"/>
                <w:b w:val="1"/>
                <w:bCs w:val="1"/>
                <w:color w:val="auto"/>
                <w:w w:val="89"/>
              </w:rPr>
              <w:t>Identification No.)</w:t>
            </w:r>
          </w:p>
        </w:tc>
      </w:tr>
      <w:tr>
        <w:trPr>
          <w:trHeight w:val="161"/>
        </w:trPr>
        <w:tc>
          <w:tcPr>
            <w:tcW w:w="5100" w:type="dxa"/>
            <w:vAlign w:val="bottom"/>
            <w:gridSpan w:val="4"/>
          </w:tcPr>
          <w:p>
            <w:pPr>
              <w:jc w:val="center"/>
              <w:ind w:left="471"/>
              <w:spacing w:after="0"/>
              <w:rPr>
                <w:sz w:val="20"/>
                <w:szCs w:val="20"/>
                <w:color w:val="auto"/>
              </w:rPr>
            </w:pPr>
            <w:r>
              <w:rPr>
                <w:rFonts w:ascii="Arial" w:cs="Arial" w:eastAsia="Arial" w:hAnsi="Arial"/>
                <w:sz w:val="11"/>
                <w:szCs w:val="11"/>
                <w:b w:val="1"/>
                <w:bCs w:val="1"/>
                <w:color w:val="auto"/>
                <w:w w:val="91"/>
              </w:rPr>
              <w:t>14651 North Dallas Parkway</w:t>
            </w: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35"/>
        </w:trPr>
        <w:tc>
          <w:tcPr>
            <w:tcW w:w="2420" w:type="dxa"/>
            <w:vAlign w:val="bottom"/>
          </w:tcPr>
          <w:p>
            <w:pPr>
              <w:spacing w:after="0"/>
              <w:rPr>
                <w:sz w:val="11"/>
                <w:szCs w:val="11"/>
                <w:color w:val="auto"/>
              </w:rPr>
            </w:pPr>
          </w:p>
        </w:tc>
        <w:tc>
          <w:tcPr>
            <w:tcW w:w="2680" w:type="dxa"/>
            <w:vAlign w:val="bottom"/>
            <w:gridSpan w:val="3"/>
          </w:tcPr>
          <w:p>
            <w:pPr>
              <w:jc w:val="center"/>
              <w:ind w:right="1846"/>
              <w:spacing w:after="0"/>
              <w:rPr>
                <w:sz w:val="20"/>
                <w:szCs w:val="20"/>
                <w:color w:val="auto"/>
              </w:rPr>
            </w:pPr>
            <w:r>
              <w:rPr>
                <w:rFonts w:ascii="Arial" w:cs="Arial" w:eastAsia="Arial" w:hAnsi="Arial"/>
                <w:sz w:val="11"/>
                <w:szCs w:val="11"/>
                <w:b w:val="1"/>
                <w:bCs w:val="1"/>
                <w:color w:val="auto"/>
                <w:w w:val="86"/>
              </w:rPr>
              <w:t>Suite 500</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30"/>
        </w:trPr>
        <w:tc>
          <w:tcPr>
            <w:tcW w:w="2420" w:type="dxa"/>
            <w:vAlign w:val="bottom"/>
          </w:tcPr>
          <w:p>
            <w:pPr>
              <w:spacing w:after="0"/>
              <w:rPr>
                <w:sz w:val="11"/>
                <w:szCs w:val="11"/>
                <w:color w:val="auto"/>
              </w:rPr>
            </w:pPr>
          </w:p>
        </w:tc>
        <w:tc>
          <w:tcPr>
            <w:tcW w:w="2680" w:type="dxa"/>
            <w:vAlign w:val="bottom"/>
            <w:gridSpan w:val="3"/>
          </w:tcPr>
          <w:p>
            <w:pPr>
              <w:jc w:val="center"/>
              <w:ind w:right="1866"/>
              <w:spacing w:after="0"/>
              <w:rPr>
                <w:sz w:val="20"/>
                <w:szCs w:val="20"/>
                <w:color w:val="auto"/>
              </w:rPr>
            </w:pPr>
            <w:r>
              <w:rPr>
                <w:rFonts w:ascii="Arial" w:cs="Arial" w:eastAsia="Arial" w:hAnsi="Arial"/>
                <w:sz w:val="11"/>
                <w:szCs w:val="11"/>
                <w:b w:val="1"/>
                <w:bCs w:val="1"/>
                <w:color w:val="auto"/>
                <w:w w:val="86"/>
              </w:rPr>
              <w:t>Dallas, Texas</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5"/>
          </w:tcPr>
          <w:p>
            <w:pPr>
              <w:jc w:val="right"/>
              <w:ind w:right="791"/>
              <w:spacing w:after="0"/>
              <w:rPr>
                <w:sz w:val="20"/>
                <w:szCs w:val="20"/>
                <w:color w:val="auto"/>
              </w:rPr>
            </w:pPr>
            <w:r>
              <w:rPr>
                <w:rFonts w:ascii="Arial" w:cs="Arial" w:eastAsia="Arial" w:hAnsi="Arial"/>
                <w:sz w:val="11"/>
                <w:szCs w:val="11"/>
                <w:b w:val="1"/>
                <w:bCs w:val="1"/>
                <w:color w:val="auto"/>
              </w:rPr>
              <w:t>75254</w:t>
            </w:r>
          </w:p>
        </w:tc>
        <w:tc>
          <w:tcPr>
            <w:tcW w:w="1740" w:type="dxa"/>
            <w:vAlign w:val="bottom"/>
          </w:tcPr>
          <w:p>
            <w:pPr>
              <w:spacing w:after="0"/>
              <w:rPr>
                <w:sz w:val="11"/>
                <w:szCs w:val="11"/>
                <w:color w:val="auto"/>
              </w:rPr>
            </w:pPr>
          </w:p>
        </w:tc>
      </w:tr>
      <w:tr>
        <w:trPr>
          <w:trHeight w:val="124"/>
        </w:trPr>
        <w:tc>
          <w:tcPr>
            <w:tcW w:w="5100" w:type="dxa"/>
            <w:vAlign w:val="bottom"/>
            <w:gridSpan w:val="4"/>
          </w:tcPr>
          <w:p>
            <w:pPr>
              <w:jc w:val="center"/>
              <w:ind w:left="471"/>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20" w:type="dxa"/>
            <w:vAlign w:val="bottom"/>
            <w:gridSpan w:val="2"/>
          </w:tcPr>
          <w:p>
            <w:pPr>
              <w:jc w:val="center"/>
              <w:ind w:right="1820"/>
              <w:spacing w:after="0"/>
              <w:rPr>
                <w:sz w:val="20"/>
                <w:szCs w:val="20"/>
                <w:color w:val="auto"/>
              </w:rPr>
            </w:pPr>
            <w:r>
              <w:rPr>
                <w:rFonts w:ascii="Arial" w:cs="Arial" w:eastAsia="Arial" w:hAnsi="Arial"/>
                <w:sz w:val="10"/>
                <w:szCs w:val="10"/>
                <w:b w:val="1"/>
                <w:bCs w:val="1"/>
                <w:color w:val="auto"/>
                <w:w w:val="88"/>
              </w:rPr>
              <w:t>(Zip Code)</w:t>
            </w:r>
          </w:p>
        </w:tc>
      </w:tr>
      <w:tr>
        <w:trPr>
          <w:trHeight w:val="157"/>
        </w:trPr>
        <w:tc>
          <w:tcPr>
            <w:tcW w:w="2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180" w:type="dxa"/>
            <w:vAlign w:val="bottom"/>
            <w:gridSpan w:val="11"/>
          </w:tcPr>
          <w:p>
            <w:pPr>
              <w:jc w:val="center"/>
              <w:ind w:right="3120"/>
              <w:spacing w:after="0"/>
              <w:rPr>
                <w:sz w:val="20"/>
                <w:szCs w:val="20"/>
                <w:color w:val="auto"/>
              </w:rPr>
            </w:pPr>
            <w:r>
              <w:rPr>
                <w:rFonts w:ascii="Arial" w:cs="Arial" w:eastAsia="Arial" w:hAnsi="Arial"/>
                <w:sz w:val="11"/>
                <w:szCs w:val="11"/>
                <w:b w:val="1"/>
                <w:bCs w:val="1"/>
                <w:color w:val="auto"/>
                <w:w w:val="87"/>
              </w:rPr>
              <w:t>Registrant’s telephone number, including area code: (214) 357-6181</w:t>
            </w:r>
          </w:p>
        </w:tc>
      </w:tr>
      <w:tr>
        <w:trPr>
          <w:trHeight w:val="171"/>
        </w:trPr>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180" w:type="dxa"/>
            <w:vAlign w:val="bottom"/>
            <w:gridSpan w:val="11"/>
          </w:tcPr>
          <w:p>
            <w:pPr>
              <w:jc w:val="center"/>
              <w:ind w:right="3120"/>
              <w:spacing w:after="0"/>
              <w:rPr>
                <w:sz w:val="20"/>
                <w:szCs w:val="20"/>
                <w:color w:val="auto"/>
              </w:rPr>
            </w:pPr>
            <w:r>
              <w:rPr>
                <w:rFonts w:ascii="Arial" w:cs="Arial" w:eastAsia="Arial" w:hAnsi="Arial"/>
                <w:sz w:val="11"/>
                <w:szCs w:val="11"/>
                <w:b w:val="1"/>
                <w:bCs w:val="1"/>
                <w:color w:val="auto"/>
                <w:w w:val="87"/>
              </w:rPr>
              <w:t>Securities registered under Section 12(b) of the Act:</w:t>
            </w:r>
          </w:p>
        </w:tc>
      </w:tr>
      <w:tr>
        <w:trPr>
          <w:trHeight w:val="139"/>
        </w:trPr>
        <w:tc>
          <w:tcPr>
            <w:tcW w:w="24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87"/>
              </w:rPr>
              <w:t>Title of Each Class</w:t>
            </w:r>
          </w:p>
        </w:tc>
        <w:tc>
          <w:tcPr>
            <w:tcW w:w="190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20" w:type="dxa"/>
            <w:vAlign w:val="bottom"/>
            <w:gridSpan w:val="2"/>
          </w:tcPr>
          <w:p>
            <w:pPr>
              <w:spacing w:after="0"/>
              <w:rPr>
                <w:sz w:val="20"/>
                <w:szCs w:val="20"/>
                <w:color w:val="auto"/>
              </w:rPr>
            </w:pPr>
            <w:r>
              <w:rPr>
                <w:rFonts w:ascii="Arial" w:cs="Arial" w:eastAsia="Arial" w:hAnsi="Arial"/>
                <w:sz w:val="10"/>
                <w:szCs w:val="10"/>
                <w:b w:val="1"/>
                <w:bCs w:val="1"/>
                <w:color w:val="auto"/>
              </w:rPr>
              <w:t>Name of Each Exchange on Which Registered</w:t>
            </w:r>
          </w:p>
        </w:tc>
      </w:tr>
      <w:tr>
        <w:trPr>
          <w:trHeight w:val="20"/>
        </w:trPr>
        <w:tc>
          <w:tcPr>
            <w:tcW w:w="2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29"/>
        </w:trPr>
        <w:tc>
          <w:tcPr>
            <w:tcW w:w="5100" w:type="dxa"/>
            <w:vAlign w:val="bottom"/>
            <w:gridSpan w:val="4"/>
          </w:tcPr>
          <w:p>
            <w:pPr>
              <w:jc w:val="center"/>
              <w:ind w:left="471"/>
              <w:spacing w:after="0"/>
              <w:rPr>
                <w:sz w:val="20"/>
                <w:szCs w:val="20"/>
                <w:color w:val="auto"/>
              </w:rPr>
            </w:pPr>
            <w:r>
              <w:rPr>
                <w:rFonts w:ascii="Arial" w:cs="Arial" w:eastAsia="Arial" w:hAnsi="Arial"/>
                <w:sz w:val="11"/>
                <w:szCs w:val="11"/>
                <w:b w:val="1"/>
                <w:bCs w:val="1"/>
                <w:color w:val="auto"/>
                <w:w w:val="88"/>
              </w:rPr>
              <w:t>Common Stock, $0.01 par value per share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20" w:type="dxa"/>
            <w:vAlign w:val="bottom"/>
            <w:gridSpan w:val="2"/>
          </w:tcPr>
          <w:p>
            <w:pPr>
              <w:jc w:val="center"/>
              <w:ind w:right="1800"/>
              <w:spacing w:after="0"/>
              <w:rPr>
                <w:sz w:val="20"/>
                <w:szCs w:val="20"/>
                <w:color w:val="auto"/>
              </w:rPr>
            </w:pPr>
            <w:r>
              <w:rPr>
                <w:rFonts w:ascii="Arial" w:cs="Arial" w:eastAsia="Arial" w:hAnsi="Arial"/>
                <w:sz w:val="11"/>
                <w:szCs w:val="11"/>
                <w:b w:val="1"/>
                <w:bCs w:val="1"/>
                <w:color w:val="auto"/>
                <w:w w:val="95"/>
              </w:rPr>
              <w:t>The NASDAQ Stock Market LLC</w:t>
            </w:r>
          </w:p>
        </w:tc>
      </w:tr>
      <w:tr>
        <w:trPr>
          <w:trHeight w:val="162"/>
        </w:trPr>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180" w:type="dxa"/>
            <w:vAlign w:val="bottom"/>
            <w:gridSpan w:val="11"/>
          </w:tcPr>
          <w:p>
            <w:pPr>
              <w:jc w:val="center"/>
              <w:ind w:right="3100"/>
              <w:spacing w:after="0"/>
              <w:rPr>
                <w:sz w:val="20"/>
                <w:szCs w:val="20"/>
                <w:color w:val="auto"/>
              </w:rPr>
            </w:pPr>
            <w:r>
              <w:rPr>
                <w:rFonts w:ascii="Arial" w:cs="Arial" w:eastAsia="Arial" w:hAnsi="Arial"/>
                <w:sz w:val="11"/>
                <w:szCs w:val="11"/>
                <w:b w:val="1"/>
                <w:bCs w:val="1"/>
                <w:color w:val="auto"/>
                <w:w w:val="88"/>
              </w:rPr>
              <w:t>Securities registered under Section 12(g) of the Act:  None</w:t>
            </w:r>
          </w:p>
        </w:tc>
      </w:tr>
      <w:tr>
        <w:trPr>
          <w:trHeight w:val="103"/>
        </w:trPr>
        <w:tc>
          <w:tcPr>
            <w:tcW w:w="2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53"/>
        </w:trPr>
        <w:tc>
          <w:tcPr>
            <w:tcW w:w="5100" w:type="dxa"/>
            <w:vAlign w:val="bottom"/>
            <w:gridSpan w:val="4"/>
          </w:tcPr>
          <w:p>
            <w:pPr>
              <w:ind w:left="520"/>
              <w:spacing w:after="0"/>
              <w:rPr>
                <w:sz w:val="20"/>
                <w:szCs w:val="20"/>
                <w:color w:val="auto"/>
              </w:rPr>
            </w:pPr>
            <w:r>
              <w:rPr>
                <w:rFonts w:ascii="Arial" w:cs="Arial" w:eastAsia="Arial" w:hAnsi="Arial"/>
                <w:sz w:val="10"/>
                <w:szCs w:val="10"/>
                <w:color w:val="auto"/>
                <w:w w:val="88"/>
              </w:rPr>
              <w:t>Indicate by check mark if the registrant is a well-known seasoned issuer, as defined in Rule 405 of the Securities Act.</w:t>
            </w:r>
          </w:p>
        </w:tc>
        <w:tc>
          <w:tcPr>
            <w:tcW w:w="1300" w:type="dxa"/>
            <w:vAlign w:val="bottom"/>
            <w:gridSpan w:val="3"/>
          </w:tcPr>
          <w:p>
            <w:pPr>
              <w:ind w:left="20"/>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3"/>
        </w:trPr>
        <w:tc>
          <w:tcPr>
            <w:tcW w:w="5100" w:type="dxa"/>
            <w:vAlign w:val="bottom"/>
            <w:gridSpan w:val="4"/>
          </w:tcPr>
          <w:p>
            <w:pPr>
              <w:jc w:val="center"/>
              <w:ind w:left="471"/>
              <w:spacing w:after="0"/>
              <w:rPr>
                <w:sz w:val="20"/>
                <w:szCs w:val="20"/>
                <w:color w:val="auto"/>
              </w:rPr>
            </w:pPr>
            <w:r>
              <w:rPr>
                <w:rFonts w:ascii="Arial" w:cs="Arial" w:eastAsia="Arial" w:hAnsi="Arial"/>
                <w:sz w:val="10"/>
                <w:szCs w:val="10"/>
                <w:color w:val="auto"/>
                <w:w w:val="87"/>
              </w:rPr>
              <w:t>Indicate by check mark if the registrant is not required to file reports pursuant to Section 13 or Section 15(d) of the Act.</w:t>
            </w:r>
          </w:p>
        </w:tc>
        <w:tc>
          <w:tcPr>
            <w:tcW w:w="1300" w:type="dxa"/>
            <w:vAlign w:val="bottom"/>
            <w:gridSpan w:val="3"/>
          </w:tcPr>
          <w:p>
            <w:pPr>
              <w:ind w:left="100"/>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06"/>
        </w:trPr>
        <w:tc>
          <w:tcPr>
            <w:tcW w:w="11380" w:type="dxa"/>
            <w:vAlign w:val="bottom"/>
            <w:gridSpan w:val="13"/>
          </w:tcPr>
          <w:p>
            <w:pPr>
              <w:ind w:left="520"/>
              <w:spacing w:after="0" w:line="106" w:lineRule="exact"/>
              <w:rPr>
                <w:sz w:val="20"/>
                <w:szCs w:val="20"/>
                <w:color w:val="auto"/>
              </w:rPr>
            </w:pPr>
            <w:r>
              <w:rPr>
                <w:rFonts w:ascii="Arial" w:cs="Arial" w:eastAsia="Arial" w:hAnsi="Arial"/>
                <w:sz w:val="10"/>
                <w:szCs w:val="10"/>
                <w:color w:val="auto"/>
                <w:w w:val="8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tc>
      </w:tr>
      <w:tr>
        <w:trPr>
          <w:trHeight w:val="149"/>
        </w:trPr>
        <w:tc>
          <w:tcPr>
            <w:tcW w:w="5100" w:type="dxa"/>
            <w:vAlign w:val="bottom"/>
            <w:gridSpan w:val="4"/>
          </w:tcPr>
          <w:p>
            <w:pPr>
              <w:spacing w:after="0" w:line="115" w:lineRule="exact"/>
              <w:rPr>
                <w:sz w:val="20"/>
                <w:szCs w:val="20"/>
                <w:color w:val="auto"/>
              </w:rPr>
            </w:pPr>
            <w:r>
              <w:rPr>
                <w:rFonts w:ascii="Arial" w:cs="Arial" w:eastAsia="Arial" w:hAnsi="Arial"/>
                <w:sz w:val="10"/>
                <w:szCs w:val="10"/>
                <w:color w:val="auto"/>
              </w:rPr>
              <w:t xml:space="preserve">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74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3385820</wp:posOffset>
            </wp:positionH>
            <wp:positionV relativeFrom="paragraph">
              <wp:posOffset>-1804035</wp:posOffset>
            </wp:positionV>
            <wp:extent cx="52641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415" cy="240030"/>
                    </a:xfrm>
                    <a:prstGeom prst="rect">
                      <a:avLst/>
                    </a:prstGeom>
                    <a:noFill/>
                  </pic:spPr>
                </pic:pic>
              </a:graphicData>
            </a:graphic>
          </wp:anchor>
        </w:drawing>
      </w:r>
    </w:p>
    <w:p>
      <w:pPr>
        <w:ind w:left="8" w:firstLine="521"/>
        <w:spacing w:after="0" w:line="110"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3" w:lineRule="exact"/>
        <w:rPr>
          <w:sz w:val="24"/>
          <w:szCs w:val="24"/>
          <w:color w:val="auto"/>
        </w:rPr>
      </w:pPr>
    </w:p>
    <w:p>
      <w:pPr>
        <w:ind w:left="8" w:right="40" w:firstLine="521"/>
        <w:spacing w:after="0" w:line="120" w:lineRule="exact"/>
        <w:rPr>
          <w:sz w:val="20"/>
          <w:szCs w:val="20"/>
          <w:color w:val="auto"/>
        </w:rPr>
      </w:pPr>
      <w:r>
        <w:rPr>
          <w:rFonts w:ascii="Arial" w:cs="Arial" w:eastAsia="Arial" w:hAnsi="Arial"/>
          <w:sz w:val="10"/>
          <w:szCs w:val="10"/>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0"/>
          <w:szCs w:val="10"/>
          <w:color w:val="auto"/>
        </w:rPr>
        <w:t>☒</w:t>
      </w:r>
    </w:p>
    <w:p>
      <w:pPr>
        <w:spacing w:after="0" w:line="13" w:lineRule="exact"/>
        <w:rPr>
          <w:sz w:val="24"/>
          <w:szCs w:val="24"/>
          <w:color w:val="auto"/>
        </w:rPr>
      </w:pPr>
    </w:p>
    <w:p>
      <w:pPr>
        <w:ind w:left="8" w:right="140" w:firstLine="521"/>
        <w:spacing w:after="0" w:line="23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8"/>
          </w:cols>
          <w:pgMar w:left="212" w:top="265" w:right="219" w:bottom="1440" w:gutter="0" w:footer="0" w:header="0"/>
        </w:sectPr>
      </w:pPr>
    </w:p>
    <w:p>
      <w:pPr>
        <w:spacing w:after="0" w:line="77" w:lineRule="exact"/>
        <w:rPr>
          <w:sz w:val="24"/>
          <w:szCs w:val="24"/>
          <w:color w:val="auto"/>
        </w:rPr>
      </w:pPr>
    </w:p>
    <w:p>
      <w:pPr>
        <w:ind w:left="8"/>
        <w:spacing w:after="0"/>
        <w:rPr>
          <w:sz w:val="20"/>
          <w:szCs w:val="20"/>
          <w:color w:val="auto"/>
        </w:rPr>
      </w:pPr>
      <w:r>
        <w:rPr>
          <w:rFonts w:ascii="Arial" w:cs="Arial" w:eastAsia="Arial" w:hAnsi="Arial"/>
          <w:sz w:val="8"/>
          <w:szCs w:val="8"/>
          <w:color w:val="auto"/>
        </w:rPr>
        <w:t>Large Accelerated Filer</w:t>
      </w:r>
    </w:p>
    <w:p>
      <w:pPr>
        <w:spacing w:after="0" w:line="52" w:lineRule="exact"/>
        <w:rPr>
          <w:sz w:val="24"/>
          <w:szCs w:val="24"/>
          <w:color w:val="auto"/>
        </w:rPr>
      </w:pPr>
    </w:p>
    <w:p>
      <w:pPr>
        <w:ind w:left="8"/>
        <w:spacing w:after="0"/>
        <w:rPr>
          <w:sz w:val="20"/>
          <w:szCs w:val="20"/>
          <w:color w:val="auto"/>
        </w:rPr>
      </w:pPr>
      <w:r>
        <w:rPr>
          <w:rFonts w:ascii="Arial" w:cs="Arial" w:eastAsia="Arial" w:hAnsi="Arial"/>
          <w:sz w:val="8"/>
          <w:szCs w:val="8"/>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9" w:lineRule="exact"/>
        <w:rPr>
          <w:sz w:val="24"/>
          <w:szCs w:val="24"/>
          <w:color w:val="auto"/>
        </w:rPr>
      </w:pPr>
    </w:p>
    <w:p>
      <w:pPr>
        <w:spacing w:after="0"/>
        <w:rPr>
          <w:sz w:val="20"/>
          <w:szCs w:val="20"/>
          <w:color w:val="auto"/>
        </w:rPr>
      </w:pPr>
      <w:r>
        <w:rPr>
          <w:rFonts w:ascii="Arial" w:cs="Arial" w:eastAsia="Arial" w:hAnsi="Arial"/>
          <w:sz w:val="8"/>
          <w:szCs w:val="8"/>
          <w:color w:val="auto"/>
        </w:rPr>
        <w:t>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6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7" w:lineRule="exact"/>
        <w:rPr>
          <w:sz w:val="24"/>
          <w:szCs w:val="24"/>
          <w:color w:val="auto"/>
        </w:rPr>
      </w:pPr>
    </w:p>
    <w:p>
      <w:pPr>
        <w:sectPr>
          <w:pgSz w:w="11900" w:h="16838" w:orient="portrait"/>
          <w:cols w:equalWidth="0" w:num="4">
            <w:col w:w="1788" w:space="720"/>
            <w:col w:w="5420" w:space="720"/>
            <w:col w:w="1820" w:space="720"/>
            <w:col w:w="280"/>
          </w:cols>
          <w:pgMar w:left="212" w:top="265" w:right="219" w:bottom="1440" w:gutter="0" w:footer="0" w:header="0"/>
          <w:type w:val="continuous"/>
        </w:sectPr>
      </w:pPr>
    </w:p>
    <w:p>
      <w:pPr>
        <w:spacing w:after="0" w:line="21" w:lineRule="exact"/>
        <w:rPr>
          <w:sz w:val="24"/>
          <w:szCs w:val="24"/>
          <w:color w:val="auto"/>
        </w:rPr>
      </w:pPr>
    </w:p>
    <w:p>
      <w:pPr>
        <w:ind w:left="8"/>
        <w:spacing w:after="0"/>
        <w:rPr>
          <w:sz w:val="20"/>
          <w:szCs w:val="20"/>
          <w:color w:val="auto"/>
        </w:rPr>
      </w:pPr>
      <w:r>
        <w:rPr>
          <w:rFonts w:ascii="Arial" w:cs="Arial" w:eastAsia="Arial" w:hAnsi="Arial"/>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48" w:lineRule="exact"/>
        <w:rPr>
          <w:sz w:val="24"/>
          <w:szCs w:val="24"/>
          <w:color w:val="auto"/>
        </w:rPr>
      </w:pPr>
    </w:p>
    <w:p>
      <w:pPr>
        <w:sectPr>
          <w:pgSz w:w="11900" w:h="16838" w:orient="portrait"/>
          <w:cols w:equalWidth="0" w:num="2">
            <w:col w:w="1788" w:space="720"/>
            <w:col w:w="8960"/>
          </w:cols>
          <w:pgMar w:left="212" w:top="265" w:right="219" w:bottom="1440" w:gutter="0" w:footer="0" w:header="0"/>
          <w:type w:val="continuous"/>
        </w:sectPr>
      </w:pPr>
    </w:p>
    <w:p>
      <w:pPr>
        <w:ind w:left="528"/>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ectPr>
          <w:pgSz w:w="11900" w:h="16838" w:orient="portrait"/>
          <w:cols w:equalWidth="0" w:num="1">
            <w:col w:w="11468"/>
          </w:cols>
          <w:pgMar w:left="212" w:top="265" w:right="219" w:bottom="1440" w:gutter="0" w:footer="0" w:header="0"/>
          <w:type w:val="continuous"/>
        </w:sectPr>
      </w:pPr>
    </w:p>
    <w:p>
      <w:pPr>
        <w:spacing w:after="0" w:line="79" w:lineRule="exact"/>
        <w:rPr>
          <w:sz w:val="24"/>
          <w:szCs w:val="24"/>
          <w:color w:val="auto"/>
        </w:rPr>
      </w:pPr>
    </w:p>
    <w:p>
      <w:pPr>
        <w:ind w:left="528"/>
        <w:spacing w:after="0"/>
        <w:rPr>
          <w:sz w:val="20"/>
          <w:szCs w:val="20"/>
          <w:color w:val="auto"/>
        </w:rPr>
      </w:pPr>
      <w:r>
        <w:rPr>
          <w:rFonts w:ascii="Arial" w:cs="Arial" w:eastAsia="Arial" w:hAnsi="Arial"/>
          <w:sz w:val="8"/>
          <w:szCs w:val="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8"/>
          <w:szCs w:val="8"/>
          <w:color w:val="auto"/>
        </w:rPr>
        <w:t>Yes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7"/>
          <w:szCs w:val="7"/>
          <w:color w:val="auto"/>
        </w:rPr>
        <w:t>No</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81" w:lineRule="exact"/>
        <w:rPr>
          <w:sz w:val="24"/>
          <w:szCs w:val="24"/>
          <w:color w:val="auto"/>
        </w:rPr>
      </w:pPr>
    </w:p>
    <w:p>
      <w:pPr>
        <w:sectPr>
          <w:pgSz w:w="11900" w:h="16838" w:orient="portrait"/>
          <w:cols w:equalWidth="0" w:num="5">
            <w:col w:w="4908" w:space="100"/>
            <w:col w:w="140" w:space="40"/>
            <w:col w:w="100" w:space="100"/>
            <w:col w:w="100" w:space="60"/>
            <w:col w:w="5920"/>
          </w:cols>
          <w:pgMar w:left="212" w:top="265" w:right="219" w:bottom="1440" w:gutter="0" w:footer="0" w:header="0"/>
          <w:type w:val="continuous"/>
        </w:sectPr>
      </w:pPr>
    </w:p>
    <w:p>
      <w:pPr>
        <w:ind w:left="8" w:right="20" w:firstLine="521"/>
        <w:spacing w:after="0" w:line="222" w:lineRule="auto"/>
        <w:rPr>
          <w:sz w:val="20"/>
          <w:szCs w:val="20"/>
          <w:color w:val="auto"/>
        </w:rPr>
      </w:pPr>
      <w:r>
        <w:rPr>
          <w:rFonts w:ascii="Arial" w:cs="Arial" w:eastAsia="Arial" w:hAnsi="Arial"/>
          <w:sz w:val="10"/>
          <w:szCs w:val="10"/>
          <w:color w:val="auto"/>
        </w:rPr>
        <w:t>The aggregate market value of voting and non-voting common stock held by non-affiliates of the registrant was $162.7 million based upon the closing market price and shares of common stock outstanding as of June 29, 2018,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14" w:lineRule="exact"/>
        <w:rPr>
          <w:sz w:val="24"/>
          <w:szCs w:val="24"/>
          <w:color w:val="auto"/>
        </w:rPr>
      </w:pPr>
    </w:p>
    <w:p>
      <w:pPr>
        <w:ind w:left="528"/>
        <w:spacing w:after="0"/>
        <w:rPr>
          <w:sz w:val="20"/>
          <w:szCs w:val="20"/>
          <w:color w:val="auto"/>
        </w:rPr>
      </w:pPr>
      <w:r>
        <w:rPr>
          <w:rFonts w:ascii="Arial" w:cs="Arial" w:eastAsia="Arial" w:hAnsi="Arial"/>
          <w:sz w:val="10"/>
          <w:szCs w:val="10"/>
          <w:color w:val="auto"/>
        </w:rPr>
        <w:t>As of February 28, 2019, the registrant had 34,979,895 shares of common stock, par value $0.01 per share, outstanding.</w:t>
      </w:r>
    </w:p>
    <w:p>
      <w:pPr>
        <w:spacing w:after="0" w:line="18" w:lineRule="exact"/>
        <w:rPr>
          <w:sz w:val="24"/>
          <w:szCs w:val="24"/>
          <w:color w:val="auto"/>
        </w:rPr>
      </w:pPr>
    </w:p>
    <w:p>
      <w:pPr>
        <w:ind w:left="4948"/>
        <w:spacing w:after="0"/>
        <w:rPr>
          <w:sz w:val="20"/>
          <w:szCs w:val="20"/>
          <w:color w:val="auto"/>
        </w:rPr>
      </w:pPr>
      <w:r>
        <w:rPr>
          <w:rFonts w:ascii="Arial" w:cs="Arial" w:eastAsia="Arial" w:hAnsi="Arial"/>
          <w:sz w:val="10"/>
          <w:szCs w:val="10"/>
          <w:b w:val="1"/>
          <w:bCs w:val="1"/>
          <w:color w:val="auto"/>
        </w:rPr>
        <w:t>Documents Incorporated by Reference</w:t>
      </w:r>
    </w:p>
    <w:p>
      <w:pPr>
        <w:spacing w:after="0" w:line="22" w:lineRule="exact"/>
        <w:rPr>
          <w:sz w:val="24"/>
          <w:szCs w:val="24"/>
          <w:color w:val="auto"/>
        </w:rPr>
      </w:pPr>
    </w:p>
    <w:p>
      <w:pPr>
        <w:ind w:left="8" w:right="20" w:firstLine="521"/>
        <w:spacing w:after="0" w:line="230" w:lineRule="auto"/>
        <w:rPr>
          <w:sz w:val="20"/>
          <w:szCs w:val="20"/>
          <w:color w:val="auto"/>
        </w:rPr>
      </w:pPr>
      <w:r>
        <w:rPr>
          <w:rFonts w:ascii="Arial" w:cs="Arial" w:eastAsia="Arial" w:hAnsi="Arial"/>
          <w:sz w:val="10"/>
          <w:szCs w:val="10"/>
          <w:color w:val="auto"/>
        </w:rPr>
        <w:t>Portions of the definitive Proxy Statement for the 2019 Annual Meeting of Stockholders, which is to be filed with the Securities and Exchange Commission within 120 days of the fiscal year ended December 31, 2018,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wp:posOffset>
            </wp:positionV>
            <wp:extent cx="7292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233045</wp:posOffset>
            </wp:positionV>
            <wp:extent cx="7329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65"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60" w:type="dxa"/>
            <w:vAlign w:val="bottom"/>
            <w:gridSpan w:val="7"/>
          </w:tcPr>
          <w:p>
            <w:pPr>
              <w:jc w:val="center"/>
              <w:ind w:right="3600"/>
              <w:spacing w:after="0"/>
              <w:rPr>
                <w:sz w:val="20"/>
                <w:szCs w:val="20"/>
                <w:color w:val="auto"/>
              </w:rPr>
            </w:pPr>
            <w:r>
              <w:rPr>
                <w:rFonts w:ascii="Arial" w:cs="Arial" w:eastAsia="Arial" w:hAnsi="Arial"/>
                <w:sz w:val="12"/>
                <w:szCs w:val="12"/>
                <w:b w:val="1"/>
                <w:bCs w:val="1"/>
                <w:color w:val="auto"/>
                <w:w w:val="92"/>
              </w:rPr>
              <w:t>CECO Environmental Corp. and Subsidiaries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60" w:type="dxa"/>
            <w:vAlign w:val="bottom"/>
            <w:gridSpan w:val="7"/>
          </w:tcPr>
          <w:p>
            <w:pPr>
              <w:jc w:val="center"/>
              <w:ind w:right="3600"/>
              <w:spacing w:after="0"/>
              <w:rPr>
                <w:sz w:val="20"/>
                <w:szCs w:val="20"/>
                <w:color w:val="auto"/>
              </w:rPr>
            </w:pPr>
            <w:r>
              <w:rPr>
                <w:rFonts w:ascii="Arial" w:cs="Arial" w:eastAsia="Arial" w:hAnsi="Arial"/>
                <w:sz w:val="12"/>
                <w:szCs w:val="12"/>
                <w:color w:val="auto"/>
                <w:w w:val="96"/>
              </w:rPr>
              <w:t>ANNUAL REPORT ON FORM 10-K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760" w:type="dxa"/>
            <w:vAlign w:val="bottom"/>
            <w:gridSpan w:val="7"/>
          </w:tcPr>
          <w:p>
            <w:pPr>
              <w:jc w:val="center"/>
              <w:ind w:right="3620"/>
              <w:spacing w:after="0"/>
              <w:rPr>
                <w:sz w:val="20"/>
                <w:szCs w:val="20"/>
                <w:color w:val="auto"/>
              </w:rPr>
            </w:pPr>
            <w:r>
              <w:rPr>
                <w:rFonts w:ascii="Arial" w:cs="Arial" w:eastAsia="Arial" w:hAnsi="Arial"/>
                <w:sz w:val="12"/>
                <w:szCs w:val="12"/>
                <w:color w:val="auto"/>
                <w:w w:val="88"/>
              </w:rPr>
              <w:t>For the year ended December 31, 2018</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20" w:type="dxa"/>
            <w:vAlign w:val="bottom"/>
            <w:gridSpan w:val="6"/>
          </w:tcPr>
          <w:p>
            <w:pPr>
              <w:jc w:val="center"/>
              <w:ind w:right="4340"/>
              <w:spacing w:after="0"/>
              <w:rPr>
                <w:sz w:val="20"/>
                <w:szCs w:val="20"/>
                <w:color w:val="auto"/>
              </w:rPr>
            </w:pPr>
            <w:r>
              <w:rPr>
                <w:rFonts w:ascii="Arial" w:cs="Arial" w:eastAsia="Arial" w:hAnsi="Arial"/>
                <w:sz w:val="12"/>
                <w:szCs w:val="12"/>
                <w:b w:val="1"/>
                <w:bCs w:val="1"/>
                <w:color w:val="auto"/>
                <w:w w:val="98"/>
              </w:rPr>
              <w:t>TABLE OF CONTENTS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260" w:type="dxa"/>
            <w:vAlign w:val="bottom"/>
            <w:gridSpan w:val="7"/>
          </w:tcPr>
          <w:p>
            <w:pPr>
              <w:spacing w:after="0"/>
              <w:rPr>
                <w:sz w:val="20"/>
                <w:szCs w:val="20"/>
                <w:color w:val="auto"/>
              </w:rPr>
            </w:pPr>
            <w:r>
              <w:rPr>
                <w:rFonts w:ascii="Arial" w:cs="Arial" w:eastAsia="Arial" w:hAnsi="Arial"/>
                <w:sz w:val="10"/>
                <w:szCs w:val="10"/>
                <w:b w:val="1"/>
                <w:bCs w:val="1"/>
                <w:color w:val="auto"/>
              </w:rPr>
              <w:t>Item</w:t>
            </w:r>
          </w:p>
        </w:tc>
        <w:tc>
          <w:tcPr>
            <w:tcW w:w="9660" w:type="dxa"/>
            <w:vAlign w:val="bottom"/>
            <w:gridSpan w:val="22"/>
          </w:tcPr>
          <w:p>
            <w:pPr>
              <w:ind w:left="80"/>
              <w:spacing w:after="0"/>
              <w:rPr>
                <w:sz w:val="20"/>
                <w:szCs w:val="20"/>
                <w:color w:val="auto"/>
              </w:rPr>
            </w:pPr>
            <w:r>
              <w:rPr>
                <w:rFonts w:ascii="Arial" w:cs="Arial" w:eastAsia="Arial" w:hAnsi="Arial"/>
                <w:sz w:val="10"/>
                <w:szCs w:val="10"/>
                <w:b w:val="1"/>
                <w:bCs w:val="1"/>
                <w:color w:val="auto"/>
              </w:rPr>
              <w:t>Description</w:t>
            </w:r>
          </w:p>
        </w:tc>
        <w:tc>
          <w:tcPr>
            <w:tcW w:w="580" w:type="dxa"/>
            <w:vAlign w:val="bottom"/>
            <w:gridSpan w:val="2"/>
          </w:tcPr>
          <w:p>
            <w:pPr>
              <w:ind w:left="180"/>
              <w:spacing w:after="0"/>
              <w:rPr>
                <w:sz w:val="20"/>
                <w:szCs w:val="20"/>
                <w:color w:val="auto"/>
              </w:rPr>
            </w:pPr>
            <w:r>
              <w:rPr>
                <w:rFonts w:ascii="Arial" w:cs="Arial" w:eastAsia="Arial" w:hAnsi="Arial"/>
                <w:sz w:val="10"/>
                <w:szCs w:val="10"/>
                <w:b w:val="1"/>
                <w:bCs w:val="1"/>
                <w:color w:val="auto"/>
              </w:rPr>
              <w:t>Page</w:t>
            </w:r>
          </w:p>
        </w:tc>
      </w:tr>
      <w:tr>
        <w:trPr>
          <w:trHeight w:val="106"/>
        </w:trPr>
        <w:tc>
          <w:tcPr>
            <w:tcW w:w="20" w:type="dxa"/>
            <w:vAlign w:val="bottom"/>
            <w:tcBorders>
              <w:bottom w:val="single" w:sz="8" w:color="0000EE"/>
            </w:tcBorders>
          </w:tcPr>
          <w:p>
            <w:pPr>
              <w:spacing w:after="0"/>
              <w:rPr>
                <w:sz w:val="9"/>
                <w:szCs w:val="9"/>
                <w:color w:val="auto"/>
              </w:rPr>
            </w:pPr>
          </w:p>
        </w:tc>
        <w:tc>
          <w:tcPr>
            <w:tcW w:w="360" w:type="dxa"/>
            <w:vAlign w:val="bottom"/>
            <w:tcBorders>
              <w:top w:val="single" w:sz="8" w:color="auto"/>
              <w:bottom w:val="single" w:sz="8" w:color="0000EE"/>
            </w:tcBorders>
          </w:tcPr>
          <w:p>
            <w:pPr>
              <w:spacing w:after="0" w:line="106" w:lineRule="exact"/>
              <w:rPr>
                <w:rFonts w:ascii="Arial" w:cs="Arial" w:eastAsia="Arial" w:hAnsi="Arial"/>
                <w:sz w:val="12"/>
                <w:szCs w:val="12"/>
                <w:color w:val="0000EE"/>
                <w:w w:val="80"/>
              </w:rPr>
            </w:pPr>
            <w:hyperlink w:anchor="page4">
              <w:r>
                <w:rPr>
                  <w:rFonts w:ascii="Arial" w:cs="Arial" w:eastAsia="Arial" w:hAnsi="Arial"/>
                  <w:sz w:val="12"/>
                  <w:szCs w:val="12"/>
                  <w:color w:val="0000EE"/>
                  <w:w w:val="80"/>
                </w:rPr>
                <w:t>PART I.</w:t>
              </w:r>
            </w:hyperlink>
          </w:p>
        </w:tc>
        <w:tc>
          <w:tcPr>
            <w:tcW w:w="880" w:type="dxa"/>
            <w:vAlign w:val="bottom"/>
            <w:tcBorders>
              <w:top w:val="single" w:sz="8" w:color="auto"/>
            </w:tcBorders>
            <w:gridSpan w:val="5"/>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w:t>
            </w:r>
          </w:p>
        </w:tc>
        <w:tc>
          <w:tcPr>
            <w:tcW w:w="9660" w:type="dxa"/>
            <w:vAlign w:val="bottom"/>
            <w:gridSpan w:val="22"/>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r>
      <w:tr>
        <w:trPr>
          <w:trHeight w:val="20"/>
        </w:trPr>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1A.</w:t>
            </w:r>
          </w:p>
        </w:tc>
        <w:tc>
          <w:tcPr>
            <w:tcW w:w="9660" w:type="dxa"/>
            <w:vAlign w:val="bottom"/>
            <w:gridSpan w:val="22"/>
          </w:tcPr>
          <w:p>
            <w:pPr>
              <w:spacing w:after="0"/>
              <w:rPr>
                <w:rFonts w:ascii="Arial" w:cs="Arial" w:eastAsia="Arial" w:hAnsi="Arial"/>
                <w:sz w:val="12"/>
                <w:szCs w:val="12"/>
                <w:color w:val="0000EE"/>
              </w:rPr>
            </w:pPr>
            <w:hyperlink w:anchor="page11">
              <w:r>
                <w:rPr>
                  <w:rFonts w:ascii="Arial" w:cs="Arial" w:eastAsia="Arial" w:hAnsi="Arial"/>
                  <w:sz w:val="12"/>
                  <w:szCs w:val="12"/>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9</w:t>
            </w:r>
          </w:p>
        </w:tc>
      </w:tr>
      <w:tr>
        <w:trPr>
          <w:trHeight w:val="20"/>
        </w:trPr>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1B.</w:t>
            </w:r>
          </w:p>
        </w:tc>
        <w:tc>
          <w:tcPr>
            <w:tcW w:w="9660" w:type="dxa"/>
            <w:vAlign w:val="bottom"/>
            <w:gridSpan w:val="22"/>
          </w:tcPr>
          <w:p>
            <w:pPr>
              <w:spacing w:after="0"/>
              <w:rPr>
                <w:rFonts w:ascii="Arial" w:cs="Arial" w:eastAsia="Arial" w:hAnsi="Arial"/>
                <w:sz w:val="12"/>
                <w:szCs w:val="12"/>
                <w:color w:val="0000EE"/>
              </w:rPr>
            </w:pPr>
            <w:hyperlink w:anchor="page21">
              <w:r>
                <w:rPr>
                  <w:rFonts w:ascii="Arial" w:cs="Arial" w:eastAsia="Arial" w:hAnsi="Arial"/>
                  <w:sz w:val="12"/>
                  <w:szCs w:val="12"/>
                  <w:color w:val="0000EE"/>
                </w:rPr>
                <w:t>Unresolved Staff Comments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19</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2.</w:t>
            </w:r>
          </w:p>
        </w:tc>
        <w:tc>
          <w:tcPr>
            <w:tcW w:w="1360" w:type="dxa"/>
            <w:vAlign w:val="bottom"/>
            <w:tcBorders>
              <w:top w:val="single" w:sz="8" w:color="0000EE"/>
            </w:tcBorders>
            <w:gridSpan w:val="10"/>
          </w:tcPr>
          <w:p>
            <w:pPr>
              <w:spacing w:after="0"/>
              <w:rPr>
                <w:rFonts w:ascii="Arial" w:cs="Arial" w:eastAsia="Arial" w:hAnsi="Arial"/>
                <w:sz w:val="12"/>
                <w:szCs w:val="12"/>
                <w:color w:val="0000EE"/>
              </w:rPr>
            </w:pPr>
            <w:hyperlink w:anchor="page22">
              <w:r>
                <w:rPr>
                  <w:rFonts w:ascii="Arial" w:cs="Arial" w:eastAsia="Arial" w:hAnsi="Arial"/>
                  <w:sz w:val="12"/>
                  <w:szCs w:val="12"/>
                  <w:color w:val="0000EE"/>
                </w:rPr>
                <w:t>Properties</w:t>
              </w:r>
            </w:hyperlink>
          </w:p>
        </w:tc>
        <w:tc>
          <w:tcPr>
            <w:tcW w:w="8300" w:type="dxa"/>
            <w:vAlign w:val="bottom"/>
            <w:gridSpan w:val="12"/>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20</w:t>
            </w:r>
          </w:p>
        </w:tc>
      </w:tr>
      <w:tr>
        <w:trPr>
          <w:trHeight w:val="20"/>
        </w:trPr>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3.</w:t>
            </w:r>
          </w:p>
        </w:tc>
        <w:tc>
          <w:tcPr>
            <w:tcW w:w="900" w:type="dxa"/>
            <w:vAlign w:val="bottom"/>
            <w:tcBorders>
              <w:bottom w:val="single" w:sz="8" w:color="0000EE"/>
            </w:tcBorders>
            <w:gridSpan w:val="5"/>
          </w:tcPr>
          <w:p>
            <w:pPr>
              <w:spacing w:after="0"/>
              <w:rPr>
                <w:rFonts w:ascii="Arial" w:cs="Arial" w:eastAsia="Arial" w:hAnsi="Arial"/>
                <w:sz w:val="12"/>
                <w:szCs w:val="12"/>
                <w:color w:val="0000EE"/>
                <w:w w:val="88"/>
              </w:rPr>
            </w:pPr>
            <w:hyperlink w:anchor="page22">
              <w:r>
                <w:rPr>
                  <w:rFonts w:ascii="Arial" w:cs="Arial" w:eastAsia="Arial" w:hAnsi="Arial"/>
                  <w:sz w:val="12"/>
                  <w:szCs w:val="12"/>
                  <w:color w:val="0000EE"/>
                  <w:w w:val="88"/>
                </w:rPr>
                <w:t>Legal Proceedings</w:t>
              </w:r>
            </w:hyperlink>
          </w:p>
        </w:tc>
        <w:tc>
          <w:tcPr>
            <w:tcW w:w="8760" w:type="dxa"/>
            <w:vAlign w:val="bottom"/>
            <w:gridSpan w:val="17"/>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20</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4.</w:t>
            </w:r>
          </w:p>
        </w:tc>
        <w:tc>
          <w:tcPr>
            <w:tcW w:w="9660" w:type="dxa"/>
            <w:vAlign w:val="bottom"/>
            <w:gridSpan w:val="22"/>
          </w:tcPr>
          <w:p>
            <w:pPr>
              <w:spacing w:after="0"/>
              <w:rPr>
                <w:rFonts w:ascii="Arial" w:cs="Arial" w:eastAsia="Arial" w:hAnsi="Arial"/>
                <w:sz w:val="12"/>
                <w:szCs w:val="12"/>
                <w:color w:val="0000EE"/>
              </w:rPr>
            </w:pPr>
            <w:hyperlink w:anchor="page23">
              <w:r>
                <w:rPr>
                  <w:rFonts w:ascii="Arial" w:cs="Arial" w:eastAsia="Arial" w:hAnsi="Arial"/>
                  <w:sz w:val="12"/>
                  <w:szCs w:val="12"/>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r>
      <w:tr>
        <w:trPr>
          <w:trHeight w:val="205"/>
        </w:trPr>
        <w:tc>
          <w:tcPr>
            <w:tcW w:w="1260" w:type="dxa"/>
            <w:vAlign w:val="bottom"/>
            <w:gridSpan w:val="7"/>
          </w:tcPr>
          <w:p>
            <w:pPr>
              <w:spacing w:after="0"/>
              <w:rPr>
                <w:rFonts w:ascii="Arial" w:cs="Arial" w:eastAsia="Arial" w:hAnsi="Arial"/>
                <w:sz w:val="12"/>
                <w:szCs w:val="12"/>
                <w:color w:val="0000EE"/>
              </w:rPr>
            </w:pPr>
            <w:hyperlink w:anchor="page24">
              <w:r>
                <w:rPr>
                  <w:rFonts w:ascii="Arial" w:cs="Arial" w:eastAsia="Arial" w:hAnsi="Arial"/>
                  <w:sz w:val="12"/>
                  <w:szCs w:val="12"/>
                  <w:color w:val="0000EE"/>
                </w:rPr>
                <w:t>PART II.</w:t>
              </w:r>
            </w:hyperlink>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420" w:type="dxa"/>
            <w:vAlign w:val="bottom"/>
            <w:tcBorders>
              <w:top w:val="single" w:sz="8" w:color="0000EE"/>
            </w:tcBorders>
            <w:gridSpan w:val="3"/>
          </w:tcPr>
          <w:p>
            <w:pPr>
              <w:spacing w:after="0"/>
              <w:rPr>
                <w:sz w:val="20"/>
                <w:szCs w:val="20"/>
                <w:color w:val="auto"/>
              </w:rPr>
            </w:pPr>
            <w:r>
              <w:rPr>
                <w:rFonts w:ascii="Arial" w:cs="Arial" w:eastAsia="Arial" w:hAnsi="Arial"/>
                <w:sz w:val="12"/>
                <w:szCs w:val="12"/>
                <w:color w:val="auto"/>
              </w:rPr>
              <w:t>Item 5.</w:t>
            </w:r>
          </w:p>
        </w:tc>
        <w:tc>
          <w:tcPr>
            <w:tcW w:w="840" w:type="dxa"/>
            <w:vAlign w:val="bottom"/>
            <w:gridSpan w:val="4"/>
          </w:tcPr>
          <w:p>
            <w:pPr>
              <w:spacing w:after="0"/>
              <w:rPr>
                <w:sz w:val="17"/>
                <w:szCs w:val="17"/>
                <w:color w:val="auto"/>
              </w:rPr>
            </w:pPr>
          </w:p>
        </w:tc>
        <w:tc>
          <w:tcPr>
            <w:tcW w:w="9660" w:type="dxa"/>
            <w:vAlign w:val="bottom"/>
            <w:gridSpan w:val="22"/>
          </w:tcPr>
          <w:p>
            <w:pPr>
              <w:spacing w:after="0"/>
              <w:rPr>
                <w:rFonts w:ascii="Arial" w:cs="Arial" w:eastAsia="Arial" w:hAnsi="Arial"/>
                <w:sz w:val="12"/>
                <w:szCs w:val="12"/>
                <w:color w:val="0000EE"/>
              </w:rPr>
            </w:pPr>
            <w:hyperlink w:anchor="page24">
              <w:r>
                <w:rPr>
                  <w:rFonts w:ascii="Arial" w:cs="Arial" w:eastAsia="Arial" w:hAnsi="Arial"/>
                  <w:sz w:val="12"/>
                  <w:szCs w:val="12"/>
                  <w:color w:val="0000EE"/>
                </w:rPr>
                <w:t>Market for the Registrant’s Common Equity, Related Stockholder Matters and Issuer Purchases of Equity Securities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22</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6.</w:t>
            </w:r>
          </w:p>
        </w:tc>
        <w:tc>
          <w:tcPr>
            <w:tcW w:w="5560" w:type="dxa"/>
            <w:vAlign w:val="bottom"/>
            <w:tcBorders>
              <w:top w:val="single" w:sz="8" w:color="0000EE"/>
            </w:tcBorders>
            <w:gridSpan w:val="20"/>
          </w:tcPr>
          <w:p>
            <w:pPr>
              <w:spacing w:after="0"/>
              <w:rPr>
                <w:rFonts w:ascii="Arial" w:cs="Arial" w:eastAsia="Arial" w:hAnsi="Arial"/>
                <w:sz w:val="12"/>
                <w:szCs w:val="12"/>
                <w:color w:val="0000EE"/>
              </w:rPr>
            </w:pPr>
            <w:hyperlink w:anchor="page25">
              <w:r>
                <w:rPr>
                  <w:rFonts w:ascii="Arial" w:cs="Arial" w:eastAsia="Arial" w:hAnsi="Arial"/>
                  <w:sz w:val="12"/>
                  <w:szCs w:val="12"/>
                  <w:color w:val="0000EE"/>
                </w:rPr>
                <w:t>Selected Financial Data</w:t>
              </w:r>
            </w:hyperlink>
          </w:p>
        </w:tc>
        <w:tc>
          <w:tcPr>
            <w:tcW w:w="4100" w:type="dxa"/>
            <w:vAlign w:val="bottom"/>
            <w:gridSpan w:val="2"/>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23</w:t>
            </w: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7.</w:t>
            </w:r>
          </w:p>
        </w:tc>
        <w:tc>
          <w:tcPr>
            <w:tcW w:w="9660" w:type="dxa"/>
            <w:vAlign w:val="bottom"/>
            <w:gridSpan w:val="22"/>
          </w:tcPr>
          <w:p>
            <w:pPr>
              <w:spacing w:after="0"/>
              <w:rPr>
                <w:rFonts w:ascii="Arial" w:cs="Arial" w:eastAsia="Arial" w:hAnsi="Arial"/>
                <w:sz w:val="12"/>
                <w:szCs w:val="12"/>
                <w:color w:val="0000EE"/>
              </w:rPr>
            </w:pPr>
            <w:hyperlink w:anchor="page26">
              <w:r>
                <w:rPr>
                  <w:rFonts w:ascii="Arial" w:cs="Arial" w:eastAsia="Arial" w:hAnsi="Arial"/>
                  <w:sz w:val="12"/>
                  <w:szCs w:val="12"/>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24</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7A.</w:t>
            </w:r>
          </w:p>
        </w:tc>
        <w:tc>
          <w:tcPr>
            <w:tcW w:w="4300" w:type="dxa"/>
            <w:vAlign w:val="bottom"/>
            <w:tcBorders>
              <w:top w:val="single" w:sz="8" w:color="0000EE"/>
            </w:tcBorders>
            <w:gridSpan w:val="17"/>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Quantitative and Qualitative Disclosures About Market Risk</w:t>
              </w:r>
            </w:hyperlink>
          </w:p>
        </w:tc>
        <w:tc>
          <w:tcPr>
            <w:tcW w:w="5360" w:type="dxa"/>
            <w:vAlign w:val="bottom"/>
            <w:gridSpan w:val="5"/>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40</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8.</w:t>
            </w:r>
          </w:p>
        </w:tc>
        <w:tc>
          <w:tcPr>
            <w:tcW w:w="2900" w:type="dxa"/>
            <w:vAlign w:val="bottom"/>
            <w:tcBorders>
              <w:top w:val="single" w:sz="8" w:color="0000EE"/>
            </w:tcBorders>
            <w:gridSpan w:val="15"/>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Financial Statements and Supplementary Data</w:t>
              </w:r>
            </w:hyperlink>
          </w:p>
        </w:tc>
        <w:tc>
          <w:tcPr>
            <w:tcW w:w="6760" w:type="dxa"/>
            <w:vAlign w:val="bottom"/>
            <w:gridSpan w:val="7"/>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41</w:t>
            </w: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9.</w:t>
            </w:r>
          </w:p>
        </w:tc>
        <w:tc>
          <w:tcPr>
            <w:tcW w:w="9660" w:type="dxa"/>
            <w:vAlign w:val="bottom"/>
            <w:gridSpan w:val="22"/>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Changes in and Disagreements with Accountants on Accounting and Financial Disclosure</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41</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9A.</w:t>
            </w:r>
          </w:p>
        </w:tc>
        <w:tc>
          <w:tcPr>
            <w:tcW w:w="4320" w:type="dxa"/>
            <w:vAlign w:val="bottom"/>
            <w:tcBorders>
              <w:top w:val="single" w:sz="8" w:color="0000EE"/>
            </w:tcBorders>
            <w:gridSpan w:val="18"/>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Controls and Procedures</w:t>
              </w:r>
            </w:hyperlink>
          </w:p>
        </w:tc>
        <w:tc>
          <w:tcPr>
            <w:tcW w:w="5340" w:type="dxa"/>
            <w:vAlign w:val="bottom"/>
            <w:gridSpan w:val="4"/>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41</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9B.</w:t>
            </w:r>
          </w:p>
        </w:tc>
        <w:tc>
          <w:tcPr>
            <w:tcW w:w="1180" w:type="dxa"/>
            <w:vAlign w:val="bottom"/>
            <w:tcBorders>
              <w:top w:val="single" w:sz="8" w:color="0000EE"/>
            </w:tcBorders>
            <w:gridSpan w:val="8"/>
          </w:tcPr>
          <w:p>
            <w:pPr>
              <w:spacing w:after="0"/>
              <w:rPr>
                <w:rFonts w:ascii="Arial" w:cs="Arial" w:eastAsia="Arial" w:hAnsi="Arial"/>
                <w:sz w:val="12"/>
                <w:szCs w:val="12"/>
                <w:color w:val="0000EE"/>
              </w:rPr>
            </w:pPr>
            <w:hyperlink w:anchor="page46">
              <w:r>
                <w:rPr>
                  <w:rFonts w:ascii="Arial" w:cs="Arial" w:eastAsia="Arial" w:hAnsi="Arial"/>
                  <w:sz w:val="12"/>
                  <w:szCs w:val="12"/>
                  <w:color w:val="0000EE"/>
                </w:rPr>
                <w:t>Other Information</w:t>
              </w:r>
            </w:hyperlink>
          </w:p>
        </w:tc>
        <w:tc>
          <w:tcPr>
            <w:tcW w:w="8480" w:type="dxa"/>
            <w:vAlign w:val="bottom"/>
            <w:gridSpan w:val="14"/>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44</w:t>
            </w:r>
          </w:p>
        </w:tc>
      </w:tr>
      <w:tr>
        <w:trPr>
          <w:trHeight w:val="205"/>
        </w:trPr>
        <w:tc>
          <w:tcPr>
            <w:tcW w:w="480" w:type="dxa"/>
            <w:vAlign w:val="bottom"/>
            <w:tcBorders>
              <w:bottom w:val="single" w:sz="8" w:color="0000EE"/>
            </w:tcBorders>
            <w:gridSpan w:val="5"/>
          </w:tcPr>
          <w:p>
            <w:pPr>
              <w:spacing w:after="0"/>
              <w:rPr>
                <w:rFonts w:ascii="Arial" w:cs="Arial" w:eastAsia="Arial" w:hAnsi="Arial"/>
                <w:sz w:val="12"/>
                <w:szCs w:val="12"/>
                <w:color w:val="0000EE"/>
                <w:w w:val="94"/>
              </w:rPr>
            </w:pPr>
            <w:hyperlink w:anchor="page47">
              <w:r>
                <w:rPr>
                  <w:rFonts w:ascii="Arial" w:cs="Arial" w:eastAsia="Arial" w:hAnsi="Arial"/>
                  <w:sz w:val="12"/>
                  <w:szCs w:val="12"/>
                  <w:color w:val="0000EE"/>
                  <w:w w:val="94"/>
                </w:rPr>
                <w:t>PART III.</w:t>
              </w:r>
            </w:hyperlink>
          </w:p>
        </w:tc>
        <w:tc>
          <w:tcPr>
            <w:tcW w:w="780" w:type="dxa"/>
            <w:vAlign w:val="bottom"/>
            <w:gridSpan w:val="2"/>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10.</w:t>
            </w:r>
          </w:p>
        </w:tc>
        <w:tc>
          <w:tcPr>
            <w:tcW w:w="2740" w:type="dxa"/>
            <w:vAlign w:val="bottom"/>
            <w:tcBorders>
              <w:bottom w:val="single" w:sz="8" w:color="0000EE"/>
            </w:tcBorders>
            <w:gridSpan w:val="14"/>
          </w:tcPr>
          <w:p>
            <w:pPr>
              <w:spacing w:after="0"/>
              <w:rPr>
                <w:rFonts w:ascii="Arial" w:cs="Arial" w:eastAsia="Arial" w:hAnsi="Arial"/>
                <w:sz w:val="12"/>
                <w:szCs w:val="12"/>
                <w:color w:val="0000EE"/>
                <w:w w:val="90"/>
              </w:rPr>
            </w:pPr>
            <w:hyperlink w:anchor="page47">
              <w:r>
                <w:rPr>
                  <w:rFonts w:ascii="Arial" w:cs="Arial" w:eastAsia="Arial" w:hAnsi="Arial"/>
                  <w:sz w:val="12"/>
                  <w:szCs w:val="12"/>
                  <w:color w:val="0000EE"/>
                  <w:w w:val="90"/>
                </w:rPr>
                <w:t>Directors, Executive Officers and Corporate Governance</w:t>
              </w:r>
            </w:hyperlink>
          </w:p>
        </w:tc>
        <w:tc>
          <w:tcPr>
            <w:tcW w:w="6920" w:type="dxa"/>
            <w:vAlign w:val="bottom"/>
            <w:gridSpan w:val="8"/>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45</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11.</w:t>
            </w:r>
          </w:p>
        </w:tc>
        <w:tc>
          <w:tcPr>
            <w:tcW w:w="9660" w:type="dxa"/>
            <w:vAlign w:val="bottom"/>
            <w:gridSpan w:val="22"/>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45</w:t>
            </w:r>
          </w:p>
        </w:tc>
      </w:tr>
      <w:tr>
        <w:trPr>
          <w:trHeight w:val="20"/>
        </w:trPr>
        <w:tc>
          <w:tcPr>
            <w:tcW w:w="4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12.</w:t>
            </w:r>
          </w:p>
        </w:tc>
        <w:tc>
          <w:tcPr>
            <w:tcW w:w="9660" w:type="dxa"/>
            <w:vAlign w:val="bottom"/>
            <w:gridSpan w:val="22"/>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45</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13.</w:t>
            </w:r>
          </w:p>
        </w:tc>
        <w:tc>
          <w:tcPr>
            <w:tcW w:w="3640" w:type="dxa"/>
            <w:vAlign w:val="bottom"/>
            <w:tcBorders>
              <w:top w:val="single" w:sz="8" w:color="0000EE"/>
              <w:bottom w:val="single" w:sz="8" w:color="0000EE"/>
            </w:tcBorders>
            <w:gridSpan w:val="16"/>
          </w:tcPr>
          <w:p>
            <w:pPr>
              <w:spacing w:after="0"/>
              <w:rPr>
                <w:rFonts w:ascii="Arial" w:cs="Arial" w:eastAsia="Arial" w:hAnsi="Arial"/>
                <w:sz w:val="12"/>
                <w:szCs w:val="12"/>
                <w:color w:val="0000EE"/>
                <w:w w:val="89"/>
              </w:rPr>
            </w:pPr>
            <w:hyperlink w:anchor="page47">
              <w:r>
                <w:rPr>
                  <w:rFonts w:ascii="Arial" w:cs="Arial" w:eastAsia="Arial" w:hAnsi="Arial"/>
                  <w:sz w:val="12"/>
                  <w:szCs w:val="12"/>
                  <w:color w:val="0000EE"/>
                  <w:w w:val="89"/>
                </w:rPr>
                <w:t>Certain Relationships and Related Transactions, and Director Independence</w:t>
              </w:r>
            </w:hyperlink>
          </w:p>
        </w:tc>
        <w:tc>
          <w:tcPr>
            <w:tcW w:w="1220" w:type="dxa"/>
            <w:vAlign w:val="bottom"/>
            <w:tcBorders>
              <w:top w:val="single" w:sz="8" w:color="0000EE"/>
            </w:tcBorders>
            <w:gridSpan w:val="3"/>
          </w:tcPr>
          <w:p>
            <w:pPr>
              <w:spacing w:after="0"/>
              <w:rPr>
                <w:sz w:val="17"/>
                <w:szCs w:val="17"/>
                <w:color w:val="auto"/>
              </w:rPr>
            </w:pPr>
          </w:p>
        </w:tc>
        <w:tc>
          <w:tcPr>
            <w:tcW w:w="4800" w:type="dxa"/>
            <w:vAlign w:val="bottom"/>
            <w:gridSpan w:val="3"/>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45</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14.</w:t>
            </w:r>
          </w:p>
        </w:tc>
        <w:tc>
          <w:tcPr>
            <w:tcW w:w="9660" w:type="dxa"/>
            <w:vAlign w:val="bottom"/>
            <w:gridSpan w:val="22"/>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Principal Accounting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45</w:t>
            </w:r>
          </w:p>
        </w:tc>
      </w:tr>
      <w:tr>
        <w:trPr>
          <w:trHeight w:val="205"/>
        </w:trPr>
        <w:tc>
          <w:tcPr>
            <w:tcW w:w="460" w:type="dxa"/>
            <w:vAlign w:val="bottom"/>
            <w:tcBorders>
              <w:bottom w:val="single" w:sz="8" w:color="0000EE"/>
            </w:tcBorders>
            <w:gridSpan w:val="4"/>
          </w:tcPr>
          <w:p>
            <w:pPr>
              <w:spacing w:after="0"/>
              <w:rPr>
                <w:rFonts w:ascii="Arial" w:cs="Arial" w:eastAsia="Arial" w:hAnsi="Arial"/>
                <w:sz w:val="12"/>
                <w:szCs w:val="12"/>
                <w:color w:val="0000EE"/>
                <w:w w:val="87"/>
              </w:rPr>
            </w:pPr>
            <w:hyperlink w:anchor="page47">
              <w:r>
                <w:rPr>
                  <w:rFonts w:ascii="Arial" w:cs="Arial" w:eastAsia="Arial" w:hAnsi="Arial"/>
                  <w:sz w:val="12"/>
                  <w:szCs w:val="12"/>
                  <w:color w:val="0000EE"/>
                  <w:w w:val="87"/>
                </w:rPr>
                <w:t>PART IV.</w:t>
              </w:r>
            </w:hyperlink>
          </w:p>
        </w:tc>
        <w:tc>
          <w:tcPr>
            <w:tcW w:w="800" w:type="dxa"/>
            <w:vAlign w:val="bottom"/>
            <w:gridSpan w:val="3"/>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15.</w:t>
            </w:r>
          </w:p>
        </w:tc>
        <w:tc>
          <w:tcPr>
            <w:tcW w:w="9660" w:type="dxa"/>
            <w:vAlign w:val="bottom"/>
            <w:gridSpan w:val="22"/>
          </w:tcPr>
          <w:p>
            <w:pPr>
              <w:spacing w:after="0"/>
              <w:rPr>
                <w:rFonts w:ascii="Arial" w:cs="Arial" w:eastAsia="Arial" w:hAnsi="Arial"/>
                <w:sz w:val="12"/>
                <w:szCs w:val="12"/>
                <w:color w:val="0000EE"/>
              </w:rPr>
            </w:pPr>
            <w:hyperlink w:anchor="page47">
              <w:r>
                <w:rPr>
                  <w:rFonts w:ascii="Arial" w:cs="Arial" w:eastAsia="Arial" w:hAnsi="Arial"/>
                  <w:sz w:val="12"/>
                  <w:szCs w:val="12"/>
                  <w:color w:val="0000EE"/>
                </w:rPr>
                <w:t>Exhibits and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45</w:t>
            </w:r>
          </w:p>
        </w:tc>
      </w:tr>
      <w:tr>
        <w:trPr>
          <w:trHeight w:val="268"/>
        </w:trPr>
        <w:tc>
          <w:tcPr>
            <w:tcW w:w="1260" w:type="dxa"/>
            <w:vAlign w:val="bottom"/>
            <w:gridSpan w:val="7"/>
          </w:tcPr>
          <w:p>
            <w:pPr>
              <w:spacing w:after="0"/>
              <w:rPr>
                <w:sz w:val="20"/>
                <w:szCs w:val="20"/>
                <w:color w:val="auto"/>
              </w:rPr>
            </w:pPr>
            <w:r>
              <w:rPr>
                <w:rFonts w:ascii="Arial" w:cs="Arial" w:eastAsia="Arial" w:hAnsi="Arial"/>
                <w:sz w:val="12"/>
                <w:szCs w:val="12"/>
                <w:color w:val="auto"/>
              </w:rPr>
              <w:t>Item 16.</w:t>
            </w:r>
          </w:p>
        </w:tc>
        <w:tc>
          <w:tcPr>
            <w:tcW w:w="2100" w:type="dxa"/>
            <w:vAlign w:val="bottom"/>
            <w:tcBorders>
              <w:top w:val="single" w:sz="8" w:color="0000EE"/>
            </w:tcBorders>
            <w:gridSpan w:val="12"/>
          </w:tcPr>
          <w:p>
            <w:pPr>
              <w:spacing w:after="0"/>
              <w:rPr>
                <w:rFonts w:ascii="Arial" w:cs="Arial" w:eastAsia="Arial" w:hAnsi="Arial"/>
                <w:sz w:val="12"/>
                <w:szCs w:val="12"/>
                <w:color w:val="0000EE"/>
              </w:rPr>
            </w:pPr>
            <w:hyperlink w:anchor="page49">
              <w:r>
                <w:rPr>
                  <w:rFonts w:ascii="Arial" w:cs="Arial" w:eastAsia="Arial" w:hAnsi="Arial"/>
                  <w:sz w:val="12"/>
                  <w:szCs w:val="12"/>
                  <w:color w:val="0000EE"/>
                </w:rPr>
                <w:t>Form 10-K Summary</w:t>
              </w:r>
            </w:hyperlink>
          </w:p>
        </w:tc>
        <w:tc>
          <w:tcPr>
            <w:tcW w:w="7560" w:type="dxa"/>
            <w:vAlign w:val="bottom"/>
            <w:gridSpan w:val="10"/>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47</w:t>
            </w:r>
          </w:p>
        </w:tc>
      </w:tr>
      <w:tr>
        <w:trPr>
          <w:trHeight w:val="205"/>
        </w:trPr>
        <w:tc>
          <w:tcPr>
            <w:tcW w:w="1260" w:type="dxa"/>
            <w:vAlign w:val="bottom"/>
            <w:gridSpan w:val="7"/>
          </w:tcPr>
          <w:p>
            <w:pPr>
              <w:spacing w:after="0"/>
              <w:rPr>
                <w:rFonts w:ascii="Arial" w:cs="Arial" w:eastAsia="Arial" w:hAnsi="Arial"/>
                <w:sz w:val="12"/>
                <w:szCs w:val="12"/>
                <w:color w:val="0000EE"/>
              </w:rPr>
            </w:pPr>
            <w:hyperlink w:anchor="page50">
              <w:r>
                <w:rPr>
                  <w:rFonts w:ascii="Arial" w:cs="Arial" w:eastAsia="Arial" w:hAnsi="Arial"/>
                  <w:sz w:val="12"/>
                  <w:szCs w:val="12"/>
                  <w:color w:val="0000EE"/>
                </w:rPr>
                <w:t>SIGNATURES</w:t>
              </w:r>
            </w:hyperlink>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48</w:t>
            </w:r>
          </w:p>
        </w:tc>
      </w:tr>
      <w:tr>
        <w:trPr>
          <w:trHeight w:val="881"/>
        </w:trPr>
        <w:tc>
          <w:tcPr>
            <w:tcW w:w="20" w:type="dxa"/>
            <w:vAlign w:val="bottom"/>
            <w:tcBorders>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ind w:firstLine="521"/>
        <w:spacing w:after="0" w:line="276" w:lineRule="auto"/>
        <w:rPr>
          <w:sz w:val="20"/>
          <w:szCs w:val="20"/>
          <w:color w:val="auto"/>
        </w:rPr>
      </w:pPr>
      <w:r>
        <w:rPr>
          <w:rFonts w:ascii="Arial" w:cs="Arial" w:eastAsia="Arial" w:hAnsi="Arial"/>
          <w:sz w:val="11"/>
          <w:szCs w:val="11"/>
          <w:color w:val="auto"/>
        </w:rPr>
        <w:t>This Annual Report on Form 10-K includes forward-looking statements within the meaning of the Securities Act of 1933 (the “Securities Act”)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our service areas; dependence on fixed price contracts and the risks associated therewith, including actual costs exceeding estimates and method of accounting for revenue; fluctuations in operating results from period to period due to cyclicality or seasonality of the business;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divestitures of non-core assets and the effect of competition in the industries served by our Energy Solutions segment, Industrial Solutions segment and Fluid Handling Solutions segment.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General</w:t>
      </w:r>
    </w:p>
    <w:p>
      <w:pPr>
        <w:spacing w:after="0" w:line="150" w:lineRule="exact"/>
        <w:rPr>
          <w:sz w:val="20"/>
          <w:szCs w:val="20"/>
          <w:color w:val="auto"/>
        </w:rPr>
      </w:pPr>
    </w:p>
    <w:p>
      <w:pPr>
        <w:ind w:right="680" w:firstLine="521"/>
        <w:spacing w:after="0" w:line="323" w:lineRule="auto"/>
        <w:rPr>
          <w:sz w:val="20"/>
          <w:szCs w:val="20"/>
          <w:color w:val="auto"/>
        </w:rPr>
      </w:pPr>
      <w:r>
        <w:rPr>
          <w:rFonts w:ascii="Arial" w:cs="Arial" w:eastAsia="Arial" w:hAnsi="Arial"/>
          <w:sz w:val="11"/>
          <w:szCs w:val="11"/>
          <w:color w:val="auto"/>
        </w:rPr>
        <w:t>CECO Environmental Corp. (“CECO” or the “Company”)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92" w:lineRule="exact"/>
        <w:rPr>
          <w:sz w:val="20"/>
          <w:szCs w:val="20"/>
          <w:color w:val="auto"/>
        </w:rPr>
      </w:pPr>
    </w:p>
    <w:p>
      <w:pPr>
        <w:ind w:right="320" w:firstLine="521"/>
        <w:spacing w:after="0" w:line="323" w:lineRule="auto"/>
        <w:rPr>
          <w:sz w:val="20"/>
          <w:szCs w:val="20"/>
          <w:color w:val="auto"/>
        </w:rPr>
      </w:pPr>
      <w:r>
        <w:rPr>
          <w:rFonts w:ascii="Arial" w:cs="Arial" w:eastAsia="Arial" w:hAnsi="Arial"/>
          <w:sz w:val="11"/>
          <w:szCs w:val="11"/>
          <w:color w:val="auto"/>
        </w:rPr>
        <w:t>CECO serves diverse industries globally by working to improve air quality, optimize the energy value chain, and provide customized engineered solutions in our customer’s mission critical applications. The secular growth industries CECO serves include oil and gas, power generation, water and wastewater, battery production, poly silicon fabrication, chemical and petrochemical processing, along with a wide range of other industries.</w:t>
      </w:r>
    </w:p>
    <w:p>
      <w:pPr>
        <w:spacing w:after="0" w:line="92" w:lineRule="exact"/>
        <w:rPr>
          <w:sz w:val="20"/>
          <w:szCs w:val="20"/>
          <w:color w:val="auto"/>
        </w:rPr>
      </w:pPr>
    </w:p>
    <w:p>
      <w:pPr>
        <w:ind w:right="420" w:firstLine="521"/>
        <w:spacing w:after="0" w:line="276" w:lineRule="auto"/>
        <w:rPr>
          <w:sz w:val="20"/>
          <w:szCs w:val="20"/>
          <w:color w:val="auto"/>
        </w:rPr>
      </w:pPr>
      <w:r>
        <w:rPr>
          <w:rFonts w:ascii="Arial" w:cs="Arial" w:eastAsia="Arial" w:hAnsi="Arial"/>
          <w:sz w:val="12"/>
          <w:szCs w:val="12"/>
          <w:color w:val="auto"/>
        </w:rPr>
        <w:t>To achieve our mission of being a world-class global leader in industrial air quality and fluid handling, we strive to maximize the availability, reliability and efficiency of our customers’ operating assets. Additionally, we continue to focus on increasing our recurring revenue stream from aftermarket parts and services, as well as continuously improving the efficiencies and capabilities of our technologies.</w:t>
      </w:r>
    </w:p>
    <w:p>
      <w:pPr>
        <w:spacing w:after="0" w:line="115"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CECO has over $5 billion of installed equipment base with end users, which we target to expand and grow a higher recurring revenue of aftermarket products and services. We also focus on operational excellence strategies as a central theme to improving our earnings and cash flows.</w:t>
      </w:r>
    </w:p>
    <w:p>
      <w:pPr>
        <w:spacing w:after="0" w:line="115" w:lineRule="exact"/>
        <w:rPr>
          <w:sz w:val="20"/>
          <w:szCs w:val="20"/>
          <w:color w:val="auto"/>
        </w:rPr>
      </w:pPr>
    </w:p>
    <w:p>
      <w:pPr>
        <w:ind w:firstLine="521"/>
        <w:spacing w:after="0" w:line="323" w:lineRule="auto"/>
        <w:rPr>
          <w:sz w:val="20"/>
          <w:szCs w:val="20"/>
          <w:color w:val="auto"/>
        </w:rPr>
      </w:pPr>
      <w:r>
        <w:rPr>
          <w:rFonts w:ascii="Arial" w:cs="Arial" w:eastAsia="Arial" w:hAnsi="Arial"/>
          <w:sz w:val="11"/>
          <w:szCs w:val="11"/>
          <w:color w:val="auto"/>
        </w:rPr>
        <w:t>We believe we succeed because of the relationships we have developed, the long history of performance and reliability of our systems and products, our ability to deliver products in compliance with our customers’ needs and our advanced technical engineering capabilities on complex projects. We work closely with our customers to design, custom-engineer and fabricate our systems and products to meet their specific needs.</w:t>
      </w:r>
    </w:p>
    <w:p>
      <w:pPr>
        <w:spacing w:after="0" w:line="92" w:lineRule="exact"/>
        <w:rPr>
          <w:sz w:val="20"/>
          <w:szCs w:val="20"/>
          <w:color w:val="auto"/>
        </w:rPr>
      </w:pPr>
    </w:p>
    <w:p>
      <w:pPr>
        <w:ind w:right="540" w:firstLine="521"/>
        <w:spacing w:after="0" w:line="276" w:lineRule="auto"/>
        <w:rPr>
          <w:sz w:val="20"/>
          <w:szCs w:val="20"/>
          <w:color w:val="auto"/>
        </w:rPr>
      </w:pPr>
      <w:r>
        <w:rPr>
          <w:rFonts w:ascii="Arial" w:cs="Arial" w:eastAsia="Arial" w:hAnsi="Arial"/>
          <w:sz w:val="12"/>
          <w:szCs w:val="12"/>
          <w:color w:val="auto"/>
        </w:rPr>
        <w:t>Our customers include some of the largest natural gas processors, transmission and distribution companies, refineries, power generators, boiler manufacturers, compressor manufacturers, metals and minerals, industrial manufacturing, engineering and construction companies in the world.</w:t>
      </w:r>
    </w:p>
    <w:p>
      <w:pPr>
        <w:spacing w:after="0" w:line="115" w:lineRule="exact"/>
        <w:rPr>
          <w:sz w:val="20"/>
          <w:szCs w:val="20"/>
          <w:color w:val="auto"/>
        </w:rPr>
      </w:pPr>
    </w:p>
    <w:p>
      <w:pPr>
        <w:ind w:right="220" w:firstLine="521"/>
        <w:spacing w:after="0" w:line="276" w:lineRule="auto"/>
        <w:rPr>
          <w:sz w:val="20"/>
          <w:szCs w:val="20"/>
          <w:color w:val="auto"/>
        </w:rPr>
      </w:pPr>
      <w:r>
        <w:rPr>
          <w:rFonts w:ascii="Arial" w:cs="Arial" w:eastAsia="Arial" w:hAnsi="Arial"/>
          <w:sz w:val="12"/>
          <w:szCs w:val="12"/>
          <w:color w:val="auto"/>
        </w:rPr>
        <w:t>We believe our value differentiators include, but are not limited to, reliable product performance, timely delivery, customer satisfaction, and advanced engineering. We believe these are critical in maintaining our competitive position and have adopted a spirit of continuous improvement to ensure we maintain our market leadership position.</w:t>
      </w:r>
    </w:p>
    <w:p>
      <w:pPr>
        <w:spacing w:after="0" w:line="115" w:lineRule="exact"/>
        <w:rPr>
          <w:sz w:val="20"/>
          <w:szCs w:val="20"/>
          <w:color w:val="auto"/>
        </w:rPr>
      </w:pPr>
    </w:p>
    <w:p>
      <w:pPr>
        <w:ind w:right="520" w:firstLine="521"/>
        <w:spacing w:after="0" w:line="276" w:lineRule="auto"/>
        <w:rPr>
          <w:sz w:val="20"/>
          <w:szCs w:val="20"/>
          <w:color w:val="auto"/>
        </w:rPr>
      </w:pPr>
      <w:r>
        <w:rPr>
          <w:rFonts w:ascii="Arial" w:cs="Arial" w:eastAsia="Arial" w:hAnsi="Arial"/>
          <w:sz w:val="12"/>
          <w:szCs w:val="12"/>
          <w:color w:val="auto"/>
        </w:rPr>
        <w:t>CECO was incorporated in the State of New York in 1966 and reincorporated in the State of Delaware in January 2002. The Company has been publicly traded since January 1, 1978 and its common stock trades on the NASDAQ Stock Market under the symbol “CECE.”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Industry Overview</w:t>
      </w:r>
    </w:p>
    <w:p>
      <w:pPr>
        <w:spacing w:after="0" w:line="78"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We serve a multi-billion dollar global market that is highly fragmented and serves various end markets including power generation, natural gas power plants, petrochemical processing, general industrial, refining, oil &amp; gas and wastewater treatment.</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believe demand for our products and services will continue to be driven by the following factors:</w:t>
      </w:r>
    </w:p>
    <w:p>
      <w:pPr>
        <w:spacing w:after="0" w:line="78" w:lineRule="exact"/>
        <w:rPr>
          <w:sz w:val="20"/>
          <w:szCs w:val="20"/>
          <w:color w:val="auto"/>
        </w:rPr>
      </w:pPr>
    </w:p>
    <w:p>
      <w:pPr>
        <w:ind w:left="1020" w:right="100" w:hanging="515"/>
        <w:spacing w:after="0" w:line="323" w:lineRule="auto"/>
        <w:tabs>
          <w:tab w:leader="none" w:pos="102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Global Economic Conditions. </w:t>
      </w:r>
      <w:r>
        <w:rPr>
          <w:rFonts w:ascii="Arial" w:cs="Arial" w:eastAsia="Arial" w:hAnsi="Arial"/>
          <w:sz w:val="11"/>
          <w:szCs w:val="11"/>
          <w:color w:val="auto"/>
        </w:rPr>
        <w:t>The Company’s businesses are impacted by economic conditions around the globe. Higher economic growth and other factors that would increase industrial gross domestic product and</w:t>
      </w:r>
      <w:r>
        <w:rPr>
          <w:rFonts w:ascii="Arial" w:cs="Arial" w:eastAsia="Arial" w:hAnsi="Arial"/>
          <w:sz w:val="11"/>
          <w:szCs w:val="11"/>
          <w:i w:val="1"/>
          <w:iCs w:val="1"/>
          <w:color w:val="auto"/>
        </w:rPr>
        <w:t xml:space="preserve"> </w:t>
      </w:r>
      <w:r>
        <w:rPr>
          <w:rFonts w:ascii="Arial" w:cs="Arial" w:eastAsia="Arial" w:hAnsi="Arial"/>
          <w:sz w:val="11"/>
          <w:szCs w:val="11"/>
          <w:color w:val="auto"/>
        </w:rPr>
        <w:t>capital expenditures are projected to impact the markets the Company serves and could affect the Company’s businesses by increasing demand for the Company’s products and services.</w:t>
      </w:r>
    </w:p>
    <w:p>
      <w:pPr>
        <w:spacing w:after="0" w:line="19" w:lineRule="exact"/>
        <w:rPr>
          <w:rFonts w:ascii="Arial" w:cs="Arial" w:eastAsia="Arial" w:hAnsi="Arial"/>
          <w:sz w:val="11"/>
          <w:szCs w:val="11"/>
          <w:color w:val="auto"/>
        </w:rPr>
      </w:pPr>
    </w:p>
    <w:p>
      <w:pPr>
        <w:ind w:left="1020" w:right="180" w:hanging="515"/>
        <w:spacing w:after="0" w:line="298" w:lineRule="auto"/>
        <w:tabs>
          <w:tab w:leader="none" w:pos="102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Worldwide Industrialization</w:t>
      </w:r>
      <w:r>
        <w:rPr>
          <w:rFonts w:ascii="Arial" w:cs="Arial" w:eastAsia="Arial" w:hAnsi="Arial"/>
          <w:sz w:val="11"/>
          <w:szCs w:val="11"/>
          <w:color w:val="auto"/>
        </w:rPr>
        <w:t>. Global trade has increased significantly over the last decade and is driven by growth in emerging markets, including China and India, as well as other developing nations in Asia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Europe, Middle East, and Africa (“EMEA”) region.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We expect that more rigorous environmental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4" w:name="page5"/>
    <w:bookmarkEnd w:id="4"/>
    <w:p>
      <w:pPr>
        <w:ind w:left="1020"/>
        <w:spacing w:after="0"/>
        <w:rPr>
          <w:sz w:val="20"/>
          <w:szCs w:val="20"/>
          <w:color w:val="auto"/>
        </w:rPr>
      </w:pPr>
      <w:r>
        <w:rPr>
          <w:rFonts w:ascii="Arial" w:cs="Arial" w:eastAsia="Arial" w:hAnsi="Arial"/>
          <w:sz w:val="12"/>
          <w:szCs w:val="12"/>
          <w:color w:val="auto"/>
        </w:rPr>
        <w:t>regulations will be introduced to create a cleaner working environment and reduce environmental emissions as these economies evolve.</w:t>
      </w:r>
    </w:p>
    <w:p>
      <w:pPr>
        <w:spacing w:after="0" w:line="78" w:lineRule="exact"/>
        <w:rPr>
          <w:sz w:val="20"/>
          <w:szCs w:val="20"/>
          <w:color w:val="auto"/>
        </w:rPr>
      </w:pPr>
    </w:p>
    <w:p>
      <w:pPr>
        <w:ind w:left="1020" w:right="100" w:hanging="515"/>
        <w:spacing w:after="0" w:line="259" w:lineRule="auto"/>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Natural Gas Infrastructure</w:t>
      </w:r>
      <w:r>
        <w:rPr>
          <w:rFonts w:ascii="Arial" w:cs="Arial" w:eastAsia="Arial" w:hAnsi="Arial"/>
          <w:sz w:val="12"/>
          <w:szCs w:val="12"/>
          <w:color w:val="auto"/>
        </w:rPr>
        <w:t>. The natural gas industry consists of the exploration, production, processing, transportation, storage and distribution of natural gas. The International Energy Association (“IEA”) projects a</w:t>
      </w:r>
      <w:r>
        <w:rPr>
          <w:rFonts w:ascii="Arial" w:cs="Arial" w:eastAsia="Arial" w:hAnsi="Arial"/>
          <w:sz w:val="12"/>
          <w:szCs w:val="12"/>
          <w:i w:val="1"/>
          <w:iCs w:val="1"/>
          <w:color w:val="auto"/>
        </w:rPr>
        <w:t xml:space="preserve"> </w:t>
      </w:r>
      <w:r>
        <w:rPr>
          <w:rFonts w:ascii="Arial" w:cs="Arial" w:eastAsia="Arial" w:hAnsi="Arial"/>
          <w:sz w:val="12"/>
          <w:szCs w:val="12"/>
          <w:color w:val="auto"/>
        </w:rPr>
        <w:t>pronounced shift in Organization for Economic Cooperation and Development (“OECD”) countries away from oil and coal towards natural gas and renewables. Natural gas continues to be the fuel of choice for the electrical power and industrial sectors in many of the world’s regions, in part because of its lower carbon intensity compared with coal and oil, which makes it an attractive fuel source in countries where governments are implementing policies to reduce greenhouse gas emissions.</w:t>
      </w:r>
    </w:p>
    <w:p>
      <w:pPr>
        <w:spacing w:after="0" w:line="52" w:lineRule="exact"/>
        <w:rPr>
          <w:rFonts w:ascii="Arial" w:cs="Arial" w:eastAsia="Arial" w:hAnsi="Arial"/>
          <w:sz w:val="12"/>
          <w:szCs w:val="12"/>
          <w:color w:val="auto"/>
        </w:rPr>
      </w:pPr>
    </w:p>
    <w:p>
      <w:pPr>
        <w:ind w:left="1040" w:right="40"/>
        <w:spacing w:after="0" w:line="298" w:lineRule="auto"/>
        <w:rPr>
          <w:rFonts w:ascii="Arial" w:cs="Arial" w:eastAsia="Arial" w:hAnsi="Arial"/>
          <w:sz w:val="12"/>
          <w:szCs w:val="12"/>
          <w:color w:val="auto"/>
        </w:rPr>
      </w:pPr>
      <w:r>
        <w:rPr>
          <w:rFonts w:ascii="Arial" w:cs="Arial" w:eastAsia="Arial" w:hAnsi="Arial"/>
          <w:sz w:val="11"/>
          <w:szCs w:val="11"/>
          <w:color w:val="auto"/>
        </w:rPr>
        <w:t>Natural gas delivery is a complex process that refines raw natural gas for industrial, commercial or residential uses. Initially, raw natural gas is extracted from the earth and cleansed of contaminants such as dirt and water at the well site. The natural gas is then transported through a gathering facility to a processing facility, where it is processed to meet quality standards set by pipeline and distribution companies, such as specified levels of solids, liquids and other gases. After processing, the natural gas is transmitted for storage or through an extensive network of pipelines to consumers.</w:t>
      </w:r>
    </w:p>
    <w:p>
      <w:pPr>
        <w:spacing w:after="0" w:line="33" w:lineRule="exact"/>
        <w:rPr>
          <w:rFonts w:ascii="Arial" w:cs="Arial" w:eastAsia="Arial" w:hAnsi="Arial"/>
          <w:sz w:val="12"/>
          <w:szCs w:val="12"/>
          <w:color w:val="auto"/>
        </w:rPr>
      </w:pPr>
    </w:p>
    <w:p>
      <w:pPr>
        <w:jc w:val="both"/>
        <w:ind w:left="1020" w:hanging="515"/>
        <w:spacing w:after="0" w:line="298" w:lineRule="auto"/>
        <w:tabs>
          <w:tab w:leader="none" w:pos="102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Power Generation. </w:t>
      </w:r>
      <w:r>
        <w:rPr>
          <w:rFonts w:ascii="Arial" w:cs="Arial" w:eastAsia="Arial" w:hAnsi="Arial"/>
          <w:sz w:val="11"/>
          <w:szCs w:val="11"/>
          <w:color w:val="auto"/>
        </w:rPr>
        <w:t>Power generation encompasses a broad range of activities related to the production of electricity. The primary types of fuel used to generate electricity are coal, natural gas and nuclear. In the United</w:t>
      </w:r>
      <w:r>
        <w:rPr>
          <w:rFonts w:ascii="Arial" w:cs="Arial" w:eastAsia="Arial" w:hAnsi="Arial"/>
          <w:sz w:val="11"/>
          <w:szCs w:val="11"/>
          <w:i w:val="1"/>
          <w:iCs w:val="1"/>
          <w:color w:val="auto"/>
        </w:rPr>
        <w:t xml:space="preserve"> </w:t>
      </w:r>
      <w:r>
        <w:rPr>
          <w:rFonts w:ascii="Arial" w:cs="Arial" w:eastAsia="Arial" w:hAnsi="Arial"/>
          <w:sz w:val="11"/>
          <w:szCs w:val="11"/>
          <w:color w:val="auto"/>
        </w:rPr>
        <w:t>States, concerns about potential environmental regulations enhance the attractiveness of natural gas-fired power plants compared with coal-fired power plants, which generally have higher pollutant emission rates than natural gas-powered plants. Natural gas-fired power plants have lower initial capital needs and are more flexible in terms of operating times than coal plants.</w:t>
      </w:r>
    </w:p>
    <w:p>
      <w:pPr>
        <w:spacing w:after="0" w:line="33" w:lineRule="exact"/>
        <w:rPr>
          <w:rFonts w:ascii="Arial" w:cs="Arial" w:eastAsia="Arial" w:hAnsi="Arial"/>
          <w:sz w:val="11"/>
          <w:szCs w:val="11"/>
          <w:color w:val="auto"/>
        </w:rPr>
      </w:pPr>
    </w:p>
    <w:p>
      <w:pPr>
        <w:ind w:left="1020" w:hanging="515"/>
        <w:spacing w:after="0" w:line="257" w:lineRule="auto"/>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Refining, Oil Production and Petrochemical Processing</w:t>
      </w:r>
      <w:r>
        <w:rPr>
          <w:rFonts w:ascii="Arial" w:cs="Arial" w:eastAsia="Arial" w:hAnsi="Arial"/>
          <w:sz w:val="12"/>
          <w:szCs w:val="12"/>
          <w:color w:val="auto"/>
        </w:rPr>
        <w:t>. Refining, oil production and petrochemical processing involves the producing, refining and processing of fuels and chemicals for use in a variety of</w:t>
      </w:r>
      <w:r>
        <w:rPr>
          <w:rFonts w:ascii="Arial" w:cs="Arial" w:eastAsia="Arial" w:hAnsi="Arial"/>
          <w:sz w:val="12"/>
          <w:szCs w:val="12"/>
          <w:i w:val="1"/>
          <w:iCs w:val="1"/>
          <w:color w:val="auto"/>
        </w:rPr>
        <w:t xml:space="preserve"> </w:t>
      </w:r>
      <w:r>
        <w:rPr>
          <w:rFonts w:ascii="Arial" w:cs="Arial" w:eastAsia="Arial" w:hAnsi="Arial"/>
          <w:sz w:val="12"/>
          <w:szCs w:val="12"/>
          <w:color w:val="auto"/>
        </w:rPr>
        <w:t>applications, such as gasoline, fertilizers and plastics. In response to increasing international demand for petrochemicals and refined products, companies are producing more products from new sources, constructing new refineries and petrochemical processing facilities as well as expanding existing facilities. In many cases, these new and expanded facilities must comply with stricter environmental regulations, which influence both choice of fuel and demand for systems to control exhaust emissions. These facilities use a broad range of our products and systems, including our selective catalytic reduction (“SCR”) pollution reduction systems, oily water treatment systems and separation and filtration products and our fluid catalytic cracking cyclone technology.</w:t>
      </w:r>
    </w:p>
    <w:p>
      <w:pPr>
        <w:spacing w:after="0" w:line="53" w:lineRule="exact"/>
        <w:rPr>
          <w:rFonts w:ascii="Arial" w:cs="Arial" w:eastAsia="Arial" w:hAnsi="Arial"/>
          <w:sz w:val="12"/>
          <w:szCs w:val="12"/>
          <w:color w:val="auto"/>
        </w:rPr>
      </w:pPr>
    </w:p>
    <w:p>
      <w:pPr>
        <w:jc w:val="both"/>
        <w:ind w:left="1020" w:right="260" w:hanging="515"/>
        <w:spacing w:after="0" w:line="340" w:lineRule="auto"/>
        <w:tabs>
          <w:tab w:leader="none" w:pos="1020" w:val="left"/>
        </w:tabs>
        <w:numPr>
          <w:ilvl w:val="0"/>
          <w:numId w:val="4"/>
        </w:numPr>
        <w:rPr>
          <w:rFonts w:ascii="Arial" w:cs="Arial" w:eastAsia="Arial" w:hAnsi="Arial"/>
          <w:sz w:val="10"/>
          <w:szCs w:val="10"/>
          <w:color w:val="auto"/>
        </w:rPr>
      </w:pPr>
      <w:r>
        <w:rPr>
          <w:rFonts w:ascii="Arial" w:cs="Arial" w:eastAsia="Arial" w:hAnsi="Arial"/>
          <w:sz w:val="10"/>
          <w:szCs w:val="10"/>
          <w:i w:val="1"/>
          <w:iCs w:val="1"/>
          <w:color w:val="auto"/>
        </w:rPr>
        <w:t>Stringent Regulatory Environment</w:t>
      </w:r>
      <w:r>
        <w:rPr>
          <w:rFonts w:ascii="Arial" w:cs="Arial" w:eastAsia="Arial" w:hAnsi="Arial"/>
          <w:sz w:val="10"/>
          <w:szCs w:val="10"/>
          <w:color w:val="auto"/>
        </w:rPr>
        <w:t>. The adoption of increasingly stringent environmental regulations globally requires businesses to pay strict attention to environmental protection. Businesses and industries of all</w:t>
      </w:r>
      <w:r>
        <w:rPr>
          <w:rFonts w:ascii="Arial" w:cs="Arial" w:eastAsia="Arial" w:hAnsi="Arial"/>
          <w:sz w:val="10"/>
          <w:szCs w:val="10"/>
          <w:i w:val="1"/>
          <w:iCs w:val="1"/>
          <w:color w:val="auto"/>
        </w:rPr>
        <w:t xml:space="preserve"> </w:t>
      </w:r>
      <w:r>
        <w:rPr>
          <w:rFonts w:ascii="Arial" w:cs="Arial" w:eastAsia="Arial" w:hAnsi="Arial"/>
          <w:sz w:val="10"/>
          <w:szCs w:val="10"/>
          <w:color w:val="auto"/>
        </w:rPr>
        <w:t>types from refineries, power, chemical processes, metals and minerals, energy market and industrial manufacturing must comply with these various international, federal, state and local government regulations or potentially face substantial fines or be forced to suspend production or alter their production processes. These increasingly stringent environmental regulations are a principal factor that drives our business.</w:t>
      </w:r>
    </w:p>
    <w:p>
      <w:pPr>
        <w:spacing w:after="0" w:line="160" w:lineRule="exact"/>
        <w:rPr>
          <w:sz w:val="20"/>
          <w:szCs w:val="20"/>
          <w:color w:val="auto"/>
        </w:rPr>
      </w:pPr>
    </w:p>
    <w:p>
      <w:pPr>
        <w:ind w:right="80" w:firstLine="479"/>
        <w:spacing w:after="0" w:line="323" w:lineRule="auto"/>
        <w:rPr>
          <w:sz w:val="20"/>
          <w:szCs w:val="20"/>
          <w:color w:val="auto"/>
        </w:rPr>
      </w:pPr>
      <w:r>
        <w:rPr>
          <w:rFonts w:ascii="Arial" w:cs="Arial" w:eastAsia="Arial" w:hAnsi="Arial"/>
          <w:sz w:val="11"/>
          <w:szCs w:val="11"/>
          <w:color w:val="auto"/>
        </w:rPr>
        <w:t>These factors, individually or collectively, tend to cause increases in industrial capital spending that are not directly impacted by general economic conditions, expansion, or capacity increases. In contrast, favorable conditions in the economy generally lead to plant expansions and the construction of new industrial sites. However, in a weak economy, customers tend to lengthen the time from their initial inquiry to the purchase order or defer purchases.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2"/>
          <w:szCs w:val="12"/>
          <w:b w:val="1"/>
          <w:bCs w:val="1"/>
          <w:i w:val="1"/>
          <w:iCs w:val="1"/>
          <w:color w:val="auto"/>
        </w:rPr>
        <w:t>Mission and Strategy</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mission is to help companies grow their business with safe, clean and more efficient solutions that help protect people and our shared environment.</w:t>
      </w:r>
    </w:p>
    <w:p>
      <w:pPr>
        <w:spacing w:after="0" w:line="78"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We seek to fulfill this mission through established global leadership in air quality and fluid handling solutions focused on serving the energy, industrial, and other niche markets around the world. We will continue to leverage our innovative technology and application expertise to customers around the world. We work to improve air quality, optimize the energy value chain, and provide custom engineered solutions for applications including oil and gas, power generation, water and wastewater, battery production, poly silicon fabrication, chemical and petrochemical processing along with a wide range of other applications.</w:t>
      </w:r>
    </w:p>
    <w:p>
      <w:pPr>
        <w:spacing w:after="0" w:line="51"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Our strategy to become the global leader in air quality and fluid handling solutions is to drive an operating environment of performance excellence across the Company with a near term focus on targeted value creation enablers, and growth-oriented business segment performance.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Four Value Creation Enablers Driving Growth:</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All four of these are inter-connected and critical to achieving our objectives.</w:t>
      </w:r>
    </w:p>
    <w:p>
      <w:pPr>
        <w:spacing w:after="0" w:line="164" w:lineRule="exact"/>
        <w:rPr>
          <w:sz w:val="20"/>
          <w:szCs w:val="20"/>
          <w:color w:val="auto"/>
        </w:rPr>
      </w:pPr>
    </w:p>
    <w:p>
      <w:pPr>
        <w:ind w:left="740" w:right="360" w:hanging="370"/>
        <w:spacing w:after="0" w:line="283" w:lineRule="auto"/>
        <w:tabs>
          <w:tab w:leader="none" w:pos="74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Outside-In Leadership </w:t>
      </w:r>
      <w:r>
        <w:rPr>
          <w:rFonts w:ascii="Arial" w:cs="Arial" w:eastAsia="Arial" w:hAnsi="Arial"/>
          <w:sz w:val="12"/>
          <w:szCs w:val="12"/>
          <w:color w:val="auto"/>
        </w:rPr>
        <w:t>is all about an increased attention on our customers and the trends affecting the world around us as we make decisions that enable our organization to be responsive and with an orientation for</w:t>
      </w:r>
      <w:r>
        <w:rPr>
          <w:rFonts w:ascii="Arial" w:cs="Arial" w:eastAsia="Arial" w:hAnsi="Arial"/>
          <w:sz w:val="12"/>
          <w:szCs w:val="12"/>
          <w:b w:val="1"/>
          <w:bCs w:val="1"/>
          <w:color w:val="auto"/>
        </w:rPr>
        <w:t xml:space="preserve"> </w:t>
      </w:r>
      <w:r>
        <w:rPr>
          <w:rFonts w:ascii="Arial" w:cs="Arial" w:eastAsia="Arial" w:hAnsi="Arial"/>
          <w:sz w:val="12"/>
          <w:szCs w:val="12"/>
          <w:color w:val="auto"/>
        </w:rPr>
        <w:t>growth.</w:t>
      </w:r>
    </w:p>
    <w:p>
      <w:pPr>
        <w:spacing w:after="0" w:line="106" w:lineRule="exact"/>
        <w:rPr>
          <w:rFonts w:ascii="Arial" w:cs="Arial" w:eastAsia="Arial" w:hAnsi="Arial"/>
          <w:sz w:val="12"/>
          <w:szCs w:val="12"/>
          <w:color w:val="auto"/>
        </w:rPr>
      </w:pPr>
    </w:p>
    <w:p>
      <w:pPr>
        <w:ind w:left="740" w:hanging="370"/>
        <w:spacing w:after="0"/>
        <w:tabs>
          <w:tab w:leader="none" w:pos="74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Innovation </w:t>
      </w:r>
      <w:r>
        <w:rPr>
          <w:rFonts w:ascii="Arial" w:cs="Arial" w:eastAsia="Arial" w:hAnsi="Arial"/>
          <w:sz w:val="12"/>
          <w:szCs w:val="12"/>
          <w:color w:val="auto"/>
        </w:rPr>
        <w:t>is about us finding better ways to help our customers get their jobs done – whether that is a new product and technology or the way we serve and work with them.</w:t>
      </w:r>
    </w:p>
    <w:p>
      <w:pPr>
        <w:spacing w:after="0" w:line="150" w:lineRule="exact"/>
        <w:rPr>
          <w:rFonts w:ascii="Arial" w:cs="Arial" w:eastAsia="Arial" w:hAnsi="Arial"/>
          <w:sz w:val="12"/>
          <w:szCs w:val="12"/>
          <w:color w:val="auto"/>
        </w:rPr>
      </w:pPr>
    </w:p>
    <w:p>
      <w:pPr>
        <w:ind w:left="740" w:hanging="370"/>
        <w:spacing w:after="0"/>
        <w:tabs>
          <w:tab w:leader="none" w:pos="740" w:val="left"/>
        </w:tabs>
        <w:numPr>
          <w:ilvl w:val="0"/>
          <w:numId w:val="5"/>
        </w:numPr>
        <w:rPr>
          <w:rFonts w:ascii="Arial" w:cs="Arial" w:eastAsia="Arial" w:hAnsi="Arial"/>
          <w:sz w:val="11"/>
          <w:szCs w:val="11"/>
          <w:color w:val="auto"/>
        </w:rPr>
      </w:pPr>
      <w:r>
        <w:rPr>
          <w:rFonts w:ascii="Arial" w:cs="Arial" w:eastAsia="Arial" w:hAnsi="Arial"/>
          <w:sz w:val="11"/>
          <w:szCs w:val="11"/>
          <w:b w:val="1"/>
          <w:bCs w:val="1"/>
          <w:color w:val="auto"/>
        </w:rPr>
        <w:t xml:space="preserve">Simplification </w:t>
      </w:r>
      <w:r>
        <w:rPr>
          <w:rFonts w:ascii="Arial" w:cs="Arial" w:eastAsia="Arial" w:hAnsi="Arial"/>
          <w:sz w:val="11"/>
          <w:szCs w:val="11"/>
          <w:color w:val="auto"/>
        </w:rPr>
        <w:t>involves aligning and streamlining our operational practices and metrics to match our customers’ key performance indicators (“KPIs”) for success and removing complexity from our systems and structure.</w:t>
      </w:r>
    </w:p>
    <w:p>
      <w:pPr>
        <w:spacing w:after="0" w:line="161" w:lineRule="exact"/>
        <w:rPr>
          <w:rFonts w:ascii="Arial" w:cs="Arial" w:eastAsia="Arial" w:hAnsi="Arial"/>
          <w:sz w:val="11"/>
          <w:szCs w:val="11"/>
          <w:color w:val="auto"/>
        </w:rPr>
      </w:pPr>
    </w:p>
    <w:p>
      <w:pPr>
        <w:ind w:left="740" w:right="140" w:hanging="370"/>
        <w:spacing w:after="0" w:line="283" w:lineRule="auto"/>
        <w:tabs>
          <w:tab w:leader="none" w:pos="74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Active Portfolio Management </w:t>
      </w:r>
      <w:r>
        <w:rPr>
          <w:rFonts w:ascii="Arial" w:cs="Arial" w:eastAsia="Arial" w:hAnsi="Arial"/>
          <w:sz w:val="12"/>
          <w:szCs w:val="12"/>
          <w:color w:val="auto"/>
        </w:rPr>
        <w:t>dictates a regular evaluation of our business units for market attractiveness and profitability together with scanning the market for attractive potential additions that strengthen the long-term</w:t>
      </w:r>
      <w:r>
        <w:rPr>
          <w:rFonts w:ascii="Arial" w:cs="Arial" w:eastAsia="Arial" w:hAnsi="Arial"/>
          <w:sz w:val="12"/>
          <w:szCs w:val="12"/>
          <w:b w:val="1"/>
          <w:bCs w:val="1"/>
          <w:color w:val="auto"/>
        </w:rPr>
        <w:t xml:space="preserve"> </w:t>
      </w:r>
      <w:r>
        <w:rPr>
          <w:rFonts w:ascii="Arial" w:cs="Arial" w:eastAsia="Arial" w:hAnsi="Arial"/>
          <w:sz w:val="12"/>
          <w:szCs w:val="12"/>
          <w:color w:val="auto"/>
        </w:rPr>
        <w:t>outlook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Business Segments:</w:t>
      </w:r>
    </w:p>
    <w:p>
      <w:pPr>
        <w:spacing w:after="0" w:line="154" w:lineRule="exact"/>
        <w:rPr>
          <w:sz w:val="20"/>
          <w:szCs w:val="20"/>
          <w:color w:val="auto"/>
        </w:rPr>
      </w:pPr>
    </w:p>
    <w:p>
      <w:pPr>
        <w:ind w:firstLine="521"/>
        <w:spacing w:after="0" w:line="380" w:lineRule="auto"/>
        <w:rPr>
          <w:sz w:val="20"/>
          <w:szCs w:val="20"/>
          <w:color w:val="auto"/>
        </w:rPr>
      </w:pPr>
      <w:r>
        <w:rPr>
          <w:rFonts w:ascii="Arial" w:cs="Arial" w:eastAsia="Arial" w:hAnsi="Arial"/>
          <w:sz w:val="10"/>
          <w:szCs w:val="10"/>
          <w:color w:val="auto"/>
        </w:rPr>
        <w:t>The Company executes and reports in three reportable segments focused on attractive end markets. Each segment is aligned to generate profitable growth for the Company across a targeted industry with a compelling technology and solution set to benefit customers. Additionally, we seek to protect and deepen our end user relationships by expanding our aftermarket services with long-term service contracts that deliver a full life-cycle of customer support.</w:t>
      </w:r>
    </w:p>
    <w:p>
      <w:pPr>
        <w:spacing w:after="0" w:line="136" w:lineRule="exact"/>
        <w:rPr>
          <w:sz w:val="20"/>
          <w:szCs w:val="20"/>
          <w:color w:val="auto"/>
        </w:rPr>
      </w:pPr>
    </w:p>
    <w:p>
      <w:pPr>
        <w:ind w:left="740" w:right="460" w:hanging="370"/>
        <w:spacing w:after="0" w:line="388" w:lineRule="auto"/>
        <w:tabs>
          <w:tab w:leader="none" w:pos="740" w:val="left"/>
        </w:tabs>
        <w:numPr>
          <w:ilvl w:val="0"/>
          <w:numId w:val="6"/>
        </w:numPr>
        <w:rPr>
          <w:rFonts w:ascii="Arial" w:cs="Arial" w:eastAsia="Arial" w:hAnsi="Arial"/>
          <w:sz w:val="10"/>
          <w:szCs w:val="10"/>
          <w:color w:val="auto"/>
        </w:rPr>
      </w:pPr>
      <w:r>
        <w:rPr>
          <w:rFonts w:ascii="Arial" w:cs="Arial" w:eastAsia="Arial" w:hAnsi="Arial"/>
          <w:sz w:val="10"/>
          <w:szCs w:val="10"/>
          <w:b w:val="1"/>
          <w:bCs w:val="1"/>
          <w:color w:val="auto"/>
        </w:rPr>
        <w:t xml:space="preserve">Energy Solutions segment: </w:t>
      </w:r>
      <w:r>
        <w:rPr>
          <w:rFonts w:ascii="Arial" w:cs="Arial" w:eastAsia="Arial" w:hAnsi="Arial"/>
          <w:sz w:val="10"/>
          <w:szCs w:val="10"/>
          <w:color w:val="auto"/>
        </w:rPr>
        <w:t>Serves the energy market, where we are a key part of helping meet the global demand for clean energy with products and services that support our customers with efficient solutions and</w:t>
      </w:r>
      <w:r>
        <w:rPr>
          <w:rFonts w:ascii="Arial" w:cs="Arial" w:eastAsia="Arial" w:hAnsi="Arial"/>
          <w:sz w:val="10"/>
          <w:szCs w:val="10"/>
          <w:b w:val="1"/>
          <w:bCs w:val="1"/>
          <w:color w:val="auto"/>
        </w:rPr>
        <w:t xml:space="preserve"> </w:t>
      </w:r>
      <w:r>
        <w:rPr>
          <w:rFonts w:ascii="Arial" w:cs="Arial" w:eastAsia="Arial" w:hAnsi="Arial"/>
          <w:sz w:val="10"/>
          <w:szCs w:val="10"/>
          <w:color w:val="auto"/>
        </w:rPr>
        <w:t>technologies to keep the world clean and safe. Our offerings improve air quality with market leading, highly engineered, and customized solutions for the power generation, oil &amp; gas, and petrochemical industries.</w:t>
      </w:r>
    </w:p>
    <w:p>
      <w:pPr>
        <w:spacing w:after="0" w:line="60" w:lineRule="exact"/>
        <w:rPr>
          <w:rFonts w:ascii="Arial" w:cs="Arial" w:eastAsia="Arial" w:hAnsi="Arial"/>
          <w:sz w:val="10"/>
          <w:szCs w:val="10"/>
          <w:color w:val="auto"/>
        </w:rPr>
      </w:pPr>
    </w:p>
    <w:p>
      <w:pPr>
        <w:ind w:left="740" w:right="80" w:hanging="370"/>
        <w:spacing w:after="0" w:line="267" w:lineRule="auto"/>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Industrial Solutions segment: </w:t>
      </w:r>
      <w:r>
        <w:rPr>
          <w:rFonts w:ascii="Arial" w:cs="Arial" w:eastAsia="Arial" w:hAnsi="Arial"/>
          <w:sz w:val="12"/>
          <w:szCs w:val="12"/>
          <w:color w:val="auto"/>
        </w:rPr>
        <w:t>Serves the industrial pollution control market where our aim is to address the growing need to protect the air we breathe and help our customers’ desires for sustainability upgrades beyond</w:t>
      </w:r>
      <w:r>
        <w:rPr>
          <w:rFonts w:ascii="Arial" w:cs="Arial" w:eastAsia="Arial" w:hAnsi="Arial"/>
          <w:sz w:val="12"/>
          <w:szCs w:val="12"/>
          <w:b w:val="1"/>
          <w:bCs w:val="1"/>
          <w:color w:val="auto"/>
        </w:rPr>
        <w:t xml:space="preserve"> </w:t>
      </w:r>
      <w:r>
        <w:rPr>
          <w:rFonts w:ascii="Arial" w:cs="Arial" w:eastAsia="Arial" w:hAnsi="Arial"/>
          <w:sz w:val="12"/>
          <w:szCs w:val="12"/>
          <w:color w:val="auto"/>
        </w:rPr>
        <w:t>carbon footprint issues. Our offerings improve air quality with a compelling solution set of air pollution control technologies that enable our customers to reduce their carbon footprint, lower energy consumption, minimize waste and meet compliance targets for toxic emissions, fumes, volatile organic compounds, and industrial odors.</w:t>
      </w:r>
    </w:p>
    <w:p>
      <w:pPr>
        <w:spacing w:after="0" w:line="115" w:lineRule="exact"/>
        <w:rPr>
          <w:rFonts w:ascii="Arial" w:cs="Arial" w:eastAsia="Arial" w:hAnsi="Arial"/>
          <w:sz w:val="12"/>
          <w:szCs w:val="12"/>
          <w:color w:val="auto"/>
        </w:rPr>
      </w:pPr>
    </w:p>
    <w:p>
      <w:pPr>
        <w:ind w:left="740" w:right="40" w:hanging="370"/>
        <w:spacing w:after="0" w:line="267" w:lineRule="auto"/>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Fluid Handling Solutions segment: </w:t>
      </w:r>
      <w:r>
        <w:rPr>
          <w:rFonts w:ascii="Arial" w:cs="Arial" w:eastAsia="Arial" w:hAnsi="Arial"/>
          <w:sz w:val="12"/>
          <w:szCs w:val="12"/>
          <w:color w:val="auto"/>
        </w:rPr>
        <w:t>Offers unique pump and filtration solutions that maintain safe and clean operations in some of the most harsh and toxic environments. In this market, we provide solutions for mission-critical applications to a wide variety of industries including, but not limited to, plating and metal finishing, food and beverage, chemical, petrochemical, pharmaceutical, wastewater treatment, desalination and the aquarium &amp; aquaculture markets.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Competitive Strengths</w:t>
      </w:r>
    </w:p>
    <w:p>
      <w:pPr>
        <w:spacing w:after="0" w:line="78" w:lineRule="exact"/>
        <w:rPr>
          <w:sz w:val="20"/>
          <w:szCs w:val="20"/>
          <w:color w:val="auto"/>
        </w:rPr>
      </w:pPr>
    </w:p>
    <w:p>
      <w:pPr>
        <w:ind w:right="140" w:firstLine="521"/>
        <w:spacing w:after="0" w:line="259" w:lineRule="auto"/>
        <w:rPr>
          <w:sz w:val="20"/>
          <w:szCs w:val="20"/>
          <w:color w:val="auto"/>
        </w:rPr>
      </w:pPr>
      <w:r>
        <w:rPr>
          <w:rFonts w:ascii="Arial" w:cs="Arial" w:eastAsia="Arial" w:hAnsi="Arial"/>
          <w:sz w:val="12"/>
          <w:szCs w:val="12"/>
          <w:i w:val="1"/>
          <w:iCs w:val="1"/>
          <w:color w:val="auto"/>
        </w:rPr>
        <w:t>Leading market position as a complete solution provider</w:t>
      </w:r>
      <w:r>
        <w:rPr>
          <w:rFonts w:ascii="Arial" w:cs="Arial" w:eastAsia="Arial" w:hAnsi="Arial"/>
          <w:sz w:val="12"/>
          <w:szCs w:val="12"/>
          <w:color w:val="auto"/>
        </w:rPr>
        <w:t>. We believe we are a leading provider of critical solutions in industrial air quality and fluid handling. The multi-billion dollar global market is highly fragmented with</w:t>
      </w:r>
      <w:r>
        <w:rPr>
          <w:rFonts w:ascii="Arial" w:cs="Arial" w:eastAsia="Arial" w:hAnsi="Arial"/>
          <w:sz w:val="12"/>
          <w:szCs w:val="12"/>
          <w:i w:val="1"/>
          <w:iCs w:val="1"/>
          <w:color w:val="auto"/>
        </w:rPr>
        <w:t xml:space="preserve"> </w:t>
      </w:r>
      <w:r>
        <w:rPr>
          <w:rFonts w:ascii="Arial" w:cs="Arial" w:eastAsia="Arial" w:hAnsi="Arial"/>
          <w:sz w:val="12"/>
          <w:szCs w:val="12"/>
          <w:color w:val="auto"/>
        </w:rPr>
        <w:t>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25" w:lineRule="exact"/>
        <w:rPr>
          <w:sz w:val="20"/>
          <w:szCs w:val="20"/>
          <w:color w:val="auto"/>
        </w:rPr>
      </w:pPr>
    </w:p>
    <w:p>
      <w:pPr>
        <w:jc w:val="both"/>
        <w:ind w:right="100" w:firstLine="521"/>
        <w:spacing w:after="0" w:line="259" w:lineRule="auto"/>
        <w:rPr>
          <w:sz w:val="20"/>
          <w:szCs w:val="20"/>
          <w:color w:val="auto"/>
        </w:rPr>
      </w:pPr>
      <w:r>
        <w:rPr>
          <w:rFonts w:ascii="Arial" w:cs="Arial" w:eastAsia="Arial" w:hAnsi="Arial"/>
          <w:sz w:val="12"/>
          <w:szCs w:val="12"/>
          <w:i w:val="1"/>
          <w:iCs w:val="1"/>
          <w:color w:val="auto"/>
        </w:rPr>
        <w:t>Long-standing experience and customer relationships in growing industry</w:t>
      </w:r>
      <w:r>
        <w:rPr>
          <w:rFonts w:ascii="Arial" w:cs="Arial" w:eastAsia="Arial" w:hAnsi="Arial"/>
          <w:sz w:val="12"/>
          <w:szCs w:val="12"/>
          <w:color w:val="auto"/>
        </w:rPr>
        <w:t>. We have serviced the needs of our target markets for over 50 years. Our extensive experience and expertise in providing diversified solutions enhances</w:t>
      </w:r>
      <w:r>
        <w:rPr>
          <w:rFonts w:ascii="Arial" w:cs="Arial" w:eastAsia="Arial" w:hAnsi="Arial"/>
          <w:sz w:val="12"/>
          <w:szCs w:val="12"/>
          <w:i w:val="1"/>
          <w:iCs w:val="1"/>
          <w:color w:val="auto"/>
        </w:rPr>
        <w:t xml:space="preserve"> </w:t>
      </w:r>
      <w:r>
        <w:rPr>
          <w:rFonts w:ascii="Arial" w:cs="Arial" w:eastAsia="Arial" w:hAnsi="Arial"/>
          <w:sz w:val="12"/>
          <w:szCs w:val="12"/>
          <w:color w:val="auto"/>
        </w:rPr>
        <w:t>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25" w:lineRule="exact"/>
        <w:rPr>
          <w:sz w:val="20"/>
          <w:szCs w:val="20"/>
          <w:color w:val="auto"/>
        </w:rPr>
      </w:pPr>
    </w:p>
    <w:p>
      <w:pPr>
        <w:ind w:right="420" w:firstLine="521"/>
        <w:spacing w:after="0" w:line="276" w:lineRule="auto"/>
        <w:rPr>
          <w:sz w:val="20"/>
          <w:szCs w:val="20"/>
          <w:color w:val="auto"/>
        </w:rPr>
      </w:pPr>
      <w:r>
        <w:rPr>
          <w:rFonts w:ascii="Arial" w:cs="Arial" w:eastAsia="Arial" w:hAnsi="Arial"/>
          <w:sz w:val="12"/>
          <w:szCs w:val="12"/>
          <w:i w:val="1"/>
          <w:iCs w:val="1"/>
          <w:color w:val="auto"/>
        </w:rPr>
        <w:t xml:space="preserve">Global diversification and broad customer base. </w:t>
      </w:r>
      <w:r>
        <w:rPr>
          <w:rFonts w:ascii="Arial" w:cs="Arial" w:eastAsia="Arial" w:hAnsi="Arial"/>
          <w:sz w:val="12"/>
          <w:szCs w:val="12"/>
          <w:color w:val="auto"/>
        </w:rPr>
        <w:t>The global diversity of our operations and customer base provides us with multiple growth opportunities. As of December 31, 2018, we had a diversified customer base of</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4,200 active customers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43" w:right="19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2"/>
          <w:szCs w:val="12"/>
          <w:color w:val="auto"/>
        </w:rPr>
        <w:t>across a range of industries. Our customers represent some of the largest refineries, power, chemical processes, metals and minerals, energy market and industrial manufacturing companies. We believe that the diversity of our customers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125" w:lineRule="exact"/>
        <w:rPr>
          <w:sz w:val="20"/>
          <w:szCs w:val="20"/>
          <w:color w:val="auto"/>
        </w:rPr>
      </w:pPr>
    </w:p>
    <w:p>
      <w:pPr>
        <w:ind w:right="140" w:firstLine="521"/>
        <w:spacing w:after="0" w:line="290" w:lineRule="auto"/>
        <w:rPr>
          <w:sz w:val="20"/>
          <w:szCs w:val="20"/>
          <w:color w:val="auto"/>
        </w:rPr>
      </w:pPr>
      <w:r>
        <w:rPr>
          <w:rFonts w:ascii="Arial" w:cs="Arial" w:eastAsia="Arial" w:hAnsi="Arial"/>
          <w:sz w:val="11"/>
          <w:szCs w:val="11"/>
          <w:i w:val="1"/>
          <w:iCs w:val="1"/>
          <w:color w:val="auto"/>
        </w:rPr>
        <w:t xml:space="preserve">Experienced management and engineering team. </w:t>
      </w:r>
      <w:r>
        <w:rPr>
          <w:rFonts w:ascii="Arial" w:cs="Arial" w:eastAsia="Arial" w:hAnsi="Arial"/>
          <w:sz w:val="11"/>
          <w:szCs w:val="11"/>
          <w:color w:val="auto"/>
        </w:rPr>
        <w:t>Our senior management team has substantial experience in industrial air quality and fluid handling solutions. The business experience of our management team enables us to</w:t>
      </w:r>
      <w:r>
        <w:rPr>
          <w:rFonts w:ascii="Arial" w:cs="Arial" w:eastAsia="Arial" w:hAnsi="Arial"/>
          <w:sz w:val="11"/>
          <w:szCs w:val="11"/>
          <w:i w:val="1"/>
          <w:iCs w:val="1"/>
          <w:color w:val="auto"/>
        </w:rPr>
        <w:t xml:space="preserve"> </w:t>
      </w:r>
      <w:r>
        <w:rPr>
          <w:rFonts w:ascii="Arial" w:cs="Arial" w:eastAsia="Arial" w:hAnsi="Arial"/>
          <w:sz w:val="11"/>
          <w:szCs w:val="11"/>
          <w:color w:val="auto"/>
        </w:rPr>
        <w:t>pursue our strategy. Our senior management team is supported by a strong operating management team, which possesses extensive operational and managerial experience. Our workforce includes approximately 200 engineers, designers, and project managers whose significant specialized industry experience and technical expertise enables them to have a deep understanding of the solutions that will best suit the needs of our customers. The experience and stability of our management, operating and engineering teams have been crucial to our growth, developing and maintaining customer relationships, and increasing our market share.</w:t>
      </w:r>
    </w:p>
    <w:p>
      <w:pPr>
        <w:spacing w:after="0" w:line="109" w:lineRule="exact"/>
        <w:rPr>
          <w:sz w:val="20"/>
          <w:szCs w:val="20"/>
          <w:color w:val="auto"/>
        </w:rPr>
      </w:pPr>
    </w:p>
    <w:p>
      <w:pPr>
        <w:ind w:right="240" w:firstLine="521"/>
        <w:spacing w:after="0" w:line="263" w:lineRule="auto"/>
        <w:rPr>
          <w:sz w:val="20"/>
          <w:szCs w:val="20"/>
          <w:color w:val="auto"/>
        </w:rPr>
      </w:pPr>
      <w:r>
        <w:rPr>
          <w:rFonts w:ascii="Arial" w:cs="Arial" w:eastAsia="Arial" w:hAnsi="Arial"/>
          <w:sz w:val="12"/>
          <w:szCs w:val="12"/>
          <w:i w:val="1"/>
          <w:iCs w:val="1"/>
          <w:color w:val="auto"/>
        </w:rPr>
        <w:t>Expand customer base and penetrate end markets through global market coverage</w:t>
      </w:r>
      <w:r>
        <w:rPr>
          <w:rFonts w:ascii="Arial" w:cs="Arial" w:eastAsia="Arial" w:hAnsi="Arial"/>
          <w:sz w:val="12"/>
          <w:szCs w:val="12"/>
          <w:color w:val="auto"/>
        </w:rPr>
        <w:t>. We constantly look for opportunities to gain new customers and penetrate geographic locations and end markets with existing products and</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or acquire new product or service opportunities. We intend to continue to expand our sales force, customer base, and end markets, and have continued to pursue potential attractive growth opportunities both domestically and globally, including international projects in Asia, South America, and EMEA.</w:t>
      </w:r>
    </w:p>
    <w:p>
      <w:pPr>
        <w:spacing w:after="0" w:line="123" w:lineRule="exact"/>
        <w:rPr>
          <w:sz w:val="20"/>
          <w:szCs w:val="20"/>
          <w:color w:val="auto"/>
        </w:rPr>
      </w:pPr>
    </w:p>
    <w:p>
      <w:pPr>
        <w:ind w:right="200" w:firstLine="521"/>
        <w:spacing w:after="0" w:line="298" w:lineRule="auto"/>
        <w:rPr>
          <w:sz w:val="20"/>
          <w:szCs w:val="20"/>
          <w:color w:val="auto"/>
        </w:rPr>
      </w:pPr>
      <w:r>
        <w:rPr>
          <w:rFonts w:ascii="Arial" w:cs="Arial" w:eastAsia="Arial" w:hAnsi="Arial"/>
          <w:sz w:val="11"/>
          <w:szCs w:val="11"/>
          <w:i w:val="1"/>
          <w:iCs w:val="1"/>
          <w:color w:val="auto"/>
        </w:rPr>
        <w:t>Develop innovative solutions</w:t>
      </w:r>
      <w:r>
        <w:rPr>
          <w:rFonts w:ascii="Arial" w:cs="Arial" w:eastAsia="Arial" w:hAnsi="Arial"/>
          <w:sz w:val="11"/>
          <w:szCs w:val="11"/>
          <w:color w:val="auto"/>
        </w:rPr>
        <w:t>. We intend to continue to leverage our engineering and manufacturing expertise and strong customer relationships to develop new customized products to address the identified needs of our</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customers or a particular end market. We thoroughly analyze new product opportunities by considering projected demand for the product or service, price point, and expected operating costs, and only pursue those opportunities that we believe will contribute to earnings growth in the near-term. In addition, we continually improve our traditional technologies and adapt them to new industries and processes.</w:t>
      </w:r>
    </w:p>
    <w:p>
      <w:pPr>
        <w:spacing w:after="0" w:line="105" w:lineRule="exact"/>
        <w:rPr>
          <w:sz w:val="20"/>
          <w:szCs w:val="20"/>
          <w:color w:val="auto"/>
        </w:rPr>
      </w:pPr>
    </w:p>
    <w:p>
      <w:pPr>
        <w:ind w:right="200" w:firstLine="521"/>
        <w:spacing w:after="0" w:line="276" w:lineRule="auto"/>
        <w:rPr>
          <w:sz w:val="20"/>
          <w:szCs w:val="20"/>
          <w:color w:val="auto"/>
        </w:rPr>
      </w:pPr>
      <w:r>
        <w:rPr>
          <w:rFonts w:ascii="Arial" w:cs="Arial" w:eastAsia="Arial" w:hAnsi="Arial"/>
          <w:sz w:val="12"/>
          <w:szCs w:val="12"/>
          <w:i w:val="1"/>
          <w:iCs w:val="1"/>
          <w:color w:val="auto"/>
        </w:rPr>
        <w:t>Maintain strong customer focus</w:t>
      </w:r>
      <w:r>
        <w:rPr>
          <w:rFonts w:ascii="Arial" w:cs="Arial" w:eastAsia="Arial" w:hAnsi="Arial"/>
          <w:sz w:val="12"/>
          <w:szCs w:val="12"/>
          <w:color w:val="auto"/>
        </w:rPr>
        <w:t>. We enjoy a diversified customer base of approximately 4,200 active customers across a broad base of industries, including power, municipalities, chemical, industrial manufacturing, refining,</w:t>
      </w:r>
      <w:r>
        <w:rPr>
          <w:rFonts w:ascii="Arial" w:cs="Arial" w:eastAsia="Arial" w:hAnsi="Arial"/>
          <w:sz w:val="12"/>
          <w:szCs w:val="12"/>
          <w:i w:val="1"/>
          <w:iCs w:val="1"/>
          <w:color w:val="auto"/>
        </w:rPr>
        <w:t xml:space="preserve"> </w:t>
      </w:r>
      <w:r>
        <w:rPr>
          <w:rFonts w:ascii="Arial" w:cs="Arial" w:eastAsia="Arial" w:hAnsi="Arial"/>
          <w:sz w:val="12"/>
          <w:szCs w:val="12"/>
          <w:color w:val="auto"/>
        </w:rPr>
        <w:t>petrochemical, metals, minerals and mining, hospitals and universities. We believe that there are multiple opportunities for us to expand our penetration of existing markets and customers.</w:t>
      </w:r>
    </w:p>
    <w:p>
      <w:pPr>
        <w:spacing w:after="0" w:line="115" w:lineRule="exact"/>
        <w:rPr>
          <w:sz w:val="20"/>
          <w:szCs w:val="20"/>
          <w:color w:val="auto"/>
        </w:rPr>
      </w:pPr>
    </w:p>
    <w:p>
      <w:pPr>
        <w:ind w:right="100" w:firstLine="521"/>
        <w:spacing w:after="0" w:line="298" w:lineRule="auto"/>
        <w:rPr>
          <w:sz w:val="20"/>
          <w:szCs w:val="20"/>
          <w:color w:val="auto"/>
        </w:rPr>
      </w:pPr>
      <w:r>
        <w:rPr>
          <w:rFonts w:ascii="Arial" w:cs="Arial" w:eastAsia="Arial" w:hAnsi="Arial"/>
          <w:sz w:val="11"/>
          <w:szCs w:val="11"/>
          <w:i w:val="1"/>
          <w:iCs w:val="1"/>
          <w:color w:val="auto"/>
        </w:rPr>
        <w:t>Disciplined acquisition program with successful integration</w:t>
      </w:r>
      <w:r>
        <w:rPr>
          <w:rFonts w:ascii="Arial" w:cs="Arial" w:eastAsia="Arial" w:hAnsi="Arial"/>
          <w:sz w:val="11"/>
          <w:szCs w:val="11"/>
          <w:color w:val="auto"/>
        </w:rPr>
        <w:t>. We believe that we have demonstrated an ability to successfully acquire and integrate companies with complementary product or service offerings. We will continue</w:t>
      </w:r>
      <w:r>
        <w:rPr>
          <w:rFonts w:ascii="Arial" w:cs="Arial" w:eastAsia="Arial" w:hAnsi="Arial"/>
          <w:sz w:val="11"/>
          <w:szCs w:val="11"/>
          <w:i w:val="1"/>
          <w:iCs w:val="1"/>
          <w:color w:val="auto"/>
        </w:rPr>
        <w:t xml:space="preserve"> </w:t>
      </w:r>
      <w:r>
        <w:rPr>
          <w:rFonts w:ascii="Arial" w:cs="Arial" w:eastAsia="Arial" w:hAnsi="Arial"/>
          <w:sz w:val="11"/>
          <w:szCs w:val="11"/>
          <w:color w:val="auto"/>
        </w:rPr>
        <w:t>to seek and execute additional strategic acquisitions and focus on expanding our product service and breadth, as well as entering into new adjacent markets. We believe that the breadth and diversity of our products and services and our ability to deliver full solutions to various end markets provides us with multiple sources of stable growth and a competitive advantage relative to other players in the industry.</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Products and Services</w:t>
      </w:r>
    </w:p>
    <w:p>
      <w:pPr>
        <w:spacing w:after="0" w:line="78" w:lineRule="exact"/>
        <w:rPr>
          <w:sz w:val="20"/>
          <w:szCs w:val="20"/>
          <w:color w:val="auto"/>
        </w:rPr>
      </w:pPr>
    </w:p>
    <w:p>
      <w:pPr>
        <w:jc w:val="both"/>
        <w:ind w:right="220" w:firstLine="521"/>
        <w:spacing w:after="0" w:line="340" w:lineRule="auto"/>
        <w:rPr>
          <w:sz w:val="20"/>
          <w:szCs w:val="20"/>
          <w:color w:val="auto"/>
        </w:rPr>
      </w:pPr>
      <w:r>
        <w:rPr>
          <w:rFonts w:ascii="Arial" w:cs="Arial" w:eastAsia="Arial" w:hAnsi="Arial"/>
          <w:sz w:val="10"/>
          <w:szCs w:val="10"/>
          <w:color w:val="auto"/>
        </w:rPr>
        <w:t>We believe we are a leading provider of critical solutions in industrial air quality and fluid handling. We focus on engineering, designing, building, and installing systems that capture, clean and destroy airborne contaminants from industrial facilities as well as equipment that control emissions from such facilities, as well as fluid handling and filtration systems. We provide a wide spectrum of products and services including dampers and diverters, selective catalytic reduction and selective non-catalytic reduction systems, cyclonic technology, thermal oxidizers, filtration systems, scrubbers, fluid handling equipment and plant engineering services and engineered design build fabrication.</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Project Design and Research and Development</w:t>
      </w:r>
    </w:p>
    <w:p>
      <w:pPr>
        <w:spacing w:after="0" w:line="78"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We seek to achieve our Outside-In Leadership by understanding our customers’ needs and delivering better outcomes for them by focusing new product development efforts that help protect our shared environment while working to improve a variety of operational outcomes including, but not limited to, facility uptime, production quality, and process performance. We produce specialized products that are often tailored to the specifications of a customer or application.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 w:name="page8"/>
    <w:bookmarkEnd w:id="7"/>
    <w:p>
      <w:pPr>
        <w:ind w:firstLine="766"/>
        <w:spacing w:after="0" w:line="263" w:lineRule="auto"/>
        <w:rPr>
          <w:sz w:val="20"/>
          <w:szCs w:val="20"/>
          <w:color w:val="auto"/>
        </w:rPr>
      </w:pPr>
      <w:r>
        <w:rPr>
          <w:rFonts w:ascii="Arial" w:cs="Arial" w:eastAsia="Arial" w:hAnsi="Arial"/>
          <w:sz w:val="12"/>
          <w:szCs w:val="12"/>
          <w:color w:val="auto"/>
        </w:rPr>
        <w:t>We continually collaborate with our customers on their projects to develop the proper solution and ensure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Sales, Marketing and Support</w:t>
      </w:r>
    </w:p>
    <w:p>
      <w:pPr>
        <w:spacing w:after="0" w:line="78" w:lineRule="exact"/>
        <w:rPr>
          <w:sz w:val="20"/>
          <w:szCs w:val="20"/>
          <w:color w:val="auto"/>
        </w:rPr>
      </w:pPr>
    </w:p>
    <w:p>
      <w:pPr>
        <w:ind w:right="100" w:firstLine="521"/>
        <w:spacing w:after="0" w:line="286" w:lineRule="auto"/>
        <w:rPr>
          <w:sz w:val="20"/>
          <w:szCs w:val="20"/>
          <w:color w:val="auto"/>
        </w:rPr>
      </w:pPr>
      <w:r>
        <w:rPr>
          <w:rFonts w:ascii="Arial" w:cs="Arial" w:eastAsia="Arial" w:hAnsi="Arial"/>
          <w:sz w:val="11"/>
          <w:szCs w:val="11"/>
          <w:color w:val="auto"/>
        </w:rPr>
        <w:t>Our global selling strategy is to provide a solutions-based approach by being a single source provider of technology products and services. The strategy involves expanding our scope of products and services through selective acquisitions and the formation and integration of new business units. We believe this strategy provides a discernible competitive advantage. We execute this strategy by utilizing our portfolio of in-house technologies and those of third-party equipment suppliers. Many of these have been long-standing relationships, which have evolved from pure supplier roles to value-added business partnerships. This enables us to leverage existing business with selective alliances of suppliers and application specific engineering expertise. Our products primarily compete on the basis of price, performance, speed of delivery, quality, customer support, and single source. Our value proposition to customers is to provide competitively priced, customized solutions. Our industry-specific knowledge, accompanied by our product and service offerings, provides valuable synergies for design innovation.</w:t>
      </w:r>
    </w:p>
    <w:p>
      <w:pPr>
        <w:spacing w:after="0" w:line="111"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We sell and market our products and services with our own direct sales force, including employees in the United States, the Netherlands, United Kingdom, Canada, United Arab Emirates, India, Mexico, China, and Singapore, in conjunction with outside sales representatives in North America, South America, EMEA, Asia, and India. We expect to continue expanding our sales and support capabilities and our network of outside sales representatives in key regions domestically and internationally.</w:t>
      </w:r>
    </w:p>
    <w:p>
      <w:pPr>
        <w:spacing w:after="0" w:line="123" w:lineRule="exact"/>
        <w:rPr>
          <w:sz w:val="20"/>
          <w:szCs w:val="20"/>
          <w:color w:val="auto"/>
        </w:rPr>
      </w:pPr>
    </w:p>
    <w:p>
      <w:pPr>
        <w:ind w:right="20" w:firstLine="521"/>
        <w:spacing w:after="0" w:line="323" w:lineRule="auto"/>
        <w:rPr>
          <w:sz w:val="20"/>
          <w:szCs w:val="20"/>
          <w:color w:val="auto"/>
        </w:rPr>
      </w:pPr>
      <w:r>
        <w:rPr>
          <w:rFonts w:ascii="Arial" w:cs="Arial" w:eastAsia="Arial" w:hAnsi="Arial"/>
          <w:sz w:val="11"/>
          <w:szCs w:val="11"/>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92" w:lineRule="exact"/>
        <w:rPr>
          <w:sz w:val="20"/>
          <w:szCs w:val="20"/>
          <w:color w:val="auto"/>
        </w:rPr>
      </w:pPr>
    </w:p>
    <w:p>
      <w:pPr>
        <w:ind w:right="220" w:firstLine="521"/>
        <w:spacing w:after="0" w:line="259" w:lineRule="auto"/>
        <w:rPr>
          <w:sz w:val="20"/>
          <w:szCs w:val="20"/>
          <w:color w:val="auto"/>
        </w:rPr>
      </w:pPr>
      <w:r>
        <w:rPr>
          <w:rFonts w:ascii="Arial" w:cs="Arial" w:eastAsia="Arial" w:hAnsi="Arial"/>
          <w:sz w:val="12"/>
          <w:szCs w:val="12"/>
          <w:color w:val="auto"/>
        </w:rPr>
        <w:t>Our customer service organization or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Quality Assurance</w:t>
      </w:r>
    </w:p>
    <w:p>
      <w:pPr>
        <w:spacing w:after="0" w:line="78" w:lineRule="exact"/>
        <w:rPr>
          <w:sz w:val="20"/>
          <w:szCs w:val="20"/>
          <w:color w:val="auto"/>
        </w:rPr>
      </w:pPr>
    </w:p>
    <w:p>
      <w:pPr>
        <w:jc w:val="both"/>
        <w:ind w:right="100" w:firstLine="521"/>
        <w:spacing w:after="0" w:line="263" w:lineRule="auto"/>
        <w:rPr>
          <w:sz w:val="20"/>
          <w:szCs w:val="20"/>
          <w:color w:val="auto"/>
        </w:rPr>
      </w:pPr>
      <w:r>
        <w:rPr>
          <w:rFonts w:ascii="Arial" w:cs="Arial" w:eastAsia="Arial" w:hAnsi="Arial"/>
          <w:sz w:val="12"/>
          <w:szCs w:val="12"/>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Customers</w:t>
      </w:r>
    </w:p>
    <w:p>
      <w:pPr>
        <w:spacing w:after="0" w:line="78" w:lineRule="exact"/>
        <w:rPr>
          <w:sz w:val="20"/>
          <w:szCs w:val="20"/>
          <w:color w:val="auto"/>
        </w:rPr>
      </w:pPr>
    </w:p>
    <w:p>
      <w:pPr>
        <w:ind w:right="260" w:firstLine="521"/>
        <w:spacing w:after="0" w:line="276" w:lineRule="auto"/>
        <w:rPr>
          <w:sz w:val="20"/>
          <w:szCs w:val="20"/>
          <w:color w:val="auto"/>
        </w:rPr>
      </w:pPr>
      <w:r>
        <w:rPr>
          <w:rFonts w:ascii="Arial" w:cs="Arial" w:eastAsia="Arial" w:hAnsi="Arial"/>
          <w:sz w:val="12"/>
          <w:szCs w:val="12"/>
          <w:color w:val="auto"/>
        </w:rPr>
        <w:t>We are not dependent upon any single customer, and no customer comprised 10% or more of our consolidated revenues for 2018, 2017 or 2016. We do not believe the loss of any one of our customers would have a material adverse effect on us.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Suppliers and Subcontractors</w:t>
      </w:r>
    </w:p>
    <w:p>
      <w:pPr>
        <w:spacing w:after="0" w:line="78" w:lineRule="exact"/>
        <w:rPr>
          <w:sz w:val="20"/>
          <w:szCs w:val="20"/>
          <w:color w:val="auto"/>
        </w:rPr>
      </w:pPr>
    </w:p>
    <w:p>
      <w:pPr>
        <w:jc w:val="both"/>
        <w:ind w:right="100" w:firstLine="521"/>
        <w:spacing w:after="0" w:line="263" w:lineRule="auto"/>
        <w:rPr>
          <w:sz w:val="20"/>
          <w:szCs w:val="20"/>
          <w:color w:val="auto"/>
        </w:rPr>
      </w:pPr>
      <w:r>
        <w:rPr>
          <w:rFonts w:ascii="Arial" w:cs="Arial" w:eastAsia="Arial" w:hAnsi="Arial"/>
          <w:sz w:val="12"/>
          <w:szCs w:val="12"/>
          <w:color w:val="auto"/>
        </w:rPr>
        <w:t>We purchase our raw materials and supplies from a variety of global sources. When possible, we directly secure angle iron and sheet plate products from steel mills, whereas other materials are purchased from a variety of steel service centers. Steel prices have traditionally been volatile, but we typically mitigate the risk of higher prices by including a “surcharge” on our standard products. On contract work, we mitigate the risk of higher prices by including the current price in our estimate and generally include price inflation clauses for protection.</w:t>
      </w:r>
    </w:p>
    <w:p>
      <w:pPr>
        <w:spacing w:after="0" w:line="123" w:lineRule="exact"/>
        <w:rPr>
          <w:sz w:val="20"/>
          <w:szCs w:val="20"/>
          <w:color w:val="auto"/>
        </w:rPr>
      </w:pPr>
    </w:p>
    <w:p>
      <w:pPr>
        <w:ind w:firstLine="521"/>
        <w:spacing w:after="0" w:line="323" w:lineRule="auto"/>
        <w:rPr>
          <w:sz w:val="20"/>
          <w:szCs w:val="20"/>
          <w:color w:val="auto"/>
        </w:rPr>
      </w:pPr>
      <w:r>
        <w:rPr>
          <w:rFonts w:ascii="Arial" w:cs="Arial" w:eastAsia="Arial" w:hAnsi="Arial"/>
          <w:sz w:val="11"/>
          <w:szCs w:val="11"/>
          <w:color w:val="auto"/>
        </w:rPr>
        <w:t>We believe we have a good relationship with our suppliers and do not anticipate any difficulty in continuing to purchase such items on terms acceptable to us. We have not experienced difficulty in procuring a sufficient supply of materials in the past. To the extent that our current suppliers are unable or unwilling to continue to supply us with materials, we believe that we would be able to obtain such materials from other suppliers on acceptable terms.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8" w:name="page9"/>
    <w:bookmarkEnd w:id="8"/>
    <w:p>
      <w:pPr>
        <w:ind w:right="20" w:firstLine="521"/>
        <w:spacing w:after="0" w:line="259" w:lineRule="auto"/>
        <w:rPr>
          <w:sz w:val="20"/>
          <w:szCs w:val="20"/>
          <w:color w:val="auto"/>
        </w:rPr>
      </w:pPr>
      <w:r>
        <w:rPr>
          <w:rFonts w:ascii="Arial" w:cs="Arial" w:eastAsia="Arial" w:hAnsi="Arial"/>
          <w:sz w:val="12"/>
          <w:szCs w:val="12"/>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The Company’s asset-light business model focuses on effective management of subcontractors, which allows the Company to achieve targeted working capital levels through reduction in certain assets and reduced capital expenditures.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Backlog</w:t>
      </w:r>
    </w:p>
    <w:p>
      <w:pPr>
        <w:spacing w:after="0" w:line="78"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Backlog is a representation of the amount of revenue expected from complete performance of firm fixed-price contracts that have not been completed for products and services we expect to substantially deliver within the next 12 to 18 months. Our customers may have the right to cancel a given order, although historically cancellations have been rare. Backlog increased to $182.1 million as of December 31, 2018 from $168.9 million as of December 31, 2017. Substantially all 2017 backlog was completed in 2018. Most of the 2018 backlog is expected to be completed in 2019. Backlog is not defined by United States generally accepted accounting principles (“GAAP”) and our methodology for calculating backlog may not be consistent with methodologies used by other companies.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Competition</w:t>
      </w:r>
    </w:p>
    <w:p>
      <w:pPr>
        <w:spacing w:after="0" w:line="78" w:lineRule="exact"/>
        <w:rPr>
          <w:sz w:val="20"/>
          <w:szCs w:val="20"/>
          <w:color w:val="auto"/>
        </w:rPr>
      </w:pPr>
    </w:p>
    <w:p>
      <w:pPr>
        <w:ind w:right="200" w:firstLine="521"/>
        <w:spacing w:after="0" w:line="259" w:lineRule="auto"/>
        <w:rPr>
          <w:sz w:val="20"/>
          <w:szCs w:val="20"/>
          <w:color w:val="auto"/>
        </w:rPr>
      </w:pPr>
      <w:r>
        <w:rPr>
          <w:rFonts w:ascii="Arial" w:cs="Arial" w:eastAsia="Arial" w:hAnsi="Arial"/>
          <w:sz w:val="12"/>
          <w:szCs w:val="12"/>
          <w:color w:val="auto"/>
        </w:rPr>
        <w:t>The markets we serve are highly fragmented with numerous small and regional participants. We believe no single company competes with us across the full range of our systems and products. Competition in the markets we serve is based on a number of considerations, including price, timeliness of delivery, technology, applications experience, know-how, reputation, product warranties and service. Demand for our product can vary period over period depending on conditions in the markets we serve. We believe our reputation, technical engineering capabilities and service differentiate us from many of our competitors, including those competitors who often offer products at a lower price.</w:t>
      </w:r>
    </w:p>
    <w:p>
      <w:pPr>
        <w:spacing w:after="0" w:line="125" w:lineRule="exact"/>
        <w:rPr>
          <w:sz w:val="20"/>
          <w:szCs w:val="20"/>
          <w:color w:val="auto"/>
        </w:rPr>
      </w:pPr>
    </w:p>
    <w:p>
      <w:pPr>
        <w:jc w:val="both"/>
        <w:ind w:right="40" w:firstLine="521"/>
        <w:spacing w:after="0" w:line="263" w:lineRule="auto"/>
        <w:rPr>
          <w:sz w:val="20"/>
          <w:szCs w:val="20"/>
          <w:color w:val="auto"/>
        </w:rPr>
      </w:pPr>
      <w:r>
        <w:rPr>
          <w:rFonts w:ascii="Arial" w:cs="Arial" w:eastAsia="Arial" w:hAnsi="Arial"/>
          <w:sz w:val="12"/>
          <w:szCs w:val="12"/>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change, continuously changing environmental regulations, and evolving customer requirements. We believe that the additional competitive factors in our markets include:</w:t>
      </w:r>
    </w:p>
    <w:p>
      <w:pPr>
        <w:spacing w:after="0" w:line="51" w:lineRule="exact"/>
        <w:rPr>
          <w:sz w:val="20"/>
          <w:szCs w:val="20"/>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performance track record in difficult plant applications;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comprehensive portfolio of products with leading technology;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solid brand recognition;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ability to design standard and custom products that meet customers’ needs;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ability to provide reliable solutions in a timely manner;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quality customer service and support;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financial and operational stability, including reputation.</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believe we compete favorably with respect to these factors.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Government Regulations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believe our operations are in material compliance with applicable environmental laws and regulations. We believe that changes in environmental laws and regulations create opportunity given the nature of our business.</w:t>
      </w:r>
    </w:p>
    <w:p>
      <w:pPr>
        <w:spacing w:after="0" w:line="162" w:lineRule="exact"/>
        <w:rPr>
          <w:sz w:val="20"/>
          <w:szCs w:val="20"/>
          <w:color w:val="auto"/>
        </w:rPr>
      </w:pPr>
    </w:p>
    <w:p>
      <w:pPr>
        <w:ind w:right="20" w:firstLine="521"/>
        <w:spacing w:after="0" w:line="298" w:lineRule="auto"/>
        <w:rPr>
          <w:sz w:val="20"/>
          <w:szCs w:val="20"/>
          <w:color w:val="auto"/>
        </w:rPr>
      </w:pPr>
      <w:r>
        <w:rPr>
          <w:rFonts w:ascii="Arial" w:cs="Arial" w:eastAsia="Arial" w:hAnsi="Arial"/>
          <w:sz w:val="11"/>
          <w:szCs w:val="11"/>
          <w:color w:val="auto"/>
        </w:rPr>
        <w:t>We are subject to the requirements of the Occupational Safety and Health Administration (“OSHA”) and comparable state statutes. We believe we are in material compliance with OSHA and state requirements, including general industry standards, record keeping requirements and monitoring of occupational exposures. In general, we expect to increase our expenditures to comply with stricter industry and regulatory safety standards when needed. Although such expenditures cannot be accurately estimated at this time, we do not believe that they will have a material adverse effect on our financial position, results of operations or cash flows.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Intellectual Property</w:t>
      </w:r>
    </w:p>
    <w:p>
      <w:pPr>
        <w:spacing w:after="0" w:line="78" w:lineRule="exact"/>
        <w:rPr>
          <w:sz w:val="20"/>
          <w:szCs w:val="20"/>
          <w:color w:val="auto"/>
        </w:rPr>
      </w:pPr>
    </w:p>
    <w:p>
      <w:pPr>
        <w:jc w:val="both"/>
        <w:ind w:right="80" w:firstLine="521"/>
        <w:spacing w:after="0" w:line="263" w:lineRule="auto"/>
        <w:rPr>
          <w:sz w:val="20"/>
          <w:szCs w:val="20"/>
          <w:color w:val="auto"/>
        </w:rPr>
      </w:pPr>
      <w:r>
        <w:rPr>
          <w:rFonts w:ascii="Arial" w:cs="Arial" w:eastAsia="Arial" w:hAnsi="Arial"/>
          <w:sz w:val="12"/>
          <w:szCs w:val="12"/>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9" w:name="page10"/>
    <w:bookmarkEnd w:id="9"/>
    <w:p>
      <w:pPr>
        <w:ind w:left="260"/>
        <w:spacing w:after="0"/>
        <w:rPr>
          <w:sz w:val="20"/>
          <w:szCs w:val="20"/>
          <w:color w:val="auto"/>
        </w:rPr>
      </w:pPr>
      <w:r>
        <w:rPr>
          <w:rFonts w:ascii="Arial" w:cs="Arial" w:eastAsia="Arial" w:hAnsi="Arial"/>
          <w:sz w:val="12"/>
          <w:szCs w:val="12"/>
          <w:b w:val="1"/>
          <w:bCs w:val="1"/>
          <w:i w:val="1"/>
          <w:iCs w:val="1"/>
          <w:color w:val="auto"/>
        </w:rPr>
        <w:t>Employees</w:t>
      </w:r>
    </w:p>
    <w:p>
      <w:pPr>
        <w:spacing w:after="0" w:line="78" w:lineRule="exact"/>
        <w:rPr>
          <w:sz w:val="20"/>
          <w:szCs w:val="20"/>
          <w:color w:val="auto"/>
        </w:rPr>
      </w:pPr>
    </w:p>
    <w:p>
      <w:pPr>
        <w:ind w:right="80" w:firstLine="521"/>
        <w:spacing w:after="0" w:line="263" w:lineRule="auto"/>
        <w:rPr>
          <w:sz w:val="20"/>
          <w:szCs w:val="20"/>
          <w:color w:val="auto"/>
        </w:rPr>
      </w:pPr>
      <w:r>
        <w:rPr>
          <w:rFonts w:ascii="Arial" w:cs="Arial" w:eastAsia="Arial" w:hAnsi="Arial"/>
          <w:sz w:val="12"/>
          <w:szCs w:val="12"/>
          <w:color w:val="auto"/>
        </w:rPr>
        <w:t>We had approximately 800 full-time employees as of December 31, 2018. The facilities in Greensboro, North Carolina, Louisville, Kentucky, Columbia, Tennessee, and Telford, Pennsylvania are unionized except for selling, engineering, design, administrative and operating management personnel. None of our other employees are subject to any collective bargaining agreements. We consider our relationship with our employees to be satisfactory. In total, as of December 31, 2018, approximately 140 employees were represented by independent labor unions under various union contracts that expire at various intervals.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Executive Officers of CECO</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following are the executive officers of the Company as of February 28, 2019. The terms of all officers expire at the next annual meeting of the board of shareholders and upon the election of the successors of such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spacing w:after="0"/>
              <w:rPr>
                <w:sz w:val="10"/>
                <w:szCs w:val="10"/>
                <w:color w:val="auto"/>
              </w:rPr>
            </w:pPr>
          </w:p>
        </w:tc>
        <w:tc>
          <w:tcPr>
            <w:tcW w:w="800" w:type="dxa"/>
            <w:vAlign w:val="bottom"/>
            <w:tcBorders>
              <w:bottom w:val="single" w:sz="8" w:color="auto"/>
            </w:tcBorders>
          </w:tcPr>
          <w:p>
            <w:pPr>
              <w:jc w:val="center"/>
              <w:ind w:left="23"/>
              <w:spacing w:after="0"/>
              <w:rPr>
                <w:sz w:val="20"/>
                <w:szCs w:val="20"/>
                <w:color w:val="auto"/>
              </w:rPr>
            </w:pPr>
            <w:r>
              <w:rPr>
                <w:rFonts w:ascii="Arial" w:cs="Arial" w:eastAsia="Arial" w:hAnsi="Arial"/>
                <w:sz w:val="10"/>
                <w:szCs w:val="10"/>
                <w:b w:val="1"/>
                <w:bCs w:val="1"/>
                <w:color w:val="auto"/>
                <w:w w:val="84"/>
              </w:rPr>
              <w:t>Age</w:t>
            </w:r>
          </w:p>
        </w:tc>
        <w:tc>
          <w:tcPr>
            <w:tcW w:w="220" w:type="dxa"/>
            <w:vAlign w:val="bottom"/>
          </w:tcPr>
          <w:p>
            <w:pPr>
              <w:spacing w:after="0"/>
              <w:rPr>
                <w:sz w:val="10"/>
                <w:szCs w:val="10"/>
                <w:color w:val="auto"/>
              </w:rPr>
            </w:pPr>
          </w:p>
        </w:tc>
        <w:tc>
          <w:tcPr>
            <w:tcW w:w="526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Position</w:t>
            </w:r>
          </w:p>
        </w:tc>
      </w:tr>
      <w:tr>
        <w:trPr>
          <w:trHeight w:val="196"/>
        </w:trPr>
        <w:tc>
          <w:tcPr>
            <w:tcW w:w="5200" w:type="dxa"/>
            <w:vAlign w:val="bottom"/>
            <w:gridSpan w:val="2"/>
          </w:tcPr>
          <w:p>
            <w:pPr>
              <w:spacing w:after="0"/>
              <w:rPr>
                <w:sz w:val="20"/>
                <w:szCs w:val="20"/>
                <w:color w:val="auto"/>
              </w:rPr>
            </w:pPr>
            <w:r>
              <w:rPr>
                <w:rFonts w:ascii="Arial" w:cs="Arial" w:eastAsia="Arial" w:hAnsi="Arial"/>
                <w:sz w:val="12"/>
                <w:szCs w:val="12"/>
                <w:color w:val="auto"/>
              </w:rPr>
              <w:t>Dennis Sadlowski</w:t>
            </w:r>
          </w:p>
        </w:tc>
        <w:tc>
          <w:tcPr>
            <w:tcW w:w="800" w:type="dxa"/>
            <w:vAlign w:val="bottom"/>
          </w:tcPr>
          <w:p>
            <w:pPr>
              <w:jc w:val="center"/>
              <w:ind w:left="23"/>
              <w:spacing w:after="0"/>
              <w:rPr>
                <w:sz w:val="20"/>
                <w:szCs w:val="20"/>
                <w:color w:val="auto"/>
              </w:rPr>
            </w:pPr>
            <w:r>
              <w:rPr>
                <w:rFonts w:ascii="Arial" w:cs="Arial" w:eastAsia="Arial" w:hAnsi="Arial"/>
                <w:sz w:val="12"/>
                <w:szCs w:val="12"/>
                <w:color w:val="auto"/>
                <w:w w:val="89"/>
              </w:rPr>
              <w:t>58</w:t>
            </w:r>
          </w:p>
        </w:tc>
        <w:tc>
          <w:tcPr>
            <w:tcW w:w="220" w:type="dxa"/>
            <w:vAlign w:val="bottom"/>
          </w:tcPr>
          <w:p>
            <w:pPr>
              <w:spacing w:after="0"/>
              <w:rPr>
                <w:sz w:val="17"/>
                <w:szCs w:val="17"/>
                <w:color w:val="auto"/>
              </w:rPr>
            </w:pPr>
          </w:p>
        </w:tc>
        <w:tc>
          <w:tcPr>
            <w:tcW w:w="5260" w:type="dxa"/>
            <w:vAlign w:val="bottom"/>
          </w:tcPr>
          <w:p>
            <w:pPr>
              <w:ind w:left="60"/>
              <w:spacing w:after="0"/>
              <w:rPr>
                <w:sz w:val="20"/>
                <w:szCs w:val="20"/>
                <w:color w:val="auto"/>
              </w:rPr>
            </w:pPr>
            <w:r>
              <w:rPr>
                <w:rFonts w:ascii="Arial" w:cs="Arial" w:eastAsia="Arial" w:hAnsi="Arial"/>
                <w:sz w:val="12"/>
                <w:szCs w:val="12"/>
                <w:color w:val="auto"/>
              </w:rPr>
              <w:t>Chief Executive Officer and Director</w:t>
            </w:r>
          </w:p>
        </w:tc>
      </w:tr>
      <w:tr>
        <w:trPr>
          <w:trHeight w:val="144"/>
        </w:trPr>
        <w:tc>
          <w:tcPr>
            <w:tcW w:w="5200" w:type="dxa"/>
            <w:vAlign w:val="bottom"/>
            <w:gridSpan w:val="2"/>
          </w:tcPr>
          <w:p>
            <w:pPr>
              <w:spacing w:after="0"/>
              <w:rPr>
                <w:sz w:val="20"/>
                <w:szCs w:val="20"/>
                <w:color w:val="auto"/>
              </w:rPr>
            </w:pPr>
            <w:r>
              <w:rPr>
                <w:rFonts w:ascii="Arial" w:cs="Arial" w:eastAsia="Arial" w:hAnsi="Arial"/>
                <w:sz w:val="12"/>
                <w:szCs w:val="12"/>
                <w:color w:val="auto"/>
              </w:rPr>
              <w:t>Matthew Eckl</w:t>
            </w:r>
          </w:p>
        </w:tc>
        <w:tc>
          <w:tcPr>
            <w:tcW w:w="800" w:type="dxa"/>
            <w:vAlign w:val="bottom"/>
          </w:tcPr>
          <w:p>
            <w:pPr>
              <w:jc w:val="center"/>
              <w:ind w:left="23"/>
              <w:spacing w:after="0"/>
              <w:rPr>
                <w:sz w:val="20"/>
                <w:szCs w:val="20"/>
                <w:color w:val="auto"/>
              </w:rPr>
            </w:pPr>
            <w:r>
              <w:rPr>
                <w:rFonts w:ascii="Arial" w:cs="Arial" w:eastAsia="Arial" w:hAnsi="Arial"/>
                <w:sz w:val="12"/>
                <w:szCs w:val="12"/>
                <w:color w:val="auto"/>
                <w:w w:val="89"/>
              </w:rPr>
              <w:t>38</w:t>
            </w:r>
          </w:p>
        </w:tc>
        <w:tc>
          <w:tcPr>
            <w:tcW w:w="220" w:type="dxa"/>
            <w:vAlign w:val="bottom"/>
          </w:tcPr>
          <w:p>
            <w:pPr>
              <w:spacing w:after="0"/>
              <w:rPr>
                <w:sz w:val="12"/>
                <w:szCs w:val="12"/>
                <w:color w:val="auto"/>
              </w:rPr>
            </w:pPr>
          </w:p>
        </w:tc>
        <w:tc>
          <w:tcPr>
            <w:tcW w:w="5260" w:type="dxa"/>
            <w:vAlign w:val="bottom"/>
          </w:tcPr>
          <w:p>
            <w:pPr>
              <w:ind w:left="60"/>
              <w:spacing w:after="0"/>
              <w:rPr>
                <w:sz w:val="20"/>
                <w:szCs w:val="20"/>
                <w:color w:val="auto"/>
              </w:rPr>
            </w:pPr>
            <w:r>
              <w:rPr>
                <w:rFonts w:ascii="Arial" w:cs="Arial" w:eastAsia="Arial" w:hAnsi="Arial"/>
                <w:sz w:val="12"/>
                <w:szCs w:val="12"/>
                <w:color w:val="auto"/>
              </w:rPr>
              <w:t>Chief Financial Officer</w:t>
            </w: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Paul Gohr</w:t>
            </w:r>
          </w:p>
        </w:tc>
        <w:tc>
          <w:tcPr>
            <w:tcW w:w="800" w:type="dxa"/>
            <w:vAlign w:val="bottom"/>
          </w:tcPr>
          <w:p>
            <w:pPr>
              <w:jc w:val="center"/>
              <w:ind w:left="23"/>
              <w:spacing w:after="0"/>
              <w:rPr>
                <w:sz w:val="20"/>
                <w:szCs w:val="20"/>
                <w:color w:val="auto"/>
              </w:rPr>
            </w:pPr>
            <w:r>
              <w:rPr>
                <w:rFonts w:ascii="Arial" w:cs="Arial" w:eastAsia="Arial" w:hAnsi="Arial"/>
                <w:sz w:val="12"/>
                <w:szCs w:val="12"/>
                <w:color w:val="auto"/>
                <w:w w:val="89"/>
              </w:rPr>
              <w:t>37</w:t>
            </w:r>
          </w:p>
        </w:tc>
        <w:tc>
          <w:tcPr>
            <w:tcW w:w="220" w:type="dxa"/>
            <w:vAlign w:val="bottom"/>
          </w:tcPr>
          <w:p>
            <w:pPr>
              <w:spacing w:after="0"/>
              <w:rPr>
                <w:sz w:val="13"/>
                <w:szCs w:val="13"/>
                <w:color w:val="auto"/>
              </w:rPr>
            </w:pPr>
          </w:p>
        </w:tc>
        <w:tc>
          <w:tcPr>
            <w:tcW w:w="5260" w:type="dxa"/>
            <w:vAlign w:val="bottom"/>
          </w:tcPr>
          <w:p>
            <w:pPr>
              <w:ind w:left="60"/>
              <w:spacing w:after="0"/>
              <w:rPr>
                <w:sz w:val="20"/>
                <w:szCs w:val="20"/>
                <w:color w:val="auto"/>
              </w:rPr>
            </w:pPr>
            <w:r>
              <w:rPr>
                <w:rFonts w:ascii="Arial" w:cs="Arial" w:eastAsia="Arial" w:hAnsi="Arial"/>
                <w:sz w:val="12"/>
                <w:szCs w:val="12"/>
                <w:color w:val="auto"/>
              </w:rPr>
              <w:t>Chief Accounting Officer</w:t>
            </w:r>
          </w:p>
        </w:tc>
      </w:tr>
    </w:tbl>
    <w:p>
      <w:pPr>
        <w:spacing w:after="0" w:line="63" w:lineRule="exact"/>
        <w:rPr>
          <w:sz w:val="20"/>
          <w:szCs w:val="20"/>
          <w:color w:val="auto"/>
        </w:rPr>
      </w:pPr>
    </w:p>
    <w:p>
      <w:pPr>
        <w:ind w:right="20" w:firstLine="521"/>
        <w:spacing w:after="0" w:line="253" w:lineRule="auto"/>
        <w:rPr>
          <w:sz w:val="20"/>
          <w:szCs w:val="20"/>
          <w:color w:val="auto"/>
        </w:rPr>
      </w:pPr>
      <w:r>
        <w:rPr>
          <w:rFonts w:ascii="Arial" w:cs="Arial" w:eastAsia="Arial" w:hAnsi="Arial"/>
          <w:sz w:val="12"/>
          <w:szCs w:val="12"/>
          <w:i w:val="1"/>
          <w:iCs w:val="1"/>
          <w:color w:val="auto"/>
        </w:rPr>
        <w:t xml:space="preserve">Dennis Sadlowski </w:t>
      </w:r>
      <w:r>
        <w:rPr>
          <w:rFonts w:ascii="Arial" w:cs="Arial" w:eastAsia="Arial" w:hAnsi="Arial"/>
          <w:sz w:val="12"/>
          <w:szCs w:val="12"/>
          <w:color w:val="auto"/>
        </w:rPr>
        <w:t>has served as our Chief Executive Officer since January 2017 and as a director since May 2016. Mr. Sadlowski served as Interim Chief Executive Officer and President from January 2017 until his appointment</w:t>
      </w:r>
      <w:r>
        <w:rPr>
          <w:rFonts w:ascii="Arial" w:cs="Arial" w:eastAsia="Arial" w:hAnsi="Arial"/>
          <w:sz w:val="12"/>
          <w:szCs w:val="12"/>
          <w:i w:val="1"/>
          <w:iCs w:val="1"/>
          <w:color w:val="auto"/>
        </w:rPr>
        <w:t xml:space="preserve"> </w:t>
      </w:r>
      <w:r>
        <w:rPr>
          <w:rFonts w:ascii="Arial" w:cs="Arial" w:eastAsia="Arial" w:hAnsi="Arial"/>
          <w:sz w:val="12"/>
          <w:szCs w:val="12"/>
          <w:color w:val="auto"/>
        </w:rPr>
        <w:t>as Chief Executive Officer in June 2017. Previously, he was the Chief Operating Officer of LSG Sky Chefs North America, a provider of food and food-related services for transportation providers, from April 2013 until March 2015. As Chief Operating Officer, Mr. Sadlowski oversaw operations across over 40 locations in North America and managed over 8,000 employees. Previously, Mr. Sadlowski served as the Chief Executive Officer of International Battery, an early stage green tech company focused on large format lithium ion batteries for the grid storage markets, from September 2011 until April 2012. Mr. Sadlowski worked at Siemens from July 2000 to March 2010, serving as the President &amp; Chief Executive Officer of Siemens Energy &amp; Automation, Inc. from July 2007 until October 2009, an operating subsidiary of the global manufacturer Siemens AG, where he had executive accountability for the company’s global strategic direction, operating performance and marketplace success. His responsibilities at Siemens Energy &amp; Automation included overseeing six operating divisions along with a combined sales organization, a number of wholly-owned subsidiaries and over 12,000 employees. Mr. Sadlowski has also previously worked at General Electric and Thomas &amp; Betts. Mr. Sadlowski was a former member of the board of directors and audit committee of Trojan Battery, a privately-held global leader in deep cycle lead-acid batteries. Mr. Sadlowski earned a Bachelor’s degree in Chemical and Nuclear Engineering from the University of California at Berkeley, and his Master’s Degree in Business Administration from Seattle University.</w:t>
      </w:r>
    </w:p>
    <w:p>
      <w:pPr>
        <w:spacing w:after="0" w:line="132"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i w:val="1"/>
          <w:iCs w:val="1"/>
          <w:color w:val="auto"/>
        </w:rPr>
        <w:t xml:space="preserve">Matthew Eckl </w:t>
      </w:r>
      <w:r>
        <w:rPr>
          <w:rFonts w:ascii="Arial" w:cs="Arial" w:eastAsia="Arial" w:hAnsi="Arial"/>
          <w:sz w:val="12"/>
          <w:szCs w:val="12"/>
          <w:color w:val="auto"/>
        </w:rPr>
        <w:t>has served as our Chief Financial Officer since January 2017. Prior to joining the Company, Mr. Eckl served as Vice President, Finance – Energy Group at Gardner Denver, Inc. from 2012 until January 2017. In</w:t>
      </w:r>
      <w:r>
        <w:rPr>
          <w:rFonts w:ascii="Arial" w:cs="Arial" w:eastAsia="Arial" w:hAnsi="Arial"/>
          <w:sz w:val="12"/>
          <w:szCs w:val="12"/>
          <w:i w:val="1"/>
          <w:iCs w:val="1"/>
          <w:color w:val="auto"/>
        </w:rPr>
        <w:t xml:space="preserve"> </w:t>
      </w:r>
      <w:r>
        <w:rPr>
          <w:rFonts w:ascii="Arial" w:cs="Arial" w:eastAsia="Arial" w:hAnsi="Arial"/>
          <w:sz w:val="12"/>
          <w:szCs w:val="12"/>
          <w:color w:val="auto"/>
        </w:rPr>
        <w:t>this role, he oversaw a $1 billion revenue business group that designs, manufactures, markets and services pumps, fluid transfer equipment and engineered systems for oil &amp; gas and petrochemical industries. Prior to joining Gardner Denver, Mr. Eckl served in various roles of increasing responsibility within General Electric Company, a global digital industrial company, from 2002 until 2012, where he worked with various business groups to integrate new acquisitions and streamline financial reporting processes. Mr. Eckl earned a Bachelor’s degree in Management Information Systems from Pennsylvania State University.</w:t>
      </w:r>
    </w:p>
    <w:p>
      <w:pPr>
        <w:spacing w:after="0" w:line="125" w:lineRule="exact"/>
        <w:rPr>
          <w:sz w:val="20"/>
          <w:szCs w:val="20"/>
          <w:color w:val="auto"/>
        </w:rPr>
      </w:pPr>
    </w:p>
    <w:p>
      <w:pPr>
        <w:ind w:right="220" w:firstLine="521"/>
        <w:spacing w:after="0" w:line="259" w:lineRule="auto"/>
        <w:rPr>
          <w:sz w:val="20"/>
          <w:szCs w:val="20"/>
          <w:color w:val="auto"/>
        </w:rPr>
      </w:pPr>
      <w:r>
        <w:rPr>
          <w:rFonts w:ascii="Arial" w:cs="Arial" w:eastAsia="Arial" w:hAnsi="Arial"/>
          <w:sz w:val="12"/>
          <w:szCs w:val="12"/>
          <w:i w:val="1"/>
          <w:iCs w:val="1"/>
          <w:color w:val="auto"/>
        </w:rPr>
        <w:t xml:space="preserve">Paul Gohr </w:t>
      </w:r>
      <w:r>
        <w:rPr>
          <w:rFonts w:ascii="Arial" w:cs="Arial" w:eastAsia="Arial" w:hAnsi="Arial"/>
          <w:sz w:val="12"/>
          <w:szCs w:val="12"/>
          <w:color w:val="auto"/>
        </w:rPr>
        <w:t>has served as the Chief Accounting Officer since May 2017. Mr. Gohr previously served as our Vice President of Financial Reporting since joining the Company in September 2014. From 2004 to 2014, Mr. Gohr</w:t>
      </w:r>
      <w:r>
        <w:rPr>
          <w:rFonts w:ascii="Arial" w:cs="Arial" w:eastAsia="Arial" w:hAnsi="Arial"/>
          <w:sz w:val="12"/>
          <w:szCs w:val="12"/>
          <w:i w:val="1"/>
          <w:iCs w:val="1"/>
          <w:color w:val="auto"/>
        </w:rPr>
        <w:t xml:space="preserve"> </w:t>
      </w:r>
      <w:r>
        <w:rPr>
          <w:rFonts w:ascii="Arial" w:cs="Arial" w:eastAsia="Arial" w:hAnsi="Arial"/>
          <w:sz w:val="12"/>
          <w:szCs w:val="12"/>
          <w:color w:val="auto"/>
        </w:rPr>
        <w:t>served in various roles of increasing responsibility within Grant Thornton LLP, a global public accounting firm, most recently as a Senior Manager of Audit Services. While at Grant Thornton LLP, Mr. Gohr served a broad base of both public and private companies with international operations, many of which were acquisitive in nature. Mr. Gohr is a Certified Public Accountant. Mr. Gohr earned a Bachelor’s degree in Business, Accountancy and a Masters of Accountancy degree from Miami University.</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Available Information</w:t>
      </w:r>
    </w:p>
    <w:p>
      <w:pPr>
        <w:spacing w:after="0" w:line="78"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 xml:space="preserve">We use the Investor Relations section of our website, </w:t>
      </w:r>
      <w:r>
        <w:rPr>
          <w:rFonts w:ascii="Arial" w:cs="Arial" w:eastAsia="Arial" w:hAnsi="Arial"/>
          <w:sz w:val="11"/>
          <w:szCs w:val="11"/>
          <w:u w:val="single" w:color="auto"/>
          <w:color w:val="auto"/>
        </w:rPr>
        <w:t>www.cecoenviro.com</w:t>
      </w:r>
      <w:r>
        <w:rPr>
          <w:rFonts w:ascii="Arial" w:cs="Arial" w:eastAsia="Arial" w:hAnsi="Arial"/>
          <w:sz w:val="11"/>
          <w:szCs w:val="11"/>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82" w:lineRule="exact"/>
        <w:rPr>
          <w:sz w:val="20"/>
          <w:szCs w:val="20"/>
          <w:color w:val="auto"/>
        </w:rPr>
      </w:pPr>
    </w:p>
    <w:p>
      <w:pPr>
        <w:ind w:right="60" w:firstLine="521"/>
        <w:spacing w:after="0" w:line="259" w:lineRule="auto"/>
        <w:rPr>
          <w:sz w:val="20"/>
          <w:szCs w:val="20"/>
          <w:color w:val="auto"/>
        </w:rPr>
      </w:pPr>
      <w:r>
        <w:rPr>
          <w:rFonts w:ascii="Arial" w:cs="Arial" w:eastAsia="Arial" w:hAnsi="Arial"/>
          <w:sz w:val="12"/>
          <w:szCs w:val="12"/>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business may be adversely affected by global economic conditions.</w:t>
      </w:r>
    </w:p>
    <w:p>
      <w:pPr>
        <w:spacing w:after="0" w:line="78" w:lineRule="exact"/>
        <w:rPr>
          <w:sz w:val="20"/>
          <w:szCs w:val="20"/>
          <w:color w:val="auto"/>
        </w:rPr>
      </w:pPr>
    </w:p>
    <w:p>
      <w:pPr>
        <w:ind w:firstLine="521"/>
        <w:spacing w:after="0" w:line="286" w:lineRule="auto"/>
        <w:rPr>
          <w:sz w:val="20"/>
          <w:szCs w:val="20"/>
          <w:color w:val="auto"/>
        </w:rPr>
      </w:pPr>
      <w:r>
        <w:rPr>
          <w:rFonts w:ascii="Arial" w:cs="Arial" w:eastAsia="Arial" w:hAnsi="Arial"/>
          <w:sz w:val="11"/>
          <w:szCs w:val="11"/>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 customers or potential customers may reduce or delay their procurement or new product development; key suppliers may become insolvent resulting in delays for our material purchases; vendors and other third parties may fail to perform their contractual obligations; customers may be unable to obtain credit to finance purchases of our products and services; and certain customers may become insolvent. 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dependence upon fixed-price contracts could adversely affect our operating results.</w:t>
      </w:r>
    </w:p>
    <w:p>
      <w:pPr>
        <w:spacing w:after="0" w:line="78" w:lineRule="exact"/>
        <w:rPr>
          <w:sz w:val="20"/>
          <w:szCs w:val="20"/>
          <w:color w:val="auto"/>
        </w:rPr>
      </w:pPr>
    </w:p>
    <w:p>
      <w:pPr>
        <w:ind w:firstLine="521"/>
        <w:spacing w:after="0" w:line="254" w:lineRule="auto"/>
        <w:rPr>
          <w:sz w:val="20"/>
          <w:szCs w:val="20"/>
          <w:color w:val="auto"/>
        </w:rPr>
      </w:pPr>
      <w:r>
        <w:rPr>
          <w:rFonts w:ascii="Arial" w:cs="Arial" w:eastAsia="Arial" w:hAnsi="Arial"/>
          <w:sz w:val="12"/>
          <w:szCs w:val="12"/>
          <w:color w:val="auto"/>
        </w:rPr>
        <w:t>The majority of our projects are currently performed on a fixed-price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This is a result of the long-term nature of these contracts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Accounting for contract revenue may result in material adjustments that would adversely affect our financial condition and results of operations.</w:t>
      </w:r>
    </w:p>
    <w:p>
      <w:pPr>
        <w:spacing w:after="0" w:line="78" w:lineRule="exact"/>
        <w:rPr>
          <w:sz w:val="20"/>
          <w:szCs w:val="20"/>
          <w:color w:val="auto"/>
        </w:rPr>
      </w:pPr>
    </w:p>
    <w:p>
      <w:pPr>
        <w:ind w:right="140" w:firstLine="521"/>
        <w:spacing w:after="0" w:line="290" w:lineRule="auto"/>
        <w:rPr>
          <w:sz w:val="20"/>
          <w:szCs w:val="20"/>
          <w:color w:val="auto"/>
        </w:rPr>
      </w:pPr>
      <w:r>
        <w:rPr>
          <w:rFonts w:ascii="Arial" w:cs="Arial" w:eastAsia="Arial" w:hAnsi="Arial"/>
          <w:sz w:val="11"/>
          <w:szCs w:val="11"/>
          <w:color w:val="auto"/>
        </w:rPr>
        <w:t>We derive a significant portion of our revenues from fixed price contracts. 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37"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 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11" w:name="page12"/>
    <w:bookmarkEnd w:id="11"/>
    <w:p>
      <w:pPr>
        <w:ind w:left="260"/>
        <w:spacing w:after="0"/>
        <w:rPr>
          <w:sz w:val="20"/>
          <w:szCs w:val="20"/>
          <w:color w:val="auto"/>
        </w:rPr>
      </w:pPr>
      <w:r>
        <w:rPr>
          <w:rFonts w:ascii="Arial" w:cs="Arial" w:eastAsia="Arial" w:hAnsi="Arial"/>
          <w:sz w:val="12"/>
          <w:szCs w:val="12"/>
          <w:i w:val="1"/>
          <w:iCs w:val="1"/>
          <w:color w:val="auto"/>
        </w:rPr>
        <w:t>Our inability to deliver our backlog on time could affect our future sales and profitability, and our relationships with our customers.</w:t>
      </w:r>
    </w:p>
    <w:p>
      <w:pPr>
        <w:spacing w:after="0" w:line="78" w:lineRule="exact"/>
        <w:rPr>
          <w:sz w:val="20"/>
          <w:szCs w:val="20"/>
          <w:color w:val="auto"/>
        </w:rPr>
      </w:pPr>
    </w:p>
    <w:p>
      <w:pPr>
        <w:ind w:right="20" w:firstLine="521"/>
        <w:spacing w:after="0" w:line="290" w:lineRule="auto"/>
        <w:rPr>
          <w:sz w:val="20"/>
          <w:szCs w:val="20"/>
          <w:color w:val="auto"/>
        </w:rPr>
      </w:pPr>
      <w:r>
        <w:rPr>
          <w:rFonts w:ascii="Arial" w:cs="Arial" w:eastAsia="Arial" w:hAnsi="Arial"/>
          <w:sz w:val="11"/>
          <w:szCs w:val="11"/>
          <w:color w:val="auto"/>
        </w:rPr>
        <w:t>Our backlog was $182.1 million at December 31, 2018 and $168.9 million at December 31, 2017.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Volatility of oil and natural gas prices can adversely affect demand for our products and services</w:t>
      </w:r>
    </w:p>
    <w:p>
      <w:pPr>
        <w:spacing w:after="0" w:line="78"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Volatility in oil and natural gas prices can impact our customers’ activity levels and spending for our products and services. Current energy prices are important contributors to cash flow for our customers and their ability to fund capital expenditures. Expectations about future prices and price volatility are important for determining future spending levels.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financial performance may vary significantly from period to period.</w:t>
      </w:r>
    </w:p>
    <w:p>
      <w:pPr>
        <w:spacing w:after="0" w:line="78" w:lineRule="exact"/>
        <w:rPr>
          <w:sz w:val="20"/>
          <w:szCs w:val="20"/>
          <w:color w:val="auto"/>
        </w:rPr>
      </w:pPr>
    </w:p>
    <w:p>
      <w:pPr>
        <w:ind w:right="140" w:firstLine="521"/>
        <w:spacing w:after="0" w:line="290" w:lineRule="auto"/>
        <w:rPr>
          <w:sz w:val="20"/>
          <w:szCs w:val="20"/>
          <w:color w:val="auto"/>
        </w:rPr>
      </w:pPr>
      <w:r>
        <w:rPr>
          <w:rFonts w:ascii="Arial" w:cs="Arial" w:eastAsia="Arial" w:hAnsi="Arial"/>
          <w:sz w:val="11"/>
          <w:szCs w:val="11"/>
          <w:color w:val="auto"/>
        </w:rPr>
        <w:t>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Customers may cancel or delay projects. As a result, our backlog may not be indicative of our future revenue.</w:t>
      </w:r>
    </w:p>
    <w:p>
      <w:pPr>
        <w:spacing w:after="0" w:line="78" w:lineRule="exact"/>
        <w:rPr>
          <w:sz w:val="20"/>
          <w:szCs w:val="20"/>
          <w:color w:val="auto"/>
        </w:rPr>
      </w:pPr>
    </w:p>
    <w:p>
      <w:pPr>
        <w:ind w:right="120" w:firstLine="521"/>
        <w:spacing w:after="0" w:line="283" w:lineRule="auto"/>
        <w:rPr>
          <w:sz w:val="20"/>
          <w:szCs w:val="20"/>
          <w:color w:val="auto"/>
        </w:rPr>
      </w:pPr>
      <w:r>
        <w:rPr>
          <w:rFonts w:ascii="Arial" w:cs="Arial" w:eastAsia="Arial" w:hAnsi="Arial"/>
          <w:sz w:val="11"/>
          <w:szCs w:val="11"/>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In a year-long project as opposed to a three-month project, more time is available for the customer to experience a softening in its business, which may cause the customer to cancel a project.</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face significant competition in the markets we serve.</w:t>
      </w:r>
    </w:p>
    <w:p>
      <w:pPr>
        <w:spacing w:after="0" w:line="78" w:lineRule="exact"/>
        <w:rPr>
          <w:sz w:val="20"/>
          <w:szCs w:val="20"/>
          <w:color w:val="auto"/>
        </w:rPr>
      </w:pPr>
    </w:p>
    <w:p>
      <w:pPr>
        <w:jc w:val="both"/>
        <w:ind w:right="100" w:firstLine="521"/>
        <w:spacing w:after="0" w:line="298" w:lineRule="auto"/>
        <w:rPr>
          <w:sz w:val="20"/>
          <w:szCs w:val="20"/>
          <w:color w:val="auto"/>
        </w:rPr>
      </w:pPr>
      <w:r>
        <w:rPr>
          <w:rFonts w:ascii="Arial" w:cs="Arial" w:eastAsia="Arial" w:hAnsi="Arial"/>
          <w:sz w:val="11"/>
          <w:szCs w:val="11"/>
          <w:color w:val="auto"/>
        </w:rPr>
        <w:t>All of the industries in which we compete are highly competitive and highly fragmented. We compete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Any failure by us to compete effectively in the markets we serve could have a material adverse effect on our financial condition, results of operations and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12" w:name="page13"/>
    <w:bookmarkEnd w:id="12"/>
    <w:p>
      <w:pPr>
        <w:ind w:left="260" w:right="80"/>
        <w:spacing w:after="0" w:line="276" w:lineRule="auto"/>
        <w:rPr>
          <w:sz w:val="20"/>
          <w:szCs w:val="20"/>
          <w:color w:val="auto"/>
        </w:rPr>
      </w:pPr>
      <w:r>
        <w:rPr>
          <w:rFonts w:ascii="Arial" w:cs="Arial" w:eastAsia="Arial" w:hAnsi="Arial"/>
          <w:sz w:val="12"/>
          <w:szCs w:val="12"/>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43"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57" w:lineRule="exact"/>
        <w:rPr>
          <w:sz w:val="20"/>
          <w:szCs w:val="20"/>
          <w:color w:val="auto"/>
        </w:rPr>
      </w:pPr>
    </w:p>
    <w:p>
      <w:pPr>
        <w:ind w:right="220" w:firstLine="521"/>
        <w:spacing w:after="0" w:line="276" w:lineRule="auto"/>
        <w:rPr>
          <w:sz w:val="20"/>
          <w:szCs w:val="20"/>
          <w:color w:val="auto"/>
        </w:rPr>
      </w:pPr>
      <w:r>
        <w:rPr>
          <w:rFonts w:ascii="Arial" w:cs="Arial" w:eastAsia="Arial" w:hAnsi="Arial"/>
          <w:sz w:val="12"/>
          <w:szCs w:val="12"/>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Liability to customers under warranties may adversely affect our reputation, our ability to obtain future business and our results of operations.</w:t>
      </w:r>
    </w:p>
    <w:p>
      <w:pPr>
        <w:spacing w:after="0" w:line="78" w:lineRule="exact"/>
        <w:rPr>
          <w:sz w:val="20"/>
          <w:szCs w:val="20"/>
          <w:color w:val="auto"/>
        </w:rPr>
      </w:pPr>
    </w:p>
    <w:p>
      <w:pPr>
        <w:ind w:right="40" w:firstLine="521"/>
        <w:spacing w:after="0" w:line="340" w:lineRule="auto"/>
        <w:rPr>
          <w:sz w:val="20"/>
          <w:szCs w:val="20"/>
          <w:color w:val="auto"/>
        </w:rPr>
      </w:pPr>
      <w:r>
        <w:rPr>
          <w:rFonts w:ascii="Arial" w:cs="Arial" w:eastAsia="Arial" w:hAnsi="Arial"/>
          <w:sz w:val="10"/>
          <w:szCs w:val="10"/>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claims in the future. To the extent that we incur substantial warranty claims in any period, our reputation, our ability to obtain future business and our results of operations could be adversely affected.</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If we do not develop new products in a timely manner in response to industry demands, our business and revenues will be adversely affected.</w:t>
      </w:r>
    </w:p>
    <w:p>
      <w:pPr>
        <w:spacing w:after="0" w:line="78" w:lineRule="exact"/>
        <w:rPr>
          <w:sz w:val="20"/>
          <w:szCs w:val="20"/>
          <w:color w:val="auto"/>
        </w:rPr>
      </w:pPr>
    </w:p>
    <w:p>
      <w:pPr>
        <w:jc w:val="both"/>
        <w:ind w:right="100" w:firstLine="521"/>
        <w:spacing w:after="0" w:line="298" w:lineRule="auto"/>
        <w:rPr>
          <w:sz w:val="20"/>
          <w:szCs w:val="20"/>
          <w:color w:val="auto"/>
        </w:rPr>
      </w:pPr>
      <w:r>
        <w:rPr>
          <w:rFonts w:ascii="Arial" w:cs="Arial" w:eastAsia="Arial" w:hAnsi="Arial"/>
          <w:sz w:val="11"/>
          <w:szCs w:val="11"/>
          <w:color w:val="auto"/>
        </w:rPr>
        <w:t>Our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and new products that incorporate technological advances, meet customer requirements and respond to products developed by our competition. We cannot assure you that we will be successful in developing or acquiring such rights to products on a timely basis or that such products will adequately address the changing needs of the marketplace.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business can be significantly affected by changes in technology and regulatory standards.</w:t>
      </w:r>
    </w:p>
    <w:p>
      <w:pPr>
        <w:spacing w:after="0" w:line="78" w:lineRule="exact"/>
        <w:rPr>
          <w:sz w:val="20"/>
          <w:szCs w:val="20"/>
          <w:color w:val="auto"/>
        </w:rPr>
      </w:pPr>
    </w:p>
    <w:p>
      <w:pPr>
        <w:jc w:val="both"/>
        <w:ind w:right="400" w:firstLine="521"/>
        <w:spacing w:after="0" w:line="327" w:lineRule="auto"/>
        <w:rPr>
          <w:sz w:val="20"/>
          <w:szCs w:val="20"/>
          <w:color w:val="auto"/>
        </w:rPr>
      </w:pPr>
      <w:r>
        <w:rPr>
          <w:rFonts w:ascii="Arial" w:cs="Arial" w:eastAsia="Arial" w:hAnsi="Arial"/>
          <w:sz w:val="10"/>
          <w:szCs w:val="10"/>
          <w:color w:val="auto"/>
        </w:rPr>
        <w:t>The markets that the Company serves are characterized by changing technology, competitively imposed process standards and regulatory requirements, each of which influences the demand for our products and services. Changes in legislative, regulatory or industrial requirements may render certain of our products and processes obsolete. Acceptance of new products and services may also be affected by the adoption of new government regulations requiring stricter standards. Our ability to anticipate changes in technology and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Changes in current environmental legislation could have an adverse impact on the sale of our environmental control systems and products and on our financial condition, results of operations and cash flows.</w:t>
      </w:r>
    </w:p>
    <w:p>
      <w:pPr>
        <w:spacing w:after="0" w:line="78"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statues such as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13" w:name="page14"/>
    <w:bookmarkEnd w:id="13"/>
    <w:p>
      <w:pPr>
        <w:ind w:left="260"/>
        <w:spacing w:after="0"/>
        <w:rPr>
          <w:sz w:val="20"/>
          <w:szCs w:val="20"/>
          <w:color w:val="auto"/>
        </w:rPr>
      </w:pPr>
      <w:r>
        <w:rPr>
          <w:rFonts w:ascii="Arial" w:cs="Arial" w:eastAsia="Arial" w:hAnsi="Arial"/>
          <w:sz w:val="12"/>
          <w:szCs w:val="12"/>
          <w:i w:val="1"/>
          <w:iCs w:val="1"/>
          <w:color w:val="auto"/>
        </w:rPr>
        <w:t>Our operations outside of the United States are subject to political, investment and local business risks.</w:t>
      </w:r>
    </w:p>
    <w:p>
      <w:pPr>
        <w:spacing w:after="0" w:line="78"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For the year ended December 31, 2018, approximately 33%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w:t>
      </w:r>
    </w:p>
    <w:p>
      <w:pPr>
        <w:spacing w:after="0" w:line="51" w:lineRule="exact"/>
        <w:rPr>
          <w:sz w:val="20"/>
          <w:szCs w:val="20"/>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local, economic, political and social conditions, including potential hyperinflationary conditions and political instability in certain countries;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imposition of limitations on the remittance of dividends and payments by foreign subsidiaries;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adverse currency exchange rate fluctuations, including significant devaluations of currencies;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tax-related risks, including the imposition of taxes and the lack of beneficial treaties, that result in higher effective tax rate for us;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difficulties in enforcing agreements and collecting receivables through certain foreign local systems;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domestic and foreign customs, tariffs and quotas or other trade barriers;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increased costs for transportation and shipping;</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difficulties in protecting intellectual property;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risk of nationalization of private enterprises by foreign governments;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managing and obtaining support and distribution channels for overseas operations;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hiring and retaining qualified management personnel for our overseas operations;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legal and regulatory requirements, including import, export, defense regulations and foreign exchange controls;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imposition or increase of restrictions on investment;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disadvantages of competing against companies from countries that are not subject to United States laws and regulations, including the Foreign Corrupt Practices Act (“FCPA”);</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required compliance with a variety of local laws and regulations, which may differ materially from those to which we are subject in the United States;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increasingly complex laws and regulations concerning privacy and data security, including the European Union’s General Data Protection Regulations.</w:t>
      </w:r>
    </w:p>
    <w:p>
      <w:pPr>
        <w:spacing w:after="0" w:line="150" w:lineRule="exact"/>
        <w:rPr>
          <w:sz w:val="20"/>
          <w:szCs w:val="20"/>
          <w:color w:val="auto"/>
        </w:rPr>
      </w:pPr>
    </w:p>
    <w:p>
      <w:pPr>
        <w:ind w:firstLine="521"/>
        <w:spacing w:after="0" w:line="286" w:lineRule="auto"/>
        <w:rPr>
          <w:sz w:val="20"/>
          <w:szCs w:val="20"/>
          <w:color w:val="auto"/>
        </w:rPr>
      </w:pPr>
      <w:r>
        <w:rPr>
          <w:rFonts w:ascii="Arial" w:cs="Arial" w:eastAsia="Arial" w:hAnsi="Arial"/>
          <w:sz w:val="11"/>
          <w:szCs w:val="11"/>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non-United States officials for the purposes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reckless or criminal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occurrence of one or more of the foregoing factors could have a material adverse effect on our international operations or upon our financial condition, results of operations and cash flows.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14" w:name="page15"/>
    <w:bookmarkEnd w:id="14"/>
    <w:p>
      <w:pPr>
        <w:ind w:left="260"/>
        <w:spacing w:after="0"/>
        <w:rPr>
          <w:sz w:val="20"/>
          <w:szCs w:val="20"/>
          <w:color w:val="auto"/>
        </w:rPr>
      </w:pPr>
      <w:r>
        <w:rPr>
          <w:rFonts w:ascii="Arial" w:cs="Arial" w:eastAsia="Arial" w:hAnsi="Arial"/>
          <w:sz w:val="12"/>
          <w:szCs w:val="12"/>
          <w:i w:val="1"/>
          <w:iCs w:val="1"/>
          <w:color w:val="auto"/>
        </w:rPr>
        <w:t>Increasing costs for manufactured components, raw materials, transportation, health care and energy prices may adversely affect our profitability.</w:t>
      </w:r>
    </w:p>
    <w:p>
      <w:pPr>
        <w:spacing w:after="0" w:line="78" w:lineRule="exact"/>
        <w:rPr>
          <w:sz w:val="20"/>
          <w:szCs w:val="20"/>
          <w:color w:val="auto"/>
        </w:rPr>
      </w:pPr>
    </w:p>
    <w:p>
      <w:pPr>
        <w:ind w:right="60" w:firstLine="521"/>
        <w:spacing w:after="0" w:line="257" w:lineRule="auto"/>
        <w:rPr>
          <w:sz w:val="20"/>
          <w:szCs w:val="20"/>
          <w:color w:val="auto"/>
        </w:rPr>
      </w:pPr>
      <w:r>
        <w:rPr>
          <w:rFonts w:ascii="Arial" w:cs="Arial" w:eastAsia="Arial" w:hAnsi="Arial"/>
          <w:sz w:val="12"/>
          <w:szCs w:val="12"/>
          <w:color w:val="auto"/>
        </w:rPr>
        <w:t>We use a broad range of manufactured components and raw materials in our products, including raw steel, steel-related components, filtration media, and equipment such as fans and motors. Materials and subcontracting costs comprise the largest components of our total costs. Further increases in the price of these items could further materially increase our operating costs and materially adversely affect our profit margins. In particular, the price of steel has increased due to import duties and tariffs. Similarly, transportation, steel and health care costs have risen steadily over the past few years and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gross margins are affected by shifts in our product mix.</w:t>
      </w:r>
    </w:p>
    <w:p>
      <w:pPr>
        <w:spacing w:after="0" w:line="78" w:lineRule="exact"/>
        <w:rPr>
          <w:sz w:val="20"/>
          <w:szCs w:val="20"/>
          <w:color w:val="auto"/>
        </w:rPr>
      </w:pPr>
    </w:p>
    <w:p>
      <w:pPr>
        <w:jc w:val="both"/>
        <w:ind w:right="100" w:firstLine="521"/>
        <w:spacing w:after="0" w:line="263" w:lineRule="auto"/>
        <w:rPr>
          <w:sz w:val="20"/>
          <w:szCs w:val="20"/>
          <w:color w:val="auto"/>
        </w:rPr>
      </w:pPr>
      <w:r>
        <w:rPr>
          <w:rFonts w:ascii="Arial" w:cs="Arial" w:eastAsia="Arial" w:hAnsi="Arial"/>
          <w:sz w:val="12"/>
          <w:szCs w:val="12"/>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manufacturing operations are dependent on third-party suppliers.</w:t>
      </w:r>
    </w:p>
    <w:p>
      <w:pPr>
        <w:spacing w:after="0" w:line="78"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Although we are not dependent on any one supplier, we are dependent on the ability of our third-party suppliers to supply our raw materials, as well as certain specific component parts. The third-party suppliers upon which we depend may default on their obligations to us due to bankruptcy, insolvency, lack of liquidity, adverse economic conditions, operational failure, fraud, loss of key personnel, or other reasons. We cannot assure you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use of subcontractors could potentially harm our profitability and business reputation.</w:t>
      </w:r>
    </w:p>
    <w:p>
      <w:pPr>
        <w:spacing w:after="0" w:line="78" w:lineRule="exact"/>
        <w:rPr>
          <w:sz w:val="20"/>
          <w:szCs w:val="20"/>
          <w:color w:val="auto"/>
        </w:rPr>
      </w:pPr>
    </w:p>
    <w:p>
      <w:pPr>
        <w:jc w:val="both"/>
        <w:ind w:right="60" w:firstLine="521"/>
        <w:spacing w:after="0" w:line="298" w:lineRule="auto"/>
        <w:rPr>
          <w:sz w:val="20"/>
          <w:szCs w:val="20"/>
          <w:color w:val="auto"/>
        </w:rPr>
      </w:pPr>
      <w:r>
        <w:rPr>
          <w:rFonts w:ascii="Arial" w:cs="Arial" w:eastAsia="Arial" w:hAnsi="Arial"/>
          <w:sz w:val="11"/>
          <w:szCs w:val="11"/>
          <w:color w:val="auto"/>
        </w:rPr>
        <w:t>Occasionally we act as a prime contractor in some of the engineered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05" w:lineRule="exact"/>
        <w:rPr>
          <w:sz w:val="20"/>
          <w:szCs w:val="20"/>
          <w:color w:val="auto"/>
        </w:rPr>
      </w:pPr>
    </w:p>
    <w:p>
      <w:pPr>
        <w:ind w:right="180" w:firstLine="521"/>
        <w:spacing w:after="0" w:line="290" w:lineRule="auto"/>
        <w:rPr>
          <w:sz w:val="20"/>
          <w:szCs w:val="20"/>
          <w:color w:val="auto"/>
        </w:rPr>
      </w:pPr>
      <w:r>
        <w:rPr>
          <w:rFonts w:ascii="Arial" w:cs="Arial" w:eastAsia="Arial" w:hAnsi="Arial"/>
          <w:sz w:val="11"/>
          <w:szCs w:val="11"/>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 significant portion of our accounts receivable are related to larger contracts, which increases our exposure to credit risk.</w:t>
      </w:r>
    </w:p>
    <w:p>
      <w:pPr>
        <w:spacing w:after="0" w:line="78" w:lineRule="exact"/>
        <w:rPr>
          <w:sz w:val="20"/>
          <w:szCs w:val="20"/>
          <w:color w:val="auto"/>
        </w:rPr>
      </w:pPr>
    </w:p>
    <w:p>
      <w:pPr>
        <w:ind w:right="160" w:firstLine="521"/>
        <w:spacing w:after="0" w:line="298" w:lineRule="auto"/>
        <w:rPr>
          <w:sz w:val="20"/>
          <w:szCs w:val="20"/>
          <w:color w:val="auto"/>
        </w:rPr>
      </w:pPr>
      <w:r>
        <w:rPr>
          <w:rFonts w:ascii="Arial" w:cs="Arial" w:eastAsia="Arial" w:hAnsi="Arial"/>
          <w:sz w:val="11"/>
          <w:szCs w:val="11"/>
          <w:color w:val="auto"/>
        </w:rPr>
        <w:t>Significant portions of our sales are to customers who place large orders for custom products and whose activities are related to the power and oil &amp; gas industries. As a result, our exposure to credit risk is affected to some degree by conditions within these industries and governmental and or political conditions. We frequently attempt to reduce our exposure to credit risk by requiring progress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15" w:name="page16"/>
    <w:bookmarkEnd w:id="15"/>
    <w:p>
      <w:pPr>
        <w:ind w:left="260"/>
        <w:spacing w:after="0"/>
        <w:rPr>
          <w:sz w:val="20"/>
          <w:szCs w:val="20"/>
          <w:color w:val="auto"/>
        </w:rPr>
      </w:pPr>
      <w:r>
        <w:rPr>
          <w:rFonts w:ascii="Arial" w:cs="Arial" w:eastAsia="Arial" w:hAnsi="Arial"/>
          <w:sz w:val="12"/>
          <w:szCs w:val="12"/>
          <w:i w:val="1"/>
          <w:iCs w:val="1"/>
          <w:color w:val="auto"/>
        </w:rPr>
        <w:t>Changes in billing terms can increase our exposure to working capital and credit risk.</w:t>
      </w:r>
    </w:p>
    <w:p>
      <w:pPr>
        <w:spacing w:after="0" w:line="78"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Currency fluctuations may reduce profits on our foreign sales or increase our costs, either of which could adversely affect our financial results.</w:t>
      </w:r>
    </w:p>
    <w:p>
      <w:pPr>
        <w:spacing w:after="0" w:line="78"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Given that approximately 33% of our 2018 revenues are outside the United States, we are subject to the impact of fluctuations in foreign currency exchange rates. Transaction losses resulting from currency fluctuations may adversely affect our results of operations. Foreign currency fluctuations may also make our systems and products more expensive for our customers, which could have a negative impact on our sales. In addition, we purchase some foreign-made products directly from and through our subcontractors. Due to the multiple currencies involved in our business, foreign currency positions partially offset and are netted against one another to reduce exposure. We cannot be assured that fluctuations in foreign currency exchange rates will not make these products more expensive to purchase. Increases in our direct or indirect cost of purchasing these products could negatively impact our financial results if we are not able to pass those increased costs on to our customers.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If our goodwill or indefinite lived intangibles become impaired, we may be required to recognize charges that would adversely impact our results of operations.</w:t>
      </w:r>
    </w:p>
    <w:p>
      <w:pPr>
        <w:spacing w:after="0" w:line="78" w:lineRule="exact"/>
        <w:rPr>
          <w:sz w:val="20"/>
          <w:szCs w:val="20"/>
          <w:color w:val="auto"/>
        </w:rPr>
      </w:pPr>
    </w:p>
    <w:p>
      <w:pPr>
        <w:ind w:right="20" w:firstLine="521"/>
        <w:spacing w:after="0" w:line="254" w:lineRule="auto"/>
        <w:rPr>
          <w:sz w:val="20"/>
          <w:szCs w:val="20"/>
          <w:color w:val="auto"/>
        </w:rPr>
      </w:pPr>
      <w:r>
        <w:rPr>
          <w:rFonts w:ascii="Arial" w:cs="Arial" w:eastAsia="Arial" w:hAnsi="Arial"/>
          <w:sz w:val="12"/>
          <w:szCs w:val="12"/>
          <w:color w:val="auto"/>
        </w:rPr>
        <w:t>As of December 31, 2018, goodwill and indefinite lived intangibles were $170.4 million, or 43.4%,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 write-down of goodwill or intangible assets resulting from future periodic evaluations could adversely materially impact our results of operations.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78"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We are continuously seeking the most cost-effective means and structure to serve our customers, protect our shareholders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78"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may be significant changes in U.S. laws and regulations and existing international trade agreements by the current U.S. presidential administration that could affect a wide variety of industries and businesses, including those businesses we own and operate. If the current U.S. presidential administration materially modifies U.S. laws and regulations and international trade agreements, our business, financial condition, and results of operations could be adversely affected.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16" w:name="page17"/>
    <w:bookmarkEnd w:id="16"/>
    <w:p>
      <w:pPr>
        <w:ind w:left="260"/>
        <w:spacing w:after="0"/>
        <w:rPr>
          <w:sz w:val="20"/>
          <w:szCs w:val="20"/>
          <w:color w:val="auto"/>
        </w:rPr>
      </w:pPr>
      <w:r>
        <w:rPr>
          <w:rFonts w:ascii="Arial" w:cs="Arial" w:eastAsia="Arial" w:hAnsi="Arial"/>
          <w:sz w:val="12"/>
          <w:szCs w:val="12"/>
          <w:i w:val="1"/>
          <w:iCs w:val="1"/>
          <w:color w:val="auto"/>
        </w:rPr>
        <w:t>We are party to asbestos-containing product litigation that could adversely affect our financial condition, results of operations and cash flows.</w:t>
      </w:r>
    </w:p>
    <w:p>
      <w:pPr>
        <w:spacing w:after="0" w:line="78" w:lineRule="exact"/>
        <w:rPr>
          <w:sz w:val="20"/>
          <w:szCs w:val="20"/>
          <w:color w:val="auto"/>
        </w:rPr>
      </w:pPr>
    </w:p>
    <w:p>
      <w:pPr>
        <w:ind w:right="20" w:firstLine="521"/>
        <w:spacing w:after="0" w:line="281" w:lineRule="auto"/>
        <w:rPr>
          <w:sz w:val="20"/>
          <w:szCs w:val="20"/>
          <w:color w:val="auto"/>
        </w:rPr>
      </w:pPr>
      <w:r>
        <w:rPr>
          <w:rFonts w:ascii="Arial" w:cs="Arial" w:eastAsia="Arial" w:hAnsi="Arial"/>
          <w:sz w:val="11"/>
          <w:szCs w:val="11"/>
          <w:color w:val="auto"/>
        </w:rPr>
        <w:t>Our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of all legal fees other than corporate counsel expenses from 2002 through December 31, 2018 for cases involving asbestos-related claims were $2.9 million, of which $2.7 million has been paid by the Company’s insurers. The average cost per settled claim, excluding legal fees, was approximately $36,000.</w:t>
      </w:r>
    </w:p>
    <w:p>
      <w:pPr>
        <w:spacing w:after="0" w:line="44"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Based upon the most recent information available to the Company regarding such claims, there were a total of 208 cases pending against the Company as of December 31, 2018 (with Illinois, New York, Pennsylvania and West Virginia having the largest number of cases), as compared with 218 cases that were pending as of December 31, 2017. During 2018, 96 new cases were filed against the Company, and the Company was dismissed from 63 cases and settled 43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01" w:lineRule="exact"/>
        <w:rPr>
          <w:sz w:val="20"/>
          <w:szCs w:val="20"/>
          <w:color w:val="auto"/>
        </w:rPr>
      </w:pPr>
    </w:p>
    <w:p>
      <w:pPr>
        <w:ind w:left="260" w:right="20"/>
        <w:spacing w:after="0" w:line="276" w:lineRule="auto"/>
        <w:rPr>
          <w:sz w:val="20"/>
          <w:szCs w:val="20"/>
          <w:color w:val="auto"/>
        </w:rPr>
      </w:pPr>
      <w:r>
        <w:rPr>
          <w:rFonts w:ascii="Arial" w:cs="Arial" w:eastAsia="Arial" w:hAnsi="Arial"/>
          <w:sz w:val="12"/>
          <w:szCs w:val="12"/>
          <w:i w:val="1"/>
          <w:iCs w:val="1"/>
          <w:color w:val="auto"/>
        </w:rPr>
        <w:t>We have $76.1 million of indebtedness as of December 31, 2018, and incurrence of additional indebtedness could adversely affect our ability to operate our business, remain in compliance with debt covenants, make payments on our debt and limit our growth.</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outstanding indebtedness could have important consequences for investors, including the following:</w:t>
      </w:r>
    </w:p>
    <w:p>
      <w:pPr>
        <w:spacing w:after="0" w:line="78" w:lineRule="exact"/>
        <w:rPr>
          <w:sz w:val="20"/>
          <w:szCs w:val="20"/>
          <w:color w:val="auto"/>
        </w:rPr>
      </w:pPr>
    </w:p>
    <w:p>
      <w:pPr>
        <w:ind w:left="1020" w:right="30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it may be more difficult for us to satisfy our obligations with respect to the agreement governing our senior secured credit facilities (“Credit Facility”), and any failure to comply with the obligations of any of the agreements governing any additional indebtedness, including financial and other restrictive covenants, could result in an event of default under such agreements;</w:t>
      </w:r>
    </w:p>
    <w:p>
      <w:pPr>
        <w:spacing w:after="0" w:line="42" w:lineRule="exact"/>
        <w:rPr>
          <w:rFonts w:ascii="Arial" w:cs="Arial" w:eastAsia="Arial" w:hAnsi="Arial"/>
          <w:sz w:val="12"/>
          <w:szCs w:val="12"/>
          <w:color w:val="auto"/>
        </w:rPr>
      </w:pPr>
    </w:p>
    <w:p>
      <w:pPr>
        <w:ind w:left="1020" w:right="2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covenants contained in our debt agreements, including our Credit Agreement, limit our ability to borrow money in the future for acquisitions, capital expenditures or to meet our operating expenses or other general corporate obligations;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amount of our interest expense may increase because a substantial portion of our borrowings are at variable rates of interest, which, if interest rates increase, could result in higher interest expense;</w:t>
      </w:r>
    </w:p>
    <w:p>
      <w:pPr>
        <w:spacing w:after="0" w:line="89" w:lineRule="exact"/>
        <w:rPr>
          <w:rFonts w:ascii="Arial" w:cs="Arial" w:eastAsia="Arial" w:hAnsi="Arial"/>
          <w:sz w:val="11"/>
          <w:szCs w:val="11"/>
          <w:color w:val="auto"/>
        </w:rPr>
      </w:pPr>
    </w:p>
    <w:p>
      <w:pPr>
        <w:ind w:left="1020" w:right="240" w:hanging="515"/>
        <w:spacing w:after="0" w:line="276" w:lineRule="auto"/>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have a higher level of debt than some of our competitors, which could put us at a competitive disadvantage;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more vulnerable to economic downturns and adverse developments in our industry or the economy in general;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debt level could limit our flexibility in planning for, or reacting to, changes in our business and the industry in which we operate.</w:t>
      </w:r>
    </w:p>
    <w:p>
      <w:pPr>
        <w:spacing w:after="0" w:line="150" w:lineRule="exact"/>
        <w:rPr>
          <w:sz w:val="20"/>
          <w:szCs w:val="20"/>
          <w:color w:val="auto"/>
        </w:rPr>
      </w:pPr>
    </w:p>
    <w:p>
      <w:pPr>
        <w:ind w:right="100" w:firstLine="521"/>
        <w:spacing w:after="0" w:line="259" w:lineRule="auto"/>
        <w:rPr>
          <w:sz w:val="20"/>
          <w:szCs w:val="20"/>
          <w:color w:val="auto"/>
        </w:rPr>
      </w:pPr>
      <w:r>
        <w:rPr>
          <w:rFonts w:ascii="Arial" w:cs="Arial" w:eastAsia="Arial" w:hAnsi="Arial"/>
          <w:sz w:val="12"/>
          <w:szCs w:val="12"/>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91"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2"/>
          <w:szCs w:val="12"/>
          <w:i w:val="1"/>
          <w:iCs w:val="1"/>
          <w:color w:val="auto"/>
        </w:rPr>
        <w:t>We might be unable to protect our intellectual property rights and our products could infringe the intellectual property rights of others, which could expose us to costly disputes.</w:t>
      </w:r>
    </w:p>
    <w:p>
      <w:pPr>
        <w:spacing w:after="0" w:line="78" w:lineRule="exact"/>
        <w:rPr>
          <w:sz w:val="20"/>
          <w:szCs w:val="20"/>
          <w:color w:val="auto"/>
        </w:rPr>
      </w:pPr>
    </w:p>
    <w:p>
      <w:pPr>
        <w:jc w:val="both"/>
        <w:ind w:right="60" w:firstLine="521"/>
        <w:spacing w:after="0" w:line="259" w:lineRule="auto"/>
        <w:rPr>
          <w:sz w:val="20"/>
          <w:szCs w:val="20"/>
          <w:color w:val="auto"/>
        </w:rPr>
      </w:pPr>
      <w:r>
        <w:rPr>
          <w:rFonts w:ascii="Arial" w:cs="Arial" w:eastAsia="Arial" w:hAnsi="Arial"/>
          <w:sz w:val="12"/>
          <w:szCs w:val="12"/>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Risks related to our pension plan may adversely impact our results of operations and cash flow.</w:t>
      </w:r>
    </w:p>
    <w:p>
      <w:pPr>
        <w:spacing w:after="0" w:line="78" w:lineRule="exact"/>
        <w:rPr>
          <w:sz w:val="20"/>
          <w:szCs w:val="20"/>
          <w:color w:val="auto"/>
        </w:rPr>
      </w:pPr>
    </w:p>
    <w:p>
      <w:pPr>
        <w:ind w:firstLine="521"/>
        <w:spacing w:after="0" w:line="281" w:lineRule="auto"/>
        <w:rPr>
          <w:sz w:val="20"/>
          <w:szCs w:val="20"/>
          <w:color w:val="auto"/>
        </w:rPr>
      </w:pPr>
      <w:r>
        <w:rPr>
          <w:rFonts w:ascii="Arial" w:cs="Arial" w:eastAsia="Arial" w:hAnsi="Arial"/>
          <w:sz w:val="11"/>
          <w:szCs w:val="11"/>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 For a discussion regarding the significant assumptions used to estimate pension expense, including discount rate and the expected long-term rate of return on plan assets, and how our financial statements can be affected by pension plan accounting policies, see “Critical Accounting Policies” included in this Annual Report on Form 10-K in “Item 7. Management’s Discussion and Analysis of Financial Condition and Results of Operations.”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1"/>
          <w:szCs w:val="11"/>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90" w:lineRule="exact"/>
        <w:rPr>
          <w:sz w:val="20"/>
          <w:szCs w:val="20"/>
          <w:color w:val="auto"/>
        </w:rPr>
      </w:pPr>
    </w:p>
    <w:p>
      <w:pPr>
        <w:jc w:val="both"/>
        <w:ind w:right="80" w:firstLine="521"/>
        <w:spacing w:after="0" w:line="298" w:lineRule="auto"/>
        <w:rPr>
          <w:sz w:val="20"/>
          <w:szCs w:val="20"/>
          <w:color w:val="auto"/>
        </w:rPr>
      </w:pPr>
      <w:r>
        <w:rPr>
          <w:rFonts w:ascii="Arial" w:cs="Arial" w:eastAsia="Arial" w:hAnsi="Arial"/>
          <w:sz w:val="11"/>
          <w:szCs w:val="11"/>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rely on several key employees whose absence or loss could disrupt our operations or be adverse to our business.</w:t>
      </w:r>
    </w:p>
    <w:p>
      <w:pPr>
        <w:spacing w:after="0" w:line="78"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We are highly dependent on the experience of our management in the continuing development of our operations. The loss of the services of certain of these individuals would have a material adverse effect on our business.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 success will depend in part on our ability to attract and retain qualified personnel to manage our development and future growth. We cannot guarantee that we will be successful in attracting and retaining such personnel. Our failure to recruit additional key personnel could have a material adverse effect on our financial condition, results of operations and cash flows.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Work stoppages or similar difficulties could significantly disrupt our operations.</w:t>
      </w:r>
    </w:p>
    <w:p>
      <w:pPr>
        <w:spacing w:after="0" w:line="78"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As of December 31, 2018, approximately 140 of our approximately 800 employees are represented by international or independent labor unions under various union contracts that expire from May 31, 2019 to May 31, 2022.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w:t>
      </w:r>
    </w:p>
    <w:p>
      <w:pPr>
        <w:spacing w:after="0" w:line="125"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Additionally, a work stoppage at one of our suppliers could adversely affect our operations if an alternative source of supply were not readily available. Work stoppages by employees of our customers also could result in reduced demand for our products.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18" w:name="page19"/>
    <w:bookmarkEnd w:id="18"/>
    <w:p>
      <w:pPr>
        <w:ind w:left="260"/>
        <w:spacing w:after="0"/>
        <w:rPr>
          <w:sz w:val="20"/>
          <w:szCs w:val="20"/>
          <w:color w:val="auto"/>
        </w:rPr>
      </w:pPr>
      <w:r>
        <w:rPr>
          <w:rFonts w:ascii="Arial" w:cs="Arial" w:eastAsia="Arial" w:hAnsi="Arial"/>
          <w:sz w:val="12"/>
          <w:szCs w:val="12"/>
          <w:i w:val="1"/>
          <w:iCs w:val="1"/>
          <w:color w:val="auto"/>
        </w:rPr>
        <w:t>Failure to maintain adequate internal controls could adversely affect our business.</w:t>
      </w:r>
    </w:p>
    <w:p>
      <w:pPr>
        <w:spacing w:after="0" w:line="78" w:lineRule="exact"/>
        <w:rPr>
          <w:sz w:val="20"/>
          <w:szCs w:val="20"/>
          <w:color w:val="auto"/>
        </w:rPr>
      </w:pPr>
    </w:p>
    <w:p>
      <w:pPr>
        <w:ind w:right="120" w:firstLine="521"/>
        <w:spacing w:after="0" w:line="340" w:lineRule="auto"/>
        <w:rPr>
          <w:sz w:val="20"/>
          <w:szCs w:val="20"/>
          <w:color w:val="auto"/>
        </w:rPr>
      </w:pPr>
      <w:r>
        <w:rPr>
          <w:rFonts w:ascii="Arial" w:cs="Arial" w:eastAsia="Arial" w:hAnsi="Arial"/>
          <w:sz w:val="10"/>
          <w:szCs w:val="10"/>
          <w:color w:val="auto"/>
        </w:rPr>
        <w:t>Under Section 404 of Sarbanes-Oxley,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Sarbanes-Oxley, including, but not limited to, the engagement of consultants, the documentation of existing controls and the implementation of new controls or modification of existing controls as deemed appropriate.</w:t>
      </w:r>
    </w:p>
    <w:p>
      <w:pPr>
        <w:spacing w:after="0" w:line="88" w:lineRule="exact"/>
        <w:rPr>
          <w:sz w:val="20"/>
          <w:szCs w:val="20"/>
          <w:color w:val="auto"/>
        </w:rPr>
      </w:pPr>
    </w:p>
    <w:p>
      <w:pPr>
        <w:ind w:right="80" w:firstLine="521"/>
        <w:spacing w:after="0" w:line="257" w:lineRule="auto"/>
        <w:rPr>
          <w:sz w:val="20"/>
          <w:szCs w:val="20"/>
          <w:color w:val="auto"/>
        </w:rPr>
      </w:pPr>
      <w:r>
        <w:rPr>
          <w:rFonts w:ascii="Arial" w:cs="Arial" w:eastAsia="Arial" w:hAnsi="Arial"/>
          <w:sz w:val="12"/>
          <w:szCs w:val="12"/>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shareholder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will continue to be significant.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There are inherent limitations in all internal control systems over financial reporting, and misstatements due to error or fraud may occur and not be detected.</w:t>
      </w:r>
    </w:p>
    <w:p>
      <w:pPr>
        <w:spacing w:after="0" w:line="78" w:lineRule="exact"/>
        <w:rPr>
          <w:sz w:val="20"/>
          <w:szCs w:val="20"/>
          <w:color w:val="auto"/>
        </w:rPr>
      </w:pPr>
    </w:p>
    <w:p>
      <w:pPr>
        <w:ind w:firstLine="521"/>
        <w:spacing w:after="0" w:line="280" w:lineRule="auto"/>
        <w:rPr>
          <w:sz w:val="20"/>
          <w:szCs w:val="20"/>
          <w:color w:val="auto"/>
        </w:rPr>
      </w:pPr>
      <w:r>
        <w:rPr>
          <w:rFonts w:ascii="Arial" w:cs="Arial" w:eastAsia="Arial" w:hAnsi="Arial"/>
          <w:sz w:val="11"/>
          <w:szCs w:val="11"/>
          <w:color w:val="auto"/>
        </w:rPr>
        <w:t>While we continue to take action to ensure compliance with the internal control, disclosure control and other requirements of Sarbanes-Oxley and the rules and regulations promulgated thereunder by the SEC, there are inherent limitations in our ability to control all circumstances. Our management, including our Chief Executive Officer and Chief Financial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16" w:lineRule="exact"/>
        <w:rPr>
          <w:sz w:val="20"/>
          <w:szCs w:val="20"/>
          <w:color w:val="auto"/>
        </w:rPr>
      </w:pPr>
    </w:p>
    <w:p>
      <w:pPr>
        <w:ind w:right="60" w:firstLine="521"/>
        <w:spacing w:after="0" w:line="263" w:lineRule="auto"/>
        <w:rPr>
          <w:sz w:val="20"/>
          <w:szCs w:val="20"/>
          <w:color w:val="auto"/>
        </w:rPr>
      </w:pPr>
      <w:r>
        <w:rPr>
          <w:rFonts w:ascii="Arial" w:cs="Arial" w:eastAsia="Arial" w:hAnsi="Arial"/>
          <w:sz w:val="12"/>
          <w:szCs w:val="12"/>
          <w:color w:val="auto"/>
        </w:rPr>
        <w:t>If we are not able to maintain the adequacy of our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have made and may make future acquisitions or divestitures, which involve numerous risks that could impact our financial condition, results of operations and cash flows.</w:t>
      </w:r>
    </w:p>
    <w:p>
      <w:pPr>
        <w:spacing w:after="0" w:line="78" w:lineRule="exact"/>
        <w:rPr>
          <w:sz w:val="20"/>
          <w:szCs w:val="20"/>
          <w:color w:val="auto"/>
        </w:rPr>
      </w:pPr>
    </w:p>
    <w:p>
      <w:pPr>
        <w:ind w:right="160" w:firstLine="521"/>
        <w:spacing w:after="0" w:line="263" w:lineRule="auto"/>
        <w:rPr>
          <w:sz w:val="20"/>
          <w:szCs w:val="20"/>
          <w:color w:val="auto"/>
        </w:rPr>
      </w:pPr>
      <w:r>
        <w:rPr>
          <w:rFonts w:ascii="Arial" w:cs="Arial" w:eastAsia="Arial" w:hAnsi="Arial"/>
          <w:sz w:val="12"/>
          <w:szCs w:val="12"/>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23"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23" w:lineRule="exact"/>
        <w:rPr>
          <w:sz w:val="20"/>
          <w:szCs w:val="20"/>
          <w:color w:val="auto"/>
        </w:rPr>
      </w:pPr>
    </w:p>
    <w:p>
      <w:pPr>
        <w:ind w:right="220" w:firstLine="521"/>
        <w:spacing w:after="0" w:line="276" w:lineRule="auto"/>
        <w:rPr>
          <w:sz w:val="20"/>
          <w:szCs w:val="20"/>
          <w:color w:val="auto"/>
        </w:rPr>
      </w:pPr>
      <w:r>
        <w:rPr>
          <w:rFonts w:ascii="Arial" w:cs="Arial" w:eastAsia="Arial" w:hAnsi="Arial"/>
          <w:sz w:val="12"/>
          <w:szCs w:val="12"/>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19" w:name="page20"/>
    <w:bookmarkEnd w:id="19"/>
    <w:p>
      <w:pPr>
        <w:ind w:right="120" w:firstLine="521"/>
        <w:spacing w:after="0" w:line="276" w:lineRule="auto"/>
        <w:rPr>
          <w:sz w:val="20"/>
          <w:szCs w:val="20"/>
          <w:color w:val="auto"/>
        </w:rPr>
      </w:pPr>
      <w:r>
        <w:rPr>
          <w:rFonts w:ascii="Arial" w:cs="Arial" w:eastAsia="Arial" w:hAnsi="Arial"/>
          <w:sz w:val="12"/>
          <w:szCs w:val="12"/>
          <w:color w:val="auto"/>
        </w:rPr>
        <w:t>While aligning our portfolio of products and companies with our 4-3-3 operating strategy we have and may continue to divest of certain of our businesses. We may not be able to successfully manage these divestitures and our financial results could by adversely impacted by the diluted impacts from the loss of earnings and cash flows associated with the divested businesses.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ability to obtain financing for future growth opportunities may be limited.</w:t>
      </w:r>
    </w:p>
    <w:p>
      <w:pPr>
        <w:spacing w:after="0" w:line="78" w:lineRule="exact"/>
        <w:rPr>
          <w:sz w:val="20"/>
          <w:szCs w:val="20"/>
          <w:color w:val="auto"/>
        </w:rPr>
      </w:pPr>
    </w:p>
    <w:p>
      <w:pPr>
        <w:ind w:right="220" w:firstLine="521"/>
        <w:spacing w:after="0" w:line="276" w:lineRule="auto"/>
        <w:rPr>
          <w:sz w:val="20"/>
          <w:szCs w:val="20"/>
          <w:color w:val="auto"/>
        </w:rPr>
      </w:pPr>
      <w:r>
        <w:rPr>
          <w:rFonts w:ascii="Arial" w:cs="Arial" w:eastAsia="Arial" w:hAnsi="Arial"/>
          <w:sz w:val="12"/>
          <w:szCs w:val="12"/>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dependence on information systems and the failure of such systems, could significantly disrupt our business and negatively affect our financial condition, results of operations and cash flows.</w:t>
      </w:r>
    </w:p>
    <w:p>
      <w:pPr>
        <w:spacing w:after="0" w:line="78" w:lineRule="exact"/>
        <w:rPr>
          <w:sz w:val="20"/>
          <w:szCs w:val="20"/>
          <w:color w:val="auto"/>
        </w:rPr>
      </w:pPr>
    </w:p>
    <w:p>
      <w:pPr>
        <w:ind w:left="80" w:firstLine="282"/>
        <w:spacing w:after="0" w:line="263" w:lineRule="auto"/>
        <w:rPr>
          <w:sz w:val="20"/>
          <w:szCs w:val="20"/>
          <w:color w:val="auto"/>
        </w:rPr>
      </w:pPr>
      <w:r>
        <w:rPr>
          <w:rFonts w:ascii="Arial" w:cs="Arial" w:eastAsia="Arial" w:hAnsi="Arial"/>
          <w:sz w:val="12"/>
          <w:szCs w:val="12"/>
          <w:color w:val="auto"/>
        </w:rPr>
        <w:t>We are highly dependent on information systems that are increasingly operated by third-parties and as a result we have a limited ability to ensure their continued operation. We rely on information technology systems, networks and infrastructure in managing our day-to-day operations. In the event of systems failure or interruption, we will have limited ability to affect the timing and success of systems restoration. Any failure or interruption of our systems could cause delays or other problems in the delivery of our services, which could have a material adverse effect on our operating results.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Increased information technology cyber security threats and more sophisticated and targeted computer crime could pose a risk to our systems, networks, and products.</w:t>
      </w:r>
    </w:p>
    <w:p>
      <w:pPr>
        <w:spacing w:after="0" w:line="78" w:lineRule="exact"/>
        <w:rPr>
          <w:sz w:val="20"/>
          <w:szCs w:val="20"/>
          <w:color w:val="auto"/>
        </w:rPr>
      </w:pPr>
    </w:p>
    <w:p>
      <w:pPr>
        <w:ind w:right="20" w:firstLine="521"/>
        <w:spacing w:after="0" w:line="257" w:lineRule="auto"/>
        <w:rPr>
          <w:sz w:val="20"/>
          <w:szCs w:val="20"/>
          <w:color w:val="auto"/>
        </w:rPr>
      </w:pPr>
      <w:r>
        <w:rPr>
          <w:rFonts w:ascii="Arial" w:cs="Arial" w:eastAsia="Arial" w:hAnsi="Arial"/>
          <w:sz w:val="12"/>
          <w:szCs w:val="12"/>
          <w:color w:val="auto"/>
        </w:rPr>
        <w:t>Increased global information technology cyber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26" w:lineRule="exact"/>
        <w:rPr>
          <w:sz w:val="20"/>
          <w:szCs w:val="20"/>
          <w:color w:val="auto"/>
        </w:rPr>
      </w:pPr>
    </w:p>
    <w:p>
      <w:pPr>
        <w:jc w:val="both"/>
        <w:ind w:right="40" w:firstLine="521"/>
        <w:spacing w:after="0" w:line="276" w:lineRule="auto"/>
        <w:rPr>
          <w:sz w:val="20"/>
          <w:szCs w:val="20"/>
          <w:color w:val="auto"/>
        </w:rPr>
      </w:pPr>
      <w:r>
        <w:rPr>
          <w:rFonts w:ascii="Arial" w:cs="Arial" w:eastAsia="Arial" w:hAnsi="Arial"/>
          <w:sz w:val="12"/>
          <w:szCs w:val="12"/>
          <w:color w:val="auto"/>
        </w:rPr>
        <w:t>In addition, we could be subject to legal claims or proceedings, liability under laws that protect the privacy of personal information and regulatory penalties if confidential information relating to our employees or other parties is misappropriated from our systems and networks.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The market price of our common stock may be volatile or may decline regardless of our operating performance and investors may not be able to resell shares they purchase at their purchase price.</w:t>
      </w:r>
    </w:p>
    <w:p>
      <w:pPr>
        <w:spacing w:after="0" w:line="78" w:lineRule="exact"/>
        <w:rPr>
          <w:sz w:val="20"/>
          <w:szCs w:val="20"/>
          <w:color w:val="auto"/>
        </w:rPr>
      </w:pPr>
    </w:p>
    <w:p>
      <w:pPr>
        <w:jc w:val="both"/>
        <w:ind w:right="40" w:firstLine="521"/>
        <w:spacing w:after="0" w:line="298" w:lineRule="auto"/>
        <w:rPr>
          <w:sz w:val="20"/>
          <w:szCs w:val="20"/>
          <w:color w:val="auto"/>
        </w:rPr>
      </w:pPr>
      <w:r>
        <w:rPr>
          <w:rFonts w:ascii="Arial" w:cs="Arial" w:eastAsia="Arial" w:hAnsi="Arial"/>
          <w:sz w:val="11"/>
          <w:szCs w:val="11"/>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2018, the sales price of our common stock on the NASDAQ ranged from $4.08 to $8.91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33" w:lineRule="exact"/>
        <w:rPr>
          <w:sz w:val="20"/>
          <w:szCs w:val="20"/>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actual or anticipated variations in operating results;</w:t>
      </w:r>
    </w:p>
    <w:p>
      <w:pPr>
        <w:spacing w:after="0" w:line="78" w:lineRule="exact"/>
        <w:rPr>
          <w:rFonts w:ascii="Arial" w:cs="Arial" w:eastAsia="Arial" w:hAnsi="Arial"/>
          <w:sz w:val="12"/>
          <w:szCs w:val="12"/>
          <w:color w:val="auto"/>
        </w:rPr>
      </w:pPr>
    </w:p>
    <w:p>
      <w:pPr>
        <w:ind w:left="1020" w:right="100" w:hanging="515"/>
        <w:spacing w:after="0" w:line="276" w:lineRule="auto"/>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other domestic and international macroeconomic factors unrelated to our performance;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failure to meet the expectations of the investment community;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industry trends and the business success of our customers;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loss of key customers;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announcements of technological advances by us or our competitors;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20" w:name="page21"/>
    <w:bookmarkEnd w:id="20"/>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current events affecting the political and economic environment in the United States;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conditions or trends in our industry, including demand for our products and services, technological advances and governmental regulations;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litigation or other proceedings involving or affecting us;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additions or departures of our key personnel.</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realization of any of these risks and other factors beyond our control could cause the market price of our common stock to decline significantly.</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are not currently paying dividends and cannot make assurances that we will pay dividends on our common stock and our indebtedness could limit our ability to pay dividends.</w:t>
      </w:r>
    </w:p>
    <w:p>
      <w:pPr>
        <w:spacing w:after="0" w:line="78"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The timing, declaration, amount and payment of future dividends to our shareholders fall within the discretion of our Board of Directors and will depend on many factors, including our financial condition, results of operations and capital requirements, as well as applicable law, regulatory constraints, industry practice and other business considerations that our Board of Directors considers relevant. There can be no assurance that we will pay a dividend in the future.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The number of shares of our common stock eligible for future sale could adversely affect the market price of our stock.</w:t>
      </w:r>
    </w:p>
    <w:p>
      <w:pPr>
        <w:spacing w:after="0" w:line="78"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We have reserved 1.9 million shares of our common stock for issuance under our 2017 Equity Incentive Plan (the “2017 Plan”), which may include option grants, stock grants, performance unit grants and restricted stock grants. We had outstanding options to purchase approximately 441,000 shares of our common stock and 150,000 outstanding restricted stock units under our 2007 Equity Incentive Plan (the “2007 Plan”), and outstanding options to purchase approximately 67,000 shares of our common stock and 1,101,000 outstanding restricted stock units under our 2017 Plan as of December 31, 2018. The shares under both plans are registered for resale on currently effective registration statements.</w:t>
      </w:r>
    </w:p>
    <w:p>
      <w:pPr>
        <w:spacing w:after="0" w:line="125"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We may issue additional restricted securities or register additional shares of common stock under the Securities Act in the future. The issuance of a significant number of shares of common stock upon the exercise of stock options or warrants, vesting of restricted stock units, or the availability for sale, or resale, of a substantial number of the shares of common stock under registration statements, under Rule 144 or otherwise, could adversely affect the market price of our common stock.</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One or more issuances of shares of our common stock under our stock incentive plan or securities in connection with financing transactions or the conversion of warrants will dilute current shareholders.</w:t>
      </w:r>
    </w:p>
    <w:p>
      <w:pPr>
        <w:spacing w:after="0" w:line="78" w:lineRule="exact"/>
        <w:rPr>
          <w:sz w:val="20"/>
          <w:szCs w:val="20"/>
          <w:color w:val="auto"/>
        </w:rPr>
      </w:pPr>
    </w:p>
    <w:p>
      <w:pPr>
        <w:jc w:val="both"/>
        <w:ind w:firstLine="521"/>
        <w:spacing w:after="0" w:line="263" w:lineRule="auto"/>
        <w:rPr>
          <w:sz w:val="20"/>
          <w:szCs w:val="20"/>
          <w:color w:val="auto"/>
        </w:rPr>
      </w:pPr>
      <w:r>
        <w:rPr>
          <w:rFonts w:ascii="Arial" w:cs="Arial" w:eastAsia="Arial" w:hAnsi="Arial"/>
          <w:sz w:val="12"/>
          <w:szCs w:val="12"/>
          <w:color w:val="auto"/>
        </w:rPr>
        <w:t>Pursuant to our stock incentive plan, we may grant stock awards to our employees, directors and consultants. Dilution will occur upon exercise of any outstanding stock awards convertible into or exchangeable or exercisable for common stock. Moreover, if we raise additional funds by issuing additional common stock, or securities, further dilution to our existing shareholders will result. In addition, we have historically issued warrants to purchase common shares in conjunction with business acquisitions, debt issuances and employment contracts, which may cause dilution when exercised.</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ability to issue preferred stock could adversely affect the rights of holders of our common stock.</w:t>
      </w:r>
    </w:p>
    <w:p>
      <w:pPr>
        <w:spacing w:after="0" w:line="78"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Certain provisions in our charter documents have anti-takeover effects.</w:t>
      </w:r>
    </w:p>
    <w:p>
      <w:pPr>
        <w:spacing w:after="0" w:line="78" w:lineRule="exact"/>
        <w:rPr>
          <w:sz w:val="20"/>
          <w:szCs w:val="20"/>
          <w:color w:val="auto"/>
        </w:rPr>
      </w:pPr>
    </w:p>
    <w:p>
      <w:pPr>
        <w:jc w:val="both"/>
        <w:ind w:right="120" w:firstLine="521"/>
        <w:spacing w:after="0" w:line="263" w:lineRule="auto"/>
        <w:rPr>
          <w:sz w:val="20"/>
          <w:szCs w:val="20"/>
          <w:color w:val="auto"/>
        </w:rPr>
      </w:pPr>
      <w:r>
        <w:rPr>
          <w:rFonts w:ascii="Arial" w:cs="Arial" w:eastAsia="Arial" w:hAnsi="Arial"/>
          <w:sz w:val="12"/>
          <w:szCs w:val="12"/>
          <w:color w:val="auto"/>
        </w:rPr>
        <w:t>Certain provisions of our certificate of incorporation and bylaws may have the effect of delaying, deferring or preventing a change in control of us. Such provisions, including those limiting who may call special shareholders’ meetings, together with the possible issuance of our preferred stock without shareholder approval, may make it more difficult for other persons, without the approval of our board of directors, to make a tender offer or otherwise acquire substantial amounts of our common stock or to launch other takeover attempts that a shareholder might consider to be in such shareholder’s best interest.</w:t>
      </w:r>
    </w:p>
    <w:p>
      <w:pPr>
        <w:spacing w:after="0" w:line="191"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0"/>
          <w:szCs w:val="10"/>
          <w:b w:val="1"/>
          <w:bCs w:val="1"/>
          <w:color w:val="auto"/>
        </w:rPr>
        <w:t>Unresolved Staff Comments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Not Applicable.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347"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4300" w:type="dxa"/>
            <w:vAlign w:val="bottom"/>
            <w:gridSpan w:val="3"/>
          </w:tcPr>
          <w:p>
            <w:pPr>
              <w:spacing w:after="0"/>
              <w:rPr>
                <w:sz w:val="20"/>
                <w:szCs w:val="20"/>
                <w:color w:val="auto"/>
              </w:rPr>
            </w:pPr>
            <w:r>
              <w:rPr>
                <w:rFonts w:ascii="Arial" w:cs="Arial" w:eastAsia="Arial" w:hAnsi="Arial"/>
                <w:sz w:val="12"/>
                <w:szCs w:val="12"/>
                <w:b w:val="1"/>
                <w:bCs w:val="1"/>
                <w:color w:val="auto"/>
              </w:rPr>
              <w:t>Properties</w:t>
            </w: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6"/>
        </w:trPr>
        <w:tc>
          <w:tcPr>
            <w:tcW w:w="5460" w:type="dxa"/>
            <w:vAlign w:val="bottom"/>
            <w:gridSpan w:val="4"/>
          </w:tcPr>
          <w:p>
            <w:pPr>
              <w:ind w:left="520"/>
              <w:spacing w:after="0"/>
              <w:rPr>
                <w:sz w:val="20"/>
                <w:szCs w:val="20"/>
                <w:color w:val="auto"/>
              </w:rPr>
            </w:pPr>
            <w:r>
              <w:rPr>
                <w:rFonts w:ascii="Arial" w:cs="Arial" w:eastAsia="Arial" w:hAnsi="Arial"/>
                <w:sz w:val="12"/>
                <w:szCs w:val="12"/>
                <w:color w:val="auto"/>
              </w:rPr>
              <w:t>The following facilities were owned or leased by the Company as of December 31, 2018.</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2"/>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Owned and Leased Locations</w:t>
            </w:r>
          </w:p>
        </w:tc>
        <w:tc>
          <w:tcPr>
            <w:tcW w:w="180" w:type="dxa"/>
            <w:vAlign w:val="bottom"/>
            <w:tcBorders>
              <w:bottom w:val="single" w:sz="8" w:color="CFF0FC"/>
            </w:tcBorders>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Type</w:t>
            </w:r>
          </w:p>
        </w:tc>
        <w:tc>
          <w:tcPr>
            <w:tcW w:w="180" w:type="dxa"/>
            <w:vAlign w:val="bottom"/>
            <w:tcBorders>
              <w:bottom w:val="single" w:sz="8" w:color="CFF0FC"/>
            </w:tcBorders>
          </w:tcPr>
          <w:p>
            <w:pPr>
              <w:spacing w:after="0"/>
              <w:rPr>
                <w:sz w:val="21"/>
                <w:szCs w:val="21"/>
                <w:color w:val="auto"/>
              </w:rPr>
            </w:pPr>
          </w:p>
        </w:tc>
        <w:tc>
          <w:tcPr>
            <w:tcW w:w="162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Square Footage</w:t>
            </w:r>
          </w:p>
        </w:tc>
        <w:tc>
          <w:tcPr>
            <w:tcW w:w="300" w:type="dxa"/>
            <w:vAlign w:val="bottom"/>
            <w:tcBorders>
              <w:bottom w:val="single" w:sz="8" w:color="CFF0FC"/>
            </w:tcBorders>
          </w:tcPr>
          <w:p>
            <w:pPr>
              <w:spacing w:after="0"/>
              <w:rPr>
                <w:sz w:val="21"/>
                <w:szCs w:val="21"/>
                <w:color w:val="auto"/>
              </w:rPr>
            </w:pPr>
          </w:p>
        </w:tc>
        <w:tc>
          <w:tcPr>
            <w:tcW w:w="192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Leased or Owned</w:t>
            </w:r>
          </w:p>
        </w:tc>
      </w:tr>
      <w:tr>
        <w:trPr>
          <w:trHeight w:val="142"/>
        </w:trPr>
        <w:tc>
          <w:tcPr>
            <w:tcW w:w="546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Energy Solutions segment:</w:t>
            </w:r>
          </w:p>
        </w:tc>
        <w:tc>
          <w:tcPr>
            <w:tcW w:w="20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Moorpark, California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4,300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Cincinnati, Ohio</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Nunspeet, the Netherlands</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44,600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Nunspeet, the Netherlands</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6,545</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rPr>
              <w:t>Montreal, Canada</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3,514</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Orchard Park, New York</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rPr>
              <w:t>Denton, Texas</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80,000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Monroe, Connecticut</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8,825</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rPr>
              <w:t>Pune, India</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678</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7"/>
              </w:rPr>
              <w:t>Islandia, New York</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8,178</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Dubai, United Arab Emirates</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2,463</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Singapore</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4,643</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Essex, United Kingdom</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120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Zhenjiang, People’s Republic of China</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w w:val="91"/>
              </w:rPr>
              <w:t>Wichita Falls, Texas</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2"/>
              </w:rPr>
              <w:t>Held for Sale</w:t>
            </w:r>
          </w:p>
        </w:tc>
        <w:tc>
          <w:tcPr>
            <w:tcW w:w="1620" w:type="dxa"/>
            <w:vAlign w:val="bottom"/>
          </w:tcPr>
          <w:p>
            <w:pPr>
              <w:jc w:val="right"/>
              <w:spacing w:after="0"/>
              <w:rPr>
                <w:sz w:val="20"/>
                <w:szCs w:val="20"/>
                <w:color w:val="auto"/>
              </w:rPr>
            </w:pPr>
            <w:r>
              <w:rPr>
                <w:rFonts w:ascii="Arial" w:cs="Arial" w:eastAsia="Arial" w:hAnsi="Arial"/>
                <w:sz w:val="12"/>
                <w:szCs w:val="12"/>
                <w:color w:val="auto"/>
              </w:rPr>
              <w:t>128,000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Owned</w:t>
            </w:r>
          </w:p>
        </w:tc>
      </w:tr>
      <w:tr>
        <w:trPr>
          <w:trHeight w:val="153"/>
        </w:trPr>
        <w:tc>
          <w:tcPr>
            <w:tcW w:w="546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Industrial Solutions segment:</w:t>
            </w:r>
          </w:p>
        </w:tc>
        <w:tc>
          <w:tcPr>
            <w:tcW w:w="2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w w:val="93"/>
              </w:rPr>
              <w:t>Anaheim, California</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84"/>
              </w:rPr>
              <w:t>Sales/Warehouse</w:t>
            </w:r>
          </w:p>
        </w:tc>
        <w:tc>
          <w:tcPr>
            <w:tcW w:w="1620" w:type="dxa"/>
            <w:vAlign w:val="bottom"/>
          </w:tcPr>
          <w:p>
            <w:pPr>
              <w:jc w:val="right"/>
              <w:spacing w:after="0"/>
              <w:rPr>
                <w:sz w:val="20"/>
                <w:szCs w:val="20"/>
                <w:color w:val="auto"/>
              </w:rPr>
            </w:pPr>
            <w:r>
              <w:rPr>
                <w:rFonts w:ascii="Arial" w:cs="Arial" w:eastAsia="Arial" w:hAnsi="Arial"/>
                <w:sz w:val="12"/>
                <w:szCs w:val="12"/>
                <w:color w:val="auto"/>
              </w:rPr>
              <w:t>7,000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8"/>
              </w:rPr>
              <w:t>Wood Dale, Illinois</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84"/>
              </w:rPr>
              <w:t>Sales/Warehouse</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rPr>
              <w:t>Lennon, Michigan</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84"/>
              </w:rPr>
              <w:t>Sales/Warehouse</w:t>
            </w:r>
          </w:p>
        </w:tc>
        <w:tc>
          <w:tcPr>
            <w:tcW w:w="1620" w:type="dxa"/>
            <w:vAlign w:val="bottom"/>
          </w:tcPr>
          <w:p>
            <w:pPr>
              <w:jc w:val="right"/>
              <w:spacing w:after="0"/>
              <w:rPr>
                <w:sz w:val="20"/>
                <w:szCs w:val="20"/>
                <w:color w:val="auto"/>
              </w:rPr>
            </w:pPr>
            <w:r>
              <w:rPr>
                <w:rFonts w:ascii="Arial" w:cs="Arial" w:eastAsia="Arial" w:hAnsi="Arial"/>
                <w:sz w:val="12"/>
                <w:szCs w:val="12"/>
                <w:color w:val="auto"/>
              </w:rPr>
              <w:t>8,000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Louisville, Kentucky</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Owned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Louisville, Kentucky</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5,450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Lebanon, Pennsylvania</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4,221</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Pittsburgh, Pennsylvania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4,000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Columbia, Tennessee</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Shanghai, People's Republic of China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270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Cambridgeshire, United Kingdom</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Shanghai, People’s Republic of China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5,608</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Greensboro, North Carolina</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spacing w:after="0"/>
              <w:rPr>
                <w:sz w:val="20"/>
                <w:szCs w:val="20"/>
                <w:color w:val="auto"/>
              </w:rPr>
            </w:pPr>
            <w:r>
              <w:rPr>
                <w:rFonts w:ascii="Arial" w:cs="Arial" w:eastAsia="Arial" w:hAnsi="Arial"/>
                <w:sz w:val="12"/>
                <w:szCs w:val="12"/>
                <w:color w:val="auto"/>
              </w:rPr>
              <w:t>Fluid Handling Solutions segment:</w:t>
            </w: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Telford, Pennsylvania</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Indianapolis, Indiana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66,000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Heerenveen, the Netherlands</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Owned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Guangzhou, People’s Republic of China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17,168</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spacing w:after="0"/>
              <w:rPr>
                <w:sz w:val="20"/>
                <w:szCs w:val="20"/>
                <w:color w:val="auto"/>
              </w:rPr>
            </w:pPr>
            <w:r>
              <w:rPr>
                <w:rFonts w:ascii="Arial" w:cs="Arial" w:eastAsia="Arial" w:hAnsi="Arial"/>
                <w:sz w:val="12"/>
                <w:szCs w:val="12"/>
                <w:color w:val="auto"/>
              </w:rPr>
              <w:t>Corporate offices:</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rPr>
              <w:t>Cincinnati, Ohio</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5"/>
              </w:rPr>
              <w:t>Administrative</w:t>
            </w:r>
          </w:p>
        </w:tc>
        <w:tc>
          <w:tcPr>
            <w:tcW w:w="1620" w:type="dxa"/>
            <w:vAlign w:val="bottom"/>
          </w:tcPr>
          <w:p>
            <w:pPr>
              <w:jc w:val="right"/>
              <w:spacing w:after="0"/>
              <w:rPr>
                <w:sz w:val="20"/>
                <w:szCs w:val="20"/>
                <w:color w:val="auto"/>
              </w:rPr>
            </w:pPr>
            <w:r>
              <w:rPr>
                <w:rFonts w:ascii="Arial" w:cs="Arial" w:eastAsia="Arial" w:hAnsi="Arial"/>
                <w:sz w:val="12"/>
                <w:szCs w:val="12"/>
                <w:color w:val="auto"/>
              </w:rPr>
              <w:t>7,000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Toronto, Canada</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5"/>
              </w:rPr>
              <w:t>Administrative</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62"/>
        </w:trPr>
        <w:tc>
          <w:tcPr>
            <w:tcW w:w="1160" w:type="dxa"/>
            <w:vAlign w:val="bottom"/>
          </w:tcPr>
          <w:p>
            <w:pPr>
              <w:ind w:left="160"/>
              <w:spacing w:after="0"/>
              <w:rPr>
                <w:sz w:val="20"/>
                <w:szCs w:val="20"/>
                <w:color w:val="auto"/>
              </w:rPr>
            </w:pPr>
            <w:r>
              <w:rPr>
                <w:rFonts w:ascii="Arial" w:cs="Arial" w:eastAsia="Arial" w:hAnsi="Arial"/>
                <w:sz w:val="12"/>
                <w:szCs w:val="12"/>
                <w:color w:val="auto"/>
              </w:rPr>
              <w:t>Dallas, Texas (a)</w:t>
            </w:r>
          </w:p>
        </w:tc>
        <w:tc>
          <w:tcPr>
            <w:tcW w:w="7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5"/>
              </w:rPr>
              <w:t>Administrative</w:t>
            </w:r>
          </w:p>
        </w:tc>
        <w:tc>
          <w:tcPr>
            <w:tcW w:w="1620" w:type="dxa"/>
            <w:vAlign w:val="bottom"/>
          </w:tcPr>
          <w:p>
            <w:pPr>
              <w:jc w:val="right"/>
              <w:spacing w:after="0"/>
              <w:rPr>
                <w:sz w:val="20"/>
                <w:szCs w:val="20"/>
                <w:color w:val="auto"/>
              </w:rPr>
            </w:pPr>
            <w:r>
              <w:rPr>
                <w:rFonts w:ascii="Arial" w:cs="Arial" w:eastAsia="Arial" w:hAnsi="Arial"/>
                <w:sz w:val="12"/>
                <w:szCs w:val="12"/>
                <w:color w:val="auto"/>
              </w:rPr>
              <w:t>18,267</w:t>
            </w:r>
          </w:p>
        </w:tc>
        <w:tc>
          <w:tcPr>
            <w:tcW w:w="3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99"/>
        </w:trPr>
        <w:tc>
          <w:tcPr>
            <w:tcW w:w="1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20" w:type="dxa"/>
            <w:vAlign w:val="bottom"/>
          </w:tcPr>
          <w:p>
            <w:pPr>
              <w:spacing w:after="0"/>
              <w:rPr>
                <w:sz w:val="8"/>
                <w:szCs w:val="8"/>
                <w:color w:val="auto"/>
              </w:rPr>
            </w:pPr>
          </w:p>
        </w:tc>
      </w:tr>
      <w:tr>
        <w:trPr>
          <w:trHeight w:val="79"/>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20" w:type="dxa"/>
            <w:vAlign w:val="bottom"/>
          </w:tcPr>
          <w:p>
            <w:pPr>
              <w:spacing w:after="0"/>
              <w:rPr>
                <w:sz w:val="6"/>
                <w:szCs w:val="6"/>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Location is also used by the Company’s Energy Solutions and Industrial Solutions segments as a management office.</w:t>
      </w:r>
    </w:p>
    <w:p>
      <w:pPr>
        <w:spacing w:after="0" w:line="150" w:lineRule="exact"/>
        <w:rPr>
          <w:sz w:val="20"/>
          <w:szCs w:val="20"/>
          <w:color w:val="auto"/>
        </w:rPr>
      </w:pPr>
    </w:p>
    <w:p>
      <w:pPr>
        <w:ind w:right="340"/>
        <w:spacing w:after="0" w:line="323" w:lineRule="auto"/>
        <w:rPr>
          <w:sz w:val="20"/>
          <w:szCs w:val="20"/>
          <w:color w:val="auto"/>
        </w:rPr>
      </w:pPr>
      <w:r>
        <w:rPr>
          <w:rFonts w:ascii="Arial" w:cs="Arial" w:eastAsia="Arial" w:hAnsi="Arial"/>
          <w:sz w:val="11"/>
          <w:szCs w:val="11"/>
          <w:color w:val="auto"/>
        </w:rPr>
        <w:t>It is anticipated that most leases coming due in the near future will be renewed at expiration. The property we own is subject to collateral mortgages to secure the amounts owed under the Credit Agreement. Our current capacity, with limited capital additions, is expected to be sufficient to meet production requirements for the near future. We believe our production facilities are suitable and can meet our future production needs.</w:t>
      </w:r>
    </w:p>
    <w:p>
      <w:pPr>
        <w:spacing w:after="0" w:line="160"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Legal Proceedings</w:t>
      </w:r>
    </w:p>
    <w:p>
      <w:pPr>
        <w:spacing w:after="0" w:line="82" w:lineRule="exact"/>
        <w:rPr>
          <w:sz w:val="20"/>
          <w:szCs w:val="20"/>
          <w:color w:val="auto"/>
        </w:rPr>
      </w:pPr>
    </w:p>
    <w:p>
      <w:pPr>
        <w:ind w:right="260" w:firstLine="521"/>
        <w:spacing w:after="0" w:line="276" w:lineRule="auto"/>
        <w:rPr>
          <w:sz w:val="20"/>
          <w:szCs w:val="20"/>
          <w:color w:val="auto"/>
        </w:rPr>
      </w:pPr>
      <w:r>
        <w:rPr>
          <w:rFonts w:ascii="Arial" w:cs="Arial" w:eastAsia="Arial" w:hAnsi="Arial"/>
          <w:sz w:val="12"/>
          <w:szCs w:val="12"/>
          <w:color w:val="auto"/>
        </w:rPr>
        <w:t>See Note 13 “Commitments and Contingencies – Legal Proceedings” to the Consolidated Financial Statements contained in Part II, Item 8 of this Annual Report on Form 10-K for information regarding legal proceedings in which we are involved.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87" w:right="199" w:bottom="1440" w:gutter="0" w:footer="0" w:header="0"/>
        </w:sectPr>
      </w:pPr>
    </w:p>
    <w:bookmarkStart w:id="22" w:name="page23"/>
    <w:bookmarkEnd w:id="22"/>
    <w:p>
      <w:pPr>
        <w:spacing w:after="0"/>
        <w:tabs>
          <w:tab w:leader="none" w:pos="114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Not applicable.</w:t>
      </w:r>
    </w:p>
    <w:p>
      <w:pPr>
        <w:spacing w:after="0" w:line="285"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487"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Market for the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2"/>
          <w:szCs w:val="12"/>
          <w:color w:val="auto"/>
        </w:rPr>
        <w:t>Our common stock is traded on the NASDAQ under the symbol “CECE.”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Graph</w:t>
      </w:r>
    </w:p>
    <w:p>
      <w:pPr>
        <w:spacing w:after="0" w:line="82"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The following graph sets forth the cumulative total return to CECO’s shareholders during the five years ended December 31, 2018, as well as the following indices: Russell 2000 Index, Standard and Poor’s (“S&amp;P”) 600 Small Cap Industrial Machinery Index, and S&amp;P 500 Index. Assumes $100 was invested on December 31, 2013,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33020</wp:posOffset>
            </wp:positionV>
            <wp:extent cx="3712210" cy="1452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12210" cy="145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82"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Our dividend policy and the payment of cash dividends under that policy are subject to the Board of Director’s continuing determination that the dividend policy and the declaration of dividends are in the best interest of our shareholders. On November 6, 2017, the Board of Directors reviewed the Company’s dividend policy and determined that it would be in the best interest of the stockholders to suspend dividend payments. Future dividends and the dividend policy may be changed at the Board of Director’s discretion at any time. Payment of dividends is also subject to the continuing compliance with our financial covenants under our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approximate number of registered shareholders of record of our common stock as of February 28, 2019 was 314, although there are a larger number of beneficial owners.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 by the Issuer and Affiliated Purchasers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did not repurchase any shares of our common stock during 2018.</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Not applicable.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24" w:name="page25"/>
    <w:bookmarkEnd w:id="24"/>
    <w:p>
      <w:pPr>
        <w:spacing w:after="0"/>
        <w:tabs>
          <w:tab w:leader="none" w:pos="76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Selected Financial Data</w:t>
      </w:r>
    </w:p>
    <w:p>
      <w:pPr>
        <w:spacing w:after="0" w:line="298" w:lineRule="exact"/>
        <w:rPr>
          <w:sz w:val="20"/>
          <w:szCs w:val="20"/>
          <w:color w:val="auto"/>
        </w:rPr>
      </w:pPr>
    </w:p>
    <w:p>
      <w:pPr>
        <w:ind w:right="120" w:firstLine="521"/>
        <w:spacing w:after="0" w:line="263" w:lineRule="auto"/>
        <w:rPr>
          <w:sz w:val="20"/>
          <w:szCs w:val="20"/>
          <w:color w:val="auto"/>
        </w:rPr>
      </w:pPr>
      <w:r>
        <w:rPr>
          <w:rFonts w:ascii="Arial" w:cs="Arial" w:eastAsia="Arial" w:hAnsi="Arial"/>
          <w:sz w:val="12"/>
          <w:szCs w:val="12"/>
          <w:color w:val="auto"/>
        </w:rPr>
        <w:t>The following table sets forth selected summary financial data. We have derived this data from our consolidated financial statements for the five years ended December 31, 2018 which were audited by BDO USA, LLP, independent registered public accounting firm. The selected financial data should be read in conjunction with our Consolidated Financial Statements and Notes thereto and “Management’s Discussion and Analysis of Financial Condition and Results of Operations” and other financial information included herein.</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w w:val="92"/>
              </w:rPr>
              <w:t>Year Ended December 31,</w:t>
            </w: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548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1"/>
              <w:spacing w:after="0" w:line="97" w:lineRule="exact"/>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1"/>
              <w:spacing w:after="0" w:line="97" w:lineRule="exact"/>
              <w:rPr>
                <w:sz w:val="20"/>
                <w:szCs w:val="20"/>
                <w:color w:val="auto"/>
              </w:rPr>
            </w:pPr>
            <w:r>
              <w:rPr>
                <w:rFonts w:ascii="Arial" w:cs="Arial" w:eastAsia="Arial" w:hAnsi="Arial"/>
                <w:sz w:val="10"/>
                <w:szCs w:val="10"/>
                <w:b w:val="1"/>
                <w:bCs w:val="1"/>
                <w:color w:val="auto"/>
              </w:rPr>
              <w:t>2016</w:t>
            </w:r>
          </w:p>
        </w:tc>
        <w:tc>
          <w:tcPr>
            <w:tcW w:w="24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1"/>
              <w:spacing w:after="0" w:line="97" w:lineRule="exact"/>
              <w:rPr>
                <w:sz w:val="20"/>
                <w:szCs w:val="20"/>
                <w:color w:val="auto"/>
              </w:rPr>
            </w:pPr>
            <w:r>
              <w:rPr>
                <w:rFonts w:ascii="Arial" w:cs="Arial" w:eastAsia="Arial" w:hAnsi="Arial"/>
                <w:sz w:val="10"/>
                <w:szCs w:val="10"/>
                <w:b w:val="1"/>
                <w:bCs w:val="1"/>
                <w:color w:val="auto"/>
              </w:rPr>
              <w:t>2015</w:t>
            </w:r>
          </w:p>
        </w:tc>
        <w:tc>
          <w:tcPr>
            <w:tcW w:w="14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1"/>
              <w:spacing w:after="0" w:line="97" w:lineRule="exact"/>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FF0FC"/>
            </w:tcBorders>
          </w:tcPr>
          <w:p>
            <w:pPr>
              <w:spacing w:after="0"/>
              <w:rPr>
                <w:sz w:val="8"/>
                <w:szCs w:val="8"/>
                <w:color w:val="auto"/>
              </w:rPr>
            </w:pPr>
          </w:p>
        </w:tc>
      </w:tr>
      <w:tr>
        <w:trPr>
          <w:trHeight w:val="142"/>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Net sales</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337,339</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345,051</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367,422</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263,217</w:t>
            </w:r>
          </w:p>
        </w:tc>
        <w:tc>
          <w:tcPr>
            <w:tcW w:w="120" w:type="dxa"/>
            <w:vAlign w:val="bottom"/>
            <w:shd w:val="clear" w:color="auto" w:fill="CFF0FC"/>
          </w:tcPr>
          <w:p>
            <w:pPr>
              <w:spacing w:after="0"/>
              <w:rPr>
                <w:sz w:val="12"/>
                <w:szCs w:val="12"/>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Gross profit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111,537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113,194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134,859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109,171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84,823</w:t>
            </w:r>
          </w:p>
        </w:tc>
        <w:tc>
          <w:tcPr>
            <w:tcW w:w="120" w:type="dxa"/>
            <w:vAlign w:val="bottom"/>
          </w:tcPr>
          <w:p>
            <w:pPr>
              <w:spacing w:after="0"/>
              <w:rPr>
                <w:sz w:val="13"/>
                <w:szCs w:val="13"/>
                <w:color w:val="auto"/>
              </w:rPr>
            </w:pP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Amortization and earnout expenses</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9,683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7,132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20,231</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25,613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10,151</w:t>
            </w:r>
          </w:p>
        </w:tc>
        <w:tc>
          <w:tcPr>
            <w:tcW w:w="120" w:type="dxa"/>
            <w:vAlign w:val="bottom"/>
            <w:shd w:val="clear" w:color="auto" w:fill="CFF0FC"/>
          </w:tcPr>
          <w:p>
            <w:pPr>
              <w:spacing w:after="0"/>
              <w:rPr>
                <w:sz w:val="13"/>
                <w:szCs w:val="13"/>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Intangible asset and goodwill impairment</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7,168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57,923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Loss on divestitures, net of selling costs</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4,390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Restructuring expenses</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1,895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Income (loss) from operations</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(25,562)</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4,949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21,663</w:t>
            </w:r>
          </w:p>
        </w:tc>
        <w:tc>
          <w:tcPr>
            <w:tcW w:w="120" w:type="dxa"/>
            <w:vAlign w:val="bottom"/>
            <w:shd w:val="clear" w:color="auto" w:fill="CFF0FC"/>
          </w:tcPr>
          <w:p>
            <w:pPr>
              <w:spacing w:after="0"/>
              <w:rPr>
                <w:sz w:val="13"/>
                <w:szCs w:val="13"/>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Net (loss) income</w:t>
            </w:r>
          </w:p>
        </w:tc>
        <w:tc>
          <w:tcPr>
            <w:tcW w:w="2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(7,121)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(3,029)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(38,254)</w:t>
            </w:r>
          </w:p>
        </w:tc>
        <w:tc>
          <w:tcPr>
            <w:tcW w:w="24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(5,734)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13,077</w:t>
            </w:r>
          </w:p>
        </w:tc>
        <w:tc>
          <w:tcPr>
            <w:tcW w:w="120" w:type="dxa"/>
            <w:vAlign w:val="bottom"/>
          </w:tcPr>
          <w:p>
            <w:pPr>
              <w:spacing w:after="0"/>
              <w:rPr>
                <w:sz w:val="13"/>
                <w:szCs w:val="13"/>
                <w:color w:val="auto"/>
              </w:rPr>
            </w:pP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Net (loss) income attributable to CECO Environmental Corp.</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(7,121)</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(3,029)</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(38,218)</w:t>
            </w: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(5,602)</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13,077</w:t>
            </w:r>
          </w:p>
        </w:tc>
        <w:tc>
          <w:tcPr>
            <w:tcW w:w="120" w:type="dxa"/>
            <w:vAlign w:val="bottom"/>
            <w:shd w:val="clear" w:color="auto" w:fill="CFF0FC"/>
          </w:tcPr>
          <w:p>
            <w:pPr>
              <w:spacing w:after="0"/>
              <w:rPr>
                <w:sz w:val="13"/>
                <w:szCs w:val="13"/>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Basic (loss) earnings per common share</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(0.21)</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(0.09)</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(1.12)</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(0.19)</w:t>
            </w: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0.51</w:t>
            </w:r>
          </w:p>
        </w:tc>
        <w:tc>
          <w:tcPr>
            <w:tcW w:w="120" w:type="dxa"/>
            <w:vAlign w:val="bottom"/>
          </w:tcPr>
          <w:p>
            <w:pPr>
              <w:spacing w:after="0"/>
              <w:rPr>
                <w:sz w:val="13"/>
                <w:szCs w:val="13"/>
                <w:color w:val="auto"/>
              </w:rPr>
            </w:pP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Diluted (loss) earnings per common share</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(0.21)</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(0.09)</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(1.12)</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(0.19)</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0.50</w:t>
            </w:r>
          </w:p>
        </w:tc>
        <w:tc>
          <w:tcPr>
            <w:tcW w:w="120" w:type="dxa"/>
            <w:vAlign w:val="bottom"/>
            <w:shd w:val="clear" w:color="auto" w:fill="CFF0FC"/>
          </w:tcPr>
          <w:p>
            <w:pPr>
              <w:spacing w:after="0"/>
              <w:rPr>
                <w:sz w:val="13"/>
                <w:szCs w:val="13"/>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Weighted average shares outstanding – basic</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34,714,395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34,445,256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33,979,549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28,791,662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25,750,972</w:t>
            </w:r>
          </w:p>
        </w:tc>
        <w:tc>
          <w:tcPr>
            <w:tcW w:w="120" w:type="dxa"/>
            <w:vAlign w:val="bottom"/>
          </w:tcPr>
          <w:p>
            <w:pPr>
              <w:spacing w:after="0"/>
              <w:rPr>
                <w:sz w:val="13"/>
                <w:szCs w:val="13"/>
                <w:color w:val="auto"/>
              </w:rPr>
            </w:pP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shares outstanding – diluted</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34,714,395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34,445,256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33,979,549</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28,791,662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26,196,901</w:t>
            </w:r>
          </w:p>
        </w:tc>
        <w:tc>
          <w:tcPr>
            <w:tcW w:w="120" w:type="dxa"/>
            <w:vAlign w:val="bottom"/>
            <w:shd w:val="clear" w:color="auto" w:fill="CFF0FC"/>
          </w:tcPr>
          <w:p>
            <w:pPr>
              <w:spacing w:after="0"/>
              <w:rPr>
                <w:sz w:val="13"/>
                <w:szCs w:val="13"/>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Dividends declared per common share</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0.225</w:t>
            </w:r>
          </w:p>
        </w:tc>
        <w:tc>
          <w:tcPr>
            <w:tcW w:w="1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0.264</w:t>
            </w:r>
          </w:p>
        </w:tc>
        <w:tc>
          <w:tcPr>
            <w:tcW w:w="2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0.264</w:t>
            </w:r>
          </w:p>
        </w:tc>
        <w:tc>
          <w:tcPr>
            <w:tcW w:w="140" w:type="dxa"/>
            <w:vAlign w:val="bottom"/>
          </w:tcPr>
          <w:p>
            <w:pPr>
              <w:spacing w:after="0"/>
              <w:rPr>
                <w:sz w:val="13"/>
                <w:szCs w:val="13"/>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0.230</w:t>
            </w:r>
          </w:p>
        </w:tc>
        <w:tc>
          <w:tcPr>
            <w:tcW w:w="120" w:type="dxa"/>
            <w:vAlign w:val="bottom"/>
          </w:tcPr>
          <w:p>
            <w:pPr>
              <w:spacing w:after="0"/>
              <w:rPr>
                <w:sz w:val="13"/>
                <w:szCs w:val="13"/>
                <w:color w:val="auto"/>
              </w:rPr>
            </w:pP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Dividends paid</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7,792</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8,995</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7,977</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5,937</w:t>
            </w:r>
          </w:p>
        </w:tc>
        <w:tc>
          <w:tcPr>
            <w:tcW w:w="120" w:type="dxa"/>
            <w:vAlign w:val="bottom"/>
            <w:shd w:val="clear" w:color="auto" w:fill="CFF0FC"/>
          </w:tcPr>
          <w:p>
            <w:pPr>
              <w:spacing w:after="0"/>
              <w:rPr>
                <w:sz w:val="13"/>
                <w:szCs w:val="13"/>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Total assets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392,582</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438,549</w:t>
            </w:r>
          </w:p>
        </w:tc>
        <w:tc>
          <w:tcPr>
            <w:tcW w:w="1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498,634</w:t>
            </w:r>
          </w:p>
        </w:tc>
        <w:tc>
          <w:tcPr>
            <w:tcW w:w="2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598,819</w:t>
            </w:r>
          </w:p>
        </w:tc>
        <w:tc>
          <w:tcPr>
            <w:tcW w:w="140" w:type="dxa"/>
            <w:vAlign w:val="bottom"/>
          </w:tcPr>
          <w:p>
            <w:pPr>
              <w:spacing w:after="0"/>
              <w:rPr>
                <w:sz w:val="13"/>
                <w:szCs w:val="13"/>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412,107</w:t>
            </w:r>
          </w:p>
        </w:tc>
        <w:tc>
          <w:tcPr>
            <w:tcW w:w="120" w:type="dxa"/>
            <w:vAlign w:val="bottom"/>
          </w:tcPr>
          <w:p>
            <w:pPr>
              <w:spacing w:after="0"/>
              <w:rPr>
                <w:sz w:val="13"/>
                <w:szCs w:val="13"/>
                <w:color w:val="auto"/>
              </w:rPr>
            </w:pP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Short-term debt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11,296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8,827</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19,494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8,887</w:t>
            </w:r>
          </w:p>
        </w:tc>
        <w:tc>
          <w:tcPr>
            <w:tcW w:w="120" w:type="dxa"/>
            <w:vAlign w:val="bottom"/>
            <w:shd w:val="clear" w:color="auto" w:fill="CFF0FC"/>
          </w:tcPr>
          <w:p>
            <w:pPr>
              <w:spacing w:after="0"/>
              <w:rPr>
                <w:sz w:val="13"/>
                <w:szCs w:val="13"/>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Long-term debt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74,456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103,537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114,366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157,834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102,969</w:t>
            </w:r>
          </w:p>
        </w:tc>
        <w:tc>
          <w:tcPr>
            <w:tcW w:w="120" w:type="dxa"/>
            <w:vAlign w:val="bottom"/>
          </w:tcPr>
          <w:p>
            <w:pPr>
              <w:spacing w:after="0"/>
              <w:rPr>
                <w:sz w:val="13"/>
                <w:szCs w:val="13"/>
                <w:color w:val="auto"/>
              </w:rPr>
            </w:pP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Short-term capital lease and sale-leaseback financing liability</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764</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Long-term capital lease and sale-leaseback financing liability</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11,880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12,533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Shareholders’ equity</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178,560</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186,569</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190,082</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245,021</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181,224</w:t>
            </w:r>
          </w:p>
        </w:tc>
        <w:tc>
          <w:tcPr>
            <w:tcW w:w="120" w:type="dxa"/>
            <w:vAlign w:val="bottom"/>
            <w:shd w:val="clear" w:color="auto" w:fill="CFF0FC"/>
          </w:tcPr>
          <w:p>
            <w:pPr>
              <w:spacing w:after="0"/>
              <w:rPr>
                <w:sz w:val="13"/>
                <w:szCs w:val="13"/>
                <w:color w:val="auto"/>
              </w:rPr>
            </w:pPr>
          </w:p>
        </w:tc>
      </w:tr>
    </w:tbl>
    <w:p>
      <w:pPr>
        <w:spacing w:after="0" w:line="135"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Results of operations from acquired businesses are included from the date of acquisition forward. The fair value of assets and liabilities, inclusive of changes resulting from operating the businesses, are included in the first period ended after the date of each acquisition, and all periods thereafter. Acquisitions consist of the following: (i) HEE Environmental Engineering (“HEE”) in August 2014, (ii) SAT Technology, Inc. (“SAT”) in September 2014, (iii) Emtrol LLC (“Emtrol”) in November 2014, (iv) Jiangyin Zhongli Industrial Technology Co. Ltd. (“Zhongli”) in December 2014, and (v) Peerless Mfg. Co. (“PMFG”) in September 2015.</w:t>
      </w:r>
    </w:p>
    <w:p>
      <w:pPr>
        <w:spacing w:after="0" w:line="123"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Results of operations from businesses that are divested are excluded from the date of the disposition. Dispositions consist of the following: (i) Keystone Filter in February 2018, (ii) Strobic Air Corporation in March 2018, and (iii) Zhongli in November 2018.</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25" w:name="page26"/>
    <w:bookmarkEnd w:id="25"/>
    <w:p>
      <w:pPr>
        <w:spacing w:after="0"/>
        <w:tabs>
          <w:tab w:leader="none" w:pos="8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54" w:lineRule="exact"/>
        <w:rPr>
          <w:sz w:val="20"/>
          <w:szCs w:val="20"/>
          <w:color w:val="auto"/>
        </w:rPr>
      </w:pPr>
    </w:p>
    <w:p>
      <w:pPr>
        <w:ind w:right="20" w:firstLine="521"/>
        <w:spacing w:after="0" w:line="283" w:lineRule="auto"/>
        <w:rPr>
          <w:sz w:val="20"/>
          <w:szCs w:val="20"/>
          <w:color w:val="auto"/>
        </w:rPr>
      </w:pPr>
      <w:r>
        <w:rPr>
          <w:rFonts w:ascii="Arial" w:cs="Arial" w:eastAsia="Arial" w:hAnsi="Arial"/>
          <w:sz w:val="11"/>
          <w:szCs w:val="11"/>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Business Overview</w:t>
      </w:r>
    </w:p>
    <w:p>
      <w:pPr>
        <w:spacing w:after="0" w:line="150" w:lineRule="exact"/>
        <w:rPr>
          <w:sz w:val="20"/>
          <w:szCs w:val="20"/>
          <w:color w:val="auto"/>
        </w:rPr>
      </w:pPr>
    </w:p>
    <w:p>
      <w:pPr>
        <w:ind w:right="200" w:firstLine="261"/>
        <w:spacing w:after="0" w:line="259" w:lineRule="auto"/>
        <w:rPr>
          <w:sz w:val="20"/>
          <w:szCs w:val="20"/>
          <w:color w:val="auto"/>
        </w:rPr>
      </w:pPr>
      <w:r>
        <w:rPr>
          <w:rFonts w:ascii="Arial" w:cs="Arial" w:eastAsia="Arial" w:hAnsi="Arial"/>
          <w:sz w:val="12"/>
          <w:szCs w:val="12"/>
          <w:color w:val="auto"/>
        </w:rPr>
        <w:t>CECO Environmental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 CECO serves both established and emerging industries in regions around the world working to improve air quality, optimize the energy value chain, and provide customized engineered solutions in multiple applications that include oil and gas, power generation, water and wastewater, battery production, poly silicon fabrication, chemical and petrochemical processing, along with a wide range of other industries.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Industry Trends and Corporate Strategy</w:t>
      </w:r>
    </w:p>
    <w:p>
      <w:pPr>
        <w:spacing w:after="0" w:line="78" w:lineRule="exact"/>
        <w:rPr>
          <w:sz w:val="20"/>
          <w:szCs w:val="20"/>
          <w:color w:val="auto"/>
        </w:rPr>
      </w:pPr>
    </w:p>
    <w:p>
      <w:pPr>
        <w:ind w:firstLine="521"/>
        <w:spacing w:after="0" w:line="323" w:lineRule="auto"/>
        <w:rPr>
          <w:sz w:val="20"/>
          <w:szCs w:val="20"/>
          <w:color w:val="auto"/>
        </w:rPr>
      </w:pPr>
      <w:r>
        <w:rPr>
          <w:rFonts w:ascii="Arial" w:cs="Arial" w:eastAsia="Arial" w:hAnsi="Arial"/>
          <w:sz w:val="11"/>
          <w:szCs w:val="11"/>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portfolios, have helped mitigate the impact of any one industry or the economy of any single country on our consolidated operating results.</w:t>
      </w:r>
    </w:p>
    <w:p>
      <w:pPr>
        <w:spacing w:after="0" w:line="92"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We believe growth for our products and services is driven by the increasing demand for energy consumption and a shift towards cleaner sources such as natural gas, nuclear, and renewable sources. These trends should stimulate investment in new power generation facilities, pipeline expansion and related infrastructure, and in upgrading of existing facilities.</w:t>
      </w:r>
    </w:p>
    <w:p>
      <w:pPr>
        <w:spacing w:after="0" w:line="115"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With a shift to cleaner, more environmentally responsible power generation, power providers and industrial power consumers are building new facilities that use cleaner fuels. In developed markets, natural gas is increasingly becoming one of the energy sources of choice. We supply product offerings throughout the entire natural gas infrastructure value chain and believe expansion will drive growth within our Energy Solutions segment for our pressure products and SCR systems for natural-gas-fired power plants. Increased global natural gas production as a percent of total energy consumption, miles of new pipeline being added globally, and an increase in liquification capacity all stand to drive the need for our products.</w:t>
      </w:r>
    </w:p>
    <w:p>
      <w:pPr>
        <w:spacing w:after="0" w:line="125" w:lineRule="exact"/>
        <w:rPr>
          <w:sz w:val="20"/>
          <w:szCs w:val="20"/>
          <w:color w:val="auto"/>
        </w:rPr>
      </w:pPr>
    </w:p>
    <w:p>
      <w:pPr>
        <w:jc w:val="both"/>
        <w:ind w:right="160" w:firstLine="521"/>
        <w:spacing w:after="0" w:line="298" w:lineRule="auto"/>
        <w:rPr>
          <w:sz w:val="20"/>
          <w:szCs w:val="20"/>
          <w:color w:val="auto"/>
        </w:rPr>
      </w:pPr>
      <w:r>
        <w:rPr>
          <w:rFonts w:ascii="Arial" w:cs="Arial" w:eastAsia="Arial" w:hAnsi="Arial"/>
          <w:sz w:val="11"/>
          <w:szCs w:val="11"/>
          <w:color w:val="auto"/>
        </w:rPr>
        <w:t>We also believe there is a trend in both developed and emerging markets to control and reduce emissions of harsher fuel sources for which our air pollution control equipment is required. In emerging markets including China, India, and South East Asia our business is positioned to benefit from tightening of air pollution standards. In developed markets, growth of industrialization will drive greater output of emissions requiring our equipment as well. In both markets, we expect capital expenditures for our equipment to increase and the need for our aftermarket services to grow as companies seek to meet new standards.</w:t>
      </w:r>
    </w:p>
    <w:p>
      <w:pPr>
        <w:spacing w:after="0" w:line="105" w:lineRule="exact"/>
        <w:rPr>
          <w:sz w:val="20"/>
          <w:szCs w:val="20"/>
          <w:color w:val="auto"/>
        </w:rPr>
      </w:pPr>
    </w:p>
    <w:p>
      <w:pPr>
        <w:ind w:right="120" w:firstLine="521"/>
        <w:spacing w:after="0" w:line="298" w:lineRule="auto"/>
        <w:rPr>
          <w:sz w:val="20"/>
          <w:szCs w:val="20"/>
          <w:color w:val="auto"/>
        </w:rPr>
      </w:pPr>
      <w:r>
        <w:rPr>
          <w:rFonts w:ascii="Arial" w:cs="Arial" w:eastAsia="Arial" w:hAnsi="Arial"/>
          <w:sz w:val="11"/>
          <w:szCs w:val="11"/>
          <w:color w:val="auto"/>
        </w:rPr>
        <w:t>We continue to focus on increasing revenues and profitability globally while continuing to strengthen and expand our presence domestically. Our operating strategy has historically involved horizontally expanding our scope of technology, products, and services through selective acquisitions and the formation of new business units that are then vertically integrated into our growing group of turnkey system providers. Our continuing focus will be on global growth, market coverage, and expansion of our Asia operations. Operational excellence, margin expansion, after-market recurring revenue growth, and safety leadership are also critical to our growth strategy.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Operations Overview</w:t>
      </w:r>
    </w:p>
    <w:p>
      <w:pPr>
        <w:spacing w:after="0" w:line="82" w:lineRule="exact"/>
        <w:rPr>
          <w:sz w:val="20"/>
          <w:szCs w:val="20"/>
          <w:color w:val="auto"/>
        </w:rPr>
      </w:pPr>
    </w:p>
    <w:p>
      <w:pPr>
        <w:ind w:right="120" w:firstLine="521"/>
        <w:spacing w:after="0" w:line="340" w:lineRule="auto"/>
        <w:rPr>
          <w:sz w:val="20"/>
          <w:szCs w:val="20"/>
          <w:color w:val="auto"/>
        </w:rPr>
      </w:pPr>
      <w:r>
        <w:rPr>
          <w:rFonts w:ascii="Arial" w:cs="Arial" w:eastAsia="Arial" w:hAnsi="Arial"/>
          <w:sz w:val="10"/>
          <w:szCs w:val="10"/>
          <w:color w:val="auto"/>
        </w:rPr>
        <w:t>We operate using an “outside-in” approach to our business model. We are structured to win in target markets with a core focus on understanding customer needs. This means there is a high application mix across multiple industries who have diverse needs for products and solutions. Our business model requires scalable efficiencies enabling us to serve our customers with a variety of products that we typically classify into three categories: make-to-order, configure-to-order, and engineer-to-order. We use an asset light model to accomplish this by focusing on application and technical expertise throughout our operations. This has provided us with critical efficiencies over other models.</w:t>
      </w:r>
    </w:p>
    <w:p>
      <w:pPr>
        <w:spacing w:after="0" w:line="16" w:lineRule="exact"/>
        <w:rPr>
          <w:sz w:val="20"/>
          <w:szCs w:val="20"/>
          <w:color w:val="auto"/>
        </w:rPr>
      </w:pPr>
    </w:p>
    <w:p>
      <w:pPr>
        <w:ind w:right="220" w:firstLine="521"/>
        <w:spacing w:after="0" w:line="323" w:lineRule="auto"/>
        <w:rPr>
          <w:sz w:val="20"/>
          <w:szCs w:val="20"/>
          <w:color w:val="auto"/>
        </w:rPr>
      </w:pPr>
      <w:r>
        <w:rPr>
          <w:rFonts w:ascii="Arial" w:cs="Arial" w:eastAsia="Arial" w:hAnsi="Arial"/>
          <w:sz w:val="11"/>
          <w:szCs w:val="11"/>
          <w:color w:val="auto"/>
        </w:rPr>
        <w:t>The Company’s segments are led by presidents with distinct industry expertise coupled with strong leadership skills resulting in a customer-first mindset across the business. They manage their teams who are responsible for successfully running the segment operations. The segment presidents work closely with our Chief Executive Officer on global growth strategies, operational excellence, and employee development.</w:t>
      </w:r>
    </w:p>
    <w:p>
      <w:pPr>
        <w:spacing w:after="0" w:line="20" w:lineRule="exact"/>
        <w:rPr>
          <w:sz w:val="20"/>
          <w:szCs w:val="20"/>
          <w:color w:val="auto"/>
        </w:rPr>
      </w:pPr>
    </w:p>
    <w:p>
      <w:pPr>
        <w:ind w:right="80" w:firstLine="521"/>
        <w:spacing w:after="0" w:line="263" w:lineRule="auto"/>
        <w:rPr>
          <w:sz w:val="20"/>
          <w:szCs w:val="20"/>
          <w:color w:val="auto"/>
        </w:rPr>
      </w:pPr>
      <w:r>
        <w:rPr>
          <w:rFonts w:ascii="Arial" w:cs="Arial" w:eastAsia="Arial" w:hAnsi="Arial"/>
          <w:sz w:val="12"/>
          <w:szCs w:val="12"/>
          <w:color w:val="auto"/>
        </w:rPr>
        <w:t>Within our segments we have monthly operating reviews to ensure we are both winning in the markets and winning as a business. These reviews include, but are not limited to, deal reviews, project reviews, and manufacturing reviews. Each of these reviews takes a customer-first approach where we adopt the metrics that matter most to our customer and to our shareholders. In these reviews we focus on metrics such as quality, customer satisfaction, on-time-delivery, lead-times, price, position, project margins, backlog, and above all, safety.</w:t>
      </w:r>
    </w:p>
    <w:p>
      <w:pPr>
        <w:spacing w:after="0" w:line="51" w:lineRule="exact"/>
        <w:rPr>
          <w:sz w:val="20"/>
          <w:szCs w:val="20"/>
          <w:color w:val="auto"/>
        </w:rPr>
      </w:pPr>
    </w:p>
    <w:p>
      <w:pPr>
        <w:ind w:right="300" w:firstLine="521"/>
        <w:spacing w:after="0" w:line="276" w:lineRule="auto"/>
        <w:rPr>
          <w:sz w:val="20"/>
          <w:szCs w:val="20"/>
          <w:color w:val="auto"/>
        </w:rPr>
      </w:pPr>
      <w:r>
        <w:rPr>
          <w:rFonts w:ascii="Arial" w:cs="Arial" w:eastAsia="Arial" w:hAnsi="Arial"/>
          <w:sz w:val="12"/>
          <w:szCs w:val="12"/>
          <w:color w:val="auto"/>
        </w:rPr>
        <w:t>The headquarters focuses on enabling the core back-office key functions for scale and efficiency, that is, accounting, payroll, human resources/benefits, information technology, safety support, internal control over financial reporting, and administration. We have excellent organizational focus from headquarters throughout our divisional businesses with clarity and minimal duplicative work streams.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Our three reportable segments are:</w:t>
      </w:r>
    </w:p>
    <w:p>
      <w:pPr>
        <w:spacing w:after="0" w:line="218" w:lineRule="exact"/>
        <w:rPr>
          <w:sz w:val="20"/>
          <w:szCs w:val="20"/>
          <w:color w:val="auto"/>
        </w:rPr>
      </w:pPr>
    </w:p>
    <w:p>
      <w:pPr>
        <w:ind w:left="740" w:right="120" w:hanging="370"/>
        <w:spacing w:after="0" w:line="267" w:lineRule="auto"/>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Energy Solutions segment: </w:t>
      </w:r>
      <w:r>
        <w:rPr>
          <w:rFonts w:ascii="Arial" w:cs="Arial" w:eastAsia="Arial" w:hAnsi="Arial"/>
          <w:sz w:val="12"/>
          <w:szCs w:val="12"/>
          <w:color w:val="auto"/>
        </w:rPr>
        <w:t>Our Energy Solutions segment serves the Energy market, where we are a key part of helping meet the global demand for Clean Energy with products and services that support our customers</w:t>
      </w:r>
      <w:r>
        <w:rPr>
          <w:rFonts w:ascii="Arial" w:cs="Arial" w:eastAsia="Arial" w:hAnsi="Arial"/>
          <w:sz w:val="12"/>
          <w:szCs w:val="12"/>
          <w:b w:val="1"/>
          <w:bCs w:val="1"/>
          <w:color w:val="auto"/>
        </w:rPr>
        <w:t xml:space="preserve"> </w:t>
      </w:r>
      <w:r>
        <w:rPr>
          <w:rFonts w:ascii="Arial" w:cs="Arial" w:eastAsia="Arial" w:hAnsi="Arial"/>
          <w:sz w:val="12"/>
          <w:szCs w:val="12"/>
          <w:color w:val="auto"/>
        </w:rPr>
        <w:t>with efficient solutions and technologies to keep the world clean and safe. Our offerings improve air quality and solves fluid handling needs with market leading, highly engineered, and customized solutions for the power generation, oil &amp; gas, and petrochemical industries.</w:t>
      </w:r>
    </w:p>
    <w:p>
      <w:pPr>
        <w:spacing w:after="0" w:line="115" w:lineRule="exact"/>
        <w:rPr>
          <w:rFonts w:ascii="Arial" w:cs="Arial" w:eastAsia="Arial" w:hAnsi="Arial"/>
          <w:sz w:val="12"/>
          <w:szCs w:val="12"/>
          <w:color w:val="auto"/>
        </w:rPr>
      </w:pPr>
    </w:p>
    <w:p>
      <w:pPr>
        <w:jc w:val="both"/>
        <w:ind w:left="740" w:right="20" w:hanging="370"/>
        <w:spacing w:after="0" w:line="267" w:lineRule="auto"/>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Industrial Solutions segment: </w:t>
      </w:r>
      <w:r>
        <w:rPr>
          <w:rFonts w:ascii="Arial" w:cs="Arial" w:eastAsia="Arial" w:hAnsi="Arial"/>
          <w:sz w:val="12"/>
          <w:szCs w:val="12"/>
          <w:color w:val="auto"/>
        </w:rPr>
        <w:t>Our Industrial Solutions segment serves the Industrial Pollution Control market where our aim is to address the growing need to protect the air we breathe and help our customers’ desires for</w:t>
      </w:r>
      <w:r>
        <w:rPr>
          <w:rFonts w:ascii="Arial" w:cs="Arial" w:eastAsia="Arial" w:hAnsi="Arial"/>
          <w:sz w:val="12"/>
          <w:szCs w:val="12"/>
          <w:b w:val="1"/>
          <w:bCs w:val="1"/>
          <w:color w:val="auto"/>
        </w:rPr>
        <w:t xml:space="preserve"> </w:t>
      </w:r>
      <w:r>
        <w:rPr>
          <w:rFonts w:ascii="Arial" w:cs="Arial" w:eastAsia="Arial" w:hAnsi="Arial"/>
          <w:sz w:val="12"/>
          <w:szCs w:val="12"/>
          <w:color w:val="auto"/>
        </w:rPr>
        <w:t>sustainability upgrades beyond carbon footprint issues. Our offerings improve air quality with a compelling solution set of air pollution control technologies that enable our customers to reduce their carbon footprint, lower energy consumption, minimize waste and meet compliance targets for toxic emissions, fumes, volatile organic compounds, and industrial odors.</w:t>
      </w:r>
    </w:p>
    <w:p>
      <w:pPr>
        <w:spacing w:after="0" w:line="115" w:lineRule="exact"/>
        <w:rPr>
          <w:rFonts w:ascii="Arial" w:cs="Arial" w:eastAsia="Arial" w:hAnsi="Arial"/>
          <w:sz w:val="12"/>
          <w:szCs w:val="12"/>
          <w:color w:val="auto"/>
        </w:rPr>
      </w:pPr>
    </w:p>
    <w:p>
      <w:pPr>
        <w:ind w:left="740" w:hanging="370"/>
        <w:spacing w:after="0" w:line="267" w:lineRule="auto"/>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Fluid Handling Solutions segment: </w:t>
      </w:r>
      <w:r>
        <w:rPr>
          <w:rFonts w:ascii="Arial" w:cs="Arial" w:eastAsia="Arial" w:hAnsi="Arial"/>
          <w:sz w:val="12"/>
          <w:szCs w:val="12"/>
          <w:color w:val="auto"/>
        </w:rPr>
        <w:t>Our Fluid Handling Solutions segment offers unique pump and filtration solutions that maintain safe and clean operations in some of the most harsh and toxic environments. In this</w:t>
      </w:r>
      <w:r>
        <w:rPr>
          <w:rFonts w:ascii="Arial" w:cs="Arial" w:eastAsia="Arial" w:hAnsi="Arial"/>
          <w:sz w:val="12"/>
          <w:szCs w:val="12"/>
          <w:b w:val="1"/>
          <w:bCs w:val="1"/>
          <w:color w:val="auto"/>
        </w:rPr>
        <w:t xml:space="preserve"> </w:t>
      </w:r>
      <w:r>
        <w:rPr>
          <w:rFonts w:ascii="Arial" w:cs="Arial" w:eastAsia="Arial" w:hAnsi="Arial"/>
          <w:sz w:val="12"/>
          <w:szCs w:val="12"/>
          <w:color w:val="auto"/>
        </w:rPr>
        <w:t>market, we provide solutions for mission-critical applications to a wide variety of industries including, but not limited to, plating and metal finishing, food and beverage, chemical, petrochemical, pharmaceutical, wastewater treatment, desalination and the aquarium &amp; aquaculture markets.</w:t>
      </w:r>
    </w:p>
    <w:p>
      <w:pPr>
        <w:spacing w:after="0" w:line="192" w:lineRule="exact"/>
        <w:rPr>
          <w:sz w:val="20"/>
          <w:szCs w:val="20"/>
          <w:color w:val="auto"/>
        </w:rPr>
      </w:pPr>
    </w:p>
    <w:p>
      <w:pPr>
        <w:ind w:right="380" w:firstLine="521"/>
        <w:spacing w:after="0" w:line="323" w:lineRule="auto"/>
        <w:rPr>
          <w:sz w:val="20"/>
          <w:szCs w:val="20"/>
          <w:color w:val="auto"/>
        </w:rPr>
      </w:pPr>
      <w:r>
        <w:rPr>
          <w:rFonts w:ascii="Arial" w:cs="Arial" w:eastAsia="Arial" w:hAnsi="Arial"/>
          <w:sz w:val="11"/>
          <w:szCs w:val="11"/>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92"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Our cost of sales is principally driven by a number of factors, including material prices and labor cost and availability. Changes in these factors may have a material impact on our overall gross profit margins.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87" w:right="219" w:bottom="1440" w:gutter="0" w:footer="0" w:header="0"/>
        </w:sectPr>
      </w:pPr>
    </w:p>
    <w:bookmarkStart w:id="27" w:name="page28"/>
    <w:bookmarkEnd w:id="27"/>
    <w:p>
      <w:pPr>
        <w:ind w:left="520"/>
        <w:spacing w:after="0"/>
        <w:rPr>
          <w:sz w:val="20"/>
          <w:szCs w:val="20"/>
          <w:color w:val="auto"/>
        </w:rPr>
      </w:pPr>
      <w:r>
        <w:rPr>
          <w:rFonts w:ascii="Arial" w:cs="Arial" w:eastAsia="Arial" w:hAnsi="Arial"/>
          <w:sz w:val="12"/>
          <w:szCs w:val="12"/>
          <w:color w:val="auto"/>
        </w:rPr>
        <w:t>We break down costs of sales into five categories. They are:</w:t>
      </w:r>
    </w:p>
    <w:p>
      <w:pPr>
        <w:spacing w:after="0" w:line="78" w:lineRule="exact"/>
        <w:rPr>
          <w:sz w:val="20"/>
          <w:szCs w:val="20"/>
          <w:color w:val="auto"/>
        </w:rPr>
      </w:pPr>
    </w:p>
    <w:p>
      <w:pPr>
        <w:ind w:left="1140" w:hanging="382"/>
        <w:spacing w:after="0"/>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Subcontracts—Electrical work, concrete work, subcomponents and other subcontracts necessary to produce our products;</w:t>
      </w:r>
    </w:p>
    <w:p>
      <w:pPr>
        <w:spacing w:after="0" w:line="78" w:lineRule="exact"/>
        <w:rPr>
          <w:rFonts w:ascii="Arial" w:cs="Arial" w:eastAsia="Arial" w:hAnsi="Arial"/>
          <w:sz w:val="12"/>
          <w:szCs w:val="12"/>
          <w:color w:val="auto"/>
        </w:rPr>
      </w:pPr>
    </w:p>
    <w:p>
      <w:pPr>
        <w:ind w:left="1140" w:hanging="382"/>
        <w:spacing w:after="0"/>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Labor—Our direct labor both in the shop and in the field;</w:t>
      </w:r>
    </w:p>
    <w:p>
      <w:pPr>
        <w:spacing w:after="0" w:line="78" w:lineRule="exact"/>
        <w:rPr>
          <w:rFonts w:ascii="Arial" w:cs="Arial" w:eastAsia="Arial" w:hAnsi="Arial"/>
          <w:sz w:val="12"/>
          <w:szCs w:val="12"/>
          <w:color w:val="auto"/>
        </w:rPr>
      </w:pPr>
    </w:p>
    <w:p>
      <w:pPr>
        <w:ind w:left="1140" w:hanging="382"/>
        <w:spacing w:after="0"/>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Material—Raw material that we buy to build our products;</w:t>
      </w:r>
    </w:p>
    <w:p>
      <w:pPr>
        <w:spacing w:after="0" w:line="78" w:lineRule="exact"/>
        <w:rPr>
          <w:rFonts w:ascii="Arial" w:cs="Arial" w:eastAsia="Arial" w:hAnsi="Arial"/>
          <w:sz w:val="12"/>
          <w:szCs w:val="12"/>
          <w:color w:val="auto"/>
        </w:rPr>
      </w:pPr>
    </w:p>
    <w:p>
      <w:pPr>
        <w:ind w:left="1140" w:hanging="382"/>
        <w:spacing w:after="0"/>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Equipment—Fans, motors, control panels and other equipment necessary for turnkey systems; and</w:t>
      </w:r>
    </w:p>
    <w:p>
      <w:pPr>
        <w:spacing w:after="0" w:line="78" w:lineRule="exact"/>
        <w:rPr>
          <w:rFonts w:ascii="Arial" w:cs="Arial" w:eastAsia="Arial" w:hAnsi="Arial"/>
          <w:sz w:val="12"/>
          <w:szCs w:val="12"/>
          <w:color w:val="auto"/>
        </w:rPr>
      </w:pPr>
    </w:p>
    <w:p>
      <w:pPr>
        <w:ind w:left="1140" w:hanging="382"/>
        <w:spacing w:after="0"/>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Factory overhead—Costs of facilities and supervision wages necessary to produce our products.</w:t>
      </w:r>
    </w:p>
    <w:p>
      <w:pPr>
        <w:spacing w:after="0" w:line="150" w:lineRule="exact"/>
        <w:rPr>
          <w:sz w:val="20"/>
          <w:szCs w:val="20"/>
          <w:color w:val="auto"/>
        </w:rPr>
      </w:pPr>
    </w:p>
    <w:p>
      <w:pPr>
        <w:jc w:val="both"/>
        <w:ind w:right="280" w:firstLine="521"/>
        <w:spacing w:after="0" w:line="380" w:lineRule="auto"/>
        <w:rPr>
          <w:sz w:val="20"/>
          <w:szCs w:val="20"/>
          <w:color w:val="auto"/>
        </w:rPr>
      </w:pPr>
      <w:r>
        <w:rPr>
          <w:rFonts w:ascii="Arial" w:cs="Arial" w:eastAsia="Arial" w:hAnsi="Arial"/>
          <w:sz w:val="10"/>
          <w:szCs w:val="10"/>
          <w:color w:val="auto"/>
        </w:rPr>
        <w:t>In general, subcontracts provide us the most flexibility in margin followed by labor, material, and equipment. Across our various product lines, the relative relationships of these factors change and cause variations in gross margin percentage. Material costs have also increased faster than labor costs, which also reduces gross margin percentage. As material cost inflation occurs, the Company seeks to pass this cost onto our customers as price increases.</w:t>
      </w:r>
    </w:p>
    <w:p>
      <w:pPr>
        <w:spacing w:after="0" w:line="68"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Selling and administrative expense principally includes sales and engineering payroll and related fringes, advertising and marketing expenditures as well as all corporate and administrative functions and other costs that support our operations. The majority of these expenses are fixed. With our asset light model, we expect our operations to leverage our fixed cost structure as revenue grows.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Regarding Use of Non-GAAP Financial Measures</w:t>
      </w:r>
    </w:p>
    <w:p>
      <w:pPr>
        <w:spacing w:after="0" w:line="82"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ongoing operational performance.</w:t>
      </w:r>
    </w:p>
    <w:p>
      <w:pPr>
        <w:spacing w:after="0" w:line="115" w:lineRule="exact"/>
        <w:rPr>
          <w:sz w:val="20"/>
          <w:szCs w:val="20"/>
          <w:color w:val="auto"/>
        </w:rPr>
      </w:pPr>
    </w:p>
    <w:p>
      <w:pPr>
        <w:jc w:val="both"/>
        <w:ind w:firstLine="521"/>
        <w:spacing w:after="0" w:line="263" w:lineRule="auto"/>
        <w:rPr>
          <w:sz w:val="20"/>
          <w:szCs w:val="20"/>
          <w:color w:val="auto"/>
        </w:rPr>
      </w:pPr>
      <w:r>
        <w:rPr>
          <w:rFonts w:ascii="Arial" w:cs="Arial" w:eastAsia="Arial" w:hAnsi="Arial"/>
          <w:sz w:val="12"/>
          <w:szCs w:val="12"/>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which the Company’s management utilizes to evaluate its ongoing financial performance, and which the Company believes provides greater transparency to investors as supplemental information to its GAAP results.</w:t>
      </w:r>
    </w:p>
    <w:p>
      <w:pPr>
        <w:spacing w:after="0" w:line="123"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The Company has provided the non-GAAP financial measures of non-GAAP gross profit and non-GAAP gross profit margin, non-GAAP operating income, non-GAAP operating margin, and non-GAAP net income attributable to CECO Environmental Corp. as a result of the adjustment for items that the Company believes are not indicative of its ongoing operations. These items include charges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additional charges related to its restructuring program that was implemented in the fourth quarter of 2017. While the Company cannot predict the exact timing or amounts of such charges, it does expect to treat these charges as special items in its future presentation of non-GAAP results.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419" w:right="25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Consolidated Results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consolidated statements of operations for the years ended December 31, 2018, 2017 and 2016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80" w:type="dxa"/>
            <w:vAlign w:val="bottom"/>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23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0"/>
                <w:szCs w:val="10"/>
                <w:b w:val="1"/>
                <w:bCs w:val="1"/>
                <w:color w:val="auto"/>
                <w:w w:val="87"/>
              </w:rPr>
              <w:t>Year ended December 31,</w:t>
            </w: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380" w:type="dxa"/>
            <w:vAlign w:val="bottom"/>
            <w:tcBorders>
              <w:bottom w:val="single" w:sz="8" w:color="CFF0FC"/>
            </w:tcBorders>
            <w:vMerge w:val="continue"/>
          </w:tcPr>
          <w:p>
            <w:pPr>
              <w:spacing w:after="0"/>
              <w:rPr>
                <w:sz w:val="8"/>
                <w:szCs w:val="8"/>
                <w:color w:val="auto"/>
              </w:rPr>
            </w:pPr>
          </w:p>
        </w:tc>
        <w:tc>
          <w:tcPr>
            <w:tcW w:w="23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522"/>
              <w:spacing w:after="0" w:line="97"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2016</w:t>
            </w:r>
          </w:p>
        </w:tc>
        <w:tc>
          <w:tcPr>
            <w:tcW w:w="16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Net sales</w:t>
            </w:r>
          </w:p>
        </w:tc>
        <w:tc>
          <w:tcPr>
            <w:tcW w:w="2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337.3</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345.1</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w:t>
            </w:r>
          </w:p>
        </w:tc>
        <w:tc>
          <w:tcPr>
            <w:tcW w:w="23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225.8</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231.9</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282.1</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2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111.5</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134.9</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8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33.1%</w:t>
            </w:r>
          </w:p>
        </w:tc>
        <w:tc>
          <w:tcPr>
            <w:tcW w:w="12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32.8%</w:t>
            </w:r>
          </w:p>
        </w:tc>
        <w:tc>
          <w:tcPr>
            <w:tcW w:w="3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2"/>
                <w:szCs w:val="12"/>
                <w:i w:val="1"/>
                <w:iCs w:val="1"/>
                <w:color w:val="auto"/>
              </w:rPr>
              <w:t>32.4%</w:t>
            </w:r>
          </w:p>
        </w:tc>
        <w:tc>
          <w:tcPr>
            <w:tcW w:w="0" w:type="dxa"/>
            <w:vAlign w:val="bottom"/>
          </w:tcPr>
          <w:p>
            <w:pPr>
              <w:spacing w:after="0"/>
              <w:rPr>
                <w:sz w:val="1"/>
                <w:szCs w:val="1"/>
                <w:color w:val="auto"/>
              </w:rPr>
            </w:pPr>
          </w:p>
        </w:tc>
      </w:tr>
      <w:tr>
        <w:trPr>
          <w:trHeight w:val="153"/>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Selling and administrative expenses</w:t>
            </w:r>
          </w:p>
        </w:tc>
        <w:tc>
          <w:tcPr>
            <w:tcW w:w="2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87.4</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89.0</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81.9</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25.9%</w:t>
            </w:r>
          </w:p>
        </w:tc>
        <w:tc>
          <w:tcPr>
            <w:tcW w:w="12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25.8%</w:t>
            </w:r>
          </w:p>
        </w:tc>
        <w:tc>
          <w:tcPr>
            <w:tcW w:w="3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2"/>
                <w:szCs w:val="12"/>
                <w:i w:val="1"/>
                <w:iCs w:val="1"/>
                <w:color w:val="auto"/>
              </w:rPr>
              <w:t>19.6%</w:t>
            </w:r>
          </w:p>
        </w:tc>
        <w:tc>
          <w:tcPr>
            <w:tcW w:w="0" w:type="dxa"/>
            <w:vAlign w:val="bottom"/>
          </w:tcPr>
          <w:p>
            <w:pPr>
              <w:spacing w:after="0"/>
              <w:rPr>
                <w:sz w:val="1"/>
                <w:szCs w:val="1"/>
                <w:color w:val="auto"/>
              </w:rPr>
            </w:pPr>
          </w:p>
        </w:tc>
      </w:tr>
      <w:tr>
        <w:trPr>
          <w:trHeight w:val="153"/>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Acquisition and integration expenses</w:t>
            </w:r>
          </w:p>
        </w:tc>
        <w:tc>
          <w:tcPr>
            <w:tcW w:w="2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Amortization and earnout expenses</w:t>
            </w:r>
          </w:p>
        </w:tc>
        <w:tc>
          <w:tcPr>
            <w:tcW w:w="27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9.7</w:t>
            </w:r>
          </w:p>
        </w:tc>
        <w:tc>
          <w:tcPr>
            <w:tcW w:w="26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7.1</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Loss on divestitures, net of selling costs</w:t>
            </w:r>
          </w:p>
        </w:tc>
        <w:tc>
          <w:tcPr>
            <w:tcW w:w="2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Intangible asset and goodwill impairment</w:t>
            </w:r>
          </w:p>
        </w:tc>
        <w:tc>
          <w:tcPr>
            <w:tcW w:w="27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7.2</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57.9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Restructuring expenses</w:t>
            </w:r>
          </w:p>
        </w:tc>
        <w:tc>
          <w:tcPr>
            <w:tcW w:w="2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Operating income (loss)</w:t>
            </w:r>
          </w:p>
        </w:tc>
        <w:tc>
          <w:tcPr>
            <w:tcW w:w="27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10.0</w:t>
            </w:r>
          </w:p>
        </w:tc>
        <w:tc>
          <w:tcPr>
            <w:tcW w:w="26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8.0</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53"/>
        </w:trPr>
        <w:tc>
          <w:tcPr>
            <w:tcW w:w="4380" w:type="dxa"/>
            <w:vAlign w:val="bottom"/>
            <w:shd w:val="clear" w:color="auto" w:fill="CFF0FC"/>
          </w:tcPr>
          <w:p>
            <w:pPr>
              <w:ind w:left="160"/>
              <w:spacing w:after="0"/>
              <w:rPr>
                <w:sz w:val="20"/>
                <w:szCs w:val="20"/>
                <w:color w:val="auto"/>
              </w:rPr>
            </w:pPr>
            <w:r>
              <w:rPr>
                <w:rFonts w:ascii="Arial" w:cs="Arial" w:eastAsia="Arial" w:hAnsi="Arial"/>
                <w:sz w:val="12"/>
                <w:szCs w:val="12"/>
                <w:i w:val="1"/>
                <w:iCs w:val="1"/>
                <w:color w:val="auto"/>
              </w:rPr>
              <w:t>Percent of sales</w:t>
            </w:r>
          </w:p>
        </w:tc>
        <w:tc>
          <w:tcPr>
            <w:tcW w:w="23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i w:val="1"/>
                <w:iCs w:val="1"/>
                <w:color w:val="auto"/>
              </w:rPr>
              <w:t>3.0%</w:t>
            </w: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i w:val="1"/>
                <w:iCs w:val="1"/>
                <w:color w:val="auto"/>
              </w:rPr>
              <w:t>2.3%</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i w:val="1"/>
                <w:iCs w:val="1"/>
                <w:color w:val="auto"/>
              </w:rPr>
              <w:t>(6.1)%</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Non-GAAP Measures</w:t>
      </w:r>
    </w:p>
    <w:p>
      <w:pPr>
        <w:spacing w:after="0" w:line="204" w:lineRule="exact"/>
        <w:rPr>
          <w:sz w:val="20"/>
          <w:szCs w:val="20"/>
          <w:color w:val="auto"/>
        </w:rPr>
      </w:pPr>
    </w:p>
    <w:p>
      <w:pPr>
        <w:ind w:right="40" w:firstLine="766"/>
        <w:spacing w:after="0" w:line="254" w:lineRule="auto"/>
        <w:rPr>
          <w:sz w:val="20"/>
          <w:szCs w:val="20"/>
          <w:color w:val="auto"/>
        </w:rPr>
      </w:pPr>
      <w:r>
        <w:rPr>
          <w:rFonts w:ascii="Arial" w:cs="Arial" w:eastAsia="Arial" w:hAnsi="Arial"/>
          <w:sz w:val="12"/>
          <w:szCs w:val="12"/>
          <w:color w:val="auto"/>
        </w:rPr>
        <w:t>To compare operating performance between the years ended December 31, 2018, 2017 and 2016, the Company has adjusted GAAP operating income (loss) to exclude (1) amortization and contingent acquisition expenses, including amortization of acquisition related intangibles, retention, severance, and earnout expenses, (2) acquisition and integration related expenses, including legal, accounting, and banking expenses, (3) executive transition expenses, including severance for its former Chief Executive Officer, fees incurred in the search for a new Chief Executive Officer, and expenses associated with hiring a new Chief Financial Officer, (4) gain on insurance settlement, (5) facility exit expenses associated with the closure of certain leased facilities, (6) legacy design repair expenses related to costs to rectify issues on products that are no longer in production, (7) restructuring expenses primarily relating to severance, facility exit, legal and property, plant and equipment impairment, (8) intangible asset and goodwill impairment, (9) inventory valuation and plant, property and equipment valuation adjustments related to acquisitions and (10) loss on divestitures. See “Note Regarding Use of Non-GAAP Financial Measures” above. The following tables present the reconciliation of GAAP gross profit and GAAP gross profit margin to non-GAAP gross profit and non-GAAP gross profit margin, GAAP operating (loss) income and GAAP operating margin to non-GAAP operating income and non-GAAP operating margin, and GAAP net (loss) income attributable to CECO Environmental Corp. to non-GAAP net income attributable to CECO Environmental Corp.: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25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0"/>
                <w:szCs w:val="10"/>
                <w:b w:val="1"/>
                <w:bCs w:val="1"/>
                <w:color w:val="auto"/>
                <w:w w:val="89"/>
              </w:rPr>
              <w:t>Year Ended December 31,</w:t>
            </w: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240" w:type="dxa"/>
            <w:vAlign w:val="bottom"/>
            <w:tcBorders>
              <w:bottom w:val="single" w:sz="8" w:color="CFF0FC"/>
            </w:tcBorders>
            <w:vMerge w:val="continue"/>
          </w:tcPr>
          <w:p>
            <w:pPr>
              <w:spacing w:after="0"/>
              <w:rPr>
                <w:sz w:val="8"/>
                <w:szCs w:val="8"/>
                <w:color w:val="auto"/>
              </w:rPr>
            </w:pPr>
          </w:p>
        </w:tc>
        <w:tc>
          <w:tcPr>
            <w:tcW w:w="2540" w:type="dxa"/>
            <w:vAlign w:val="bottom"/>
            <w:tcBorders>
              <w:bottom w:val="single" w:sz="8" w:color="CFF0FC"/>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523"/>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FF0F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Gross profit as reported in accordance with GAAP</w:t>
            </w:r>
          </w:p>
        </w:tc>
        <w:tc>
          <w:tcPr>
            <w:tcW w:w="28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w:t>
            </w:r>
          </w:p>
        </w:tc>
        <w:tc>
          <w:tcPr>
            <w:tcW w:w="1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134.9</w:t>
            </w:r>
          </w:p>
        </w:tc>
        <w:tc>
          <w:tcPr>
            <w:tcW w:w="1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160"/>
              <w:spacing w:after="0"/>
              <w:rPr>
                <w:sz w:val="20"/>
                <w:szCs w:val="20"/>
                <w:color w:val="auto"/>
              </w:rPr>
            </w:pPr>
            <w:r>
              <w:rPr>
                <w:rFonts w:ascii="Arial" w:cs="Arial" w:eastAsia="Arial" w:hAnsi="Arial"/>
                <w:sz w:val="12"/>
                <w:szCs w:val="12"/>
                <w:i w:val="1"/>
                <w:iCs w:val="1"/>
                <w:color w:val="auto"/>
              </w:rPr>
              <w:t>Gross profit margin in accordance with GAAP</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33.1%</w:t>
            </w:r>
          </w:p>
        </w:tc>
        <w:tc>
          <w:tcPr>
            <w:tcW w:w="100" w:type="dxa"/>
            <w:vAlign w:val="bottom"/>
          </w:tcPr>
          <w:p>
            <w:pPr>
              <w:spacing w:after="0"/>
              <w:rPr>
                <w:sz w:val="13"/>
                <w:szCs w:val="1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32.8%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i w:val="1"/>
                <w:iCs w:val="1"/>
                <w:color w:val="auto"/>
              </w:rPr>
              <w:t>32.4%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Legacy design repairs</w:t>
            </w:r>
          </w:p>
        </w:tc>
        <w:tc>
          <w:tcPr>
            <w:tcW w:w="2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320"/>
              <w:spacing w:after="0"/>
              <w:rPr>
                <w:sz w:val="20"/>
                <w:szCs w:val="20"/>
                <w:color w:val="auto"/>
              </w:rPr>
            </w:pPr>
            <w:r>
              <w:rPr>
                <w:rFonts w:ascii="Arial" w:cs="Arial" w:eastAsia="Arial" w:hAnsi="Arial"/>
                <w:sz w:val="12"/>
                <w:szCs w:val="12"/>
                <w:color w:val="auto"/>
              </w:rPr>
              <w:t>Inventory valuation adjustment</w:t>
            </w: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Plant, property and equipment valuation adjustment</w:t>
            </w:r>
          </w:p>
        </w:tc>
        <w:tc>
          <w:tcPr>
            <w:tcW w:w="25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0.6</w:t>
            </w: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20"/>
                <w:szCs w:val="20"/>
                <w:color w:val="auto"/>
              </w:rPr>
            </w:pPr>
            <w:r>
              <w:rPr>
                <w:rFonts w:ascii="Arial" w:cs="Arial" w:eastAsia="Arial" w:hAnsi="Arial"/>
                <w:sz w:val="12"/>
                <w:szCs w:val="12"/>
                <w:color w:val="auto"/>
              </w:rPr>
              <w:t>Non-GAAP gross profit</w:t>
            </w:r>
          </w:p>
        </w:tc>
        <w:tc>
          <w:tcPr>
            <w:tcW w:w="2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111.5</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115.8</w:t>
            </w:r>
          </w:p>
        </w:tc>
        <w:tc>
          <w:tcPr>
            <w:tcW w:w="120" w:type="dxa"/>
            <w:vAlign w:val="bottom"/>
          </w:tcPr>
          <w:p>
            <w:pPr>
              <w:spacing w:after="0"/>
              <w:rPr>
                <w:sz w:val="12"/>
                <w:szCs w:val="1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135.6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40" w:type="dxa"/>
            <w:vAlign w:val="bottom"/>
            <w:shd w:val="clear" w:color="auto" w:fill="CFF0FC"/>
          </w:tcPr>
          <w:p>
            <w:pPr>
              <w:ind w:left="160"/>
              <w:spacing w:after="0"/>
              <w:rPr>
                <w:sz w:val="20"/>
                <w:szCs w:val="20"/>
                <w:color w:val="auto"/>
              </w:rPr>
            </w:pPr>
            <w:r>
              <w:rPr>
                <w:rFonts w:ascii="Arial" w:cs="Arial" w:eastAsia="Arial" w:hAnsi="Arial"/>
                <w:sz w:val="12"/>
                <w:szCs w:val="12"/>
                <w:i w:val="1"/>
                <w:iCs w:val="1"/>
                <w:color w:val="auto"/>
              </w:rPr>
              <w:t>Non-GAAP gross profit margin</w:t>
            </w:r>
          </w:p>
        </w:tc>
        <w:tc>
          <w:tcPr>
            <w:tcW w:w="2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i w:val="1"/>
                <w:iCs w:val="1"/>
                <w:color w:val="auto"/>
              </w:rPr>
              <w:t>33.1%</w:t>
            </w:r>
          </w:p>
        </w:tc>
        <w:tc>
          <w:tcPr>
            <w:tcW w:w="1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i w:val="1"/>
                <w:iCs w:val="1"/>
                <w:color w:val="auto"/>
              </w:rPr>
              <w:t>33.6%</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i w:val="1"/>
                <w:iCs w:val="1"/>
                <w:color w:val="auto"/>
              </w:rPr>
              <w:t>32.5%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2540" w:type="dxa"/>
            <w:vAlign w:val="bottom"/>
          </w:tcPr>
          <w:p>
            <w:pPr>
              <w:jc w:val="right"/>
              <w:ind w:right="920"/>
              <w:spacing w:after="0"/>
              <w:rPr>
                <w:sz w:val="20"/>
                <w:szCs w:val="20"/>
                <w:color w:val="auto"/>
              </w:rPr>
            </w:pPr>
            <w:r>
              <w:rPr>
                <w:rFonts w:ascii="Arial" w:cs="Arial" w:eastAsia="Arial" w:hAnsi="Arial"/>
                <w:sz w:val="12"/>
                <w:szCs w:val="12"/>
                <w:color w:val="auto"/>
              </w:rPr>
              <w:t>27</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24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87" w:right="1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15"/>
        </w:trPr>
        <w:tc>
          <w:tcPr>
            <w:tcW w:w="6600" w:type="dxa"/>
            <w:vAlign w:val="bottom"/>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0"/>
                <w:szCs w:val="10"/>
                <w:b w:val="1"/>
                <w:bCs w:val="1"/>
                <w:color w:val="auto"/>
                <w:w w:val="89"/>
              </w:rPr>
              <w:t>Year Ended December 31,</w:t>
            </w: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600" w:type="dxa"/>
            <w:vAlign w:val="bottom"/>
            <w:tcBorders>
              <w:bottom w:val="single" w:sz="8" w:color="CFF0FC"/>
            </w:tcBorders>
            <w:vMerge w:val="continue"/>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481"/>
              <w:spacing w:after="0" w:line="97" w:lineRule="exact"/>
              <w:rPr>
                <w:sz w:val="20"/>
                <w:szCs w:val="20"/>
                <w:color w:val="auto"/>
              </w:rPr>
            </w:pPr>
            <w:r>
              <w:rPr>
                <w:rFonts w:ascii="Arial" w:cs="Arial" w:eastAsia="Arial" w:hAnsi="Arial"/>
                <w:sz w:val="10"/>
                <w:szCs w:val="10"/>
                <w:b w:val="1"/>
                <w:bCs w:val="1"/>
                <w:color w:val="auto"/>
              </w:rPr>
              <w:t>2017</w:t>
            </w: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2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2016</w:t>
            </w:r>
          </w:p>
        </w:tc>
        <w:tc>
          <w:tcPr>
            <w:tcW w:w="4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spacing w:after="0"/>
              <w:rPr>
                <w:sz w:val="20"/>
                <w:szCs w:val="20"/>
                <w:color w:val="auto"/>
              </w:rPr>
            </w:pPr>
            <w:r>
              <w:rPr>
                <w:rFonts w:ascii="Arial" w:cs="Arial" w:eastAsia="Arial" w:hAnsi="Arial"/>
                <w:sz w:val="12"/>
                <w:szCs w:val="12"/>
                <w:color w:val="auto"/>
              </w:rPr>
              <w:t>Operating income (loss) as reported in accordance with GAAP</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FF0FC"/>
          </w:tcPr>
          <w:p>
            <w:pPr>
              <w:spacing w:after="0"/>
              <w:rPr>
                <w:sz w:val="12"/>
                <w:szCs w:val="12"/>
                <w:color w:val="auto"/>
              </w:rPr>
            </w:pPr>
          </w:p>
        </w:tc>
        <w:tc>
          <w:tcPr>
            <w:tcW w:w="20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8.0</w:t>
            </w:r>
          </w:p>
        </w:tc>
        <w:tc>
          <w:tcPr>
            <w:tcW w:w="2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w w:val="89"/>
              </w:rPr>
              <w:t>$</w:t>
            </w: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i w:val="1"/>
                <w:iCs w:val="1"/>
                <w:color w:val="auto"/>
              </w:rPr>
              <w:t>Operating margin in accordance with GAAP</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2"/>
                <w:szCs w:val="12"/>
                <w:i w:val="1"/>
                <w:iCs w:val="1"/>
                <w:color w:val="auto"/>
              </w:rPr>
              <w:t>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2"/>
                <w:szCs w:val="12"/>
                <w:i w:val="1"/>
                <w:iCs w:val="1"/>
                <w:color w:val="auto"/>
              </w:rPr>
              <w:t>2.3%</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2"/>
                <w:szCs w:val="12"/>
                <w:i w:val="1"/>
                <w:iCs w:val="1"/>
                <w:color w:val="auto"/>
              </w:rPr>
              <w:t>(6.1)%</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Legacy design repairs</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2.0</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tcPr>
          <w:p>
            <w:pPr>
              <w:ind w:left="320"/>
              <w:spacing w:after="0"/>
              <w:rPr>
                <w:sz w:val="20"/>
                <w:szCs w:val="20"/>
                <w:color w:val="auto"/>
              </w:rPr>
            </w:pPr>
            <w:r>
              <w:rPr>
                <w:rFonts w:ascii="Arial" w:cs="Arial" w:eastAsia="Arial" w:hAnsi="Arial"/>
                <w:sz w:val="12"/>
                <w:szCs w:val="12"/>
                <w:color w:val="auto"/>
              </w:rPr>
              <w:t>Inventory valuation adjustment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Plant, property and equipment valuation adjustment</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0.6</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320"/>
              <w:spacing w:after="0"/>
              <w:rPr>
                <w:sz w:val="20"/>
                <w:szCs w:val="20"/>
                <w:color w:val="auto"/>
              </w:rPr>
            </w:pPr>
            <w:r>
              <w:rPr>
                <w:rFonts w:ascii="Arial" w:cs="Arial" w:eastAsia="Arial" w:hAnsi="Arial"/>
                <w:sz w:val="12"/>
                <w:szCs w:val="12"/>
                <w:color w:val="auto"/>
              </w:rPr>
              <w:t>Gain on insurance settlement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Acquisition and integration expenses</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2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320"/>
              <w:spacing w:after="0"/>
              <w:rPr>
                <w:sz w:val="20"/>
                <w:szCs w:val="20"/>
                <w:color w:val="auto"/>
              </w:rPr>
            </w:pPr>
            <w:r>
              <w:rPr>
                <w:rFonts w:ascii="Arial" w:cs="Arial" w:eastAsia="Arial" w:hAnsi="Arial"/>
                <w:sz w:val="12"/>
                <w:szCs w:val="12"/>
                <w:color w:val="auto"/>
              </w:rPr>
              <w:t>Amortization and earnout expenses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2"/>
                <w:szCs w:val="12"/>
                <w:color w:val="auto"/>
              </w:rPr>
              <w:t>9.7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7.1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Loss on divestitures, net of selling costs</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4.4</w:t>
            </w: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2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tcPr>
          <w:p>
            <w:pPr>
              <w:ind w:left="320"/>
              <w:spacing w:after="0"/>
              <w:rPr>
                <w:sz w:val="20"/>
                <w:szCs w:val="20"/>
                <w:color w:val="auto"/>
              </w:rPr>
            </w:pPr>
            <w:r>
              <w:rPr>
                <w:rFonts w:ascii="Arial" w:cs="Arial" w:eastAsia="Arial" w:hAnsi="Arial"/>
                <w:sz w:val="12"/>
                <w:szCs w:val="12"/>
                <w:color w:val="auto"/>
              </w:rPr>
              <w:t>Intangible asset and goodwill impairment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7.2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57.9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Restructuring expenses</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1.9</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tcPr>
          <w:p>
            <w:pPr>
              <w:ind w:left="320"/>
              <w:spacing w:after="0"/>
              <w:rPr>
                <w:sz w:val="20"/>
                <w:szCs w:val="20"/>
                <w:color w:val="auto"/>
              </w:rPr>
            </w:pPr>
            <w:r>
              <w:rPr>
                <w:rFonts w:ascii="Arial" w:cs="Arial" w:eastAsia="Arial" w:hAnsi="Arial"/>
                <w:sz w:val="12"/>
                <w:szCs w:val="12"/>
                <w:color w:val="auto"/>
              </w:rPr>
              <w:t>Executive transition expenses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Facility exit expenses</w:t>
            </w:r>
          </w:p>
        </w:tc>
        <w:tc>
          <w:tcPr>
            <w:tcW w:w="1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0.2</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20"/>
                <w:szCs w:val="20"/>
                <w:color w:val="auto"/>
              </w:rPr>
            </w:pPr>
            <w:r>
              <w:rPr>
                <w:rFonts w:ascii="Arial" w:cs="Arial" w:eastAsia="Arial" w:hAnsi="Arial"/>
                <w:sz w:val="12"/>
                <w:szCs w:val="12"/>
                <w:color w:val="auto"/>
              </w:rPr>
              <w:t>Non-GAAP operating income</w:t>
            </w: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2"/>
                <w:szCs w:val="12"/>
                <w:color w:val="auto"/>
              </w:rPr>
              <w:t>24.1</w:t>
            </w:r>
          </w:p>
        </w:tc>
        <w:tc>
          <w:tcPr>
            <w:tcW w:w="140" w:type="dxa"/>
            <w:vAlign w:val="bottom"/>
          </w:tcPr>
          <w:p>
            <w:pPr>
              <w:spacing w:after="0"/>
              <w:rPr>
                <w:sz w:val="12"/>
                <w:szCs w:val="1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28.3</w:t>
            </w:r>
          </w:p>
        </w:tc>
        <w:tc>
          <w:tcPr>
            <w:tcW w:w="240" w:type="dxa"/>
            <w:vAlign w:val="bottom"/>
          </w:tcPr>
          <w:p>
            <w:pPr>
              <w:spacing w:after="0"/>
              <w:rPr>
                <w:sz w:val="12"/>
                <w:szCs w:val="12"/>
                <w:color w:val="auto"/>
              </w:rPr>
            </w:pPr>
          </w:p>
        </w:tc>
        <w:tc>
          <w:tcPr>
            <w:tcW w:w="340" w:type="dxa"/>
            <w:vAlign w:val="bottom"/>
            <w:gridSpan w:val="2"/>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52.7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i w:val="1"/>
                <w:iCs w:val="1"/>
                <w:color w:val="auto"/>
              </w:rPr>
              <w:t>Non-GAAP operating margin</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i w:val="1"/>
                <w:iCs w:val="1"/>
                <w:color w:val="auto"/>
              </w:rPr>
              <w:t>7.1%</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i w:val="1"/>
                <w:iCs w:val="1"/>
                <w:color w:val="auto"/>
              </w:rPr>
              <w:t>8.2%</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i w:val="1"/>
                <w:iCs w:val="1"/>
                <w:color w:val="auto"/>
              </w:rPr>
              <w:t>12.6%</w:t>
            </w:r>
          </w:p>
        </w:tc>
        <w:tc>
          <w:tcPr>
            <w:tcW w:w="0" w:type="dxa"/>
            <w:vAlign w:val="bottom"/>
          </w:tcPr>
          <w:p>
            <w:pPr>
              <w:spacing w:after="0"/>
              <w:rPr>
                <w:sz w:val="1"/>
                <w:szCs w:val="1"/>
                <w:color w:val="auto"/>
              </w:rPr>
            </w:pPr>
          </w:p>
        </w:tc>
      </w:tr>
      <w:tr>
        <w:trPr>
          <w:trHeight w:val="396"/>
        </w:trPr>
        <w:tc>
          <w:tcPr>
            <w:tcW w:w="6600" w:type="dxa"/>
            <w:vAlign w:val="bottom"/>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0"/>
                <w:szCs w:val="10"/>
                <w:b w:val="1"/>
                <w:bCs w:val="1"/>
                <w:color w:val="auto"/>
                <w:w w:val="84"/>
              </w:rPr>
              <w:t>Year Ended December 31,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600" w:type="dxa"/>
            <w:vAlign w:val="bottom"/>
            <w:tcBorders>
              <w:bottom w:val="single" w:sz="8" w:color="CFF0FC"/>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561"/>
              <w:spacing w:after="0" w:line="97" w:lineRule="exact"/>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FF0FC"/>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2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561"/>
              <w:spacing w:after="0" w:line="97" w:lineRule="exact"/>
              <w:rPr>
                <w:sz w:val="20"/>
                <w:szCs w:val="20"/>
                <w:color w:val="auto"/>
              </w:rPr>
            </w:pPr>
            <w:r>
              <w:rPr>
                <w:rFonts w:ascii="Arial" w:cs="Arial" w:eastAsia="Arial" w:hAnsi="Arial"/>
                <w:sz w:val="10"/>
                <w:szCs w:val="10"/>
                <w:b w:val="1"/>
                <w:bCs w:val="1"/>
                <w:color w:val="auto"/>
              </w:rPr>
              <w:t>2017</w:t>
            </w:r>
          </w:p>
        </w:tc>
        <w:tc>
          <w:tcPr>
            <w:tcW w:w="40" w:type="dxa"/>
            <w:vAlign w:val="bottom"/>
            <w:tcBorders>
              <w:bottom w:val="single" w:sz="8" w:color="CFF0FC"/>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2016</w:t>
            </w: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spacing w:after="0"/>
              <w:rPr>
                <w:sz w:val="20"/>
                <w:szCs w:val="20"/>
                <w:color w:val="auto"/>
              </w:rPr>
            </w:pPr>
            <w:r>
              <w:rPr>
                <w:rFonts w:ascii="Arial" w:cs="Arial" w:eastAsia="Arial" w:hAnsi="Arial"/>
                <w:sz w:val="12"/>
                <w:szCs w:val="12"/>
                <w:color w:val="auto"/>
              </w:rPr>
              <w:t>Net loss attributable to CECO Environmental Corp. as reported in accordance with GAAP</w:t>
            </w: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(7.1)</w:t>
            </w:r>
          </w:p>
        </w:tc>
        <w:tc>
          <w:tcPr>
            <w:tcW w:w="14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FF0FC"/>
          </w:tcPr>
          <w:p>
            <w:pPr>
              <w:spacing w:after="0"/>
              <w:rPr>
                <w:sz w:val="12"/>
                <w:szCs w:val="12"/>
                <w:color w:val="auto"/>
              </w:rPr>
            </w:pPr>
          </w:p>
        </w:tc>
        <w:tc>
          <w:tcPr>
            <w:tcW w:w="152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(3.0)</w:t>
            </w:r>
          </w:p>
        </w:tc>
        <w:tc>
          <w:tcPr>
            <w:tcW w:w="340" w:type="dxa"/>
            <w:vAlign w:val="bottom"/>
            <w:gridSpan w:val="2"/>
            <w:shd w:val="clear" w:color="auto" w:fill="CFF0FC"/>
          </w:tcPr>
          <w:p>
            <w:pPr>
              <w:jc w:val="right"/>
              <w:ind w:right="280"/>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Legacy design repairs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Inventory valuation adjustment</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20" w:type="dxa"/>
            <w:vAlign w:val="bottom"/>
            <w:gridSpan w:val="3"/>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Plant, property and equipment valuation adjustment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0.6</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Gain on insurance settlement</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20" w:type="dxa"/>
            <w:vAlign w:val="bottom"/>
            <w:gridSpan w:val="3"/>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Acquisition and integration expenses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Amortization and earnout expenses</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Loss on divestitures, net of selling costs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Intangible asset and goodwill impairment</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Restructuring expenses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1.9</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Executive transition expenses</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Facility exit expenses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0.2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remeasurement</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2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(2.1)</w:t>
            </w:r>
          </w:p>
        </w:tc>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Tax benefit of expenses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2"/>
                <w:szCs w:val="12"/>
                <w:color w:val="auto"/>
              </w:rPr>
              <w:t>(5.7)</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42"/>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Non-GAAP net income attributable to CECO Environmental Corp.</w:t>
            </w: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w:t>
            </w:r>
          </w:p>
        </w:tc>
        <w:tc>
          <w:tcPr>
            <w:tcW w:w="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33.5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i w:val="1"/>
                <w:iCs w:val="1"/>
                <w:color w:val="auto"/>
              </w:rPr>
              <w:t>Non-GAAP net income as a percentage of sales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i w:val="1"/>
                <w:iCs w:val="1"/>
                <w:color w:val="auto"/>
              </w:rPr>
              <w:t>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2"/>
                <w:szCs w:val="12"/>
                <w:i w:val="1"/>
                <w:iCs w:val="1"/>
                <w:color w:val="auto"/>
              </w:rPr>
              <w:t>2.8%</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2"/>
                <w:szCs w:val="12"/>
                <w:i w:val="1"/>
                <w:iCs w:val="1"/>
                <w:color w:val="auto"/>
              </w:rPr>
              <w:t>8.0%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80" w:firstLine="766"/>
        <w:spacing w:after="0" w:line="276" w:lineRule="auto"/>
        <w:rPr>
          <w:sz w:val="20"/>
          <w:szCs w:val="20"/>
          <w:color w:val="auto"/>
        </w:rPr>
      </w:pPr>
      <w:r>
        <w:rPr>
          <w:rFonts w:ascii="Arial" w:cs="Arial" w:eastAsia="Arial" w:hAnsi="Arial"/>
          <w:sz w:val="12"/>
          <w:szCs w:val="12"/>
          <w:color w:val="auto"/>
        </w:rPr>
        <w:t>In 2018, we divested three non-core businesses; Keystone filter brand (“Keystone”) and Strobic Air Corporation (“Strobic”) in the first quarter and Jiangyin Zhongli Industrial Technology Co. Ltd. (“Zhongli”) in the fourth quarter (collectively, “the Divestitures”). The exclusion of the operating results subsequent to their disposition impacts the comparability of our consolidated and segment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2018 and 2017</w:t>
      </w:r>
    </w:p>
    <w:p>
      <w:pPr>
        <w:spacing w:after="0" w:line="82" w:lineRule="exact"/>
        <w:rPr>
          <w:sz w:val="20"/>
          <w:szCs w:val="20"/>
          <w:color w:val="auto"/>
        </w:rPr>
      </w:pPr>
    </w:p>
    <w:p>
      <w:pPr>
        <w:ind w:right="140" w:firstLine="521"/>
        <w:spacing w:after="0" w:line="263" w:lineRule="auto"/>
        <w:rPr>
          <w:sz w:val="20"/>
          <w:szCs w:val="20"/>
          <w:color w:val="auto"/>
        </w:rPr>
      </w:pPr>
      <w:r>
        <w:rPr>
          <w:rFonts w:ascii="Arial" w:cs="Arial" w:eastAsia="Arial" w:hAnsi="Arial"/>
          <w:sz w:val="12"/>
          <w:szCs w:val="12"/>
          <w:color w:val="auto"/>
        </w:rPr>
        <w:t>Consolidated sales in 2018 were $337.3 million compared with $345.1 million in 2017, a decrease of $7.8 million. The decrease is primarily attributable to the Divestitures, which contributed $34.6 million of sales in 2017 and only $9.3 million of sales in 2018. Strong year-over-year sales in our Energy Solutions segment, with an increase of $22.2 million, partially offset the impact of the Divestitures. Excluding the impact of the Divestitures, sales increased $30.5 million, or 17.4%.</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754" w:right="199" w:bottom="1440" w:gutter="0" w:footer="0" w:header="0"/>
        </w:sectPr>
      </w:pPr>
    </w:p>
    <w:bookmarkStart w:id="30" w:name="page31"/>
    <w:bookmarkEnd w:id="30"/>
    <w:p>
      <w:pPr>
        <w:ind w:right="100" w:firstLine="521"/>
        <w:spacing w:after="0" w:line="259" w:lineRule="auto"/>
        <w:rPr>
          <w:sz w:val="20"/>
          <w:szCs w:val="20"/>
          <w:color w:val="auto"/>
        </w:rPr>
      </w:pPr>
      <w:r>
        <w:rPr>
          <w:rFonts w:ascii="Arial" w:cs="Arial" w:eastAsia="Arial" w:hAnsi="Arial"/>
          <w:sz w:val="12"/>
          <w:szCs w:val="12"/>
          <w:color w:val="auto"/>
        </w:rPr>
        <w:t>Gross profit decreased by $1.7 million, or 1.5%, to $111.5 million in 2018 compared with $113.2 million in 2017. Gross profit as a percentage of sales increased to 33.1% in 2018 compared with 32.8% in 2017. The decrease in gross profit was primarily attributable to the Divestitures. Non-GAAP gross profit was $111.5 million, or 33.1% as a percentage of sales for 2018, a decrease of $4.3 million compared with non-GAAP gross profit of $115.8 million, or 33.6% as a percentage of sales in 2017. The gross profit margin in 2017 was impacted by incurring $3.0 million in warranty expense and $2.0 million in legacy design repairs in 2017. The higher warranty expense in 2017 is primarily attributable to a legacy product design issue. The 2017 legacy design repairs are primarily attributable to specific issues on certain pre-acquisition projects.</w:t>
      </w:r>
    </w:p>
    <w:p>
      <w:pPr>
        <w:spacing w:after="0" w:line="125" w:lineRule="exact"/>
        <w:rPr>
          <w:sz w:val="20"/>
          <w:szCs w:val="20"/>
          <w:color w:val="auto"/>
        </w:rPr>
      </w:pPr>
    </w:p>
    <w:p>
      <w:pPr>
        <w:ind w:right="420" w:firstLine="521"/>
        <w:spacing w:after="0" w:line="276" w:lineRule="auto"/>
        <w:rPr>
          <w:sz w:val="20"/>
          <w:szCs w:val="20"/>
          <w:color w:val="auto"/>
        </w:rPr>
      </w:pPr>
      <w:r>
        <w:rPr>
          <w:rFonts w:ascii="Arial" w:cs="Arial" w:eastAsia="Arial" w:hAnsi="Arial"/>
          <w:sz w:val="12"/>
          <w:szCs w:val="12"/>
          <w:color w:val="auto"/>
        </w:rPr>
        <w:t>Selling and administrative expenses were $87.4 million in 2018 compared with $89.0 million in 2017. Selling and administrative expenses as a percentage of sales were 25.9% in 2018 compared with 25.8% in 2017. The decrease in expenses is primarily due to lower year-over-year sales. The benefit of our 2017 restructuring was offset by investments in selling and customer service.</w:t>
      </w:r>
    </w:p>
    <w:p>
      <w:pPr>
        <w:spacing w:after="0" w:line="115"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Amortization and earnout expense was $9.7 million in 2018 and $7.1 million in 2017, which was comprised of $9.6 million and $11.6 million of amortization expense in 2018 and 2017, respectively, and $0.1 million of earnout loss and $4.5 million of earnout income in 2018 and 2017, respectively. The change in the earnout year-over-year is primarily due to earnout adjustments related to Zhongli resulting in income of $0.3 million in 2018 and income of $6.6 million in 2017. Amortization expense decreased in 2018 due to the impact of the Divestitures.</w:t>
      </w:r>
    </w:p>
    <w:p>
      <w:pPr>
        <w:spacing w:after="0" w:line="123"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In 2018, the Company divested Keystone, Strobic and Zhongli, resulting in a net loss on divestitures of $4.4 million. The loss was comprised of a $6.9 million gain for Keystone, $4.3 million gain for Strobic and $15.6 million loss for Zhongli.</w:t>
      </w:r>
    </w:p>
    <w:p>
      <w:pPr>
        <w:spacing w:after="0" w:line="115" w:lineRule="exact"/>
        <w:rPr>
          <w:sz w:val="20"/>
          <w:szCs w:val="20"/>
          <w:color w:val="auto"/>
        </w:rPr>
      </w:pPr>
    </w:p>
    <w:p>
      <w:pPr>
        <w:ind w:right="360" w:firstLine="521"/>
        <w:spacing w:after="0" w:line="276" w:lineRule="auto"/>
        <w:rPr>
          <w:sz w:val="20"/>
          <w:szCs w:val="20"/>
          <w:color w:val="auto"/>
        </w:rPr>
      </w:pPr>
      <w:r>
        <w:rPr>
          <w:rFonts w:ascii="Arial" w:cs="Arial" w:eastAsia="Arial" w:hAnsi="Arial"/>
          <w:sz w:val="12"/>
          <w:szCs w:val="12"/>
          <w:color w:val="auto"/>
        </w:rPr>
        <w:t>There were no goodwill or tradename impairment charges in 2018. In 2017, the Company recorded a non-cash impairment charge of $7.2 million. The charge included $4.5 million to fully impair the carrying value of the goodwill of the Zhongli reporting unit. An additional charge of $2.7 million was recorded to reduce the carrying value of four tradenames within the Energy segment to their fair value.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implemented a restructuring program during the second half of 2017 and incurred restructuring expenses of $1.9 million. There were no restructuring charges in 2018.</w:t>
      </w:r>
    </w:p>
    <w:p>
      <w:pPr>
        <w:spacing w:after="0" w:line="150"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Operating income for 2018 was $10.0 million, an increase of $2.0 million from $8.0 million in 2017. Operating income as a percentage of sales for 2018 was 3.0% compared with 2.3% for 2017. The increase in operating income was attributable to the factors described above.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Non-GAAP operating income was $24.1 million in 2018, a decrease of $4.2 million from $28.3 million in 2017. Non-GAAP operating income as a percentage of sales for 2018 was 7.1% compared with 8.2% for 2017.</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Other (expense) income for 2018 was $0.4 million of expense compared with $0.1 million of income in 2017, and was comprised primarily of foreign currency transaction gains and losses.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Interest expense increased to $7.1 million in 2018 from $6.7 million in 2017. The increase is due to higher interest rates in 2018 compared to 2017, which was partially offset by lower average debt balances in 2018.</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Income tax expense was $9.6 million and $4.4 million in 2018 and 2017, respectively. The effective tax rate for 2018 was 385.2% compared with 315.0% in 2017.</w:t>
      </w:r>
    </w:p>
    <w:p>
      <w:pPr>
        <w:spacing w:after="0" w:line="150"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Income tax expense and the effective tax rate for 2018 were significantly impacted by permanent differences between the tax reporting and financial statement reporting of the net loss on the Divestitures. The net effect of those permanent differences was $7.0 million of tax expense in 2018. The Company completed its accounting for the tax effects of the Tax Cuts and Jobs Act (“Tax Act”) in 2018 and recorded a $1.7 million favorable adjustment to the amount of tax liability provisionally recorded in 2017 for the one-time deemed repatriation of foreign earnings.</w:t>
      </w:r>
    </w:p>
    <w:p>
      <w:pPr>
        <w:spacing w:after="0" w:line="123"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Income tax expense and the effective tax rate for 2017 were significantly impacted by certain aspects of the Tax Act. As a result of the Tax Act, the effective tax rate was adversely impacted in 2017 by a $6.4 million charge related to the deemed, one-time repatriation of foreign earnings, which was partially offset by a favorable $4.8 million benefit related to the revaluation of net deferred tax assets and liabilities from the reduction in the U.S. corporate income tax rate from 35% to 21%. Other significant impacts to the 2017 effective tax rate included the adverse effect of $1.8 million of nondeductible intangible asset and goodwill impairment charges, as well as a $1.8 million benefit from nondeductible earnout expenses.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Comparison of the years ended December 31, 2017 and 2016</w:t>
      </w:r>
    </w:p>
    <w:p>
      <w:pPr>
        <w:spacing w:after="0" w:line="154"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Consolidated sales in 2017 were $345.1 million compared with $417.0 million in 2016, a decrease of $71.9 million. The decrease is primarily attributable to a decline within the Company’s Energy Solutions segment and in the Company’s Industrial Solutions segment. These declines were partially offset by increased sales in the Company’s Fluid Handling Solutions segment.</w:t>
      </w:r>
    </w:p>
    <w:p>
      <w:pPr>
        <w:spacing w:after="0" w:line="115"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Gross profit decreased by $21.7 million, or 16.1%, to $113.2 million in 2017 compared with $134.9 million in 2016. Gross profit as a percentage of sales increased to 32.8% in 2017 compared with 32.4% in 2016. The decrease in gross profit was primarily attributable to a sales volume decline period over period. On an as adjusted basis, non-GAAP gross profit was $115.8 million, or 33.6% as a percentage of sales for 2017, a decrease of $19.8 million compared with non-GAAP gross profit of $135.6 million, or 32.5% as a percentage of sales in 2016. The higher gross profit margin in 2017 was primarily due to favorable project mix and was partially offset by the Company incurring $3.0 million in warranty expense and $2.0 million in legacy design repairs in 2017, compared with warranty expense of $0.5 million during in 2016. The increase in warranty expense is primarily attributable to a legacy product design issue. The increase in legacy design repairs is primarily attributable to specific issues on certain pre-acquisition projects.</w:t>
      </w:r>
    </w:p>
    <w:p>
      <w:pPr>
        <w:spacing w:after="0" w:line="126"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Selling and administrative expenses were $89.0 million in 2017 compared with $81.9 million in 2016. Selling and administrative expenses as a percentage of sales were 25.8% in 2017 compared with 19.6% in 2016. The increase is primarily attributable to executive transition expenses related to the Company’s transition and search for a new Chief Executive Officer and expenses associated with the hiring of a new Chief Financial Officer of $1.3 million in 2017, an increase of $3.0 million of allowance for bad debt expense during 2017 compared with 2016 and additional investments in selling and finance personnel in 2017. Other factors leading to the increase are related to the Company recording gains of $1.6 million during 2016, which consisted of $1.0 million related to a life insurance settlement and $0.6 million related to a warranty settlement received from an external service provider of the Company.</w:t>
      </w:r>
    </w:p>
    <w:p>
      <w:pPr>
        <w:spacing w:after="0" w:line="109"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Amortization and earnout expense was $7.1 million in 2017 and $20.2 million in 2016 which was comprised of $11.6 million and $14.0 million of amortization expense in 2017 and 2016, respectively, and $4.5 million of earnout income and $6.2 million of earnout loss in 2017 and 2016, respectively. The adjustment recorded to the fair value of the earnout from the Zhongli acquisition was $6.6 million of income in 2017 and $6.5 million of expense in 2016. The fair value adjustment to the earnout in 2017 was the result of Zhongli performing below operational expectations set for 2017, while in 2016, it performed above initial acquisition date operational expectations. Amortization expense decreased year-over-year due to fully amortized intangible assets.</w:t>
      </w:r>
    </w:p>
    <w:p>
      <w:pPr>
        <w:spacing w:after="0" w:line="125" w:lineRule="exact"/>
        <w:rPr>
          <w:sz w:val="20"/>
          <w:szCs w:val="20"/>
          <w:color w:val="auto"/>
        </w:rPr>
      </w:pPr>
    </w:p>
    <w:p>
      <w:pPr>
        <w:ind w:right="300" w:firstLine="521"/>
        <w:spacing w:after="0" w:line="276" w:lineRule="auto"/>
        <w:rPr>
          <w:sz w:val="20"/>
          <w:szCs w:val="20"/>
          <w:color w:val="auto"/>
        </w:rPr>
      </w:pPr>
      <w:r>
        <w:rPr>
          <w:rFonts w:ascii="Arial" w:cs="Arial" w:eastAsia="Arial" w:hAnsi="Arial"/>
          <w:sz w:val="12"/>
          <w:szCs w:val="12"/>
          <w:color w:val="auto"/>
        </w:rPr>
        <w:t>In 2017, the Company recorded a non-cash impairment charge of $7.2 million. The charge included $4.5 million to fully impair the carrying value of the goodwill of the Zhongli reporting unit. An additional charge of $2.7 million was recorded to reduce the carrying value of four tradenames within the Energy segment to their fair value.</w:t>
      </w:r>
    </w:p>
    <w:p>
      <w:pPr>
        <w:spacing w:after="0" w:line="115"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In 2016, the Company recorded a non-cash impairment charge of $57.9 million. A charge of $53.8 million was recorded to reduce the carrying value of the goodwill of three reporting units. An additional charge of $4.2 million was recorded to reduce the carrying value of four tradenames to their fair value.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implemented a restructuring program during the fourth quarter of 2017 and incurred restructuring expenses of $1.9 million.</w:t>
      </w:r>
    </w:p>
    <w:p>
      <w:pPr>
        <w:spacing w:after="0" w:line="150" w:lineRule="exact"/>
        <w:rPr>
          <w:sz w:val="20"/>
          <w:szCs w:val="20"/>
          <w:color w:val="auto"/>
        </w:rPr>
      </w:pPr>
    </w:p>
    <w:p>
      <w:pPr>
        <w:ind w:right="340" w:firstLine="521"/>
        <w:spacing w:after="0" w:line="276" w:lineRule="auto"/>
        <w:rPr>
          <w:sz w:val="20"/>
          <w:szCs w:val="20"/>
          <w:color w:val="auto"/>
        </w:rPr>
      </w:pPr>
      <w:r>
        <w:rPr>
          <w:rFonts w:ascii="Arial" w:cs="Arial" w:eastAsia="Arial" w:hAnsi="Arial"/>
          <w:sz w:val="12"/>
          <w:szCs w:val="12"/>
          <w:color w:val="auto"/>
        </w:rPr>
        <w:t>Operating income for 2017 was $8.0 million, an increase of $33.6 million from a loss of $25.6 million in 2016. Operating income as a percentage of sales for 2017 was 2.3% compared with a negative (6.1)% for 2016. The increase in operating income was attributable to the factors described above.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Non-GAAP operating income was $28.3 million for 2017, a decrease of $24.4 million from $52.7 million in 2016. Non-GAAP operating income as a percentage of sales for 2017 was 8.2% compared with 12.6% for 2016.</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Other income, which is primarily foreign currency transaction gains and losses, was $0.1 million of income in 2017 compared with $0.3 million of income in 2016.</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Interest expense decreased to $6.7 million in 2017 from $7.7 million in 2016. The decrease is attributable to debt repayments made throughout 2016 and 2017 that decreased the amount of outstanding debt throughout 2017.</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Income tax expense was $4.4 million and $5.3 million in 2017 and 2016, respectively. The effective tax rate for 2017 was 315.0% compared with (16.0) % in 2016.</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87" w:right="199" w:bottom="1440" w:gutter="0" w:footer="0" w:header="0"/>
        </w:sectPr>
      </w:pPr>
    </w:p>
    <w:bookmarkStart w:id="32" w:name="page33"/>
    <w:bookmarkEnd w:id="32"/>
    <w:p>
      <w:pPr>
        <w:ind w:left="8" w:right="160" w:firstLine="521"/>
        <w:spacing w:after="0" w:line="327" w:lineRule="auto"/>
        <w:rPr>
          <w:sz w:val="20"/>
          <w:szCs w:val="20"/>
          <w:color w:val="auto"/>
        </w:rPr>
      </w:pPr>
      <w:r>
        <w:rPr>
          <w:rFonts w:ascii="Arial" w:cs="Arial" w:eastAsia="Arial" w:hAnsi="Arial"/>
          <w:sz w:val="10"/>
          <w:szCs w:val="10"/>
          <w:color w:val="auto"/>
        </w:rPr>
        <w:t>Income tax expense and the effective tax rate for 2017 were significantly impacted by the Tax Act. As a result of the Tax Act, the effective tax rate was adversely impacted by a $6.4 million charge related to the deemed, one-time repatriation of foreign earnings, but it was favorably impacted by a $4.8 million benefit related to the revaluation of net deferred tax assets and liabilities as a result of the reduction in the U.S. corporate income tax rate from 35% to 21%. Other significant impacts to the 2017 effective tax rate include the adverse effect of $1.8 million nondeductible of intangible asset and goodwill impairment charges, as well as a benefit of nondeductible $1.8 million related to an adjustment to estimated earnout expenses. The amounts reported related to changes brought about by the Tax Act were provisional amounts, subject to change within the measurement period ending December 22, 2018.</w:t>
      </w:r>
    </w:p>
    <w:p>
      <w:pPr>
        <w:spacing w:after="0" w:line="94" w:lineRule="exact"/>
        <w:rPr>
          <w:sz w:val="20"/>
          <w:szCs w:val="20"/>
          <w:color w:val="auto"/>
        </w:rPr>
      </w:pPr>
    </w:p>
    <w:p>
      <w:pPr>
        <w:ind w:left="8" w:firstLine="521"/>
        <w:spacing w:after="0" w:line="263" w:lineRule="auto"/>
        <w:rPr>
          <w:sz w:val="20"/>
          <w:szCs w:val="20"/>
          <w:color w:val="auto"/>
        </w:rPr>
      </w:pPr>
      <w:r>
        <w:rPr>
          <w:rFonts w:ascii="Arial" w:cs="Arial" w:eastAsia="Arial" w:hAnsi="Arial"/>
          <w:sz w:val="12"/>
          <w:szCs w:val="12"/>
          <w:color w:val="auto"/>
        </w:rPr>
        <w:t>The 2016 effective tax rate was adversely impacted by $2.6 million of nondeductible earnout expenses and $17.9 million of nondeductible intangible asset and goodwill impairment charges, which more than offset the benefits of $1.7 million from foreign rate differences, $0.6 million of the domestic production activities deduction, $1.0 million related to United States and Foreign tax incentives and deferred tax asset movement, and $0.6 million of changes in uncertain tax position reserves.</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Business Segments</w:t>
      </w:r>
    </w:p>
    <w:p>
      <w:pPr>
        <w:spacing w:after="0" w:line="150" w:lineRule="exact"/>
        <w:rPr>
          <w:sz w:val="20"/>
          <w:szCs w:val="20"/>
          <w:color w:val="auto"/>
        </w:rPr>
      </w:pPr>
    </w:p>
    <w:p>
      <w:pPr>
        <w:ind w:left="8" w:right="20" w:firstLine="521"/>
        <w:spacing w:after="0" w:line="259" w:lineRule="auto"/>
        <w:rPr>
          <w:sz w:val="20"/>
          <w:szCs w:val="20"/>
          <w:color w:val="auto"/>
        </w:rPr>
      </w:pPr>
      <w:r>
        <w:rPr>
          <w:rFonts w:ascii="Arial" w:cs="Arial" w:eastAsia="Arial" w:hAnsi="Arial"/>
          <w:sz w:val="12"/>
          <w:szCs w:val="12"/>
          <w:color w:val="auto"/>
        </w:rPr>
        <w:t>The Company’s operations are organized and reviewed by management along its product lines or end market that the segment serves and are presented in three reportable segments. The results of the segments are reviewed through the “Income (loss) from operations” line on the Consolidated Statements of Operations. The amounts presented in the Net Sales table below and in the following comments regarding our net sales at the reportable business segment level exclude both intra-segment and inter-segment net sales. The Income (loss) from Operations table and corresponding comments regarding operating income (loss) at the reportable segment level include both intra-segment and inter-segment operating income.</w:t>
      </w:r>
    </w:p>
    <w:p>
      <w:pPr>
        <w:spacing w:after="0" w:line="125" w:lineRule="exact"/>
        <w:rPr>
          <w:sz w:val="20"/>
          <w:szCs w:val="20"/>
          <w:color w:val="auto"/>
        </w:rPr>
      </w:pPr>
    </w:p>
    <w:p>
      <w:pPr>
        <w:ind w:left="8" w:right="80" w:firstLine="521"/>
        <w:spacing w:after="0" w:line="334" w:lineRule="auto"/>
        <w:rPr>
          <w:sz w:val="20"/>
          <w:szCs w:val="20"/>
          <w:color w:val="auto"/>
        </w:rPr>
      </w:pPr>
      <w:r>
        <w:rPr>
          <w:rFonts w:ascii="Arial" w:cs="Arial" w:eastAsia="Arial" w:hAnsi="Arial"/>
          <w:sz w:val="10"/>
          <w:szCs w:val="10"/>
          <w:color w:val="auto"/>
        </w:rPr>
        <w:t>During the first quarter of 2018, the Company finalized an overall assessment and recalibration of its strategy. As a part of the changes to its strategy, management determined that a realignment of the Company’s segments was necessary to better reflect the technologies and solutions we provide, and the end markets we serve. As a result of this realignment, the reportable segments of the Company have been renamed and we reclassified the operating results of certain business units within the Energy Solutions and Industrial Solutions segments to have their reportable segment more closely align with our strategy. All prior years have been reclassified to conform to the current year presentation.</w:t>
      </w:r>
    </w:p>
    <w:tbl>
      <w:tblPr>
        <w:tblLayout w:type="fixed"/>
        <w:tblInd w:w="8" w:type="dxa"/>
        <w:tblCellMar>
          <w:top w:w="0" w:type="dxa"/>
          <w:left w:w="0" w:type="dxa"/>
          <w:bottom w:w="0" w:type="dxa"/>
          <w:right w:w="0" w:type="dxa"/>
        </w:tblCellMar>
      </w:tblPr>
      <w:tr>
        <w:trPr>
          <w:trHeight w:val="114"/>
        </w:trPr>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660" w:type="dxa"/>
            <w:vAlign w:val="bottom"/>
            <w:gridSpan w:val="2"/>
          </w:tcPr>
          <w:p>
            <w:pPr>
              <w:jc w:val="right"/>
              <w:ind w:right="10"/>
              <w:spacing w:after="0"/>
              <w:rPr>
                <w:sz w:val="20"/>
                <w:szCs w:val="20"/>
                <w:color w:val="auto"/>
              </w:rPr>
            </w:pPr>
            <w:r>
              <w:rPr>
                <w:rFonts w:ascii="Arial" w:cs="Arial" w:eastAsia="Arial" w:hAnsi="Arial"/>
                <w:sz w:val="10"/>
                <w:szCs w:val="10"/>
                <w:b w:val="1"/>
                <w:bCs w:val="1"/>
                <w:color w:val="auto"/>
              </w:rPr>
              <w:t>2018</w:t>
            </w:r>
          </w:p>
        </w:tc>
        <w:tc>
          <w:tcPr>
            <w:tcW w:w="440" w:type="dxa"/>
            <w:vAlign w:val="bottom"/>
          </w:tcPr>
          <w:p>
            <w:pPr>
              <w:spacing w:after="0"/>
              <w:rPr>
                <w:sz w:val="9"/>
                <w:szCs w:val="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2017</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jc w:val="right"/>
              <w:ind w:right="382"/>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8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2"/>
                <w:szCs w:val="12"/>
                <w:b w:val="1"/>
                <w:bCs w:val="1"/>
                <w:color w:val="auto"/>
              </w:rPr>
              <w:t>Net Sales (less intra-, inter-segment sales)</w:t>
            </w:r>
          </w:p>
        </w:tc>
        <w:tc>
          <w:tcPr>
            <w:tcW w:w="180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lef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20" w:type="dxa"/>
            <w:vAlign w:val="bottom"/>
          </w:tcPr>
          <w:p>
            <w:pPr>
              <w:ind w:left="40"/>
              <w:spacing w:after="0"/>
              <w:rPr>
                <w:sz w:val="20"/>
                <w:szCs w:val="20"/>
                <w:color w:val="auto"/>
              </w:rPr>
            </w:pPr>
            <w:r>
              <w:rPr>
                <w:rFonts w:ascii="Arial" w:cs="Arial" w:eastAsia="Arial" w:hAnsi="Arial"/>
                <w:sz w:val="10"/>
                <w:szCs w:val="10"/>
                <w:b w:val="1"/>
                <w:bCs w:val="1"/>
                <w:color w:val="auto"/>
              </w:rPr>
              <w:t>(Table only in thousands)</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720" w:type="dxa"/>
            <w:vAlign w:val="bottom"/>
            <w:shd w:val="clear" w:color="auto" w:fill="CFF0FC"/>
          </w:tcPr>
          <w:p>
            <w:pPr>
              <w:ind w:left="40"/>
              <w:spacing w:after="0"/>
              <w:rPr>
                <w:sz w:val="20"/>
                <w:szCs w:val="20"/>
                <w:color w:val="auto"/>
              </w:rPr>
            </w:pPr>
            <w:r>
              <w:rPr>
                <w:rFonts w:ascii="Arial" w:cs="Arial" w:eastAsia="Arial" w:hAnsi="Arial"/>
                <w:sz w:val="12"/>
                <w:szCs w:val="12"/>
                <w:color w:val="auto"/>
              </w:rPr>
              <w:t>Energy Solutions segment</w:t>
            </w:r>
          </w:p>
        </w:tc>
        <w:tc>
          <w:tcPr>
            <w:tcW w:w="2660" w:type="dxa"/>
            <w:vAlign w:val="bottom"/>
            <w:gridSpan w:val="2"/>
            <w:shd w:val="clear" w:color="auto" w:fill="CFF0FC"/>
          </w:tcPr>
          <w:p>
            <w:pPr>
              <w:jc w:val="right"/>
              <w:ind w:right="71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211,185</w:t>
            </w:r>
          </w:p>
        </w:tc>
        <w:tc>
          <w:tcPr>
            <w:tcW w:w="1120" w:type="dxa"/>
            <w:vAlign w:val="bottom"/>
            <w:tcBorders>
              <w:left w:val="single" w:sz="8" w:color="CFF0FC"/>
            </w:tcBorders>
            <w:gridSpan w:val="2"/>
            <w:shd w:val="clear" w:color="auto" w:fill="CFF0FC"/>
          </w:tcPr>
          <w:p>
            <w:pPr>
              <w:jc w:val="right"/>
              <w:ind w:right="7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188,955</w:t>
            </w:r>
          </w:p>
        </w:tc>
        <w:tc>
          <w:tcPr>
            <w:tcW w:w="1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254,806</w:t>
            </w: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tcPr>
          <w:p>
            <w:pPr>
              <w:ind w:left="40"/>
              <w:spacing w:after="0"/>
              <w:rPr>
                <w:sz w:val="20"/>
                <w:szCs w:val="20"/>
                <w:color w:val="auto"/>
              </w:rPr>
            </w:pPr>
            <w:r>
              <w:rPr>
                <w:rFonts w:ascii="Arial" w:cs="Arial" w:eastAsia="Arial" w:hAnsi="Arial"/>
                <w:sz w:val="12"/>
                <w:szCs w:val="12"/>
                <w:color w:val="auto"/>
              </w:rPr>
              <w:t>Industrial Solutions segment</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75,414</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87,838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101,909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720" w:type="dxa"/>
            <w:vAlign w:val="bottom"/>
            <w:shd w:val="clear" w:color="auto" w:fill="CFF0FC"/>
          </w:tcPr>
          <w:p>
            <w:pPr>
              <w:ind w:left="40"/>
              <w:spacing w:after="0"/>
              <w:rPr>
                <w:sz w:val="20"/>
                <w:szCs w:val="20"/>
                <w:color w:val="auto"/>
              </w:rPr>
            </w:pPr>
            <w:r>
              <w:rPr>
                <w:rFonts w:ascii="Arial" w:cs="Arial" w:eastAsia="Arial" w:hAnsi="Arial"/>
                <w:sz w:val="12"/>
                <w:szCs w:val="12"/>
                <w:color w:val="auto"/>
              </w:rPr>
              <w:t>Fluid Handling Solutions segment</w:t>
            </w:r>
          </w:p>
        </w:tc>
        <w:tc>
          <w:tcPr>
            <w:tcW w:w="1800" w:type="dxa"/>
            <w:vAlign w:val="bottom"/>
            <w:shd w:val="clear" w:color="auto" w:fill="CFF0FC"/>
          </w:tcPr>
          <w:p>
            <w:pPr>
              <w:spacing w:after="0"/>
              <w:rPr>
                <w:sz w:val="14"/>
                <w:szCs w:val="14"/>
                <w:color w:val="auto"/>
              </w:rPr>
            </w:pPr>
          </w:p>
        </w:tc>
        <w:tc>
          <w:tcPr>
            <w:tcW w:w="860" w:type="dxa"/>
            <w:vAlign w:val="bottom"/>
            <w:tcBorders>
              <w:left w:val="single" w:sz="8" w:color="CFF0FC"/>
            </w:tcBorders>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50,740</w:t>
            </w: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69,159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61,788</w:t>
            </w: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tcPr>
          <w:p>
            <w:pPr>
              <w:ind w:left="40"/>
              <w:spacing w:after="0"/>
              <w:rPr>
                <w:sz w:val="20"/>
                <w:szCs w:val="20"/>
                <w:color w:val="auto"/>
              </w:rPr>
            </w:pPr>
            <w:r>
              <w:rPr>
                <w:rFonts w:ascii="Arial" w:cs="Arial" w:eastAsia="Arial" w:hAnsi="Arial"/>
                <w:sz w:val="12"/>
                <w:szCs w:val="12"/>
                <w:color w:val="auto"/>
              </w:rPr>
              <w:t>Corporate and Other (1)</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2"/>
                <w:szCs w:val="12"/>
                <w:color w:val="auto"/>
              </w:rPr>
              <w:t>(901)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2"/>
                <w:szCs w:val="12"/>
                <w:color w:val="auto"/>
              </w:rPr>
              <w:t>(1,492)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vMerge w:val="restart"/>
            <w:shd w:val="clear" w:color="auto" w:fill="CFF0FC"/>
          </w:tcPr>
          <w:p>
            <w:pPr>
              <w:spacing w:after="0" w:line="20" w:lineRule="exact"/>
              <w:rPr>
                <w:sz w:val="1"/>
                <w:szCs w:val="1"/>
                <w:color w:val="auto"/>
              </w:rPr>
            </w:pPr>
          </w:p>
        </w:tc>
        <w:tc>
          <w:tcPr>
            <w:tcW w:w="4720" w:type="dxa"/>
            <w:vAlign w:val="bottom"/>
            <w:vMerge w:val="restart"/>
            <w:shd w:val="clear" w:color="auto" w:fill="CFF0FC"/>
          </w:tcPr>
          <w:p>
            <w:pPr>
              <w:ind w:left="200"/>
              <w:spacing w:after="0"/>
              <w:rPr>
                <w:sz w:val="20"/>
                <w:szCs w:val="20"/>
                <w:color w:val="auto"/>
              </w:rPr>
            </w:pPr>
            <w:r>
              <w:rPr>
                <w:rFonts w:ascii="Arial" w:cs="Arial" w:eastAsia="Arial" w:hAnsi="Arial"/>
                <w:sz w:val="12"/>
                <w:szCs w:val="12"/>
                <w:b w:val="1"/>
                <w:bCs w:val="1"/>
                <w:color w:val="auto"/>
              </w:rPr>
              <w:t>Net sales</w:t>
            </w:r>
          </w:p>
        </w:tc>
        <w:tc>
          <w:tcPr>
            <w:tcW w:w="1800" w:type="dxa"/>
            <w:vAlign w:val="bottom"/>
            <w:shd w:val="clear" w:color="auto" w:fill="CFF0FC"/>
          </w:tcPr>
          <w:p>
            <w:pPr>
              <w:spacing w:after="0" w:line="20" w:lineRule="exact"/>
              <w:rPr>
                <w:sz w:val="1"/>
                <w:szCs w:val="1"/>
                <w:color w:val="auto"/>
              </w:rPr>
            </w:pPr>
          </w:p>
        </w:tc>
        <w:tc>
          <w:tcPr>
            <w:tcW w:w="860" w:type="dxa"/>
            <w:vAlign w:val="bottom"/>
            <w:tcBorders>
              <w:left w:val="single" w:sz="8" w:color="CFF0FC"/>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vMerge w:val="continue"/>
            <w:shd w:val="clear" w:color="auto" w:fill="CFF0FC"/>
          </w:tcPr>
          <w:p>
            <w:pPr>
              <w:spacing w:after="0"/>
              <w:rPr>
                <w:sz w:val="12"/>
                <w:szCs w:val="12"/>
                <w:color w:val="auto"/>
              </w:rPr>
            </w:pPr>
          </w:p>
        </w:tc>
        <w:tc>
          <w:tcPr>
            <w:tcW w:w="4720" w:type="dxa"/>
            <w:vAlign w:val="bottom"/>
            <w:vMerge w:val="continue"/>
            <w:shd w:val="clear" w:color="auto" w:fill="CFF0FC"/>
          </w:tcPr>
          <w:p>
            <w:pPr>
              <w:spacing w:after="0"/>
              <w:rPr>
                <w:sz w:val="12"/>
                <w:szCs w:val="12"/>
                <w:color w:val="auto"/>
              </w:rPr>
            </w:pPr>
          </w:p>
        </w:tc>
        <w:tc>
          <w:tcPr>
            <w:tcW w:w="2660" w:type="dxa"/>
            <w:vAlign w:val="bottom"/>
            <w:gridSpan w:val="2"/>
            <w:shd w:val="clear" w:color="auto" w:fill="CFF0FC"/>
          </w:tcPr>
          <w:p>
            <w:pPr>
              <w:jc w:val="right"/>
              <w:ind w:right="71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337,339</w:t>
            </w:r>
          </w:p>
        </w:tc>
        <w:tc>
          <w:tcPr>
            <w:tcW w:w="1120" w:type="dxa"/>
            <w:vAlign w:val="bottom"/>
            <w:tcBorders>
              <w:left w:val="single" w:sz="8" w:color="CFF0FC"/>
            </w:tcBorders>
            <w:gridSpan w:val="2"/>
            <w:shd w:val="clear" w:color="auto" w:fill="CFF0FC"/>
          </w:tcPr>
          <w:p>
            <w:pPr>
              <w:jc w:val="right"/>
              <w:ind w:right="7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345,051</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72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860" w:type="dxa"/>
            <w:vAlign w:val="bottom"/>
            <w:tcBorders>
              <w:left w:val="single" w:sz="8" w:color="CFF0FC"/>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80" w:type="dxa"/>
            <w:vAlign w:val="bottom"/>
            <w:gridSpan w:val="2"/>
          </w:tcPr>
          <w:p>
            <w:pPr>
              <w:jc w:val="right"/>
              <w:spacing w:after="0"/>
              <w:rPr>
                <w:sz w:val="20"/>
                <w:szCs w:val="20"/>
                <w:color w:val="auto"/>
              </w:rPr>
            </w:pPr>
            <w:r>
              <w:rPr>
                <w:rFonts w:ascii="Arial" w:cs="Arial" w:eastAsia="Arial" w:hAnsi="Arial"/>
                <w:sz w:val="12"/>
                <w:szCs w:val="12"/>
                <w:color w:val="auto"/>
                <w:w w:val="81"/>
              </w:rPr>
              <w:t>(1)</w:t>
            </w:r>
          </w:p>
        </w:tc>
        <w:tc>
          <w:tcPr>
            <w:tcW w:w="40" w:type="dxa"/>
            <w:vAlign w:val="bottom"/>
          </w:tcPr>
          <w:p>
            <w:pPr>
              <w:spacing w:after="0"/>
              <w:rPr>
                <w:sz w:val="13"/>
                <w:szCs w:val="13"/>
                <w:color w:val="auto"/>
              </w:rPr>
            </w:pPr>
          </w:p>
        </w:tc>
        <w:tc>
          <w:tcPr>
            <w:tcW w:w="4720" w:type="dxa"/>
            <w:vAlign w:val="bottom"/>
          </w:tcPr>
          <w:p>
            <w:pPr>
              <w:ind w:left="280"/>
              <w:spacing w:after="0"/>
              <w:rPr>
                <w:sz w:val="20"/>
                <w:szCs w:val="20"/>
                <w:color w:val="auto"/>
              </w:rPr>
            </w:pPr>
            <w:r>
              <w:rPr>
                <w:rFonts w:ascii="Arial" w:cs="Arial" w:eastAsia="Arial" w:hAnsi="Arial"/>
                <w:sz w:val="12"/>
                <w:szCs w:val="12"/>
                <w:color w:val="auto"/>
              </w:rPr>
              <w:t>Includes adjustment for revenue on intercompany jobs.</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60" w:type="dxa"/>
            <w:vAlign w:val="bottom"/>
            <w:gridSpan w:val="2"/>
          </w:tcPr>
          <w:p>
            <w:pPr>
              <w:jc w:val="right"/>
              <w:ind w:right="70"/>
              <w:spacing w:after="0"/>
              <w:rPr>
                <w:sz w:val="20"/>
                <w:szCs w:val="20"/>
                <w:color w:val="auto"/>
              </w:rPr>
            </w:pPr>
            <w:r>
              <w:rPr>
                <w:rFonts w:ascii="Arial" w:cs="Arial" w:eastAsia="Arial" w:hAnsi="Arial"/>
                <w:sz w:val="10"/>
                <w:szCs w:val="10"/>
                <w:b w:val="1"/>
                <w:bCs w:val="1"/>
                <w:color w:val="auto"/>
              </w:rPr>
              <w:t>2018</w:t>
            </w:r>
          </w:p>
        </w:tc>
        <w:tc>
          <w:tcPr>
            <w:tcW w:w="44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2017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02"/>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Income (loss) from Operations</w:t>
            </w:r>
          </w:p>
        </w:tc>
        <w:tc>
          <w:tcPr>
            <w:tcW w:w="180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lef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Solutions segment</w:t>
            </w:r>
          </w:p>
        </w:tc>
        <w:tc>
          <w:tcPr>
            <w:tcW w:w="2660" w:type="dxa"/>
            <w:vAlign w:val="bottom"/>
            <w:gridSpan w:val="2"/>
            <w:shd w:val="clear" w:color="auto" w:fill="CFF0FC"/>
          </w:tcPr>
          <w:p>
            <w:pPr>
              <w:jc w:val="right"/>
              <w:ind w:right="75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28,398</w:t>
            </w:r>
          </w:p>
        </w:tc>
        <w:tc>
          <w:tcPr>
            <w:tcW w:w="32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14,565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30,582</w:t>
            </w:r>
          </w:p>
        </w:tc>
        <w:tc>
          <w:tcPr>
            <w:tcW w:w="12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tcPr>
          <w:p>
            <w:pPr>
              <w:ind w:left="160"/>
              <w:spacing w:after="0"/>
              <w:rPr>
                <w:sz w:val="20"/>
                <w:szCs w:val="20"/>
                <w:color w:val="auto"/>
              </w:rPr>
            </w:pPr>
            <w:r>
              <w:rPr>
                <w:rFonts w:ascii="Arial" w:cs="Arial" w:eastAsia="Arial" w:hAnsi="Arial"/>
                <w:sz w:val="12"/>
                <w:szCs w:val="12"/>
                <w:color w:val="auto"/>
              </w:rPr>
              <w:t>Industrial Solutions segment</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5,635</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8,481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Solutions segment</w:t>
            </w:r>
          </w:p>
        </w:tc>
        <w:tc>
          <w:tcPr>
            <w:tcW w:w="1800" w:type="dxa"/>
            <w:vAlign w:val="bottom"/>
            <w:shd w:val="clear" w:color="auto" w:fill="CFF0FC"/>
          </w:tcPr>
          <w:p>
            <w:pPr>
              <w:spacing w:after="0"/>
              <w:rPr>
                <w:sz w:val="13"/>
                <w:szCs w:val="13"/>
                <w:color w:val="auto"/>
              </w:rPr>
            </w:pPr>
          </w:p>
        </w:tc>
        <w:tc>
          <w:tcPr>
            <w:tcW w:w="860" w:type="dxa"/>
            <w:vAlign w:val="bottom"/>
            <w:tcBorders>
              <w:left w:val="single" w:sz="8" w:color="CFF0FC"/>
            </w:tcBorders>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8,402</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14,736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(36,209)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tcPr>
          <w:p>
            <w:pPr>
              <w:ind w:left="160"/>
              <w:spacing w:after="0"/>
              <w:rPr>
                <w:sz w:val="20"/>
                <w:szCs w:val="20"/>
                <w:color w:val="auto"/>
              </w:rPr>
            </w:pPr>
            <w:r>
              <w:rPr>
                <w:rFonts w:ascii="Arial" w:cs="Arial" w:eastAsia="Arial" w:hAnsi="Arial"/>
                <w:sz w:val="12"/>
                <w:szCs w:val="12"/>
                <w:color w:val="auto"/>
              </w:rPr>
              <w:t>Corporate and Other (2)</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(32,433)</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(26,649)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(26,817)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Eliminations</w:t>
            </w:r>
          </w:p>
        </w:tc>
        <w:tc>
          <w:tcPr>
            <w:tcW w:w="1800" w:type="dxa"/>
            <w:vAlign w:val="bottom"/>
            <w:shd w:val="clear" w:color="auto" w:fill="CFF0FC"/>
          </w:tcPr>
          <w:p>
            <w:pPr>
              <w:spacing w:after="0"/>
              <w:rPr>
                <w:sz w:val="13"/>
                <w:szCs w:val="13"/>
                <w:color w:val="auto"/>
              </w:rPr>
            </w:pPr>
          </w:p>
        </w:tc>
        <w:tc>
          <w:tcPr>
            <w:tcW w:w="860" w:type="dxa"/>
            <w:vAlign w:val="bottom"/>
            <w:tcBorders>
              <w:left w:val="single" w:sz="8" w:color="CFF0FC"/>
            </w:tcBorders>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(2,751)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Income (loss) from operations</w:t>
            </w:r>
          </w:p>
        </w:tc>
        <w:tc>
          <w:tcPr>
            <w:tcW w:w="1800" w:type="dxa"/>
            <w:vAlign w:val="bottom"/>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2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10,002</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(25,562)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6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508" w:hanging="508"/>
        <w:spacing w:after="0" w:line="323" w:lineRule="auto"/>
        <w:tabs>
          <w:tab w:leader="none" w:pos="508"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Includes loss on divestitures, net of selling costs, corporate compensation, professional services, information technology, acquisition and integration expenses, and other general and administrative corporate expenses. This figure excludes earnout expenses / income, which are recorded in the segment in which the expense / income occurs. See Note 7 to the consolidated financial statements for further information.</w:t>
      </w:r>
    </w:p>
    <w:p>
      <w:pPr>
        <w:spacing w:after="0" w:line="9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419" w:right="2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Comparison of the years ended December 31, 2018 and 2017</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2"/>
          <w:szCs w:val="12"/>
          <w:i w:val="1"/>
          <w:iCs w:val="1"/>
          <w:u w:val="single" w:color="auto"/>
          <w:color w:val="auto"/>
        </w:rPr>
        <w:t>Energy Solutions segment</w:t>
      </w:r>
    </w:p>
    <w:p>
      <w:pPr>
        <w:spacing w:after="0" w:line="78"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Our Energy Solutions segment net sales increased $22.2 million to $211.2 million in 2018 compared with $189.0 million in 2017, an increase of 11.7%. Sales of nox semi-catalytic reduction systems were up $24.6 million, FCC cyclone sales to the refinery market were up $6.7 million and sales of oily water separation equipment were up $9.1 million. These increases were partially offset by $11.6 million of lower sales of exhaust stacks and acoustical silencers and the impact of the divestiture of Zhongli. Zhongli had sales of $4.5 million in 2018 and $12.8 million in 2017.</w:t>
      </w:r>
    </w:p>
    <w:p>
      <w:pPr>
        <w:spacing w:after="0" w:line="123"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Operating income increased $13.8 million to $28.4 million for 2018 compared with $14.6 million in 2017, an increase of 95.0%</w:t>
      </w:r>
      <w:r>
        <w:rPr>
          <w:rFonts w:ascii="Arial" w:cs="Arial" w:eastAsia="Arial" w:hAnsi="Arial"/>
          <w:sz w:val="12"/>
          <w:szCs w:val="12"/>
          <w:color w:val="FF0000"/>
        </w:rPr>
        <w:t>.</w:t>
      </w:r>
      <w:r>
        <w:rPr>
          <w:rFonts w:ascii="Arial" w:cs="Arial" w:eastAsia="Arial" w:hAnsi="Arial"/>
          <w:sz w:val="12"/>
          <w:szCs w:val="12"/>
          <w:color w:val="auto"/>
        </w:rPr>
        <w:t xml:space="preserve"> The increase in operating income in 2018 was due to an increase in revenues, which resulted in an increase in gross profit of $5.5 million. Operating income in 2017 included a $7.2 million non-cash goodwill and tradename intangible assets impairment charge. Operating income in 2018 and 2017 was impacted by adjustments to the fair value of the earnout from the Zhongli acquisition, which resulted in $0.3 million of income in 2018 and $6.6 million of income in 2017. The 2017 year also included $2.3 million in warranty expense and $2.0 million in legacy design repair, while 2018 only had $0.6 million of warranty expense.</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2"/>
          <w:szCs w:val="12"/>
          <w:i w:val="1"/>
          <w:iCs w:val="1"/>
          <w:u w:val="single" w:color="auto"/>
          <w:color w:val="auto"/>
        </w:rPr>
        <w:t>Industrial Solutions segment</w:t>
      </w:r>
    </w:p>
    <w:p>
      <w:pPr>
        <w:spacing w:after="0" w:line="78"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Our Industrial Solutions segment net sales decreased $12.4 million to $75.4 million in 2018 compared with $87.8 million in 2017, a decrease of 14.1%. The decrease is primarily due to decreased sales volume for the segment’s wet scrubbers, bioreactor solutions and installation, and fabrication of ventilation duct work and related equipment.</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Operating income decreased $2.5 million to $5.6 million for 2018 compared with $8.1 million in 2017, a decrease of 30.9%. The decrease in operating income was primarily due to the decrease in sales.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2"/>
          <w:szCs w:val="12"/>
          <w:i w:val="1"/>
          <w:iCs w:val="1"/>
          <w:u w:val="single" w:color="auto"/>
          <w:color w:val="auto"/>
        </w:rPr>
        <w:t>Fluid Handling Solutions segment</w:t>
      </w:r>
    </w:p>
    <w:p>
      <w:pPr>
        <w:spacing w:after="0" w:line="78"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color w:val="auto"/>
        </w:rPr>
        <w:t>Our Fluid Handling Solutions segment net sales decreased $18.5 million to $50.7 million in 2018 compared with $69.2 million in 2017, a decrease of 26.7%. The decrease is primarily due to the divestitures of Keystone and Strobic, which had aggregate sales of $21.8 million in 2017 and $4.8 million in 2018, an impact of $17.0 million.</w:t>
      </w:r>
    </w:p>
    <w:p>
      <w:pPr>
        <w:spacing w:after="0" w:line="115"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Operating income decreased $6.3 million to $8.4 million for 2018 compared with an operating income of $14.7 million for 2017, a decrease of 42.9%. The decrease in operating income is attributable to lower sales as well as a $3.0 million year-over-year decrease from the divestitures of Keystone and Strobic.</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2017 and 2016</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i w:val="1"/>
          <w:iCs w:val="1"/>
          <w:u w:val="single" w:color="auto"/>
          <w:color w:val="auto"/>
        </w:rPr>
        <w:t>Energy Solutions segment</w:t>
      </w:r>
    </w:p>
    <w:p>
      <w:pPr>
        <w:spacing w:after="0" w:line="150" w:lineRule="exact"/>
        <w:rPr>
          <w:sz w:val="20"/>
          <w:szCs w:val="20"/>
          <w:color w:val="auto"/>
        </w:rPr>
      </w:pPr>
    </w:p>
    <w:p>
      <w:pPr>
        <w:ind w:right="220" w:firstLine="521"/>
        <w:spacing w:after="0" w:line="298" w:lineRule="auto"/>
        <w:rPr>
          <w:sz w:val="20"/>
          <w:szCs w:val="20"/>
          <w:color w:val="auto"/>
        </w:rPr>
      </w:pPr>
      <w:r>
        <w:rPr>
          <w:rFonts w:ascii="Arial" w:cs="Arial" w:eastAsia="Arial" w:hAnsi="Arial"/>
          <w:sz w:val="11"/>
          <w:szCs w:val="11"/>
          <w:color w:val="auto"/>
        </w:rPr>
        <w:t>Our Energy Solutions segment net sales decreased $65.8 million to $189.0 million in 2017 compared with $254.8 million in 2016, a decrease of 25.8%. The decrease is due primarily to decreased sales volume for the Company’s natural gas turbine exhaust systems related products and services and solid fuel power generation because of a weakening of this market in Europe and China and a weakening in the gas turbine powered market due to over-capacity. In addition, there were decreased sales for refinery related products and services attributable to the cyclical deferral of maintenance and capital expenditures by our customers in refinery related end markets.</w:t>
      </w:r>
    </w:p>
    <w:p>
      <w:pPr>
        <w:spacing w:after="0" w:line="105"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Operating income from the Energy Solutions segment decreased $16.0 million to $14.6 million in 2017 compared with $30.6 million in 2016, a decrease of 52.4%. The decrease in operating income in 2017 was from a decrease in gross profit from the decrease in sales. The decrease in operating income was also attributable to a non-cash impairment charge of $7.2 million in 2017 to reduce the carrying value of goodwill at one reporting unit and tradename intangible assets at four reporting units to their fair value. The decrease in operating income was partially offset by adjustments recorded to the fair value of the earnout from the Zhongli acquisition, which resulted in $6.6 million of income in 2017 and $6.5 million of expense in 2016.</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u w:val="single" w:color="auto"/>
          <w:color w:val="auto"/>
        </w:rPr>
        <w:t>Industrial Solutions segment</w:t>
      </w:r>
    </w:p>
    <w:p>
      <w:pPr>
        <w:spacing w:after="0" w:line="150" w:lineRule="exact"/>
        <w:rPr>
          <w:sz w:val="20"/>
          <w:szCs w:val="20"/>
          <w:color w:val="auto"/>
        </w:rPr>
      </w:pPr>
    </w:p>
    <w:p>
      <w:pPr>
        <w:ind w:right="500" w:firstLine="521"/>
        <w:spacing w:after="0" w:line="276" w:lineRule="auto"/>
        <w:rPr>
          <w:sz w:val="20"/>
          <w:szCs w:val="20"/>
          <w:color w:val="auto"/>
        </w:rPr>
      </w:pPr>
      <w:r>
        <w:rPr>
          <w:rFonts w:ascii="Arial" w:cs="Arial" w:eastAsia="Arial" w:hAnsi="Arial"/>
          <w:sz w:val="12"/>
          <w:szCs w:val="12"/>
          <w:color w:val="auto"/>
        </w:rPr>
        <w:t>Our Industrial Solutions segment net sales decreased $14.1 million to $87.8 million in 2017 compared with $101.9 million in 2016, a decrease of 13.8%. The decrease is primarily due to decreased sales volume for the Company’s installation and fabrication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87" w:right="219" w:bottom="1440" w:gutter="0" w:footer="0" w:header="0"/>
        </w:sectPr>
      </w:pPr>
    </w:p>
    <w:bookmarkStart w:id="34" w:name="page35"/>
    <w:bookmarkEnd w:id="34"/>
    <w:p>
      <w:pPr>
        <w:spacing w:after="0"/>
        <w:rPr>
          <w:sz w:val="20"/>
          <w:szCs w:val="20"/>
          <w:color w:val="auto"/>
        </w:rPr>
      </w:pPr>
      <w:r>
        <w:rPr>
          <w:rFonts w:ascii="Arial" w:cs="Arial" w:eastAsia="Arial" w:hAnsi="Arial"/>
          <w:sz w:val="12"/>
          <w:szCs w:val="12"/>
          <w:color w:val="auto"/>
        </w:rPr>
        <w:t>ventilation of duct work and related equipment and thermal oxidizers which was partially offset by increased sales of bio reactor scrubber sales.</w:t>
      </w:r>
    </w:p>
    <w:p>
      <w:pPr>
        <w:spacing w:after="0" w:line="150"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Operating income from the Industrial Solutions segment decreased $0.4 million to $8.1 million in 2017 compared with $8.5 million in 2016, a decrease of 4.7%. The decrease in operating income was primarily due to a $6.1 million decrease in gross profit from the lower sales. Additionally, operating income in 2016 was higher due to $2.3 million of income recorded in 2016 as a result of adjustments to the fair value of earnouts, which was partially offset by a non-cash impairment charge of $6.8 million recorded in 2016 to reduce the carrying value of the goodwill at two reporting units to their fair value.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u w:val="single" w:color="auto"/>
          <w:color w:val="auto"/>
        </w:rPr>
        <w:t>Fluid Handling Solutions segment</w:t>
      </w:r>
    </w:p>
    <w:p>
      <w:pPr>
        <w:spacing w:after="0" w:line="150"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Our Fluid Handling Solutions segment net sales increased $7.4 million to $69.2 million in 2017 compared with $61.8 million in 2016, an increase of 12.0%. The increase is due to increased international demand for the segments products and strengthening of the North America industrial market in 2017.</w:t>
      </w:r>
    </w:p>
    <w:p>
      <w:pPr>
        <w:spacing w:after="0" w:line="115"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Operating income increased $50.9 million to $14.7 million for 2017 compared with an operating loss of $(36.2) million for 2016, an increase of 140.6%. The increase was primarily due to a non-cash impairment charge of $46.9 million in 2016, which was recorded to reduce the carrying value of the goodwill at a reporting unit to its fair value and an additional non-cash intangible asset impairment charge of $1.8 million in 2016 related to a tradename intangible asset. In addition, the increase in operating income was due to an increase in revenue, which resulted in an increase in gross profit of $2.7 million.</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Backlog</w:t>
      </w:r>
    </w:p>
    <w:p>
      <w:pPr>
        <w:spacing w:after="0" w:line="82" w:lineRule="exact"/>
        <w:rPr>
          <w:sz w:val="20"/>
          <w:szCs w:val="20"/>
          <w:color w:val="auto"/>
        </w:rPr>
      </w:pPr>
    </w:p>
    <w:p>
      <w:pPr>
        <w:ind w:right="140" w:firstLine="521"/>
        <w:spacing w:after="0" w:line="257" w:lineRule="auto"/>
        <w:rPr>
          <w:sz w:val="20"/>
          <w:szCs w:val="20"/>
          <w:color w:val="auto"/>
        </w:rPr>
      </w:pPr>
      <w:r>
        <w:rPr>
          <w:rFonts w:ascii="Arial" w:cs="Arial" w:eastAsia="Arial" w:hAnsi="Arial"/>
          <w:sz w:val="12"/>
          <w:szCs w:val="12"/>
          <w:color w:val="auto"/>
        </w:rPr>
        <w:t>Backlog is a representation of the amount of revenue expected from complete performance of firm fixed-price contracts that have not been completed for products and services we expect to substantially deliver within the next twelve-month to eighteen-month period. Our backlog only includes firm orders, but our customers may have the right to cancel a given order. Backlog increased to $182.1 million as of December 31, 2018 from $168.9 million as of December 31, 2017. We removed $18.3 million of backlog in 2018 as a result of the Divestitures. Excluding the impact of Divestitures, backlog increased by $31.5 million year-over-year. Backlog is adjusted on a quarterly basis for adjustments in foreign currency exchange rates. There have been no other orders removed from backlog that were previously disclosed as backlog as of December 31, 2017. Backlog is not defined by GAAP and our methodology for calculating backlog may not be consistent with methodologies used by other companies.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right="400" w:firstLine="521"/>
        <w:spacing w:after="0" w:line="276" w:lineRule="auto"/>
        <w:rPr>
          <w:sz w:val="20"/>
          <w:szCs w:val="20"/>
          <w:color w:val="auto"/>
        </w:rPr>
      </w:pPr>
      <w:r>
        <w:rPr>
          <w:rFonts w:ascii="Arial" w:cs="Arial" w:eastAsia="Arial" w:hAnsi="Arial"/>
          <w:sz w:val="12"/>
          <w:szCs w:val="12"/>
          <w:color w:val="auto"/>
        </w:rPr>
        <w:t>Our principal sources of liquidity are cash flow from operations and available borrowings under our Credit Facility (defined below). Our principal uses of cash are operating costs, payment of principal and interest on our outstanding debt, working capital and other corporate requirements.</w:t>
      </w:r>
    </w:p>
    <w:p>
      <w:pPr>
        <w:spacing w:after="0" w:line="115"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23"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At December 31, 2018, the Company had working capital of $57.0 million, compared with $66.1 million at December 31, 2017. The ratio of current assets to current liabilities was 1.55 to 1 at December 31, 2018 as compared with a ratio of 1.61 to 1 at December 31, 2017.</w:t>
      </w:r>
    </w:p>
    <w:p>
      <w:pPr>
        <w:spacing w:after="0" w:line="115" w:lineRule="exact"/>
        <w:rPr>
          <w:sz w:val="20"/>
          <w:szCs w:val="20"/>
          <w:color w:val="auto"/>
        </w:rPr>
      </w:pPr>
    </w:p>
    <w:p>
      <w:pPr>
        <w:ind w:right="500" w:firstLine="521"/>
        <w:spacing w:after="0" w:line="276" w:lineRule="auto"/>
        <w:rPr>
          <w:sz w:val="20"/>
          <w:szCs w:val="20"/>
          <w:color w:val="auto"/>
        </w:rPr>
      </w:pPr>
      <w:r>
        <w:rPr>
          <w:rFonts w:ascii="Arial" w:cs="Arial" w:eastAsia="Arial" w:hAnsi="Arial"/>
          <w:sz w:val="12"/>
          <w:szCs w:val="12"/>
          <w:color w:val="auto"/>
        </w:rPr>
        <w:t>At December 31, 2018 and 2017, cash and cash equivalents totaled $43.7 million and $29.9 million, respectively. As of December 31, 2018 and 2017, $23.3 million and $19.7 million, respectively, of our cash and cash equivalents were held by non-U.S. subsidiaries, as well as being denominated in foreign currencies.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35" w:name="page36"/>
    <w:bookmarkEnd w:id="35"/>
    <w:p>
      <w:pPr>
        <w:ind w:left="520"/>
        <w:spacing w:after="0"/>
        <w:rPr>
          <w:sz w:val="20"/>
          <w:szCs w:val="20"/>
          <w:color w:val="auto"/>
        </w:rPr>
      </w:pPr>
      <w:r>
        <w:rPr>
          <w:rFonts w:ascii="Arial" w:cs="Arial" w:eastAsia="Arial" w:hAnsi="Arial"/>
          <w:sz w:val="12"/>
          <w:szCs w:val="12"/>
          <w:color w:val="auto"/>
        </w:rPr>
        <w:t>Debt consisted of the following at December 31, 2018 and 2017:</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3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900" w:type="dxa"/>
            <w:vAlign w:val="bottom"/>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2018</w:t>
            </w: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Outstanding borrowings under Credit Facility.</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80"/>
              <w:spacing w:after="0"/>
              <w:rPr>
                <w:sz w:val="20"/>
                <w:szCs w:val="20"/>
                <w:color w:val="auto"/>
              </w:rPr>
            </w:pPr>
            <w:r>
              <w:rPr>
                <w:rFonts w:ascii="Arial" w:cs="Arial" w:eastAsia="Arial" w:hAnsi="Arial"/>
                <w:sz w:val="12"/>
                <w:szCs w:val="12"/>
                <w:color w:val="auto"/>
              </w:rPr>
              <w:t>Term loan due in September 2020.</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Term loan</w:t>
            </w: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76,147</w:t>
            </w:r>
          </w:p>
        </w:tc>
        <w:tc>
          <w:tcPr>
            <w:tcW w:w="30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113,903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 U.S. Dollar revolving loans</w:t>
            </w:r>
          </w:p>
        </w:tc>
        <w:tc>
          <w:tcPr>
            <w:tcW w:w="380" w:type="dxa"/>
            <w:vAlign w:val="bottom"/>
          </w:tcPr>
          <w:p>
            <w:pPr>
              <w:spacing w:after="0"/>
              <w:rPr>
                <w:sz w:val="13"/>
                <w:szCs w:val="13"/>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Unamortized debt discount</w:t>
            </w:r>
          </w:p>
        </w:tc>
        <w:tc>
          <w:tcPr>
            <w:tcW w:w="3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(1,691)</w:t>
            </w:r>
          </w:p>
        </w:tc>
        <w:tc>
          <w:tcPr>
            <w:tcW w:w="4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(2,834)</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20"/>
                <w:szCs w:val="20"/>
                <w:color w:val="auto"/>
              </w:rPr>
            </w:pPr>
            <w:r>
              <w:rPr>
                <w:rFonts w:ascii="Arial" w:cs="Arial" w:eastAsia="Arial" w:hAnsi="Arial"/>
                <w:sz w:val="12"/>
                <w:szCs w:val="12"/>
                <w:color w:val="auto"/>
              </w:rPr>
              <w:t>Total outstanding borrowings under Credit Facility</w:t>
            </w: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74,456</w:t>
            </w: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112,069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Outstanding borrowings (U.S. dollar equivalent) under</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Aarding Facility</w:t>
            </w:r>
          </w:p>
        </w:tc>
        <w:tc>
          <w:tcPr>
            <w:tcW w:w="3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20"/>
                <w:szCs w:val="20"/>
                <w:color w:val="auto"/>
              </w:rPr>
            </w:pPr>
            <w:r>
              <w:rPr>
                <w:rFonts w:ascii="Arial" w:cs="Arial" w:eastAsia="Arial" w:hAnsi="Arial"/>
                <w:sz w:val="12"/>
                <w:szCs w:val="12"/>
                <w:color w:val="auto"/>
              </w:rPr>
              <w:t>Total outstanding borrowings</w:t>
            </w: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74,456</w:t>
            </w: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114,833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Less: current portion</w:t>
            </w:r>
          </w:p>
        </w:tc>
        <w:tc>
          <w:tcPr>
            <w:tcW w:w="3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11,296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20"/>
                <w:szCs w:val="20"/>
                <w:color w:val="auto"/>
              </w:rPr>
            </w:pPr>
            <w:r>
              <w:rPr>
                <w:rFonts w:ascii="Arial" w:cs="Arial" w:eastAsia="Arial" w:hAnsi="Arial"/>
                <w:sz w:val="12"/>
                <w:szCs w:val="12"/>
                <w:color w:val="auto"/>
              </w:rPr>
              <w:t>Total debt, less current portion</w:t>
            </w: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74,456</w:t>
            </w:r>
          </w:p>
        </w:tc>
        <w:tc>
          <w:tcPr>
            <w:tcW w:w="3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103,537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In 2018, the Company made prepayments of $36.2 million on the term loan. Due to the prepayments made in 2018, there are no additional payments due on the term loan until the final payment of $76.1 million in September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2020.</w:t>
      </w:r>
    </w:p>
    <w:p>
      <w:pPr>
        <w:spacing w:after="0" w:line="141" w:lineRule="exact"/>
        <w:rPr>
          <w:sz w:val="20"/>
          <w:szCs w:val="20"/>
          <w:color w:val="auto"/>
        </w:rPr>
      </w:pPr>
    </w:p>
    <w:p>
      <w:pPr>
        <w:ind w:right="200" w:firstLine="521"/>
        <w:spacing w:after="0" w:line="305" w:lineRule="auto"/>
        <w:rPr>
          <w:sz w:val="20"/>
          <w:szCs w:val="20"/>
          <w:color w:val="auto"/>
        </w:rPr>
      </w:pPr>
      <w:r>
        <w:rPr>
          <w:rFonts w:ascii="Arial" w:cs="Arial" w:eastAsia="Arial" w:hAnsi="Arial"/>
          <w:sz w:val="10"/>
          <w:szCs w:val="10"/>
          <w:color w:val="auto"/>
        </w:rPr>
        <w:t>The Company entered into a credit agreement (the “Credit Agreement”) with various lenders and letter of credit issuers providing for various senior secured credit facilities (collectively, the “Credit Facility”). The Credit Agreement contains customary affirmative and negative covenants, including the requirement to maintain compliance with a consolidated leverage ratio of less than 3.75 and a consolidated fixed charge coverage ratio of more than 1.25. Per the Credit Agreement, the maximum consolidated leverage ratio of 3.75 will remain constant at this ratio through March 31, 2019, when it will decrease to 3.50 through September 30, 2019. The consolidated leverage ratio will then decrease to 3.25 where it will remain until the end of the Credit Agreement. As of December 31, 2018 and 2017, the Company was in compliance with all related financial and other restrictive covenants under the Credit Facility.</w:t>
      </w:r>
    </w:p>
    <w:p>
      <w:pPr>
        <w:spacing w:after="0" w:line="1" w:lineRule="exact"/>
        <w:rPr>
          <w:sz w:val="20"/>
          <w:szCs w:val="20"/>
          <w:color w:val="auto"/>
        </w:rPr>
      </w:pPr>
    </w:p>
    <w:p>
      <w:pPr>
        <w:ind w:right="620" w:firstLine="521"/>
        <w:spacing w:after="0" w:line="261" w:lineRule="auto"/>
        <w:rPr>
          <w:sz w:val="20"/>
          <w:szCs w:val="20"/>
          <w:color w:val="auto"/>
        </w:rPr>
      </w:pPr>
      <w:r>
        <w:rPr>
          <w:rFonts w:ascii="Arial" w:cs="Arial" w:eastAsia="Arial" w:hAnsi="Arial"/>
          <w:sz w:val="12"/>
          <w:szCs w:val="12"/>
          <w:color w:val="auto"/>
        </w:rPr>
        <w:t>A subsidiary of the Company located in the Netherlands has a Euro denominated facilities agreement (“Aarding Facility”). In March 2018, the Company settled the outstanding amount of $2.8 million of the overdraft facility. The Company plans to exit this facility and consolidate it with the existing Credit Facility in 2019.</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See Note 9 to the consolidated financial statements for further information on the Company’s debt facilities.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Total unused credit availability under our Credit Facility and other non-U.S. credit facilities and agreements, exclusive of any potential asset base limitations,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480" w:type="dxa"/>
            <w:vAlign w:val="bottom"/>
            <w:tcBorders>
              <w:bottom w:val="single" w:sz="8" w:color="CFF0FC"/>
            </w:tcBorders>
          </w:tcPr>
          <w:p>
            <w:pPr>
              <w:spacing w:after="0"/>
              <w:rPr>
                <w:sz w:val="8"/>
                <w:szCs w:val="8"/>
                <w:color w:val="auto"/>
              </w:rPr>
            </w:pPr>
          </w:p>
        </w:tc>
        <w:tc>
          <w:tcPr>
            <w:tcW w:w="3420" w:type="dxa"/>
            <w:vAlign w:val="bottom"/>
            <w:tcBorders>
              <w:bottom w:val="single" w:sz="8" w:color="CFF0FC"/>
            </w:tcBorders>
          </w:tcPr>
          <w:p>
            <w:pPr>
              <w:spacing w:after="0"/>
              <w:rPr>
                <w:sz w:val="8"/>
                <w:szCs w:val="8"/>
                <w:color w:val="auto"/>
              </w:rPr>
            </w:pPr>
          </w:p>
        </w:tc>
        <w:tc>
          <w:tcPr>
            <w:tcW w:w="1100" w:type="dxa"/>
            <w:vAlign w:val="bottom"/>
            <w:tcBorders>
              <w:bottom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480" w:type="dxa"/>
            <w:vAlign w:val="bottom"/>
            <w:shd w:val="clear" w:color="auto" w:fill="CFF0FC"/>
          </w:tcPr>
          <w:p>
            <w:pPr>
              <w:spacing w:after="0" w:line="97" w:lineRule="exact"/>
              <w:rPr>
                <w:sz w:val="20"/>
                <w:szCs w:val="20"/>
                <w:color w:val="auto"/>
              </w:rPr>
            </w:pPr>
            <w:r>
              <w:rPr>
                <w:rFonts w:ascii="Arial" w:cs="Arial" w:eastAsia="Arial" w:hAnsi="Arial"/>
                <w:sz w:val="10"/>
                <w:szCs w:val="10"/>
                <w:b w:val="1"/>
                <w:bCs w:val="1"/>
                <w:color w:val="auto"/>
              </w:rPr>
              <w:t>(dollars in millions)</w:t>
            </w:r>
          </w:p>
        </w:tc>
        <w:tc>
          <w:tcPr>
            <w:tcW w:w="342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Credit Facility, U.S. Dollar revolving loans</w:t>
            </w:r>
          </w:p>
        </w:tc>
        <w:tc>
          <w:tcPr>
            <w:tcW w:w="4520" w:type="dxa"/>
            <w:vAlign w:val="bottom"/>
            <w:gridSpan w:val="2"/>
          </w:tcPr>
          <w:p>
            <w:pPr>
              <w:jc w:val="right"/>
              <w:ind w:right="992"/>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60.5</w:t>
            </w:r>
          </w:p>
        </w:tc>
        <w:tc>
          <w:tcPr>
            <w:tcW w:w="160" w:type="dxa"/>
            <w:vAlign w:val="bottom"/>
          </w:tcPr>
          <w:p>
            <w:pPr>
              <w:spacing w:after="0"/>
              <w:rPr>
                <w:sz w:val="13"/>
                <w:szCs w:val="13"/>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60.5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Draw down</w:t>
            </w:r>
          </w:p>
        </w:tc>
        <w:tc>
          <w:tcPr>
            <w:tcW w:w="34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60"/>
              <w:spacing w:after="0"/>
              <w:rPr>
                <w:sz w:val="20"/>
                <w:szCs w:val="20"/>
                <w:color w:val="auto"/>
              </w:rPr>
            </w:pPr>
            <w:r>
              <w:rPr>
                <w:rFonts w:ascii="Arial" w:cs="Arial" w:eastAsia="Arial" w:hAnsi="Arial"/>
                <w:sz w:val="12"/>
                <w:szCs w:val="12"/>
                <w:color w:val="auto"/>
              </w:rPr>
              <w:t>Letters of credit open</w:t>
            </w:r>
          </w:p>
        </w:tc>
        <w:tc>
          <w:tcPr>
            <w:tcW w:w="3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(29.3)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(24.4)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FF0FC"/>
          </w:tcPr>
          <w:p>
            <w:pPr>
              <w:spacing w:after="0"/>
              <w:rPr>
                <w:sz w:val="20"/>
                <w:szCs w:val="20"/>
                <w:color w:val="auto"/>
              </w:rPr>
            </w:pPr>
            <w:r>
              <w:rPr>
                <w:rFonts w:ascii="Arial" w:cs="Arial" w:eastAsia="Arial" w:hAnsi="Arial"/>
                <w:sz w:val="12"/>
                <w:szCs w:val="12"/>
                <w:color w:val="auto"/>
              </w:rPr>
              <w:t>Credit Facility, Multi-currency revolving facilities</w:t>
            </w:r>
          </w:p>
        </w:tc>
        <w:tc>
          <w:tcPr>
            <w:tcW w:w="34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80" w:type="dxa"/>
            <w:vAlign w:val="bottom"/>
          </w:tcPr>
          <w:p>
            <w:pPr>
              <w:spacing w:after="0"/>
              <w:rPr>
                <w:sz w:val="20"/>
                <w:szCs w:val="20"/>
                <w:color w:val="auto"/>
              </w:rPr>
            </w:pPr>
            <w:r>
              <w:rPr>
                <w:rFonts w:ascii="Arial" w:cs="Arial" w:eastAsia="Arial" w:hAnsi="Arial"/>
                <w:sz w:val="12"/>
                <w:szCs w:val="12"/>
                <w:color w:val="auto"/>
              </w:rPr>
              <w:t>Netherlands facilities (€0.0 million at December 31, 2018</w:t>
            </w:r>
          </w:p>
        </w:tc>
        <w:tc>
          <w:tcPr>
            <w:tcW w:w="3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80"/>
              <w:spacing w:after="0"/>
              <w:rPr>
                <w:sz w:val="20"/>
                <w:szCs w:val="20"/>
                <w:color w:val="auto"/>
              </w:rPr>
            </w:pPr>
            <w:r>
              <w:rPr>
                <w:rFonts w:ascii="Arial" w:cs="Arial" w:eastAsia="Arial" w:hAnsi="Arial"/>
                <w:sz w:val="12"/>
                <w:szCs w:val="12"/>
                <w:color w:val="auto"/>
              </w:rPr>
              <w:t>and €13.0 million at December 31, 2017 in U.S. Dollar equivalent)</w:t>
            </w:r>
          </w:p>
        </w:tc>
        <w:tc>
          <w:tcPr>
            <w:tcW w:w="3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Draw down</w:t>
            </w:r>
          </w:p>
        </w:tc>
        <w:tc>
          <w:tcPr>
            <w:tcW w:w="34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60"/>
              <w:spacing w:after="0"/>
              <w:rPr>
                <w:sz w:val="20"/>
                <w:szCs w:val="20"/>
                <w:color w:val="auto"/>
              </w:rPr>
            </w:pPr>
            <w:r>
              <w:rPr>
                <w:rFonts w:ascii="Arial" w:cs="Arial" w:eastAsia="Arial" w:hAnsi="Arial"/>
                <w:sz w:val="12"/>
                <w:szCs w:val="12"/>
                <w:color w:val="auto"/>
              </w:rPr>
              <w:t>Letters of credit open</w:t>
            </w:r>
          </w:p>
        </w:tc>
        <w:tc>
          <w:tcPr>
            <w:tcW w:w="3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FF0FC"/>
          </w:tcPr>
          <w:p>
            <w:pPr>
              <w:spacing w:after="0"/>
              <w:rPr>
                <w:sz w:val="20"/>
                <w:szCs w:val="20"/>
                <w:color w:val="auto"/>
              </w:rPr>
            </w:pPr>
            <w:r>
              <w:rPr>
                <w:rFonts w:ascii="Arial" w:cs="Arial" w:eastAsia="Arial" w:hAnsi="Arial"/>
                <w:sz w:val="12"/>
                <w:szCs w:val="12"/>
                <w:color w:val="auto"/>
              </w:rPr>
              <w:t>China Facility</w:t>
            </w:r>
          </w:p>
        </w:tc>
        <w:tc>
          <w:tcPr>
            <w:tcW w:w="34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Draw down</w:t>
            </w:r>
          </w:p>
        </w:tc>
        <w:tc>
          <w:tcPr>
            <w:tcW w:w="34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FF0FC"/>
          </w:tcPr>
          <w:p>
            <w:pPr>
              <w:spacing w:after="0"/>
              <w:rPr>
                <w:sz w:val="20"/>
                <w:szCs w:val="20"/>
                <w:color w:val="auto"/>
              </w:rPr>
            </w:pPr>
            <w:r>
              <w:rPr>
                <w:rFonts w:ascii="Arial" w:cs="Arial" w:eastAsia="Arial" w:hAnsi="Arial"/>
                <w:sz w:val="12"/>
                <w:szCs w:val="12"/>
                <w:color w:val="auto"/>
              </w:rPr>
              <w:t>Total unused credit availability</w:t>
            </w:r>
          </w:p>
        </w:tc>
        <w:tc>
          <w:tcPr>
            <w:tcW w:w="4520" w:type="dxa"/>
            <w:vAlign w:val="bottom"/>
            <w:gridSpan w:val="2"/>
            <w:shd w:val="clear" w:color="auto" w:fill="CFF0FC"/>
          </w:tcPr>
          <w:p>
            <w:pPr>
              <w:jc w:val="right"/>
              <w:ind w:right="992"/>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w:t>
            </w:r>
          </w:p>
        </w:tc>
        <w:tc>
          <w:tcPr>
            <w:tcW w:w="1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68.1</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Amount available based on borrowing limitations</w:t>
            </w:r>
          </w:p>
        </w:tc>
        <w:tc>
          <w:tcPr>
            <w:tcW w:w="34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480" w:type="dxa"/>
            <w:vAlign w:val="bottom"/>
            <w:vMerge w:val="continue"/>
          </w:tcPr>
          <w:p>
            <w:pPr>
              <w:spacing w:after="0"/>
              <w:rPr>
                <w:sz w:val="12"/>
                <w:szCs w:val="12"/>
                <w:color w:val="auto"/>
              </w:rPr>
            </w:pPr>
          </w:p>
        </w:tc>
        <w:tc>
          <w:tcPr>
            <w:tcW w:w="4520" w:type="dxa"/>
            <w:vAlign w:val="bottom"/>
            <w:gridSpan w:val="2"/>
          </w:tcPr>
          <w:p>
            <w:pPr>
              <w:jc w:val="right"/>
              <w:ind w:right="992"/>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50.7</w:t>
            </w:r>
          </w:p>
        </w:tc>
        <w:tc>
          <w:tcPr>
            <w:tcW w:w="160" w:type="dxa"/>
            <w:vAlign w:val="bottom"/>
          </w:tcPr>
          <w:p>
            <w:pPr>
              <w:spacing w:after="0"/>
              <w:rPr>
                <w:sz w:val="12"/>
                <w:szCs w:val="12"/>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4480" w:type="dxa"/>
            <w:vAlign w:val="bottom"/>
          </w:tcPr>
          <w:p>
            <w:pPr>
              <w:spacing w:after="0"/>
              <w:rPr>
                <w:sz w:val="24"/>
                <w:szCs w:val="24"/>
                <w:color w:val="auto"/>
              </w:rPr>
            </w:pPr>
          </w:p>
        </w:tc>
        <w:tc>
          <w:tcPr>
            <w:tcW w:w="3420" w:type="dxa"/>
            <w:vAlign w:val="bottom"/>
          </w:tcPr>
          <w:p>
            <w:pPr>
              <w:jc w:val="right"/>
              <w:ind w:right="2040"/>
              <w:spacing w:after="0"/>
              <w:rPr>
                <w:sz w:val="20"/>
                <w:szCs w:val="20"/>
                <w:color w:val="auto"/>
              </w:rPr>
            </w:pPr>
            <w:r>
              <w:rPr>
                <w:rFonts w:ascii="Arial" w:cs="Arial" w:eastAsia="Arial" w:hAnsi="Arial"/>
                <w:sz w:val="12"/>
                <w:szCs w:val="12"/>
                <w:color w:val="auto"/>
              </w:rPr>
              <w:t>34</w:t>
            </w: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480" w:type="dxa"/>
            <w:vAlign w:val="bottom"/>
            <w:tcBorders>
              <w:bottom w:val="single" w:sz="8" w:color="9A9A9A"/>
            </w:tcBorders>
          </w:tcPr>
          <w:p>
            <w:pPr>
              <w:spacing w:after="0"/>
              <w:rPr>
                <w:sz w:val="6"/>
                <w:szCs w:val="6"/>
                <w:color w:val="auto"/>
              </w:rPr>
            </w:pPr>
          </w:p>
        </w:tc>
        <w:tc>
          <w:tcPr>
            <w:tcW w:w="34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19" w:right="17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Overview of Cash Flows and Liquidity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vMerge w:val="restart"/>
          </w:tcPr>
          <w:p>
            <w:pPr>
              <w:spacing w:after="0"/>
              <w:rPr>
                <w:sz w:val="20"/>
                <w:szCs w:val="20"/>
                <w:color w:val="auto"/>
              </w:rPr>
            </w:pPr>
            <w:r>
              <w:rPr>
                <w:rFonts w:ascii="Arial" w:cs="Arial" w:eastAsia="Arial" w:hAnsi="Arial"/>
                <w:sz w:val="10"/>
                <w:szCs w:val="10"/>
                <w:b w:val="1"/>
                <w:bCs w:val="1"/>
                <w:color w:val="auto"/>
              </w:rPr>
              <w:t>(dollars in thousands)</w:t>
            </w: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w w:val="94"/>
              </w:rPr>
              <w:t>For the year ended December 31,</w:t>
            </w: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800" w:type="dxa"/>
            <w:vAlign w:val="bottom"/>
            <w:tcBorders>
              <w:bottom w:val="single" w:sz="8" w:color="CFF0FC"/>
            </w:tcBorders>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522"/>
              <w:spacing w:after="0" w:line="97" w:lineRule="exact"/>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522"/>
              <w:spacing w:after="0" w:line="97"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2"/>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Total operating cash flow provided by operating activities</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21,952</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6,570</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69,599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Net cash provided by (used in) investing activities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38,258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(660)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(1,406)</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Net cash used in financing activities</w:t>
            </w:r>
          </w:p>
        </w:tc>
        <w:tc>
          <w:tcPr>
            <w:tcW w:w="3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(44,900)</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(24,138)</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(57,988)</w:t>
            </w: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3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(1,531)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881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(1,712)</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13,779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(17,347)</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Operating Activities</w:t>
      </w:r>
    </w:p>
    <w:p>
      <w:pPr>
        <w:spacing w:after="0" w:line="208" w:lineRule="exact"/>
        <w:rPr>
          <w:sz w:val="20"/>
          <w:szCs w:val="20"/>
          <w:color w:val="auto"/>
        </w:rPr>
      </w:pPr>
    </w:p>
    <w:p>
      <w:pPr>
        <w:ind w:right="60" w:firstLine="521"/>
        <w:spacing w:after="0" w:line="340" w:lineRule="auto"/>
        <w:rPr>
          <w:sz w:val="20"/>
          <w:szCs w:val="20"/>
          <w:color w:val="auto"/>
        </w:rPr>
      </w:pPr>
      <w:r>
        <w:rPr>
          <w:rFonts w:ascii="Arial" w:cs="Arial" w:eastAsia="Arial" w:hAnsi="Arial"/>
          <w:sz w:val="10"/>
          <w:szCs w:val="10"/>
          <w:color w:val="auto"/>
        </w:rPr>
        <w:t>In 2018, $22.0 million of cash was provided by operating activities compared with $6.6 million provided in 2017, an increase of $15.4 million. Net earnings, adjusted for non-cash items (depreciation and amortization, unrealized foreign currency (gain) loss, impairment of intangible assets and goodwill, loss on divestitures and share based compensation) decreased $5.3 million year-over-year. Cash flow from operating activities in 2018 had a favorable year-over-year net impact of working capital balances as reflected in the Consolidated Statement of Cash Flows. In addition, Zhongli earnout payments, classified as operating activities, were $2.9 million in 2018 and $7.8 million in 2017.</w:t>
      </w:r>
    </w:p>
    <w:p>
      <w:pPr>
        <w:spacing w:after="0" w:line="133" w:lineRule="exact"/>
        <w:rPr>
          <w:sz w:val="20"/>
          <w:szCs w:val="20"/>
          <w:color w:val="auto"/>
        </w:rPr>
      </w:pPr>
    </w:p>
    <w:p>
      <w:pPr>
        <w:ind w:right="140" w:firstLine="521"/>
        <w:spacing w:after="0" w:line="259" w:lineRule="auto"/>
        <w:rPr>
          <w:sz w:val="20"/>
          <w:szCs w:val="20"/>
          <w:color w:val="auto"/>
        </w:rPr>
      </w:pPr>
      <w:r>
        <w:rPr>
          <w:rFonts w:ascii="Arial" w:cs="Arial" w:eastAsia="Arial" w:hAnsi="Arial"/>
          <w:sz w:val="12"/>
          <w:szCs w:val="12"/>
          <w:color w:val="auto"/>
        </w:rPr>
        <w:t>In 2017, $6.6 million of cash was provided by operating activities as compared with $69.6 million provided in 2016, a decrease of $63.0 million. Net earnings, adjusted for non-cash items (depreciation and amortization, unrealized foreign currency (gain) loss, impairment of intangible assets and goodwill, loss on divestiture and share based compensation) decreased $21.7 million year-over-year. Cash flow from operating activities in 2017 had a negative year-over-year impact of working capital balances as reflected in the Consolidated Statement of Cash Flows. In addition, Zhongli earnout payments, classified as operating activities, were $7.8 million in 2017 with no corresponding payments in 2016.</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Investing Activities</w:t>
      </w:r>
    </w:p>
    <w:p>
      <w:pPr>
        <w:spacing w:after="0" w:line="208" w:lineRule="exact"/>
        <w:rPr>
          <w:sz w:val="20"/>
          <w:szCs w:val="20"/>
          <w:color w:val="auto"/>
        </w:rPr>
      </w:pPr>
    </w:p>
    <w:p>
      <w:pPr>
        <w:ind w:right="460" w:firstLine="521"/>
        <w:spacing w:after="0" w:line="276" w:lineRule="auto"/>
        <w:rPr>
          <w:sz w:val="20"/>
          <w:szCs w:val="20"/>
          <w:color w:val="auto"/>
        </w:rPr>
      </w:pPr>
      <w:r>
        <w:rPr>
          <w:rFonts w:ascii="Arial" w:cs="Arial" w:eastAsia="Arial" w:hAnsi="Arial"/>
          <w:sz w:val="12"/>
          <w:szCs w:val="12"/>
          <w:color w:val="auto"/>
        </w:rPr>
        <w:t>In 2018, $38.3 million of cash was provided by investing activities as compared with a use of cash of $0.7 million in 2017. The primary driver of the year-over-year changes was $35.1 million of proceeds from divestitures and $6.3 million of proceeds from the disposal of assets held for sale. A significant portion of the proceeds from divestitures was used to pay down the Credit Facility.</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2017, $0.7 million of cash was used in investing activities as compared with $1.4 million in 2016. The change was due to a $1.0 million payoff on life insurance policy loans in 2016.</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Financing Activities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Financing activities in 2018 used cash of $44.9 million, which consisted primarily of $37.8 million of payments on our Term Loan and $3.7 million net payments on our revolving credit lines.</w:t>
      </w:r>
    </w:p>
    <w:p>
      <w:pPr>
        <w:spacing w:after="0" w:line="150"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Financing activities in 2017 used cash of $24.1 million, which consisted primarily of repayments of $11.2 million on our term loan, earnout payments of $7.4 million, and dividends paid to our shareholders of $7.8 million, less cash received from net borrowings on revolving credit lines of $2.3 million and proceeds from stock option exercises and employee stock purchases of $1.4 million.</w:t>
      </w:r>
    </w:p>
    <w:p>
      <w:pPr>
        <w:spacing w:after="0" w:line="115" w:lineRule="exact"/>
        <w:rPr>
          <w:sz w:val="20"/>
          <w:szCs w:val="20"/>
          <w:color w:val="auto"/>
        </w:rPr>
      </w:pPr>
    </w:p>
    <w:p>
      <w:pPr>
        <w:ind w:right="100" w:firstLine="521"/>
        <w:spacing w:after="0" w:line="276" w:lineRule="auto"/>
        <w:rPr>
          <w:sz w:val="20"/>
          <w:szCs w:val="20"/>
          <w:color w:val="auto"/>
        </w:rPr>
      </w:pPr>
      <w:r>
        <w:rPr>
          <w:rFonts w:ascii="Arial" w:cs="Arial" w:eastAsia="Arial" w:hAnsi="Arial"/>
          <w:sz w:val="12"/>
          <w:szCs w:val="12"/>
          <w:color w:val="auto"/>
        </w:rPr>
        <w:t>Financing activities in 2016 used cash of $58.0 million, which consisted primarily of $55.2 million of net repayments on our Term Loan and revolving lines of credit, earnout payments of $9.3 million, and dividends paid to our shareholders of $9.0 million, less cash received from sale-leaseback transactions of $14.2 million and proceeds from stock option exercises and employee stock purchases of $1.7 million.</w:t>
      </w:r>
    </w:p>
    <w:p>
      <w:pPr>
        <w:spacing w:after="0" w:line="115" w:lineRule="exact"/>
        <w:rPr>
          <w:sz w:val="20"/>
          <w:szCs w:val="20"/>
          <w:color w:val="auto"/>
        </w:rPr>
      </w:pPr>
    </w:p>
    <w:p>
      <w:pPr>
        <w:ind w:right="60" w:firstLine="521"/>
        <w:spacing w:after="0" w:line="298" w:lineRule="auto"/>
        <w:rPr>
          <w:sz w:val="20"/>
          <w:szCs w:val="20"/>
          <w:color w:val="auto"/>
        </w:rPr>
      </w:pPr>
      <w:r>
        <w:rPr>
          <w:rFonts w:ascii="Arial" w:cs="Arial" w:eastAsia="Arial" w:hAnsi="Arial"/>
          <w:sz w:val="11"/>
          <w:szCs w:val="11"/>
          <w:color w:val="auto"/>
        </w:rPr>
        <w:t>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37" w:name="page38"/>
    <w:bookmarkEnd w:id="37"/>
    <w:p>
      <w:pPr>
        <w:ind w:left="8"/>
        <w:spacing w:after="0"/>
        <w:rPr>
          <w:sz w:val="20"/>
          <w:szCs w:val="20"/>
          <w:color w:val="auto"/>
        </w:rPr>
      </w:pPr>
      <w:r>
        <w:rPr>
          <w:rFonts w:ascii="Arial" w:cs="Arial" w:eastAsia="Arial" w:hAnsi="Arial"/>
          <w:sz w:val="12"/>
          <w:szCs w:val="12"/>
          <w:b w:val="1"/>
          <w:bCs w:val="1"/>
          <w:color w:val="auto"/>
        </w:rPr>
        <w:t>Employee Benefit Obligation</w:t>
      </w:r>
    </w:p>
    <w:p>
      <w:pPr>
        <w:spacing w:after="0" w:line="82" w:lineRule="exact"/>
        <w:rPr>
          <w:sz w:val="20"/>
          <w:szCs w:val="20"/>
          <w:color w:val="auto"/>
        </w:rPr>
      </w:pPr>
    </w:p>
    <w:p>
      <w:pPr>
        <w:ind w:left="8" w:right="80" w:firstLine="521"/>
        <w:spacing w:after="0" w:line="298" w:lineRule="auto"/>
        <w:rPr>
          <w:sz w:val="20"/>
          <w:szCs w:val="20"/>
          <w:color w:val="auto"/>
        </w:rPr>
      </w:pPr>
      <w:r>
        <w:rPr>
          <w:rFonts w:ascii="Arial" w:cs="Arial" w:eastAsia="Arial" w:hAnsi="Arial"/>
          <w:sz w:val="11"/>
          <w:szCs w:val="11"/>
          <w:color w:val="auto"/>
        </w:rPr>
        <w:t>Based on current assumptions, estimated contributions to our pension plan of $0.5 million are required in 2019. The amount and timing of required contributions to the pension trust depends on future investment performance of the pension funds and interest rate movements, among other things and, accordingly, we cannot reasonably estimate actual required payments. Currently, our pension plan is under-funded. As a result, absent major increases in long-term interest rates, above average returns on pension assets and/or changes in legislated funding requirements, we will be required to make contributions to our pension trust of varying amounts in future years.</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Contractual Obligations</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following table summarizes the Company’s contractual obligations as of December 31, 2018 (in thousands):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3"/>
              </w:rPr>
              <w:t>Payments Due by Period</w:t>
            </w: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5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tcPr>
          <w:p>
            <w:pPr>
              <w:ind w:left="120"/>
              <w:spacing w:after="0" w:line="83" w:lineRule="exact"/>
              <w:rPr>
                <w:sz w:val="20"/>
                <w:szCs w:val="20"/>
                <w:color w:val="auto"/>
              </w:rPr>
            </w:pPr>
            <w:r>
              <w:rPr>
                <w:rFonts w:ascii="Arial" w:cs="Arial" w:eastAsia="Arial" w:hAnsi="Arial"/>
                <w:sz w:val="8"/>
                <w:szCs w:val="8"/>
                <w:b w:val="1"/>
                <w:bCs w:val="1"/>
                <w:color w:val="auto"/>
              </w:rPr>
              <w:t>Less than 1</w:t>
            </w: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jc w:val="right"/>
              <w:ind w:right="243"/>
              <w:spacing w:after="0" w:line="83" w:lineRule="exact"/>
              <w:rPr>
                <w:sz w:val="20"/>
                <w:szCs w:val="20"/>
                <w:color w:val="auto"/>
              </w:rPr>
            </w:pPr>
            <w:r>
              <w:rPr>
                <w:rFonts w:ascii="Arial" w:cs="Arial" w:eastAsia="Arial" w:hAnsi="Arial"/>
                <w:sz w:val="8"/>
                <w:szCs w:val="8"/>
                <w:b w:val="1"/>
                <w:bCs w:val="1"/>
                <w:color w:val="auto"/>
              </w:rPr>
              <w:t>More than</w:t>
            </w:r>
          </w:p>
        </w:tc>
        <w:tc>
          <w:tcPr>
            <w:tcW w:w="120" w:type="dxa"/>
            <w:vAlign w:val="bottom"/>
          </w:tcPr>
          <w:p>
            <w:pPr>
              <w:spacing w:after="0"/>
              <w:rPr>
                <w:sz w:val="7"/>
                <w:szCs w:val="7"/>
                <w:color w:val="auto"/>
              </w:rPr>
            </w:pPr>
          </w:p>
        </w:tc>
      </w:tr>
      <w:tr>
        <w:trPr>
          <w:trHeight w:val="114"/>
        </w:trPr>
        <w:tc>
          <w:tcPr>
            <w:tcW w:w="5300" w:type="dxa"/>
            <w:vAlign w:val="bottom"/>
            <w:tcBorders>
              <w:bottom w:val="single" w:sz="8" w:color="CFF0FC"/>
            </w:tcBorders>
          </w:tcPr>
          <w:p>
            <w:pPr>
              <w:spacing w:after="0"/>
              <w:rPr>
                <w:sz w:val="9"/>
                <w:szCs w:val="9"/>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Total</w:t>
            </w: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63"/>
              <w:spacing w:after="0" w:line="114" w:lineRule="exact"/>
              <w:rPr>
                <w:sz w:val="20"/>
                <w:szCs w:val="20"/>
                <w:color w:val="auto"/>
              </w:rPr>
            </w:pPr>
            <w:r>
              <w:rPr>
                <w:rFonts w:ascii="Arial" w:cs="Arial" w:eastAsia="Arial" w:hAnsi="Arial"/>
                <w:sz w:val="10"/>
                <w:szCs w:val="10"/>
                <w:b w:val="1"/>
                <w:bCs w:val="1"/>
                <w:color w:val="auto"/>
              </w:rPr>
              <w:t>year</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281"/>
              <w:spacing w:after="0" w:line="114" w:lineRule="exact"/>
              <w:rPr>
                <w:sz w:val="20"/>
                <w:szCs w:val="20"/>
                <w:color w:val="auto"/>
              </w:rPr>
            </w:pPr>
            <w:r>
              <w:rPr>
                <w:rFonts w:ascii="Arial" w:cs="Arial" w:eastAsia="Arial" w:hAnsi="Arial"/>
                <w:sz w:val="10"/>
                <w:szCs w:val="10"/>
                <w:b w:val="1"/>
                <w:bCs w:val="1"/>
                <w:color w:val="auto"/>
              </w:rPr>
              <w:t>1-3 years</w:t>
            </w: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281"/>
              <w:spacing w:after="0" w:line="114" w:lineRule="exact"/>
              <w:rPr>
                <w:sz w:val="20"/>
                <w:szCs w:val="20"/>
                <w:color w:val="auto"/>
              </w:rPr>
            </w:pPr>
            <w:r>
              <w:rPr>
                <w:rFonts w:ascii="Arial" w:cs="Arial" w:eastAsia="Arial" w:hAnsi="Arial"/>
                <w:sz w:val="10"/>
                <w:szCs w:val="10"/>
                <w:b w:val="1"/>
                <w:bCs w:val="1"/>
                <w:color w:val="auto"/>
              </w:rPr>
              <w:t>3-5 years</w:t>
            </w:r>
          </w:p>
        </w:tc>
        <w:tc>
          <w:tcPr>
            <w:tcW w:w="2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23"/>
              <w:spacing w:after="0" w:line="114" w:lineRule="exact"/>
              <w:rPr>
                <w:sz w:val="20"/>
                <w:szCs w:val="20"/>
                <w:color w:val="auto"/>
              </w:rPr>
            </w:pPr>
            <w:r>
              <w:rPr>
                <w:rFonts w:ascii="Arial" w:cs="Arial" w:eastAsia="Arial" w:hAnsi="Arial"/>
                <w:sz w:val="10"/>
                <w:szCs w:val="10"/>
                <w:b w:val="1"/>
                <w:bCs w:val="1"/>
                <w:color w:val="auto"/>
              </w:rPr>
              <w:t>5 years</w:t>
            </w:r>
          </w:p>
        </w:tc>
        <w:tc>
          <w:tcPr>
            <w:tcW w:w="120" w:type="dxa"/>
            <w:vAlign w:val="bottom"/>
            <w:tcBorders>
              <w:bottom w:val="single" w:sz="8" w:color="CFF0FC"/>
            </w:tcBorders>
          </w:tcPr>
          <w:p>
            <w:pPr>
              <w:spacing w:after="0"/>
              <w:rPr>
                <w:sz w:val="9"/>
                <w:szCs w:val="9"/>
                <w:color w:val="auto"/>
              </w:rPr>
            </w:pPr>
          </w:p>
        </w:tc>
      </w:tr>
      <w:tr>
        <w:trPr>
          <w:trHeight w:val="142"/>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Long-term debt</w:t>
            </w:r>
          </w:p>
        </w:tc>
        <w:tc>
          <w:tcPr>
            <w:tcW w:w="620" w:type="dxa"/>
            <w:vAlign w:val="bottom"/>
            <w:shd w:val="clear" w:color="auto" w:fill="CFF0FC"/>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76,147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76,147</w:t>
            </w:r>
          </w:p>
        </w:tc>
        <w:tc>
          <w:tcPr>
            <w:tcW w:w="1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Note payable</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1,700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(estimated)</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10,534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6,019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Unconditional purchase obligations (1)</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88,201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88,201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Pension obligations (2)</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6,075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491</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Operating lease obligations</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10,139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2,745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1,782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2,278</w:t>
            </w:r>
          </w:p>
        </w:tc>
        <w:tc>
          <w:tcPr>
            <w:tcW w:w="120" w:type="dxa"/>
            <w:vAlign w:val="bottom"/>
          </w:tcPr>
          <w:p>
            <w:pPr>
              <w:spacing w:after="0"/>
              <w:rPr>
                <w:sz w:val="13"/>
                <w:szCs w:val="13"/>
                <w:color w:val="auto"/>
              </w:rPr>
            </w:pP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Capital lease &amp; sale leaseback financing obligations</w:t>
            </w:r>
          </w:p>
        </w:tc>
        <w:tc>
          <w:tcPr>
            <w:tcW w:w="6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16,580</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1,252</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2,580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2,683</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10,065</w:t>
            </w:r>
          </w:p>
        </w:tc>
        <w:tc>
          <w:tcPr>
            <w:tcW w:w="120" w:type="dxa"/>
            <w:vAlign w:val="bottom"/>
            <w:shd w:val="clear" w:color="auto" w:fill="CFF0FC"/>
          </w:tcPr>
          <w:p>
            <w:pPr>
              <w:spacing w:after="0"/>
              <w:rPr>
                <w:sz w:val="13"/>
                <w:szCs w:val="13"/>
                <w:color w:val="auto"/>
              </w:rPr>
            </w:pPr>
          </w:p>
        </w:tc>
      </w:tr>
      <w:tr>
        <w:trPr>
          <w:trHeight w:val="149"/>
        </w:trPr>
        <w:tc>
          <w:tcPr>
            <w:tcW w:w="5300" w:type="dxa"/>
            <w:vAlign w:val="bottom"/>
          </w:tcPr>
          <w:p>
            <w:pPr>
              <w:ind w:left="80"/>
              <w:spacing w:after="0"/>
              <w:rPr>
                <w:sz w:val="20"/>
                <w:szCs w:val="20"/>
                <w:color w:val="auto"/>
              </w:rPr>
            </w:pPr>
            <w:r>
              <w:rPr>
                <w:rFonts w:ascii="Arial" w:cs="Arial" w:eastAsia="Arial" w:hAnsi="Arial"/>
                <w:sz w:val="12"/>
                <w:szCs w:val="12"/>
                <w:color w:val="auto"/>
              </w:rPr>
              <w:t>Totals</w:t>
            </w:r>
          </w:p>
        </w:tc>
        <w:tc>
          <w:tcPr>
            <w:tcW w:w="6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209,376</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100,408</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89,773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6,852</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12,343</w:t>
            </w:r>
          </w:p>
        </w:tc>
        <w:tc>
          <w:tcPr>
            <w:tcW w:w="120" w:type="dxa"/>
            <w:vAlign w:val="bottom"/>
          </w:tcPr>
          <w:p>
            <w:pPr>
              <w:spacing w:after="0"/>
              <w:rPr>
                <w:sz w:val="12"/>
                <w:szCs w:val="12"/>
                <w:color w:val="auto"/>
              </w:rPr>
            </w:pPr>
          </w:p>
        </w:tc>
      </w:tr>
    </w:tbl>
    <w:p>
      <w:pPr>
        <w:spacing w:after="0" w:line="180" w:lineRule="exact"/>
        <w:rPr>
          <w:sz w:val="20"/>
          <w:szCs w:val="20"/>
          <w:color w:val="auto"/>
        </w:rPr>
      </w:pPr>
    </w:p>
    <w:p>
      <w:pPr>
        <w:ind w:left="508" w:hanging="508"/>
        <w:spacing w:after="0"/>
        <w:tabs>
          <w:tab w:leader="none" w:pos="5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Primarily consists of purchase obligations for various costs associated with uncompleted sales contracts.</w:t>
      </w:r>
    </w:p>
    <w:p>
      <w:pPr>
        <w:spacing w:after="0" w:line="15" w:lineRule="exact"/>
        <w:rPr>
          <w:rFonts w:ascii="Arial" w:cs="Arial" w:eastAsia="Arial" w:hAnsi="Arial"/>
          <w:sz w:val="12"/>
          <w:szCs w:val="12"/>
          <w:color w:val="auto"/>
        </w:rPr>
      </w:pPr>
    </w:p>
    <w:p>
      <w:pPr>
        <w:ind w:left="508" w:right="260" w:hanging="508"/>
        <w:spacing w:after="0" w:line="276" w:lineRule="auto"/>
        <w:tabs>
          <w:tab w:leader="none" w:pos="5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Future expected obligations under the Company’s pension plan is included in the contractual cash obligations table above, up to, but not more than five years. The Company’s pension plan policy allows it to fund an amount, which could be in excess of the pension cost expensed, subject to the limitations imposed by current tax regulations.</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82" w:lineRule="exact"/>
        <w:rPr>
          <w:sz w:val="20"/>
          <w:szCs w:val="20"/>
          <w:color w:val="auto"/>
        </w:rPr>
      </w:pPr>
    </w:p>
    <w:p>
      <w:pPr>
        <w:ind w:left="8" w:right="40" w:firstLine="521"/>
        <w:spacing w:after="0" w:line="263" w:lineRule="auto"/>
        <w:rPr>
          <w:sz w:val="20"/>
          <w:szCs w:val="20"/>
          <w:color w:val="auto"/>
        </w:rPr>
      </w:pPr>
      <w:r>
        <w:rPr>
          <w:rFonts w:ascii="Arial" w:cs="Arial" w:eastAsia="Arial" w:hAnsi="Arial"/>
          <w:sz w:val="12"/>
          <w:szCs w:val="12"/>
          <w:color w:val="auto"/>
        </w:rPr>
        <w:t>Our consolidated financial statements are prepared in conformity with GAAP.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w:t>
      </w:r>
    </w:p>
    <w:p>
      <w:pPr>
        <w:spacing w:after="0" w:line="195"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Use of Estimates</w:t>
      </w:r>
    </w:p>
    <w:p>
      <w:pPr>
        <w:spacing w:after="0" w:line="78" w:lineRule="exact"/>
        <w:rPr>
          <w:sz w:val="20"/>
          <w:szCs w:val="20"/>
          <w:color w:val="auto"/>
        </w:rPr>
      </w:pPr>
    </w:p>
    <w:p>
      <w:pPr>
        <w:ind w:left="8" w:right="120" w:firstLine="521"/>
        <w:spacing w:after="0" w:line="340" w:lineRule="auto"/>
        <w:rPr>
          <w:sz w:val="20"/>
          <w:szCs w:val="20"/>
          <w:color w:val="auto"/>
        </w:rPr>
      </w:pPr>
      <w:r>
        <w:rPr>
          <w:rFonts w:ascii="Arial" w:cs="Arial" w:eastAsia="Arial" w:hAnsi="Arial"/>
          <w:sz w:val="10"/>
          <w:szCs w:val="10"/>
          <w:color w:val="auto"/>
        </w:rPr>
        <w:t>Preparation of the consolidated financial statements in accordance with GAAP requires management to make estimates and assumptions affecting the reported amounts of assets, liabilities, revenues and expenses and related contingent liabilities. On an on-going basis, we evaluate our estimates, including those related to revenues, bad debts, share based compensation, income taxes, goodwill and intangible asset valuation, and contingencies and litigation. We base our estimates on historical experience and on various other assumptions that we believe are reasonable under the circumstances. Actual results may differ from these estimates under different assumptions or conditions.</w:t>
      </w:r>
    </w:p>
    <w:p>
      <w:pPr>
        <w:spacing w:after="0" w:line="160"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Revenue Recognition</w:t>
      </w:r>
    </w:p>
    <w:p>
      <w:pPr>
        <w:spacing w:after="0" w:line="78" w:lineRule="exact"/>
        <w:rPr>
          <w:sz w:val="20"/>
          <w:szCs w:val="20"/>
          <w:color w:val="auto"/>
        </w:rPr>
      </w:pPr>
    </w:p>
    <w:p>
      <w:pPr>
        <w:ind w:left="8" w:firstLine="521"/>
        <w:spacing w:after="0" w:line="276" w:lineRule="auto"/>
        <w:rPr>
          <w:sz w:val="20"/>
          <w:szCs w:val="20"/>
          <w:color w:val="auto"/>
        </w:rPr>
      </w:pPr>
      <w:r>
        <w:rPr>
          <w:rFonts w:ascii="Arial" w:cs="Arial" w:eastAsia="Arial" w:hAnsi="Arial"/>
          <w:sz w:val="12"/>
          <w:szCs w:val="12"/>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43" w:lineRule="exact"/>
        <w:rPr>
          <w:sz w:val="20"/>
          <w:szCs w:val="20"/>
          <w:color w:val="auto"/>
        </w:rPr>
      </w:pPr>
    </w:p>
    <w:p>
      <w:pPr>
        <w:ind w:left="8" w:right="40" w:firstLine="521"/>
        <w:spacing w:after="0" w:line="276" w:lineRule="auto"/>
        <w:rPr>
          <w:sz w:val="20"/>
          <w:szCs w:val="20"/>
          <w:color w:val="auto"/>
        </w:rPr>
      </w:pPr>
      <w:r>
        <w:rPr>
          <w:rFonts w:ascii="Arial" w:cs="Arial" w:eastAsia="Arial" w:hAnsi="Arial"/>
          <w:sz w:val="12"/>
          <w:szCs w:val="12"/>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487" w:right="199" w:bottom="1440" w:gutter="0" w:footer="0" w:header="0"/>
        </w:sectPr>
      </w:pPr>
    </w:p>
    <w:bookmarkStart w:id="38" w:name="page39"/>
    <w:bookmarkEnd w:id="38"/>
    <w:p>
      <w:pPr>
        <w:ind w:right="120"/>
        <w:spacing w:after="0" w:line="323" w:lineRule="auto"/>
        <w:rPr>
          <w:sz w:val="20"/>
          <w:szCs w:val="20"/>
          <w:color w:val="auto"/>
        </w:rPr>
      </w:pPr>
      <w:r>
        <w:rPr>
          <w:rFonts w:ascii="Arial" w:cs="Arial" w:eastAsia="Arial" w:hAnsi="Arial"/>
          <w:sz w:val="11"/>
          <w:szCs w:val="11"/>
          <w:color w:val="auto"/>
        </w:rPr>
        <w:t>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20"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0"/>
          <w:szCs w:val="10"/>
          <w:color w:val="auto"/>
        </w:rPr>
        <w:t>Provisions for estimated losses on uncompleted contracts are made in the period in which such losses are determined. No provision for estimated losses on uncompleted contracts was needed at December 31, 2018, 2017 and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2016.</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Credit and Collections</w:t>
      </w:r>
    </w:p>
    <w:p>
      <w:pPr>
        <w:spacing w:after="0" w:line="78" w:lineRule="exact"/>
        <w:rPr>
          <w:sz w:val="20"/>
          <w:szCs w:val="20"/>
          <w:color w:val="auto"/>
        </w:rPr>
      </w:pPr>
    </w:p>
    <w:p>
      <w:pPr>
        <w:ind w:right="20" w:firstLine="521"/>
        <w:spacing w:after="0" w:line="290" w:lineRule="auto"/>
        <w:rPr>
          <w:sz w:val="20"/>
          <w:szCs w:val="20"/>
          <w:color w:val="auto"/>
        </w:rPr>
      </w:pPr>
      <w:r>
        <w:rPr>
          <w:rFonts w:ascii="Arial" w:cs="Arial" w:eastAsia="Arial" w:hAnsi="Arial"/>
          <w:sz w:val="11"/>
          <w:szCs w:val="11"/>
          <w:color w:val="auto"/>
        </w:rPr>
        <w:t>The Company maintains allowances for doubtful accounts receivable for probable estimated losses resulting from either customer disputes or the inability of its customers to make required payments. If the financial condition of the Company’s customers were to deteriorate, resulting in their inability to make the required payments, the Company may be required to record additional allowances or charges against income. The Company determines its allowance for doubtful accounts by considering all known collectability problems of customers’ accounts and reviewing the aging of the outstanding receivables. The resulting allowance for doubtful accounts receivable is an estimate based upon the Company’s knowledge of its business and customer base, and historical trends. The amount ultimately not collected may differ from the reserve established.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Inventories</w:t>
      </w:r>
    </w:p>
    <w:p>
      <w:pPr>
        <w:spacing w:after="0" w:line="78" w:lineRule="exact"/>
        <w:rPr>
          <w:sz w:val="20"/>
          <w:szCs w:val="20"/>
          <w:color w:val="auto"/>
        </w:rPr>
      </w:pPr>
    </w:p>
    <w:p>
      <w:pPr>
        <w:ind w:right="100" w:firstLine="521"/>
        <w:spacing w:after="0" w:line="380" w:lineRule="auto"/>
        <w:rPr>
          <w:sz w:val="20"/>
          <w:szCs w:val="20"/>
          <w:color w:val="auto"/>
        </w:rPr>
      </w:pPr>
      <w:r>
        <w:rPr>
          <w:rFonts w:ascii="Arial" w:cs="Arial" w:eastAsia="Arial" w:hAnsi="Arial"/>
          <w:sz w:val="10"/>
          <w:szCs w:val="10"/>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the Company’s forecast of future demand and market conditions. Significant unanticipated changes to the Company’s forecasts could require a change in the provision for excess or obsolete inventory.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Assets Held for Sale</w:t>
      </w:r>
    </w:p>
    <w:p>
      <w:pPr>
        <w:spacing w:after="0" w:line="78"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The Company classifies properties as held for sale when certain criteria are met. At such time, the properties, including significant assets that are expected to be transferred as part of a sale transaction, are presented separately on the consolidated balance sheet at the lower of carrying value or estimated fair value less costs to sell and depreciation is no longer recognized. As of December 31, 2018, the Company had one building and one tract of land classified as held for sale.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Property, plant and equipment</w:t>
      </w:r>
    </w:p>
    <w:p>
      <w:pPr>
        <w:spacing w:after="0" w:line="78" w:lineRule="exact"/>
        <w:rPr>
          <w:sz w:val="20"/>
          <w:szCs w:val="20"/>
          <w:color w:val="auto"/>
        </w:rPr>
      </w:pPr>
    </w:p>
    <w:p>
      <w:pPr>
        <w:ind w:right="360" w:firstLine="521"/>
        <w:spacing w:after="0" w:line="323" w:lineRule="auto"/>
        <w:rPr>
          <w:sz w:val="20"/>
          <w:szCs w:val="20"/>
          <w:color w:val="auto"/>
        </w:rPr>
      </w:pPr>
      <w:r>
        <w:rPr>
          <w:rFonts w:ascii="Arial" w:cs="Arial" w:eastAsia="Arial" w:hAnsi="Arial"/>
          <w:sz w:val="11"/>
          <w:szCs w:val="11"/>
          <w:color w:val="auto"/>
        </w:rPr>
        <w:t>Property, plant and equipment are carried at the cost of acquisition or construction and depreciated over the estimated 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Intangible assets</w:t>
      </w:r>
    </w:p>
    <w:p>
      <w:pPr>
        <w:spacing w:after="0" w:line="78" w:lineRule="exact"/>
        <w:rPr>
          <w:sz w:val="20"/>
          <w:szCs w:val="20"/>
          <w:color w:val="auto"/>
        </w:rPr>
      </w:pPr>
    </w:p>
    <w:p>
      <w:pPr>
        <w:ind w:right="80" w:firstLine="521"/>
        <w:spacing w:after="0" w:line="323" w:lineRule="auto"/>
        <w:rPr>
          <w:sz w:val="20"/>
          <w:szCs w:val="20"/>
          <w:color w:val="auto"/>
        </w:rPr>
      </w:pPr>
      <w:r>
        <w:rPr>
          <w:rFonts w:ascii="Arial" w:cs="Arial" w:eastAsia="Arial" w:hAnsi="Arial"/>
          <w:sz w:val="11"/>
          <w:szCs w:val="11"/>
          <w:color w:val="auto"/>
        </w:rPr>
        <w:t>Indefinite life intangible assets are comprised of tradenames, while finite life intangible assets are comprised of technology, customer lists, noncompetition agreements, and tradenames. Finite life intangible assets are amortized on a straight line or accelerated basis over their estimated useful lives of seven to 10 years for technology, five to 20 years for customer lists, five years for noncompetition agreements, and 10 years for tradenames.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Long-lived assets</w:t>
      </w:r>
    </w:p>
    <w:p>
      <w:pPr>
        <w:spacing w:after="0" w:line="78"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Property, plant and equipment and finite life intangible assets are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39" w:name="page40"/>
    <w:bookmarkEnd w:id="39"/>
    <w:p>
      <w:pPr>
        <w:ind w:right="20"/>
        <w:spacing w:after="0" w:line="259" w:lineRule="auto"/>
        <w:rPr>
          <w:sz w:val="20"/>
          <w:szCs w:val="20"/>
          <w:color w:val="auto"/>
        </w:rPr>
      </w:pPr>
      <w:r>
        <w:rPr>
          <w:rFonts w:ascii="Arial" w:cs="Arial" w:eastAsia="Arial" w:hAnsi="Arial"/>
          <w:sz w:val="12"/>
          <w:szCs w:val="12"/>
          <w:color w:val="auto"/>
        </w:rPr>
        <w:t>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25"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Additionally, we also evaluate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15" w:lineRule="exact"/>
        <w:rPr>
          <w:sz w:val="20"/>
          <w:szCs w:val="20"/>
          <w:color w:val="auto"/>
        </w:rPr>
      </w:pPr>
    </w:p>
    <w:p>
      <w:pPr>
        <w:ind w:firstLine="521"/>
        <w:spacing w:after="0" w:line="283" w:lineRule="auto"/>
        <w:rPr>
          <w:sz w:val="20"/>
          <w:szCs w:val="20"/>
          <w:color w:val="auto"/>
        </w:rPr>
      </w:pPr>
      <w:r>
        <w:rPr>
          <w:rFonts w:ascii="Arial" w:cs="Arial" w:eastAsia="Arial" w:hAnsi="Arial"/>
          <w:sz w:val="11"/>
          <w:szCs w:val="11"/>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 For the 2018 and 2017 annual assessments, given the lower than expected results for certain reporting units, we determined that a quantitative assessment of fair value for all indefinite life intangible assets using the relief from royalty method was appropriate. For additional information on impairment testing results, see Note 7 to the consolidated financial statements.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Goodwill</w:t>
      </w:r>
    </w:p>
    <w:p>
      <w:pPr>
        <w:spacing w:after="0" w:line="78"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The Company completes an annual (or more often if circumstances require) goodwill impairment assessment on October 1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26"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projected operational profit and terminal growth rates are significant assumptions because they are three primary drivers of the projected cash flows in the discounted future cash flow approach. Cost of capital is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of the reporting units exceeded their carrying value as of December 31, 2018.</w:t>
      </w:r>
    </w:p>
    <w:p>
      <w:pPr>
        <w:spacing w:after="0" w:line="129"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In 2018, because of changes in management and the resulting changes to the Company’s reporting and operating structure, the number of reporting units for goodwill testing was aggregated to three reporting units from 11 prior to the change. Prior to the adoption of the new reporting structure we tested our goodwill impairment under the old reporting unit structure. Based on this analysis, the estimated fair value of all of our reporting units exceeded their carrying value as of October 1, 2018. The estimated fair value of each of the reporting units under the new structure exceed their respective carrying value by over 30%. For additional information on goodwill impairment testing results, see Note 7 to the consolidated financial statements.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Income Taxes</w:t>
      </w:r>
    </w:p>
    <w:p>
      <w:pPr>
        <w:spacing w:after="0" w:line="78" w:lineRule="exact"/>
        <w:rPr>
          <w:sz w:val="20"/>
          <w:szCs w:val="20"/>
          <w:color w:val="auto"/>
        </w:rPr>
      </w:pPr>
    </w:p>
    <w:p>
      <w:pPr>
        <w:ind w:right="360" w:firstLine="521"/>
        <w:spacing w:after="0" w:line="276" w:lineRule="auto"/>
        <w:rPr>
          <w:sz w:val="20"/>
          <w:szCs w:val="20"/>
          <w:color w:val="auto"/>
        </w:rPr>
      </w:pPr>
      <w:r>
        <w:rPr>
          <w:rFonts w:ascii="Arial" w:cs="Arial" w:eastAsia="Arial" w:hAnsi="Arial"/>
          <w:sz w:val="12"/>
          <w:szCs w:val="12"/>
          <w:color w:val="auto"/>
        </w:rPr>
        <w:t>Income taxes are determined using the asset and liability method of accounting for income taxes in accordance with Financial Accounting Standards Board (“FASB”) ASC Topic 740, “Income Taxes”. Income tax expense includes federal, state and foreign income taxes.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40" w:name="page41"/>
    <w:bookmarkEnd w:id="40"/>
    <w:p>
      <w:pPr>
        <w:ind w:firstLine="521"/>
        <w:spacing w:after="0" w:line="259" w:lineRule="auto"/>
        <w:rPr>
          <w:sz w:val="20"/>
          <w:szCs w:val="20"/>
          <w:color w:val="auto"/>
        </w:rPr>
      </w:pPr>
      <w:r>
        <w:rPr>
          <w:rFonts w:ascii="Arial" w:cs="Arial" w:eastAsia="Arial" w:hAnsi="Arial"/>
          <w:sz w:val="12"/>
          <w:szCs w:val="12"/>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25" w:lineRule="exact"/>
        <w:rPr>
          <w:sz w:val="20"/>
          <w:szCs w:val="20"/>
          <w:color w:val="auto"/>
        </w:rPr>
      </w:pPr>
    </w:p>
    <w:p>
      <w:pPr>
        <w:ind w:right="100" w:firstLine="521"/>
        <w:spacing w:after="0" w:line="340" w:lineRule="auto"/>
        <w:rPr>
          <w:sz w:val="20"/>
          <w:szCs w:val="20"/>
          <w:color w:val="auto"/>
        </w:rPr>
      </w:pPr>
      <w:r>
        <w:rPr>
          <w:rFonts w:ascii="Arial" w:cs="Arial" w:eastAsia="Arial" w:hAnsi="Arial"/>
          <w:sz w:val="10"/>
          <w:szCs w:val="10"/>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88" w:lineRule="exact"/>
        <w:rPr>
          <w:sz w:val="20"/>
          <w:szCs w:val="20"/>
          <w:color w:val="auto"/>
        </w:rPr>
      </w:pPr>
    </w:p>
    <w:p>
      <w:pPr>
        <w:ind w:firstLine="521"/>
        <w:spacing w:after="0" w:line="277" w:lineRule="auto"/>
        <w:rPr>
          <w:sz w:val="20"/>
          <w:szCs w:val="20"/>
          <w:color w:val="auto"/>
        </w:rPr>
      </w:pPr>
      <w:r>
        <w:rPr>
          <w:rFonts w:ascii="Arial" w:cs="Arial" w:eastAsia="Arial" w:hAnsi="Arial"/>
          <w:sz w:val="11"/>
          <w:szCs w:val="11"/>
          <w:color w:val="auto"/>
        </w:rPr>
        <w:t>Management must access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 w:lineRule="exact"/>
        <w:rPr>
          <w:sz w:val="20"/>
          <w:szCs w:val="20"/>
          <w:color w:val="auto"/>
        </w:rPr>
      </w:pPr>
    </w:p>
    <w:p>
      <w:pPr>
        <w:ind w:right="380" w:firstLine="766"/>
        <w:spacing w:after="0" w:line="250" w:lineRule="auto"/>
        <w:rPr>
          <w:sz w:val="20"/>
          <w:szCs w:val="20"/>
          <w:color w:val="auto"/>
        </w:rPr>
      </w:pPr>
      <w:r>
        <w:rPr>
          <w:rFonts w:ascii="Arial" w:cs="Arial" w:eastAsia="Arial" w:hAnsi="Arial"/>
          <w:sz w:val="12"/>
          <w:szCs w:val="12"/>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 w:lineRule="exact"/>
        <w:rPr>
          <w:sz w:val="20"/>
          <w:szCs w:val="20"/>
          <w:color w:val="auto"/>
        </w:rPr>
      </w:pPr>
    </w:p>
    <w:p>
      <w:pPr>
        <w:ind w:right="480" w:firstLine="766"/>
        <w:spacing w:after="0" w:line="261" w:lineRule="auto"/>
        <w:rPr>
          <w:sz w:val="20"/>
          <w:szCs w:val="20"/>
          <w:color w:val="auto"/>
        </w:rPr>
      </w:pPr>
      <w:r>
        <w:rPr>
          <w:rFonts w:ascii="Arial" w:cs="Arial" w:eastAsia="Arial" w:hAnsi="Arial"/>
          <w:sz w:val="12"/>
          <w:szCs w:val="12"/>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Pension Benefit Plan Assumptions</w:t>
      </w:r>
    </w:p>
    <w:p>
      <w:pPr>
        <w:spacing w:after="0" w:line="78" w:lineRule="exact"/>
        <w:rPr>
          <w:sz w:val="20"/>
          <w:szCs w:val="20"/>
          <w:color w:val="auto"/>
        </w:rPr>
      </w:pPr>
    </w:p>
    <w:p>
      <w:pPr>
        <w:ind w:firstLine="521"/>
        <w:spacing w:after="0" w:line="283" w:lineRule="auto"/>
        <w:rPr>
          <w:sz w:val="20"/>
          <w:szCs w:val="20"/>
          <w:color w:val="auto"/>
        </w:rPr>
      </w:pPr>
      <w:r>
        <w:rPr>
          <w:rFonts w:ascii="Arial" w:cs="Arial" w:eastAsia="Arial" w:hAnsi="Arial"/>
          <w:sz w:val="11"/>
          <w:szCs w:val="11"/>
          <w:color w:val="auto"/>
        </w:rPr>
        <w:t>We sponsor a pension plan for certain employees. Several statistical and other factors that attempt to anticipate future events are used in calculating the expense and liability related to the plan. These factors include key assumptions, such as a discount rate and expected return on plan assets. In addition, our actuarial consultants use subjective factors such as withdrawal and mortality rates to estimate the liability. The actuarial assumptions we use may differ materially from actual results due to changing market and economic conditions, higher or lower withdrawal rates or longer or shorter life spans of participants. These differences may result in a significant impact to the amount of pension expense we have recorded or may record in the future. An analysis for the expense associated with our pension plan is difficult due to the variety of assumptions utilized. For example, one of the significant assumptions used to determine projected benefit obligation is the discount rate. At December 31, 2018, a 25 basis point change in the discount rate would change the projected benefit obligation by approximately $0.9 million and the annual pension expense by approximately $3,000. Additionally, a 25 basis point change in the expected return on plan assets would change the pension expense by approximately $58,000.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41" w:name="page42"/>
    <w:bookmarkEnd w:id="41"/>
    <w:p>
      <w:pPr>
        <w:ind w:left="260"/>
        <w:spacing w:after="0"/>
        <w:rPr>
          <w:sz w:val="20"/>
          <w:szCs w:val="20"/>
          <w:color w:val="auto"/>
        </w:rPr>
      </w:pPr>
      <w:r>
        <w:rPr>
          <w:rFonts w:ascii="Arial" w:cs="Arial" w:eastAsia="Arial" w:hAnsi="Arial"/>
          <w:sz w:val="12"/>
          <w:szCs w:val="12"/>
          <w:i w:val="1"/>
          <w:iCs w:val="1"/>
          <w:color w:val="auto"/>
        </w:rPr>
        <w:t>Share-Based Compensation</w:t>
      </w:r>
    </w:p>
    <w:p>
      <w:pPr>
        <w:spacing w:after="0" w:line="78"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We measure the cost of employee services received in exchange for an award of equity instruments and recognize this cost over the period during which an employee is required to provide the services, based on the fair value of the award at the date of the grant as determined by current publicly traded market price on the grant date for restricted stock units.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0"/>
          <w:szCs w:val="10"/>
          <w:color w:val="auto"/>
        </w:rPr>
        <w:t>Certain of our awards of restricted share units include performance conditions for achieving designated levels of operating performance. We must estimate the probability of achieving the performance condition at each reporting</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period.</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Product Warranties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Company’s warranty reserve is to cover the products sold. The warranty accrual is based on historical claims information. The warranty reserve is reviewed and adjusted as necessary at each reporting period.</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Other significant accounting policies</w:t>
      </w:r>
    </w:p>
    <w:p>
      <w:pPr>
        <w:spacing w:after="0" w:line="78"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For information regarding recent accounting pronouncements, see Note 2 to the consolidated financial statements included in this annual report on Form 10-K.</w:t>
      </w:r>
    </w:p>
    <w:p>
      <w:pPr>
        <w:spacing w:after="0" w:line="218"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82" w:lineRule="exact"/>
        <w:rPr>
          <w:sz w:val="20"/>
          <w:szCs w:val="20"/>
          <w:color w:val="auto"/>
        </w:rPr>
      </w:pPr>
    </w:p>
    <w:p>
      <w:pPr>
        <w:jc w:val="both"/>
        <w:ind w:right="140" w:firstLine="521"/>
        <w:spacing w:after="0" w:line="340" w:lineRule="auto"/>
        <w:rPr>
          <w:sz w:val="20"/>
          <w:szCs w:val="20"/>
          <w:color w:val="auto"/>
        </w:rPr>
      </w:pPr>
      <w:r>
        <w:rPr>
          <w:rFonts w:ascii="Arial" w:cs="Arial" w:eastAsia="Arial" w:hAnsi="Arial"/>
          <w:sz w:val="10"/>
          <w:szCs w:val="10"/>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 However, we do have an interest rate swap in place as of December 31, 2018 to hedge against a portion of our interest rate exposure related to debt indexed to LIBOR market rates. See Note 9 to the consolidated financial statements for further information on this interest rate swap.</w:t>
      </w:r>
    </w:p>
    <w:p>
      <w:pPr>
        <w:spacing w:after="0" w:line="88"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The carrying value of the Company’s total long-term debt and current maturities of long-term debt at December 31, 2018 was $74.5 million. Market risk was estimated as the potential decrease (increase) in future earnings and cash flows resulting from a hypothetical 10% increase (decrease) in the Company’s estimated weighted average borrowing rate at December 31, 2018. Most of the interest on the Company’s debt is indexed to either the LIBOR or EURIBOR market rates. The estimated annual impact of a hypothetical 10% change in the estimated weighted average borrowing rate, excluding the portion of debt which has an interest rate fixed by the interest rate swap described above, at December 31, 2018 is $0.2 million.</w:t>
      </w:r>
    </w:p>
    <w:p>
      <w:pPr>
        <w:spacing w:after="0" w:line="125" w:lineRule="exact"/>
        <w:rPr>
          <w:sz w:val="20"/>
          <w:szCs w:val="20"/>
          <w:color w:val="auto"/>
        </w:rPr>
      </w:pPr>
    </w:p>
    <w:p>
      <w:pPr>
        <w:ind w:right="340" w:firstLine="521"/>
        <w:spacing w:after="0" w:line="263" w:lineRule="auto"/>
        <w:rPr>
          <w:sz w:val="20"/>
          <w:szCs w:val="20"/>
          <w:color w:val="auto"/>
        </w:rPr>
      </w:pPr>
      <w:r>
        <w:rPr>
          <w:rFonts w:ascii="Arial" w:cs="Arial" w:eastAsia="Arial" w:hAnsi="Arial"/>
          <w:sz w:val="12"/>
          <w:szCs w:val="12"/>
          <w:color w:val="auto"/>
        </w:rPr>
        <w:t>The Company has wholly-owned subsidiaries including in the Netherlands, Canada, the People’s Republic of China, Mexico, United Kingdom, Singapore,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2019.</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42" w:name="page43"/>
    <w:bookmarkEnd w:id="42"/>
    <w:p>
      <w:pPr>
        <w:spacing w:after="0"/>
        <w:tabs>
          <w:tab w:leader="none" w:pos="114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Financial Statements and Supplementary Data</w:t>
      </w:r>
    </w:p>
    <w:p>
      <w:pPr>
        <w:spacing w:after="0" w:line="154"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The consolidated financial statements of CECO Environmental Corp. and subsidiaries for the years ended December 31, 2018, 2017 and 2016 and other data are included in this report following the signature page of this report and incorporated into this Item 8 by reference: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20" w:type="dxa"/>
            <w:vAlign w:val="bottom"/>
            <w:gridSpan w:val="9"/>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Report of Independent Registered Public Accounting Firm</w:t>
              </w:r>
            </w:hyperlink>
          </w:p>
        </w:tc>
        <w:tc>
          <w:tcPr>
            <w:tcW w:w="2960" w:type="dxa"/>
            <w:vAlign w:val="bottom"/>
          </w:tcPr>
          <w:p>
            <w:pPr>
              <w:ind w:left="2780"/>
              <w:spacing w:after="0"/>
              <w:rPr>
                <w:sz w:val="20"/>
                <w:szCs w:val="20"/>
                <w:color w:val="auto"/>
              </w:rPr>
            </w:pPr>
            <w:r>
              <w:rPr>
                <w:rFonts w:ascii="Arial" w:cs="Arial" w:eastAsia="Arial" w:hAnsi="Arial"/>
                <w:sz w:val="12"/>
                <w:szCs w:val="12"/>
                <w:color w:val="auto"/>
                <w:w w:val="88"/>
              </w:rPr>
              <w:t>F-1</w:t>
            </w:r>
          </w:p>
        </w:tc>
      </w:tr>
      <w:tr>
        <w:trPr>
          <w:trHeight w:val="124"/>
        </w:trPr>
        <w:tc>
          <w:tcPr>
            <w:tcW w:w="280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52">
              <w:r>
                <w:rPr>
                  <w:rFonts w:ascii="Arial" w:cs="Arial" w:eastAsia="Arial" w:hAnsi="Arial"/>
                  <w:sz w:val="12"/>
                  <w:szCs w:val="12"/>
                  <w:color w:val="0000EE"/>
                </w:rPr>
                <w:t>Consolidated Balance Sheets</w:t>
              </w:r>
            </w:hyperlink>
          </w:p>
        </w:tc>
        <w:tc>
          <w:tcPr>
            <w:tcW w:w="5720" w:type="dxa"/>
            <w:vAlign w:val="bottom"/>
            <w:gridSpan w:val="3"/>
          </w:tcPr>
          <w:p>
            <w:pPr>
              <w:spacing w:after="0"/>
              <w:rPr>
                <w:sz w:val="10"/>
                <w:szCs w:val="10"/>
                <w:color w:val="auto"/>
              </w:rPr>
            </w:pPr>
          </w:p>
        </w:tc>
        <w:tc>
          <w:tcPr>
            <w:tcW w:w="2960" w:type="dxa"/>
            <w:vAlign w:val="bottom"/>
          </w:tcPr>
          <w:p>
            <w:pPr>
              <w:ind w:left="2780"/>
              <w:spacing w:after="0" w:line="124" w:lineRule="exact"/>
              <w:rPr>
                <w:sz w:val="20"/>
                <w:szCs w:val="20"/>
                <w:color w:val="auto"/>
              </w:rPr>
            </w:pPr>
            <w:r>
              <w:rPr>
                <w:rFonts w:ascii="Arial" w:cs="Arial" w:eastAsia="Arial" w:hAnsi="Arial"/>
                <w:sz w:val="12"/>
                <w:szCs w:val="12"/>
                <w:color w:val="auto"/>
                <w:w w:val="88"/>
              </w:rPr>
              <w:t>F-2</w:t>
            </w: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24"/>
        </w:trPr>
        <w:tc>
          <w:tcPr>
            <w:tcW w:w="8520" w:type="dxa"/>
            <w:vAlign w:val="bottom"/>
            <w:gridSpan w:val="9"/>
          </w:tcPr>
          <w:p>
            <w:pPr>
              <w:spacing w:after="0" w:line="124" w:lineRule="exact"/>
              <w:rPr>
                <w:rFonts w:ascii="Arial" w:cs="Arial" w:eastAsia="Arial" w:hAnsi="Arial"/>
                <w:sz w:val="12"/>
                <w:szCs w:val="12"/>
                <w:color w:val="0000EE"/>
              </w:rPr>
            </w:pPr>
            <w:hyperlink w:anchor="page53">
              <w:r>
                <w:rPr>
                  <w:rFonts w:ascii="Arial" w:cs="Arial" w:eastAsia="Arial" w:hAnsi="Arial"/>
                  <w:sz w:val="12"/>
                  <w:szCs w:val="12"/>
                  <w:color w:val="0000EE"/>
                </w:rPr>
                <w:t>Consolidated Statements of Operations</w:t>
              </w:r>
            </w:hyperlink>
          </w:p>
        </w:tc>
        <w:tc>
          <w:tcPr>
            <w:tcW w:w="2960" w:type="dxa"/>
            <w:vAlign w:val="bottom"/>
          </w:tcPr>
          <w:p>
            <w:pPr>
              <w:ind w:left="2780"/>
              <w:spacing w:after="0" w:line="124" w:lineRule="exact"/>
              <w:rPr>
                <w:sz w:val="20"/>
                <w:szCs w:val="20"/>
                <w:color w:val="auto"/>
              </w:rPr>
            </w:pPr>
            <w:r>
              <w:rPr>
                <w:rFonts w:ascii="Arial" w:cs="Arial" w:eastAsia="Arial" w:hAnsi="Arial"/>
                <w:sz w:val="12"/>
                <w:szCs w:val="12"/>
                <w:color w:val="auto"/>
                <w:w w:val="88"/>
              </w:rPr>
              <w:t>F-3</w:t>
            </w:r>
          </w:p>
        </w:tc>
      </w:tr>
      <w:tr>
        <w:trPr>
          <w:trHeight w:val="20"/>
        </w:trPr>
        <w:tc>
          <w:tcPr>
            <w:tcW w:w="18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24"/>
        </w:trPr>
        <w:tc>
          <w:tcPr>
            <w:tcW w:w="8520" w:type="dxa"/>
            <w:vAlign w:val="bottom"/>
            <w:gridSpan w:val="9"/>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Consolidated Statements of Comprehensive Income (Loss)</w:t>
              </w:r>
            </w:hyperlink>
          </w:p>
        </w:tc>
        <w:tc>
          <w:tcPr>
            <w:tcW w:w="2960" w:type="dxa"/>
            <w:vAlign w:val="bottom"/>
          </w:tcPr>
          <w:p>
            <w:pPr>
              <w:ind w:left="2780"/>
              <w:spacing w:after="0" w:line="124" w:lineRule="exact"/>
              <w:rPr>
                <w:sz w:val="20"/>
                <w:szCs w:val="20"/>
                <w:color w:val="auto"/>
              </w:rPr>
            </w:pPr>
            <w:r>
              <w:rPr>
                <w:rFonts w:ascii="Arial" w:cs="Arial" w:eastAsia="Arial" w:hAnsi="Arial"/>
                <w:sz w:val="12"/>
                <w:szCs w:val="12"/>
                <w:color w:val="auto"/>
                <w:w w:val="88"/>
              </w:rPr>
              <w:t>F-4</w:t>
            </w:r>
          </w:p>
        </w:tc>
      </w:tr>
      <w:tr>
        <w:trPr>
          <w:trHeight w:val="124"/>
        </w:trPr>
        <w:tc>
          <w:tcPr>
            <w:tcW w:w="236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89"/>
              </w:rPr>
            </w:pPr>
            <w:hyperlink w:anchor="page55">
              <w:r>
                <w:rPr>
                  <w:rFonts w:ascii="Arial" w:cs="Arial" w:eastAsia="Arial" w:hAnsi="Arial"/>
                  <w:sz w:val="12"/>
                  <w:szCs w:val="12"/>
                  <w:color w:val="0000EE"/>
                  <w:w w:val="89"/>
                </w:rPr>
                <w:t>Consolidated Statements of Shareholders’ Equity</w:t>
              </w:r>
            </w:hyperlink>
          </w:p>
        </w:tc>
        <w:tc>
          <w:tcPr>
            <w:tcW w:w="460" w:type="dxa"/>
            <w:vAlign w:val="bottom"/>
            <w:tcBorders>
              <w:top w:val="single" w:sz="8" w:color="0000EE"/>
            </w:tcBorders>
            <w:gridSpan w:val="2"/>
          </w:tcPr>
          <w:p>
            <w:pPr>
              <w:spacing w:after="0"/>
              <w:rPr>
                <w:sz w:val="10"/>
                <w:szCs w:val="10"/>
                <w:color w:val="auto"/>
              </w:rPr>
            </w:pPr>
          </w:p>
        </w:tc>
        <w:tc>
          <w:tcPr>
            <w:tcW w:w="5700" w:type="dxa"/>
            <w:vAlign w:val="bottom"/>
            <w:gridSpan w:val="2"/>
          </w:tcPr>
          <w:p>
            <w:pPr>
              <w:spacing w:after="0"/>
              <w:rPr>
                <w:sz w:val="10"/>
                <w:szCs w:val="10"/>
                <w:color w:val="auto"/>
              </w:rPr>
            </w:pPr>
          </w:p>
        </w:tc>
        <w:tc>
          <w:tcPr>
            <w:tcW w:w="2960" w:type="dxa"/>
            <w:vAlign w:val="bottom"/>
          </w:tcPr>
          <w:p>
            <w:pPr>
              <w:ind w:left="2780"/>
              <w:spacing w:after="0" w:line="124" w:lineRule="exact"/>
              <w:rPr>
                <w:sz w:val="20"/>
                <w:szCs w:val="20"/>
                <w:color w:val="auto"/>
              </w:rPr>
            </w:pPr>
            <w:r>
              <w:rPr>
                <w:rFonts w:ascii="Arial" w:cs="Arial" w:eastAsia="Arial" w:hAnsi="Arial"/>
                <w:sz w:val="12"/>
                <w:szCs w:val="12"/>
                <w:color w:val="auto"/>
                <w:w w:val="88"/>
              </w:rPr>
              <w:t>F-5</w:t>
            </w:r>
          </w:p>
        </w:tc>
      </w:tr>
      <w:tr>
        <w:trPr>
          <w:trHeight w:val="124"/>
        </w:trPr>
        <w:tc>
          <w:tcPr>
            <w:tcW w:w="8520" w:type="dxa"/>
            <w:vAlign w:val="bottom"/>
            <w:gridSpan w:val="9"/>
          </w:tcPr>
          <w:p>
            <w:pPr>
              <w:spacing w:after="0" w:line="124" w:lineRule="exact"/>
              <w:rPr>
                <w:rFonts w:ascii="Arial" w:cs="Arial" w:eastAsia="Arial" w:hAnsi="Arial"/>
                <w:sz w:val="12"/>
                <w:szCs w:val="12"/>
                <w:color w:val="0000EE"/>
              </w:rPr>
            </w:pPr>
            <w:hyperlink w:anchor="page57">
              <w:r>
                <w:rPr>
                  <w:rFonts w:ascii="Arial" w:cs="Arial" w:eastAsia="Arial" w:hAnsi="Arial"/>
                  <w:sz w:val="12"/>
                  <w:szCs w:val="12"/>
                  <w:color w:val="0000EE"/>
                </w:rPr>
                <w:t>Consolidated Statements of Cash Flows</w:t>
              </w:r>
            </w:hyperlink>
          </w:p>
        </w:tc>
        <w:tc>
          <w:tcPr>
            <w:tcW w:w="2960" w:type="dxa"/>
            <w:vAlign w:val="bottom"/>
          </w:tcPr>
          <w:p>
            <w:pPr>
              <w:ind w:left="2780"/>
              <w:spacing w:after="0" w:line="124" w:lineRule="exact"/>
              <w:rPr>
                <w:sz w:val="20"/>
                <w:szCs w:val="20"/>
                <w:color w:val="auto"/>
              </w:rPr>
            </w:pPr>
            <w:r>
              <w:rPr>
                <w:rFonts w:ascii="Arial" w:cs="Arial" w:eastAsia="Arial" w:hAnsi="Arial"/>
                <w:sz w:val="12"/>
                <w:szCs w:val="12"/>
                <w:color w:val="auto"/>
                <w:w w:val="88"/>
              </w:rPr>
              <w:t>F-7</w:t>
            </w:r>
          </w:p>
        </w:tc>
      </w:tr>
      <w:tr>
        <w:trPr>
          <w:trHeight w:val="20"/>
        </w:trPr>
        <w:tc>
          <w:tcPr>
            <w:tcW w:w="1900" w:type="dxa"/>
            <w:vAlign w:val="bottom"/>
            <w:gridSpan w:val="4"/>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24"/>
        </w:trPr>
        <w:tc>
          <w:tcPr>
            <w:tcW w:w="8520" w:type="dxa"/>
            <w:vAlign w:val="bottom"/>
            <w:gridSpan w:val="9"/>
          </w:tcPr>
          <w:p>
            <w:pPr>
              <w:spacing w:after="0" w:line="124" w:lineRule="exact"/>
              <w:rPr>
                <w:rFonts w:ascii="Arial" w:cs="Arial" w:eastAsia="Arial" w:hAnsi="Arial"/>
                <w:sz w:val="12"/>
                <w:szCs w:val="12"/>
                <w:color w:val="0000EE"/>
              </w:rPr>
            </w:pPr>
            <w:hyperlink w:anchor="page59">
              <w:r>
                <w:rPr>
                  <w:rFonts w:ascii="Arial" w:cs="Arial" w:eastAsia="Arial" w:hAnsi="Arial"/>
                  <w:sz w:val="12"/>
                  <w:szCs w:val="12"/>
                  <w:color w:val="0000EE"/>
                </w:rPr>
                <w:t>Notes to Consolidated Financial Statements for the Years Ended December 31, 2018, 2017 and 2016</w:t>
              </w:r>
            </w:hyperlink>
          </w:p>
        </w:tc>
        <w:tc>
          <w:tcPr>
            <w:tcW w:w="2960" w:type="dxa"/>
            <w:vAlign w:val="bottom"/>
          </w:tcPr>
          <w:p>
            <w:pPr>
              <w:ind w:left="2780"/>
              <w:spacing w:after="0" w:line="124" w:lineRule="exact"/>
              <w:rPr>
                <w:sz w:val="20"/>
                <w:szCs w:val="20"/>
                <w:color w:val="auto"/>
              </w:rPr>
            </w:pPr>
            <w:r>
              <w:rPr>
                <w:rFonts w:ascii="Arial" w:cs="Arial" w:eastAsia="Arial" w:hAnsi="Arial"/>
                <w:sz w:val="12"/>
                <w:szCs w:val="12"/>
                <w:color w:val="auto"/>
                <w:w w:val="88"/>
              </w:rPr>
              <w:t>F-9</w:t>
            </w:r>
          </w:p>
        </w:tc>
      </w:tr>
      <w:tr>
        <w:trPr>
          <w:trHeight w:val="20"/>
        </w:trPr>
        <w:tc>
          <w:tcPr>
            <w:tcW w:w="440" w:type="dxa"/>
            <w:vAlign w:val="bottom"/>
            <w:shd w:val="clear" w:color="auto" w:fill="0000EE"/>
          </w:tcPr>
          <w:p>
            <w:pPr>
              <w:spacing w:after="0" w:line="20" w:lineRule="exact"/>
              <w:rPr>
                <w:sz w:val="1"/>
                <w:szCs w:val="1"/>
                <w:color w:val="auto"/>
              </w:rPr>
            </w:pPr>
          </w:p>
        </w:tc>
        <w:tc>
          <w:tcPr>
            <w:tcW w:w="4380" w:type="dxa"/>
            <w:vAlign w:val="bottom"/>
            <w:gridSpan w:val="7"/>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21"/>
        </w:trPr>
        <w:tc>
          <w:tcPr>
            <w:tcW w:w="440" w:type="dxa"/>
            <w:vAlign w:val="bottom"/>
          </w:tcPr>
          <w:p>
            <w:pPr>
              <w:spacing w:after="0"/>
              <w:rPr>
                <w:sz w:val="20"/>
                <w:szCs w:val="20"/>
                <w:color w:val="auto"/>
              </w:rPr>
            </w:pPr>
            <w:r>
              <w:rPr>
                <w:rFonts w:ascii="Arial" w:cs="Arial" w:eastAsia="Arial" w:hAnsi="Arial"/>
                <w:sz w:val="12"/>
                <w:szCs w:val="12"/>
                <w:b w:val="1"/>
                <w:bCs w:val="1"/>
                <w:color w:val="auto"/>
              </w:rPr>
              <w:t>Item 9.</w:t>
            </w:r>
          </w:p>
        </w:tc>
        <w:tc>
          <w:tcPr>
            <w:tcW w:w="8080" w:type="dxa"/>
            <w:vAlign w:val="bottom"/>
            <w:gridSpan w:val="8"/>
          </w:tcPr>
          <w:p>
            <w:pPr>
              <w:ind w:left="720"/>
              <w:spacing w:after="0"/>
              <w:rPr>
                <w:sz w:val="20"/>
                <w:szCs w:val="20"/>
                <w:color w:val="auto"/>
              </w:rPr>
            </w:pPr>
            <w:r>
              <w:rPr>
                <w:rFonts w:ascii="Arial" w:cs="Arial" w:eastAsia="Arial" w:hAnsi="Arial"/>
                <w:sz w:val="12"/>
                <w:szCs w:val="12"/>
                <w:b w:val="1"/>
                <w:bCs w:val="1"/>
                <w:color w:val="auto"/>
              </w:rPr>
              <w:t>Changes in and Disagreements with Accountants on Accounting and Financial Disclosure</w:t>
            </w:r>
          </w:p>
        </w:tc>
        <w:tc>
          <w:tcPr>
            <w:tcW w:w="2960" w:type="dxa"/>
            <w:vAlign w:val="bottom"/>
          </w:tcPr>
          <w:p>
            <w:pPr>
              <w:spacing w:after="0"/>
              <w:rPr>
                <w:sz w:val="24"/>
                <w:szCs w:val="24"/>
                <w:color w:val="auto"/>
              </w:rPr>
            </w:pPr>
          </w:p>
        </w:tc>
      </w:tr>
      <w:tr>
        <w:trPr>
          <w:trHeight w:val="288"/>
        </w:trPr>
        <w:tc>
          <w:tcPr>
            <w:tcW w:w="440" w:type="dxa"/>
            <w:vAlign w:val="bottom"/>
          </w:tcPr>
          <w:p>
            <w:pPr>
              <w:spacing w:after="0"/>
              <w:rPr>
                <w:sz w:val="24"/>
                <w:szCs w:val="24"/>
                <w:color w:val="auto"/>
              </w:rPr>
            </w:pPr>
          </w:p>
        </w:tc>
        <w:tc>
          <w:tcPr>
            <w:tcW w:w="8080" w:type="dxa"/>
            <w:vAlign w:val="bottom"/>
            <w:gridSpan w:val="8"/>
          </w:tcPr>
          <w:p>
            <w:pPr>
              <w:ind w:left="80"/>
              <w:spacing w:after="0"/>
              <w:rPr>
                <w:sz w:val="20"/>
                <w:szCs w:val="20"/>
                <w:color w:val="auto"/>
              </w:rPr>
            </w:pPr>
            <w:r>
              <w:rPr>
                <w:rFonts w:ascii="Arial" w:cs="Arial" w:eastAsia="Arial" w:hAnsi="Arial"/>
                <w:sz w:val="12"/>
                <w:szCs w:val="12"/>
                <w:color w:val="auto"/>
              </w:rPr>
              <w:t>None.</w:t>
            </w:r>
          </w:p>
        </w:tc>
        <w:tc>
          <w:tcPr>
            <w:tcW w:w="2960" w:type="dxa"/>
            <w:vAlign w:val="bottom"/>
          </w:tcPr>
          <w:p>
            <w:pPr>
              <w:spacing w:after="0"/>
              <w:rPr>
                <w:sz w:val="24"/>
                <w:szCs w:val="24"/>
                <w:color w:val="auto"/>
              </w:rPr>
            </w:pPr>
          </w:p>
        </w:tc>
      </w:tr>
    </w:tbl>
    <w:p>
      <w:pPr>
        <w:spacing w:after="0" w:line="203"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0"/>
          <w:szCs w:val="10"/>
          <w:b w:val="1"/>
          <w:bCs w:val="1"/>
          <w:color w:val="auto"/>
        </w:rPr>
        <w:t>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82" w:lineRule="exact"/>
        <w:rPr>
          <w:sz w:val="20"/>
          <w:szCs w:val="20"/>
          <w:color w:val="auto"/>
        </w:rPr>
      </w:pPr>
    </w:p>
    <w:p>
      <w:pPr>
        <w:ind w:right="200" w:firstLine="521"/>
        <w:spacing w:after="0" w:line="298" w:lineRule="auto"/>
        <w:rPr>
          <w:sz w:val="20"/>
          <w:szCs w:val="20"/>
          <w:color w:val="auto"/>
        </w:rPr>
      </w:pPr>
      <w:r>
        <w:rPr>
          <w:rFonts w:ascii="Arial" w:cs="Arial" w:eastAsia="Arial" w:hAnsi="Arial"/>
          <w:sz w:val="11"/>
          <w:szCs w:val="11"/>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In connection with the preparation of this Annual Report on Form 10-K, our management, with the participation of our Chief Executive Officer and Chief Financial Officer, carried out an evaluation of the effectiveness of the design and operation of our disclosure controls and procedures as of December 31, 2018. Based on that evaluation, our management, including our Chief Executive Officer and Chief Financial Officer, concluded that our disclosure controls and procedures were effective as of December 31, 2018.</w:t>
      </w:r>
    </w:p>
    <w:p>
      <w:pPr>
        <w:spacing w:after="0" w:line="123" w:lineRule="exact"/>
        <w:rPr>
          <w:sz w:val="20"/>
          <w:szCs w:val="20"/>
          <w:color w:val="auto"/>
        </w:rPr>
      </w:pPr>
    </w:p>
    <w:p>
      <w:pPr>
        <w:ind w:right="180" w:firstLine="521"/>
        <w:spacing w:after="0" w:line="281" w:lineRule="auto"/>
        <w:rPr>
          <w:sz w:val="20"/>
          <w:szCs w:val="20"/>
          <w:color w:val="auto"/>
        </w:rPr>
      </w:pPr>
      <w:r>
        <w:rPr>
          <w:rFonts w:ascii="Arial" w:cs="Arial" w:eastAsia="Arial" w:hAnsi="Arial"/>
          <w:sz w:val="11"/>
          <w:szCs w:val="11"/>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2"/>
          <w:szCs w:val="12"/>
          <w:color w:val="auto"/>
        </w:rPr>
        <w:t>costs. Because of the inherent limitations in all control systems, no evaluation of controls can provide absolute assurance that all control issues and instance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82"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Officer, the Company conducted an evaluation of the effectiveness of internal control over financial reporting as of December 31, 2018, based on the criteria set forth in Internal Control – Integrated Framework (2013) (the “Framework”) issued by the Committee of Sponsoring Organizations of the Treadway Commission (“COSO”). Based on this assessment, management concluded that, as of December 31, 2018, its internal control over financial reporting was effective based on the Framework.</w:t>
      </w:r>
    </w:p>
    <w:p>
      <w:pPr>
        <w:spacing w:after="0" w:line="125"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43" w:name="page44"/>
    <w:bookmarkEnd w:id="43"/>
    <w:p>
      <w:pPr>
        <w:ind w:left="520"/>
        <w:spacing w:after="0"/>
        <w:rPr>
          <w:sz w:val="20"/>
          <w:szCs w:val="20"/>
          <w:color w:val="auto"/>
        </w:rPr>
      </w:pPr>
      <w:r>
        <w:rPr>
          <w:rFonts w:ascii="Arial" w:cs="Arial" w:eastAsia="Arial" w:hAnsi="Arial"/>
          <w:sz w:val="12"/>
          <w:szCs w:val="12"/>
          <w:color w:val="auto"/>
        </w:rPr>
        <w:t>Item 9A includes the audit report of BDO USA, LLP on the Company’s internal control over financial reporting as of December 31, 2018.</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18" w:lineRule="exact"/>
        <w:rPr>
          <w:sz w:val="20"/>
          <w:szCs w:val="20"/>
          <w:color w:val="auto"/>
        </w:rPr>
      </w:pPr>
    </w:p>
    <w:p>
      <w:pPr>
        <w:ind w:firstLine="766"/>
        <w:spacing w:after="0" w:line="298" w:lineRule="auto"/>
        <w:rPr>
          <w:sz w:val="20"/>
          <w:szCs w:val="20"/>
          <w:color w:val="auto"/>
        </w:rPr>
      </w:pPr>
      <w:r>
        <w:rPr>
          <w:rFonts w:ascii="Arial" w:cs="Arial" w:eastAsia="Arial" w:hAnsi="Arial"/>
          <w:sz w:val="11"/>
          <w:szCs w:val="11"/>
          <w:color w:val="auto"/>
        </w:rPr>
        <w:t>There were no changes in our internal control over financial reporting during the quarter ended December 31, 2018 that have materially affected, or are reasonably likely to materially affect, our internal control over financial reporting. During 2018, we implemented internal controls to ensure we have adequately evaluated our lease contracts and properly assessed the impact of the new accounting standard related to lease recognition on our financial statements to facilitate the adoption on January 1, 2019. We do not expect significant changes to our internal control over financial reporting due to the adoption of the new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40"/>
          </w:cols>
          <w:pgMar w:left="220" w:top="419" w:right="33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Corp.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Cincinnati, Ohio</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audited CECO Environmental Corp. and Subsidiaries’ (the “Company’s”) internal control over financial reporting as of December 31, 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(the “COSO criteria”). In our opinion, the Company maintained, in all material respects, effective internal control over financial reporting as of December 31, 2018, based on the COSO criteria</w:t>
      </w:r>
      <w:r>
        <w:rPr>
          <w:rFonts w:ascii="Arial" w:cs="Arial" w:eastAsia="Arial" w:hAnsi="Arial"/>
          <w:sz w:val="12"/>
          <w:szCs w:val="12"/>
          <w:i w:val="1"/>
          <w:iCs w:val="1"/>
          <w:color w:val="auto"/>
        </w:rPr>
        <w:t>.</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2018 and 2017, the related consolidated statements of operations and comprehensive income (loss), shareholders’ equity, and cash flows for each of the three years in the period ended December 31, 2018, and the related notes and our report dated March 7, 2019, expressed an unqualified opinion thereon.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Cincinnati, Ohio</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45" w:name="page46"/>
    <w:bookmarkEnd w:id="45"/>
    <w:p>
      <w:pPr>
        <w:spacing w:after="0"/>
        <w:tabs>
          <w:tab w:leader="none" w:pos="11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271" w:right="1440" w:bottom="1440" w:gutter="0" w:footer="0" w:header="0"/>
        </w:sectPr>
      </w:pPr>
    </w:p>
    <w:bookmarkStart w:id="46" w:name="page47"/>
    <w:bookmarkEnd w:id="46"/>
    <w:p>
      <w:pPr>
        <w:jc w:val="center"/>
        <w:ind w:right="12"/>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0"/>
          <w:szCs w:val="10"/>
          <w:b w:val="1"/>
          <w:bCs w:val="1"/>
          <w:color w:val="auto"/>
        </w:rPr>
        <w:t>Directors, Executive Officers and Corporate Governance</w:t>
      </w:r>
    </w:p>
    <w:p>
      <w:pPr>
        <w:spacing w:after="0" w:line="82" w:lineRule="exact"/>
        <w:rPr>
          <w:sz w:val="20"/>
          <w:szCs w:val="20"/>
          <w:color w:val="auto"/>
        </w:rPr>
      </w:pPr>
    </w:p>
    <w:p>
      <w:pPr>
        <w:ind w:left="8" w:right="20" w:firstLine="521"/>
        <w:spacing w:after="0" w:line="263" w:lineRule="auto"/>
        <w:rPr>
          <w:sz w:val="20"/>
          <w:szCs w:val="20"/>
          <w:color w:val="auto"/>
        </w:rPr>
      </w:pPr>
      <w:r>
        <w:rPr>
          <w:rFonts w:ascii="Arial" w:cs="Arial" w:eastAsia="Arial" w:hAnsi="Arial"/>
          <w:sz w:val="12"/>
          <w:szCs w:val="12"/>
          <w:color w:val="auto"/>
        </w:rPr>
        <w:t>The information called for by this Item 10 of Part III of Form 10-K is incorporated by reference to the information set forth in our definitive proxy statement relating to our 2019 Annual Meeting of Stockholders to be filed pursuant to Regulation 14A under the Exchange Act within 120 days from December 31, 2018 (the “Proxy Statement”). Reference is also made to the information appearing in Item 1 of Part I of this Annual Report on Form 10-K under the caption “Business— Executive Officers of CECO.”</w:t>
      </w:r>
    </w:p>
    <w:p>
      <w:pPr>
        <w:spacing w:after="0" w:line="191"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Executive Compensation</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information called for by this Item 11 of Part III of Form 10-K is incorporated by reference to the Proxy Statement.</w:t>
      </w:r>
    </w:p>
    <w:p>
      <w:pPr>
        <w:spacing w:after="0" w:line="218"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0"/>
          <w:szCs w:val="10"/>
          <w:b w:val="1"/>
          <w:bCs w:val="1"/>
          <w:color w:val="auto"/>
        </w:rPr>
        <w:t>Security Ownership of Certain Beneficial Owners and Management and Related Stockholder Matters</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information called for by this Item 12 of Part III of Form 10-K is incorporated by reference to the Proxy Statement.</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222"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EQUITY COMPENSATION PLAN INFORMATION</w:t>
      </w:r>
    </w:p>
    <w:p>
      <w:pPr>
        <w:sectPr>
          <w:pgSz w:w="11900" w:h="16838" w:orient="portrait"/>
          <w:cols w:equalWidth="0" w:num="1">
            <w:col w:w="11488"/>
          </w:cols>
          <w:pgMar w:left="212" w:top="271" w:right="199" w:bottom="1440" w:gutter="0" w:footer="0" w:header="0"/>
        </w:sectPr>
      </w:pP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Plan Category</w:t>
      </w:r>
    </w:p>
    <w:p>
      <w:pPr>
        <w:spacing w:after="0" w:line="9" w:lineRule="exact"/>
        <w:rPr>
          <w:sz w:val="20"/>
          <w:szCs w:val="20"/>
          <w:color w:val="auto"/>
        </w:rPr>
      </w:pPr>
    </w:p>
    <w:p>
      <w:pPr>
        <w:ind w:left="8"/>
        <w:spacing w:after="0"/>
        <w:rPr>
          <w:sz w:val="20"/>
          <w:szCs w:val="20"/>
          <w:color w:val="auto"/>
        </w:rPr>
      </w:pPr>
      <w:r>
        <w:rPr>
          <w:rFonts w:ascii="Arial" w:cs="Arial" w:eastAsia="Arial" w:hAnsi="Arial"/>
          <w:sz w:val="10"/>
          <w:szCs w:val="10"/>
          <w:color w:val="auto"/>
        </w:rPr>
        <w:t>Equity compensation plans approved by security</w:t>
      </w:r>
    </w:p>
    <w:p>
      <w:pPr>
        <w:spacing w:after="0" w:line="37" w:lineRule="exact"/>
        <w:rPr>
          <w:sz w:val="20"/>
          <w:szCs w:val="20"/>
          <w:color w:val="auto"/>
        </w:rPr>
      </w:pPr>
    </w:p>
    <w:p>
      <w:pPr>
        <w:ind w:left="88"/>
        <w:spacing w:after="0"/>
        <w:rPr>
          <w:sz w:val="20"/>
          <w:szCs w:val="20"/>
          <w:color w:val="auto"/>
        </w:rPr>
      </w:pPr>
      <w:r>
        <w:rPr>
          <w:rFonts w:ascii="Arial" w:cs="Arial" w:eastAsia="Arial" w:hAnsi="Arial"/>
          <w:sz w:val="12"/>
          <w:szCs w:val="12"/>
          <w:color w:val="auto"/>
        </w:rPr>
        <w:t>holders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1"/>
              </w:rPr>
              <w:t>(a)</w:t>
            </w:r>
          </w:p>
        </w:tc>
        <w:tc>
          <w:tcPr>
            <w:tcW w:w="2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(b)</w:t>
            </w: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7"/>
              </w:rPr>
              <w:t>(c)</w:t>
            </w:r>
          </w:p>
        </w:tc>
      </w:tr>
      <w:tr>
        <w:trPr>
          <w:trHeight w:val="99"/>
        </w:trPr>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Number of securities</w:t>
            </w:r>
          </w:p>
        </w:tc>
      </w:tr>
      <w:tr>
        <w:trPr>
          <w:trHeight w:val="99"/>
        </w:trPr>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8"/>
              </w:rPr>
              <w:t>remaining available for</w:t>
            </w:r>
          </w:p>
        </w:tc>
      </w:tr>
      <w:tr>
        <w:trPr>
          <w:trHeight w:val="99"/>
        </w:trPr>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future issuance under</w:t>
            </w:r>
          </w:p>
        </w:tc>
      </w:tr>
      <w:tr>
        <w:trPr>
          <w:trHeight w:val="99"/>
        </w:trPr>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6"/>
              </w:rPr>
              <w:t>Number of securities</w:t>
            </w:r>
          </w:p>
        </w:tc>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Weighted-average</w:t>
            </w: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3"/>
              </w:rPr>
              <w:t>equity compensation</w:t>
            </w:r>
          </w:p>
        </w:tc>
      </w:tr>
      <w:tr>
        <w:trPr>
          <w:trHeight w:val="99"/>
        </w:trPr>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1"/>
              </w:rPr>
              <w:t>to be issued upon</w:t>
            </w:r>
          </w:p>
        </w:tc>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exercise price of</w:t>
            </w: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plans (excluding</w:t>
            </w:r>
          </w:p>
        </w:tc>
      </w:tr>
      <w:tr>
        <w:trPr>
          <w:trHeight w:val="99"/>
        </w:trPr>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exercise of outstanding</w:t>
            </w:r>
          </w:p>
        </w:tc>
        <w:tc>
          <w:tcPr>
            <w:tcW w:w="2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outstanding options and rights,</w:t>
            </w: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securities reflected in</w:t>
            </w:r>
          </w:p>
        </w:tc>
      </w:tr>
      <w:tr>
        <w:trPr>
          <w:trHeight w:val="114"/>
        </w:trPr>
        <w:tc>
          <w:tcPr>
            <w:tcW w:w="1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options and rights</w:t>
            </w:r>
          </w:p>
        </w:tc>
        <w:tc>
          <w:tcPr>
            <w:tcW w:w="260" w:type="dxa"/>
            <w:vAlign w:val="bottom"/>
          </w:tcPr>
          <w:p>
            <w:pPr>
              <w:spacing w:after="0"/>
              <w:rPr>
                <w:sz w:val="9"/>
                <w:szCs w:val="9"/>
                <w:color w:val="auto"/>
              </w:rPr>
            </w:pPr>
          </w:p>
        </w:tc>
        <w:tc>
          <w:tcPr>
            <w:tcW w:w="1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2"/>
              </w:rPr>
              <w:t>compensation plans</w:t>
            </w:r>
          </w:p>
        </w:tc>
        <w:tc>
          <w:tcPr>
            <w:tcW w:w="260" w:type="dxa"/>
            <w:vAlign w:val="bottom"/>
          </w:tcPr>
          <w:p>
            <w:pPr>
              <w:spacing w:after="0"/>
              <w:rPr>
                <w:sz w:val="9"/>
                <w:szCs w:val="9"/>
                <w:color w:val="auto"/>
              </w:rPr>
            </w:pPr>
          </w:p>
        </w:tc>
        <w:tc>
          <w:tcPr>
            <w:tcW w:w="1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column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-5080</wp:posOffset>
            </wp:positionV>
            <wp:extent cx="7292340" cy="194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194310"/>
                    </a:xfrm>
                    <a:prstGeom prst="rect">
                      <a:avLst/>
                    </a:prstGeom>
                    <a:noFill/>
                  </pic:spPr>
                </pic:pic>
              </a:graphicData>
            </a:graphic>
          </wp:anchor>
        </w:drawing>
      </w:r>
    </w:p>
    <w:p>
      <w:pPr>
        <w:spacing w:after="0" w:line="297" w:lineRule="exact"/>
        <w:rPr>
          <w:sz w:val="20"/>
          <w:szCs w:val="20"/>
          <w:color w:val="auto"/>
        </w:rPr>
      </w:pPr>
    </w:p>
    <w:p>
      <w:pPr>
        <w:sectPr>
          <w:pgSz w:w="11900" w:h="16838" w:orient="portrait"/>
          <w:cols w:equalWidth="0" w:num="2">
            <w:col w:w="4908" w:space="720"/>
            <w:col w:w="5860"/>
          </w:cols>
          <w:pgMar w:left="212" w:top="271" w:right="199" w:bottom="1440" w:gutter="0" w:footer="0" w:header="0"/>
          <w:type w:val="continuous"/>
        </w:sectPr>
      </w:pPr>
    </w:p>
    <w:tbl>
      <w:tblPr>
        <w:tblLayout w:type="fixed"/>
        <w:tblInd w:w="8" w:type="dxa"/>
        <w:tblCellMar>
          <w:top w:w="0" w:type="dxa"/>
          <w:left w:w="0" w:type="dxa"/>
          <w:bottom w:w="0" w:type="dxa"/>
          <w:right w:w="0" w:type="dxa"/>
        </w:tblCellMar>
      </w:tblPr>
      <w:tr>
        <w:trPr>
          <w:trHeight w:val="153"/>
        </w:trPr>
        <w:tc>
          <w:tcPr>
            <w:tcW w:w="420" w:type="dxa"/>
            <w:vAlign w:val="bottom"/>
          </w:tcPr>
          <w:p>
            <w:pPr>
              <w:ind w:left="160"/>
              <w:spacing w:after="0"/>
              <w:rPr>
                <w:sz w:val="20"/>
                <w:szCs w:val="20"/>
                <w:color w:val="auto"/>
              </w:rPr>
            </w:pPr>
            <w:r>
              <w:rPr>
                <w:rFonts w:ascii="Arial" w:cs="Arial" w:eastAsia="Arial" w:hAnsi="Arial"/>
                <w:sz w:val="12"/>
                <w:szCs w:val="12"/>
                <w:color w:val="auto"/>
                <w:w w:val="89"/>
              </w:rPr>
              <w:t>2007</w:t>
            </w:r>
          </w:p>
        </w:tc>
        <w:tc>
          <w:tcPr>
            <w:tcW w:w="4460" w:type="dxa"/>
            <w:vAlign w:val="bottom"/>
          </w:tcPr>
          <w:p>
            <w:pPr>
              <w:spacing w:after="0"/>
              <w:rPr>
                <w:sz w:val="20"/>
                <w:szCs w:val="20"/>
                <w:color w:val="auto"/>
              </w:rPr>
            </w:pPr>
            <w:r>
              <w:rPr>
                <w:rFonts w:ascii="Arial" w:cs="Arial" w:eastAsia="Arial" w:hAnsi="Arial"/>
                <w:sz w:val="12"/>
                <w:szCs w:val="12"/>
                <w:color w:val="auto"/>
              </w:rPr>
              <w:t xml:space="preserve">Equity Incentive Plan </w:t>
            </w:r>
            <w:r>
              <w:rPr>
                <w:rFonts w:ascii="Arial" w:cs="Arial" w:eastAsia="Arial" w:hAnsi="Arial"/>
                <w:sz w:val="10"/>
                <w:szCs w:val="10"/>
                <w:color w:val="auto"/>
              </w:rPr>
              <w:t>1</w:t>
            </w:r>
          </w:p>
        </w:tc>
        <w:tc>
          <w:tcPr>
            <w:tcW w:w="2600" w:type="dxa"/>
            <w:vAlign w:val="bottom"/>
          </w:tcPr>
          <w:p>
            <w:pPr>
              <w:jc w:val="right"/>
              <w:ind w:right="60"/>
              <w:spacing w:after="0"/>
              <w:rPr>
                <w:sz w:val="20"/>
                <w:szCs w:val="20"/>
                <w:color w:val="auto"/>
              </w:rPr>
            </w:pPr>
            <w:r>
              <w:rPr>
                <w:rFonts w:ascii="Arial" w:cs="Arial" w:eastAsia="Arial" w:hAnsi="Arial"/>
                <w:sz w:val="12"/>
                <w:szCs w:val="12"/>
                <w:color w:val="auto"/>
              </w:rPr>
              <w:t>590,989</w:t>
            </w:r>
          </w:p>
        </w:tc>
        <w:tc>
          <w:tcPr>
            <w:tcW w:w="92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700"/>
              <w:spacing w:after="0"/>
              <w:rPr>
                <w:sz w:val="20"/>
                <w:szCs w:val="20"/>
                <w:color w:val="auto"/>
              </w:rPr>
            </w:pPr>
            <w:r>
              <w:rPr>
                <w:rFonts w:ascii="Arial" w:cs="Arial" w:eastAsia="Arial" w:hAnsi="Arial"/>
                <w:sz w:val="12"/>
                <w:szCs w:val="12"/>
                <w:color w:val="auto"/>
              </w:rPr>
              <w:t>7.92</w:t>
            </w:r>
          </w:p>
        </w:tc>
        <w:tc>
          <w:tcPr>
            <w:tcW w:w="136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42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2017</w:t>
            </w:r>
          </w:p>
        </w:tc>
        <w:tc>
          <w:tcPr>
            <w:tcW w:w="446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Equity and Incentive Plan </w:t>
            </w:r>
            <w:r>
              <w:rPr>
                <w:rFonts w:ascii="Arial" w:cs="Arial" w:eastAsia="Arial" w:hAnsi="Arial"/>
                <w:sz w:val="10"/>
                <w:szCs w:val="10"/>
                <w:color w:val="auto"/>
              </w:rPr>
              <w:t>2</w:t>
            </w:r>
          </w:p>
        </w:tc>
        <w:tc>
          <w:tcPr>
            <w:tcW w:w="26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1,245,595</w:t>
            </w:r>
          </w:p>
        </w:tc>
        <w:tc>
          <w:tcPr>
            <w:tcW w:w="92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FF0FC"/>
          </w:tcPr>
          <w:p>
            <w:pPr>
              <w:jc w:val="right"/>
              <w:ind w:right="700"/>
              <w:spacing w:after="0"/>
              <w:rPr>
                <w:sz w:val="20"/>
                <w:szCs w:val="20"/>
                <w:color w:val="auto"/>
              </w:rPr>
            </w:pPr>
            <w:r>
              <w:rPr>
                <w:rFonts w:ascii="Arial" w:cs="Arial" w:eastAsia="Arial" w:hAnsi="Arial"/>
                <w:sz w:val="12"/>
                <w:szCs w:val="12"/>
                <w:color w:val="auto"/>
              </w:rPr>
              <w:t>0.49</w:t>
            </w:r>
          </w:p>
        </w:tc>
        <w:tc>
          <w:tcPr>
            <w:tcW w:w="136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1,266,491</w:t>
            </w:r>
          </w:p>
        </w:tc>
      </w:tr>
      <w:tr>
        <w:trPr>
          <w:trHeight w:val="153"/>
        </w:trPr>
        <w:tc>
          <w:tcPr>
            <w:tcW w:w="4880" w:type="dxa"/>
            <w:vAlign w:val="bottom"/>
            <w:gridSpan w:val="2"/>
          </w:tcPr>
          <w:p>
            <w:pPr>
              <w:ind w:left="160"/>
              <w:spacing w:after="0"/>
              <w:rPr>
                <w:sz w:val="20"/>
                <w:szCs w:val="20"/>
                <w:color w:val="auto"/>
              </w:rPr>
            </w:pPr>
            <w:r>
              <w:rPr>
                <w:rFonts w:ascii="Arial" w:cs="Arial" w:eastAsia="Arial" w:hAnsi="Arial"/>
                <w:sz w:val="12"/>
                <w:szCs w:val="12"/>
                <w:color w:val="auto"/>
              </w:rPr>
              <w:t xml:space="preserve">Employee Stock Purchase Plan </w:t>
            </w:r>
            <w:r>
              <w:rPr>
                <w:rFonts w:ascii="Arial" w:cs="Arial" w:eastAsia="Arial" w:hAnsi="Arial"/>
                <w:sz w:val="10"/>
                <w:szCs w:val="10"/>
                <w:color w:val="auto"/>
              </w:rPr>
              <w:t>3</w:t>
            </w:r>
          </w:p>
        </w:tc>
        <w:tc>
          <w:tcPr>
            <w:tcW w:w="2600" w:type="dxa"/>
            <w:vAlign w:val="bottom"/>
          </w:tcPr>
          <w:p>
            <w:pPr>
              <w:jc w:val="right"/>
              <w:ind w:right="60"/>
              <w:spacing w:after="0"/>
              <w:rPr>
                <w:sz w:val="20"/>
                <w:szCs w:val="20"/>
                <w:color w:val="auto"/>
              </w:rPr>
            </w:pPr>
            <w:r>
              <w:rPr>
                <w:rFonts w:ascii="Arial" w:cs="Arial" w:eastAsia="Arial" w:hAnsi="Arial"/>
                <w:sz w:val="12"/>
                <w:szCs w:val="12"/>
                <w:color w:val="auto"/>
              </w:rPr>
              <w:t>13,699</w:t>
            </w:r>
          </w:p>
        </w:tc>
        <w:tc>
          <w:tcPr>
            <w:tcW w:w="92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700"/>
              <w:spacing w:after="0"/>
              <w:rPr>
                <w:sz w:val="20"/>
                <w:szCs w:val="20"/>
                <w:color w:val="auto"/>
              </w:rPr>
            </w:pPr>
            <w:r>
              <w:rPr>
                <w:rFonts w:ascii="Arial" w:cs="Arial" w:eastAsia="Arial" w:hAnsi="Arial"/>
                <w:sz w:val="12"/>
                <w:szCs w:val="12"/>
                <w:color w:val="auto"/>
              </w:rPr>
              <w:t>5.33</w:t>
            </w:r>
          </w:p>
        </w:tc>
        <w:tc>
          <w:tcPr>
            <w:tcW w:w="1360" w:type="dxa"/>
            <w:vAlign w:val="bottom"/>
          </w:tcPr>
          <w:p>
            <w:pPr>
              <w:jc w:val="right"/>
              <w:ind w:right="80"/>
              <w:spacing w:after="0"/>
              <w:rPr>
                <w:sz w:val="20"/>
                <w:szCs w:val="20"/>
                <w:color w:val="auto"/>
              </w:rPr>
            </w:pPr>
            <w:r>
              <w:rPr>
                <w:rFonts w:ascii="Arial" w:cs="Arial" w:eastAsia="Arial" w:hAnsi="Arial"/>
                <w:sz w:val="12"/>
                <w:szCs w:val="12"/>
                <w:color w:val="auto"/>
              </w:rPr>
              <w:t>1,324,784</w:t>
            </w:r>
          </w:p>
        </w:tc>
      </w:tr>
      <w:tr>
        <w:trPr>
          <w:trHeight w:val="153"/>
        </w:trPr>
        <w:tc>
          <w:tcPr>
            <w:tcW w:w="4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26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FF0FC"/>
          </w:tcPr>
          <w:p>
            <w:pPr>
              <w:jc w:val="right"/>
              <w:ind w:right="70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TOTAL</w:t>
            </w:r>
          </w:p>
        </w:tc>
        <w:tc>
          <w:tcPr>
            <w:tcW w:w="4460" w:type="dxa"/>
            <w:vAlign w:val="bottom"/>
          </w:tcPr>
          <w:p>
            <w:pPr>
              <w:spacing w:after="0"/>
              <w:rPr>
                <w:sz w:val="13"/>
                <w:szCs w:val="13"/>
                <w:color w:val="auto"/>
              </w:rPr>
            </w:pPr>
          </w:p>
        </w:tc>
        <w:tc>
          <w:tcPr>
            <w:tcW w:w="2600" w:type="dxa"/>
            <w:vAlign w:val="bottom"/>
          </w:tcPr>
          <w:p>
            <w:pPr>
              <w:jc w:val="right"/>
              <w:ind w:right="60"/>
              <w:spacing w:after="0"/>
              <w:rPr>
                <w:sz w:val="20"/>
                <w:szCs w:val="20"/>
                <w:color w:val="auto"/>
              </w:rPr>
            </w:pPr>
            <w:r>
              <w:rPr>
                <w:rFonts w:ascii="Arial" w:cs="Arial" w:eastAsia="Arial" w:hAnsi="Arial"/>
                <w:sz w:val="12"/>
                <w:szCs w:val="12"/>
                <w:color w:val="auto"/>
              </w:rPr>
              <w:t>1,850,283</w:t>
            </w:r>
          </w:p>
        </w:tc>
        <w:tc>
          <w:tcPr>
            <w:tcW w:w="9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60" w:type="dxa"/>
            <w:vAlign w:val="bottom"/>
          </w:tcPr>
          <w:p>
            <w:pPr>
              <w:jc w:val="right"/>
              <w:ind w:right="80"/>
              <w:spacing w:after="0"/>
              <w:rPr>
                <w:sz w:val="20"/>
                <w:szCs w:val="20"/>
                <w:color w:val="auto"/>
              </w:rPr>
            </w:pPr>
            <w:r>
              <w:rPr>
                <w:rFonts w:ascii="Arial" w:cs="Arial" w:eastAsia="Arial" w:hAnsi="Arial"/>
                <w:sz w:val="12"/>
                <w:szCs w:val="12"/>
                <w:color w:val="auto"/>
              </w:rPr>
              <w:t>2,591,275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121793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17930" cy="5715"/>
                    </a:xfrm>
                    <a:prstGeom prst="rect">
                      <a:avLst/>
                    </a:prstGeom>
                    <a:noFill/>
                  </pic:spPr>
                </pic:pic>
              </a:graphicData>
            </a:graphic>
          </wp:anchor>
        </w:drawing>
      </w:r>
    </w:p>
    <w:p>
      <w:pPr>
        <w:spacing w:after="0" w:line="97" w:lineRule="exact"/>
        <w:rPr>
          <w:sz w:val="20"/>
          <w:szCs w:val="20"/>
          <w:color w:val="auto"/>
        </w:rPr>
      </w:pPr>
    </w:p>
    <w:p>
      <w:pPr>
        <w:ind w:left="508" w:right="360" w:hanging="508"/>
        <w:spacing w:after="0" w:line="258" w:lineRule="auto"/>
        <w:tabs>
          <w:tab w:leader="none" w:pos="5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2007 Plan was replaced with the 2017 Equity and Incentive Plan and no further grants will be made under the 2007 Plan. The 2007 Plan remains in effect solely for the continued administration of the awards currently outstanding under the 2007 Plan.</w:t>
      </w:r>
    </w:p>
    <w:p>
      <w:pPr>
        <w:spacing w:after="0" w:line="1" w:lineRule="exact"/>
        <w:rPr>
          <w:sz w:val="20"/>
          <w:szCs w:val="20"/>
          <w:color w:val="auto"/>
        </w:rPr>
      </w:pPr>
    </w:p>
    <w:p>
      <w:pPr>
        <w:ind w:left="508" w:right="40" w:hanging="508"/>
        <w:spacing w:after="0" w:line="258" w:lineRule="auto"/>
        <w:tabs>
          <w:tab w:leader="none" w:pos="5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2017 Equity and Incentive Plan was approved by our shareholders on May 16, 2017. We have reserved 1.9 million shares of our common stock for issuance under our 2017 Equity Incentive Plan. In 2018, 960,000 restricted stock units were awarded to plan participants under the 2017 Equity and Incentive Plan.</w:t>
      </w:r>
    </w:p>
    <w:p>
      <w:pPr>
        <w:ind w:left="508" w:hanging="508"/>
        <w:spacing w:after="0"/>
        <w:tabs>
          <w:tab w:leader="none" w:pos="5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Employee Stock Purchase Plan was approved by our shareholders on May 21, 2009.</w:t>
      </w:r>
    </w:p>
    <w:p>
      <w:pPr>
        <w:spacing w:after="0" w:line="209"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Certain Relationships and Related Transactions, and Director Independence</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information called for by this Item 13 of Part III of Form 10-K is incorporated by reference to the Proxy Statement.</w:t>
      </w:r>
    </w:p>
    <w:p>
      <w:pPr>
        <w:spacing w:after="0" w:line="218"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Principal Accounting Fees and Services</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information called for by this Item 14 of Part III of Form 10-K is incorporated by reference to the Proxy Statement.</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Exhibits and Financial Statement Schedules</w:t>
      </w:r>
    </w:p>
    <w:p>
      <w:pPr>
        <w:spacing w:after="0" w:line="82" w:lineRule="exact"/>
        <w:rPr>
          <w:sz w:val="20"/>
          <w:szCs w:val="20"/>
          <w:color w:val="auto"/>
        </w:rPr>
      </w:pPr>
    </w:p>
    <w:p>
      <w:pPr>
        <w:ind w:left="768" w:hanging="247"/>
        <w:spacing w:after="0"/>
        <w:tabs>
          <w:tab w:leader="none" w:pos="768"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Financial statements are set forth in this report following the signature page of this report.</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type w:val="continuous"/>
        </w:sectPr>
      </w:pPr>
    </w:p>
    <w:bookmarkStart w:id="47" w:name="page48"/>
    <w:bookmarkEnd w:id="47"/>
    <w:p>
      <w:pPr>
        <w:ind w:left="760" w:hanging="247"/>
        <w:spacing w:after="0"/>
        <w:tabs>
          <w:tab w:leader="none" w:pos="7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Financial statement schedules are omitted because they are not applicable or because the required information is shown in the financial statements or in the notes thereto.</w:t>
      </w:r>
    </w:p>
    <w:p>
      <w:pPr>
        <w:spacing w:after="0" w:line="150" w:lineRule="exact"/>
        <w:rPr>
          <w:rFonts w:ascii="Arial" w:cs="Arial" w:eastAsia="Arial" w:hAnsi="Arial"/>
          <w:sz w:val="12"/>
          <w:szCs w:val="12"/>
          <w:color w:val="auto"/>
        </w:rPr>
      </w:pPr>
    </w:p>
    <w:p>
      <w:pPr>
        <w:ind w:left="760" w:hanging="247"/>
        <w:spacing w:after="0"/>
        <w:tabs>
          <w:tab w:leader="none" w:pos="7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Exhibit Index. The exhibits listed below, as part of Form 10-K, are numbered in conformity with the numbering used in Item 601 of Regulation S-K and relate to SEC File No. 0-07099, unless otherwise indicated.</w:t>
      </w:r>
    </w:p>
    <w:p>
      <w:pPr>
        <w:spacing w:after="0" w:line="16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Exhibit</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5892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9280" cy="571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20"/>
                <w:szCs w:val="20"/>
                <w:color w:val="auto"/>
              </w:rPr>
            </w:pPr>
            <w:r>
              <w:rPr>
                <w:rFonts w:ascii="Arial" w:cs="Arial" w:eastAsia="Arial" w:hAnsi="Arial"/>
                <w:sz w:val="12"/>
                <w:szCs w:val="12"/>
                <w:color w:val="auto"/>
              </w:rPr>
              <w:t>2.1</w:t>
            </w:r>
          </w:p>
        </w:tc>
        <w:tc>
          <w:tcPr>
            <w:tcW w:w="10480" w:type="dxa"/>
            <w:vAlign w:val="bottom"/>
            <w:gridSpan w:val="24"/>
          </w:tcPr>
          <w:p>
            <w:pPr>
              <w:spacing w:after="0"/>
              <w:rPr>
                <w:rFonts w:ascii="Arial" w:cs="Arial" w:eastAsia="Arial" w:hAnsi="Arial"/>
                <w:sz w:val="12"/>
                <w:szCs w:val="12"/>
                <w:color w:val="0000EE"/>
                <w:w w:val="93"/>
              </w:rPr>
            </w:pPr>
            <w:hyperlink r:id="rId69">
              <w:r>
                <w:rPr>
                  <w:rFonts w:ascii="Arial" w:cs="Arial" w:eastAsia="Arial" w:hAnsi="Arial"/>
                  <w:sz w:val="12"/>
                  <w:szCs w:val="12"/>
                  <w:color w:val="0000EE"/>
                  <w:w w:val="93"/>
                </w:rPr>
                <w:t>Stock Purchase Agreement, dated March 30, 2018, by and among CECO Environmental Corp., Met-Pro Corporation, LLC, Strobic Air Corporation and Cincinnati Fan &amp; Ventilation Company., Inc (Incorporated by</w:t>
              </w:r>
            </w:hyperlink>
          </w:p>
        </w:tc>
      </w:tr>
      <w:tr>
        <w:trPr>
          <w:trHeight w:val="124"/>
        </w:trPr>
        <w:tc>
          <w:tcPr>
            <w:tcW w:w="1020" w:type="dxa"/>
            <w:vAlign w:val="bottom"/>
          </w:tcPr>
          <w:p>
            <w:pPr>
              <w:spacing w:after="0"/>
              <w:rPr>
                <w:sz w:val="10"/>
                <w:szCs w:val="10"/>
                <w:color w:val="auto"/>
              </w:rPr>
            </w:pPr>
          </w:p>
        </w:tc>
        <w:tc>
          <w:tcPr>
            <w:tcW w:w="1030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r:id="rId69">
              <w:r>
                <w:rPr>
                  <w:rFonts w:ascii="Arial" w:cs="Arial" w:eastAsia="Arial" w:hAnsi="Arial"/>
                  <w:sz w:val="12"/>
                  <w:szCs w:val="12"/>
                  <w:color w:val="0000EE"/>
                </w:rPr>
                <w:t>reference to Exhibit 2.1 to the Company’s Current Report on Form 8-K filed with the SEC on April 5, 2018).</w:t>
              </w:r>
            </w:hyperlink>
          </w:p>
        </w:tc>
        <w:tc>
          <w:tcPr>
            <w:tcW w:w="180" w:type="dxa"/>
            <w:vAlign w:val="bottom"/>
            <w:gridSpan w:val="5"/>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4"/>
        </w:trPr>
        <w:tc>
          <w:tcPr>
            <w:tcW w:w="1020" w:type="dxa"/>
            <w:vAlign w:val="bottom"/>
          </w:tcPr>
          <w:p>
            <w:pPr>
              <w:spacing w:after="0"/>
              <w:rPr>
                <w:sz w:val="20"/>
                <w:szCs w:val="20"/>
                <w:color w:val="auto"/>
              </w:rPr>
            </w:pPr>
            <w:r>
              <w:rPr>
                <w:rFonts w:ascii="Arial" w:cs="Arial" w:eastAsia="Arial" w:hAnsi="Arial"/>
                <w:sz w:val="12"/>
                <w:szCs w:val="12"/>
                <w:color w:val="auto"/>
              </w:rPr>
              <w:t>3(i)</w:t>
            </w:r>
          </w:p>
        </w:tc>
        <w:tc>
          <w:tcPr>
            <w:tcW w:w="7900" w:type="dxa"/>
            <w:vAlign w:val="bottom"/>
            <w:tcBorders>
              <w:bottom w:val="single" w:sz="8" w:color="0000EE"/>
            </w:tcBorders>
            <w:gridSpan w:val="10"/>
          </w:tcPr>
          <w:p>
            <w:pPr>
              <w:spacing w:after="0"/>
              <w:rPr>
                <w:rFonts w:ascii="Arial" w:cs="Arial" w:eastAsia="Arial" w:hAnsi="Arial"/>
                <w:sz w:val="12"/>
                <w:szCs w:val="12"/>
                <w:color w:val="0000EE"/>
                <w:w w:val="92"/>
              </w:rPr>
            </w:pPr>
            <w:hyperlink r:id="rId70">
              <w:r>
                <w:rPr>
                  <w:rFonts w:ascii="Arial" w:cs="Arial" w:eastAsia="Arial" w:hAnsi="Arial"/>
                  <w:sz w:val="12"/>
                  <w:szCs w:val="12"/>
                  <w:color w:val="0000EE"/>
                  <w:w w:val="92"/>
                </w:rPr>
                <w:t>Certificate of Incorporation (Incorporated by reference to Exhibit 3(i) to the Company’s Annual Report on Form 10-K for the fiscal year ended December 31, 2001)</w:t>
              </w:r>
            </w:hyperlink>
          </w:p>
        </w:tc>
        <w:tc>
          <w:tcPr>
            <w:tcW w:w="2580" w:type="dxa"/>
            <w:vAlign w:val="bottom"/>
            <w:gridSpan w:val="14"/>
          </w:tcPr>
          <w:p>
            <w:pPr>
              <w:spacing w:after="0"/>
              <w:rPr>
                <w:sz w:val="18"/>
                <w:szCs w:val="18"/>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2"/>
                <w:szCs w:val="12"/>
                <w:color w:val="auto"/>
              </w:rPr>
              <w:t>3(ii)</w:t>
            </w:r>
          </w:p>
        </w:tc>
        <w:tc>
          <w:tcPr>
            <w:tcW w:w="7880" w:type="dxa"/>
            <w:vAlign w:val="bottom"/>
            <w:tcBorders>
              <w:bottom w:val="single" w:sz="8" w:color="0000EE"/>
            </w:tcBorders>
            <w:gridSpan w:val="9"/>
          </w:tcPr>
          <w:p>
            <w:pPr>
              <w:spacing w:after="0"/>
              <w:rPr>
                <w:rFonts w:ascii="Arial" w:cs="Arial" w:eastAsia="Arial" w:hAnsi="Arial"/>
                <w:sz w:val="12"/>
                <w:szCs w:val="12"/>
                <w:color w:val="0000EE"/>
                <w:w w:val="91"/>
              </w:rPr>
            </w:pPr>
            <w:hyperlink r:id="rId71">
              <w:r>
                <w:rPr>
                  <w:rFonts w:ascii="Arial" w:cs="Arial" w:eastAsia="Arial" w:hAnsi="Arial"/>
                  <w:sz w:val="12"/>
                  <w:szCs w:val="12"/>
                  <w:color w:val="0000EE"/>
                  <w:w w:val="91"/>
                </w:rPr>
                <w:t>Amended and Restated Bylaws (Incorporated by reference to Exhibit 3.1 to the Company’s Current Report on Form 8-K filed with the SEC on December 13, 2017)</w:t>
              </w:r>
            </w:hyperlink>
          </w:p>
        </w:tc>
        <w:tc>
          <w:tcPr>
            <w:tcW w:w="2600" w:type="dxa"/>
            <w:vAlign w:val="bottom"/>
            <w:gridSpan w:val="15"/>
          </w:tcPr>
          <w:p>
            <w:pPr>
              <w:spacing w:after="0"/>
              <w:rPr>
                <w:sz w:val="17"/>
                <w:szCs w:val="17"/>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color w:val="auto"/>
              </w:rPr>
              <w:t>**10.1 *</w:t>
            </w:r>
          </w:p>
        </w:tc>
        <w:tc>
          <w:tcPr>
            <w:tcW w:w="5020" w:type="dxa"/>
            <w:vAlign w:val="bottom"/>
            <w:tcBorders>
              <w:bottom w:val="single" w:sz="8" w:color="0000EE"/>
            </w:tcBorders>
            <w:gridSpan w:val="6"/>
          </w:tcPr>
          <w:p>
            <w:pPr>
              <w:spacing w:after="0"/>
              <w:rPr>
                <w:rFonts w:ascii="Arial" w:cs="Arial" w:eastAsia="Arial" w:hAnsi="Arial"/>
                <w:sz w:val="12"/>
                <w:szCs w:val="12"/>
                <w:color w:val="0000EE"/>
                <w:w w:val="90"/>
              </w:rPr>
            </w:pPr>
            <w:hyperlink w:anchor="page88">
              <w:r>
                <w:rPr>
                  <w:rFonts w:ascii="Arial" w:cs="Arial" w:eastAsia="Arial" w:hAnsi="Arial"/>
                  <w:sz w:val="12"/>
                  <w:szCs w:val="12"/>
                  <w:color w:val="0000EE"/>
                  <w:w w:val="90"/>
                </w:rPr>
                <w:t>Summary term sheet governing arrangement of consulting services provided by Icarus Investment Corp.</w:t>
              </w:r>
            </w:hyperlink>
          </w:p>
        </w:tc>
        <w:tc>
          <w:tcPr>
            <w:tcW w:w="5460" w:type="dxa"/>
            <w:vAlign w:val="bottom"/>
            <w:gridSpan w:val="18"/>
          </w:tcPr>
          <w:p>
            <w:pPr>
              <w:spacing w:after="0"/>
              <w:rPr>
                <w:sz w:val="23"/>
                <w:szCs w:val="23"/>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2"/>
                <w:szCs w:val="12"/>
                <w:color w:val="auto"/>
              </w:rPr>
              <w:t>**10.2</w:t>
            </w:r>
          </w:p>
        </w:tc>
        <w:tc>
          <w:tcPr>
            <w:tcW w:w="10480" w:type="dxa"/>
            <w:vAlign w:val="bottom"/>
            <w:gridSpan w:val="24"/>
          </w:tcPr>
          <w:p>
            <w:pPr>
              <w:spacing w:after="0"/>
              <w:rPr>
                <w:rFonts w:ascii="Arial" w:cs="Arial" w:eastAsia="Arial" w:hAnsi="Arial"/>
                <w:sz w:val="12"/>
                <w:szCs w:val="12"/>
                <w:color w:val="0000EE"/>
                <w:w w:val="92"/>
              </w:rPr>
            </w:pPr>
            <w:hyperlink r:id="rId72">
              <w:r>
                <w:rPr>
                  <w:rFonts w:ascii="Arial" w:cs="Arial" w:eastAsia="Arial" w:hAnsi="Arial"/>
                  <w:sz w:val="12"/>
                  <w:szCs w:val="12"/>
                  <w:color w:val="0000EE"/>
                  <w:w w:val="92"/>
                </w:rPr>
                <w:t>Second Amended and Restated CECO Environmental Corp. 2007 Equity Incentive Plan (Incorporated by reference to Exhibit 10.6 to the Company’s Current Report on Form 8-K filed with the SEC on September 3,</w:t>
              </w:r>
            </w:hyperlink>
          </w:p>
        </w:tc>
      </w:tr>
      <w:tr>
        <w:trPr>
          <w:trHeight w:val="124"/>
        </w:trPr>
        <w:tc>
          <w:tcPr>
            <w:tcW w:w="1020" w:type="dxa"/>
            <w:vAlign w:val="bottom"/>
          </w:tcPr>
          <w:p>
            <w:pPr>
              <w:spacing w:after="0"/>
              <w:rPr>
                <w:sz w:val="10"/>
                <w:szCs w:val="10"/>
                <w:color w:val="auto"/>
              </w:rPr>
            </w:pPr>
          </w:p>
        </w:tc>
        <w:tc>
          <w:tcPr>
            <w:tcW w:w="1540" w:type="dxa"/>
            <w:vAlign w:val="bottom"/>
            <w:tcBorders>
              <w:top w:val="single" w:sz="8" w:color="0000EE"/>
            </w:tcBorders>
            <w:gridSpan w:val="2"/>
          </w:tcPr>
          <w:p>
            <w:pPr>
              <w:spacing w:after="0" w:line="124" w:lineRule="exact"/>
              <w:rPr>
                <w:rFonts w:ascii="Arial" w:cs="Arial" w:eastAsia="Arial" w:hAnsi="Arial"/>
                <w:sz w:val="12"/>
                <w:szCs w:val="12"/>
                <w:color w:val="0000EE"/>
              </w:rPr>
            </w:pPr>
            <w:hyperlink r:id="rId72">
              <w:r>
                <w:rPr>
                  <w:rFonts w:ascii="Arial" w:cs="Arial" w:eastAsia="Arial" w:hAnsi="Arial"/>
                  <w:sz w:val="12"/>
                  <w:szCs w:val="12"/>
                  <w:color w:val="0000EE"/>
                </w:rPr>
                <w:t>2015)</w:t>
              </w:r>
            </w:hyperlink>
          </w:p>
        </w:tc>
        <w:tc>
          <w:tcPr>
            <w:tcW w:w="1660" w:type="dxa"/>
            <w:vAlign w:val="bottom"/>
            <w:tcBorders>
              <w:top w:val="single" w:sz="8" w:color="0000EE"/>
            </w:tcBorders>
          </w:tcPr>
          <w:p>
            <w:pPr>
              <w:spacing w:after="0"/>
              <w:rPr>
                <w:sz w:val="10"/>
                <w:szCs w:val="10"/>
                <w:color w:val="auto"/>
              </w:rPr>
            </w:pPr>
          </w:p>
        </w:tc>
        <w:tc>
          <w:tcPr>
            <w:tcW w:w="800" w:type="dxa"/>
            <w:vAlign w:val="bottom"/>
            <w:tcBorders>
              <w:top w:val="single" w:sz="8" w:color="0000EE"/>
            </w:tcBorders>
          </w:tcPr>
          <w:p>
            <w:pPr>
              <w:spacing w:after="0"/>
              <w:rPr>
                <w:sz w:val="10"/>
                <w:szCs w:val="10"/>
                <w:color w:val="auto"/>
              </w:rPr>
            </w:pPr>
          </w:p>
        </w:tc>
        <w:tc>
          <w:tcPr>
            <w:tcW w:w="9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0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**10.3</w:t>
            </w:r>
          </w:p>
        </w:tc>
        <w:tc>
          <w:tcPr>
            <w:tcW w:w="10480" w:type="dxa"/>
            <w:vAlign w:val="bottom"/>
            <w:gridSpan w:val="24"/>
          </w:tcPr>
          <w:p>
            <w:pPr>
              <w:spacing w:after="0"/>
              <w:rPr>
                <w:rFonts w:ascii="Arial" w:cs="Arial" w:eastAsia="Arial" w:hAnsi="Arial"/>
                <w:sz w:val="12"/>
                <w:szCs w:val="12"/>
                <w:color w:val="0000EE"/>
              </w:rPr>
            </w:pPr>
            <w:hyperlink r:id="rId73">
              <w:r>
                <w:rPr>
                  <w:rFonts w:ascii="Arial" w:cs="Arial" w:eastAsia="Arial" w:hAnsi="Arial"/>
                  <w:sz w:val="12"/>
                  <w:szCs w:val="12"/>
                  <w:color w:val="0000EE"/>
                </w:rPr>
                <w:t>Form of Restricted Stock Award Agreement (Incorporated by reference to Exhibit 10.41 to the Company’s Annual Report on Form 10-K for the fiscal year ended December 31, 2008)</w:t>
              </w:r>
            </w:hyperlink>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**10.4</w:t>
            </w:r>
          </w:p>
        </w:tc>
        <w:tc>
          <w:tcPr>
            <w:tcW w:w="8760" w:type="dxa"/>
            <w:vAlign w:val="bottom"/>
            <w:tcBorders>
              <w:top w:val="single" w:sz="8" w:color="0000EE"/>
              <w:bottom w:val="single" w:sz="8" w:color="0000EE"/>
            </w:tcBorders>
            <w:gridSpan w:val="13"/>
          </w:tcPr>
          <w:p>
            <w:pPr>
              <w:spacing w:after="0"/>
              <w:rPr>
                <w:rFonts w:ascii="Arial" w:cs="Arial" w:eastAsia="Arial" w:hAnsi="Arial"/>
                <w:sz w:val="12"/>
                <w:szCs w:val="12"/>
                <w:color w:val="0000EE"/>
                <w:w w:val="91"/>
              </w:rPr>
            </w:pPr>
            <w:hyperlink r:id="rId74">
              <w:r>
                <w:rPr>
                  <w:rFonts w:ascii="Arial" w:cs="Arial" w:eastAsia="Arial" w:hAnsi="Arial"/>
                  <w:sz w:val="12"/>
                  <w:szCs w:val="12"/>
                  <w:color w:val="0000EE"/>
                  <w:w w:val="91"/>
                </w:rPr>
                <w:t>Form of Incentive Stock Option Agreement (Incorporated by reference to Exhibit 10.12 to the Company’s Annual Report on Form 10-K for the fiscal year ended December 31, 2010)</w:t>
              </w:r>
            </w:hyperlink>
          </w:p>
        </w:tc>
        <w:tc>
          <w:tcPr>
            <w:tcW w:w="20" w:type="dxa"/>
            <w:vAlign w:val="bottom"/>
            <w:tcBorders>
              <w:top w:val="single" w:sz="8" w:color="0000EE"/>
            </w:tcBorders>
          </w:tcPr>
          <w:p>
            <w:pPr>
              <w:spacing w:after="0"/>
              <w:rPr>
                <w:sz w:val="17"/>
                <w:szCs w:val="17"/>
                <w:color w:val="auto"/>
              </w:rPr>
            </w:pPr>
          </w:p>
        </w:tc>
        <w:tc>
          <w:tcPr>
            <w:tcW w:w="1700" w:type="dxa"/>
            <w:vAlign w:val="bottom"/>
            <w:gridSpan w:val="10"/>
          </w:tcPr>
          <w:p>
            <w:pPr>
              <w:spacing w:after="0"/>
              <w:rPr>
                <w:sz w:val="17"/>
                <w:szCs w:val="17"/>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**10.5</w:t>
            </w:r>
          </w:p>
        </w:tc>
        <w:tc>
          <w:tcPr>
            <w:tcW w:w="9000" w:type="dxa"/>
            <w:vAlign w:val="bottom"/>
            <w:tcBorders>
              <w:bottom w:val="single" w:sz="8" w:color="0000EE"/>
            </w:tcBorders>
            <w:gridSpan w:val="15"/>
          </w:tcPr>
          <w:p>
            <w:pPr>
              <w:spacing w:after="0"/>
              <w:rPr>
                <w:rFonts w:ascii="Arial" w:cs="Arial" w:eastAsia="Arial" w:hAnsi="Arial"/>
                <w:sz w:val="12"/>
                <w:szCs w:val="12"/>
                <w:color w:val="0000EE"/>
                <w:w w:val="91"/>
              </w:rPr>
            </w:pPr>
            <w:hyperlink r:id="rId75">
              <w:r>
                <w:rPr>
                  <w:rFonts w:ascii="Arial" w:cs="Arial" w:eastAsia="Arial" w:hAnsi="Arial"/>
                  <w:sz w:val="12"/>
                  <w:szCs w:val="12"/>
                  <w:color w:val="0000EE"/>
                  <w:w w:val="91"/>
                </w:rPr>
                <w:t>Form of Non-Statutory Stock Option Agreement (Incorporated by reference to Exhibit 10.13 to the Company’s Annual Report on Form 10-K for the fiscal year ended December 31, 2010)</w:t>
              </w:r>
            </w:hyperlink>
          </w:p>
        </w:tc>
        <w:tc>
          <w:tcPr>
            <w:tcW w:w="1480" w:type="dxa"/>
            <w:vAlign w:val="bottom"/>
            <w:gridSpan w:val="9"/>
          </w:tcPr>
          <w:p>
            <w:pPr>
              <w:spacing w:after="0"/>
              <w:rPr>
                <w:sz w:val="17"/>
                <w:szCs w:val="17"/>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**10.6</w:t>
            </w:r>
          </w:p>
        </w:tc>
        <w:tc>
          <w:tcPr>
            <w:tcW w:w="9700" w:type="dxa"/>
            <w:vAlign w:val="bottom"/>
            <w:tcBorders>
              <w:bottom w:val="single" w:sz="8" w:color="0000EE"/>
            </w:tcBorders>
            <w:gridSpan w:val="17"/>
          </w:tcPr>
          <w:p>
            <w:pPr>
              <w:spacing w:after="0"/>
              <w:rPr>
                <w:rFonts w:ascii="Arial" w:cs="Arial" w:eastAsia="Arial" w:hAnsi="Arial"/>
                <w:sz w:val="12"/>
                <w:szCs w:val="12"/>
                <w:color w:val="0000EE"/>
                <w:w w:val="91"/>
              </w:rPr>
            </w:pPr>
            <w:hyperlink r:id="rId76">
              <w:r>
                <w:rPr>
                  <w:rFonts w:ascii="Arial" w:cs="Arial" w:eastAsia="Arial" w:hAnsi="Arial"/>
                  <w:sz w:val="12"/>
                  <w:szCs w:val="12"/>
                  <w:color w:val="0000EE"/>
                  <w:w w:val="91"/>
                </w:rPr>
                <w:t>CECO Environmental Corp. Employee Stock Purchase Plan (Incorporated by reference to Exhibit A to the Company’s definitive proxy statement on Schedule 14A filed with the SEC on April 13, 2009)</w:t>
              </w:r>
            </w:hyperlink>
          </w:p>
        </w:tc>
        <w:tc>
          <w:tcPr>
            <w:tcW w:w="780" w:type="dxa"/>
            <w:vAlign w:val="bottom"/>
            <w:gridSpan w:val="7"/>
          </w:tcPr>
          <w:p>
            <w:pPr>
              <w:spacing w:after="0"/>
              <w:rPr>
                <w:sz w:val="17"/>
                <w:szCs w:val="17"/>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**10.7 *</w:t>
            </w:r>
          </w:p>
        </w:tc>
        <w:tc>
          <w:tcPr>
            <w:tcW w:w="10480" w:type="dxa"/>
            <w:vAlign w:val="bottom"/>
            <w:gridSpan w:val="24"/>
          </w:tcPr>
          <w:p>
            <w:pPr>
              <w:spacing w:after="0"/>
              <w:rPr>
                <w:rFonts w:ascii="Arial" w:cs="Arial" w:eastAsia="Arial" w:hAnsi="Arial"/>
                <w:sz w:val="12"/>
                <w:szCs w:val="12"/>
                <w:color w:val="0000EE"/>
              </w:rPr>
            </w:pPr>
            <w:hyperlink w:anchor="page89">
              <w:r>
                <w:rPr>
                  <w:rFonts w:ascii="Arial" w:cs="Arial" w:eastAsia="Arial" w:hAnsi="Arial"/>
                  <w:sz w:val="12"/>
                  <w:szCs w:val="12"/>
                  <w:color w:val="0000EE"/>
                </w:rPr>
                <w:t>Summary term sheet governing arrangement of consulting services provided by JMP Fam Holdings Inc. to the Company</w:t>
              </w:r>
            </w:hyperlink>
          </w:p>
        </w:tc>
      </w:tr>
      <w:tr>
        <w:trPr>
          <w:trHeight w:val="20"/>
        </w:trPr>
        <w:tc>
          <w:tcPr>
            <w:tcW w:w="10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10.8</w:t>
            </w:r>
          </w:p>
        </w:tc>
        <w:tc>
          <w:tcPr>
            <w:tcW w:w="10100" w:type="dxa"/>
            <w:vAlign w:val="bottom"/>
            <w:tcBorders>
              <w:bottom w:val="single" w:sz="8" w:color="0000EE"/>
            </w:tcBorders>
            <w:gridSpan w:val="18"/>
          </w:tcPr>
          <w:p>
            <w:pPr>
              <w:spacing w:after="0"/>
              <w:rPr>
                <w:rFonts w:ascii="Arial" w:cs="Arial" w:eastAsia="Arial" w:hAnsi="Arial"/>
                <w:sz w:val="12"/>
                <w:szCs w:val="12"/>
                <w:color w:val="0000EE"/>
                <w:w w:val="90"/>
              </w:rPr>
            </w:pPr>
            <w:hyperlink r:id="rId77">
              <w:r>
                <w:rPr>
                  <w:rFonts w:ascii="Arial" w:cs="Arial" w:eastAsia="Arial" w:hAnsi="Arial"/>
                  <w:sz w:val="12"/>
                  <w:szCs w:val="12"/>
                  <w:color w:val="0000EE"/>
                  <w:w w:val="90"/>
                </w:rPr>
                <w:t>Amended and Restated Credit Agreement, dated as of September 3, 2015, among the Company and certain of its subsidiaries, the Lenders party thereto, and Bank of America, N.A. (Incorporated by reference to</w:t>
              </w:r>
            </w:hyperlink>
          </w:p>
        </w:tc>
        <w:tc>
          <w:tcPr>
            <w:tcW w:w="380" w:type="dxa"/>
            <w:vAlign w:val="bottom"/>
            <w:gridSpan w:val="6"/>
          </w:tcPr>
          <w:p>
            <w:pPr>
              <w:spacing w:after="0"/>
              <w:rPr>
                <w:sz w:val="17"/>
                <w:szCs w:val="17"/>
                <w:color w:val="auto"/>
              </w:rPr>
            </w:pPr>
          </w:p>
        </w:tc>
      </w:tr>
      <w:tr>
        <w:trPr>
          <w:trHeight w:val="124"/>
        </w:trPr>
        <w:tc>
          <w:tcPr>
            <w:tcW w:w="1020" w:type="dxa"/>
            <w:vAlign w:val="bottom"/>
          </w:tcPr>
          <w:p>
            <w:pPr>
              <w:spacing w:after="0"/>
              <w:rPr>
                <w:sz w:val="10"/>
                <w:szCs w:val="10"/>
                <w:color w:val="auto"/>
              </w:rPr>
            </w:pPr>
          </w:p>
        </w:tc>
        <w:tc>
          <w:tcPr>
            <w:tcW w:w="494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77">
              <w:r>
                <w:rPr>
                  <w:rFonts w:ascii="Arial" w:cs="Arial" w:eastAsia="Arial" w:hAnsi="Arial"/>
                  <w:sz w:val="12"/>
                  <w:szCs w:val="12"/>
                  <w:color w:val="0000EE"/>
                  <w:w w:val="91"/>
                </w:rPr>
                <w:t>Exhibit 10.1 to the Company’s Current Report on Form 8-K filed with the SEC on September 3, 2015)</w:t>
              </w:r>
            </w:hyperlink>
          </w:p>
        </w:tc>
        <w:tc>
          <w:tcPr>
            <w:tcW w:w="5540" w:type="dxa"/>
            <w:vAlign w:val="bottom"/>
            <w:gridSpan w:val="19"/>
          </w:tcPr>
          <w:p>
            <w:pPr>
              <w:spacing w:after="0"/>
              <w:rPr>
                <w:sz w:val="10"/>
                <w:szCs w:val="10"/>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10.9</w:t>
            </w:r>
          </w:p>
        </w:tc>
        <w:tc>
          <w:tcPr>
            <w:tcW w:w="10440" w:type="dxa"/>
            <w:vAlign w:val="bottom"/>
            <w:tcBorders>
              <w:bottom w:val="single" w:sz="8" w:color="0000EE"/>
            </w:tcBorders>
            <w:gridSpan w:val="23"/>
          </w:tcPr>
          <w:p>
            <w:pPr>
              <w:spacing w:after="0"/>
              <w:rPr>
                <w:rFonts w:ascii="Arial" w:cs="Arial" w:eastAsia="Arial" w:hAnsi="Arial"/>
                <w:sz w:val="12"/>
                <w:szCs w:val="12"/>
                <w:color w:val="0000EE"/>
                <w:w w:val="90"/>
              </w:rPr>
            </w:pPr>
            <w:hyperlink r:id="rId78">
              <w:r>
                <w:rPr>
                  <w:rFonts w:ascii="Arial" w:cs="Arial" w:eastAsia="Arial" w:hAnsi="Arial"/>
                  <w:sz w:val="12"/>
                  <w:szCs w:val="12"/>
                  <w:color w:val="0000EE"/>
                  <w:w w:val="90"/>
                </w:rPr>
                <w:t>Securities Pledge Agreement, dated August 27, 2013, by and among the Company, the Subsidiaries named therein and Bank of America, N.A., as Administrative Agent (Incorporated by reference to Exhibit 10.5 to the</w:t>
              </w:r>
            </w:hyperlink>
          </w:p>
        </w:tc>
        <w:tc>
          <w:tcPr>
            <w:tcW w:w="40" w:type="dxa"/>
            <w:vAlign w:val="bottom"/>
          </w:tcPr>
          <w:p>
            <w:pPr>
              <w:spacing w:after="0"/>
              <w:rPr>
                <w:sz w:val="17"/>
                <w:szCs w:val="17"/>
                <w:color w:val="auto"/>
              </w:rPr>
            </w:pPr>
          </w:p>
        </w:tc>
      </w:tr>
      <w:tr>
        <w:trPr>
          <w:trHeight w:val="124"/>
        </w:trPr>
        <w:tc>
          <w:tcPr>
            <w:tcW w:w="1020" w:type="dxa"/>
            <w:vAlign w:val="bottom"/>
          </w:tcPr>
          <w:p>
            <w:pPr>
              <w:spacing w:after="0"/>
              <w:rPr>
                <w:sz w:val="10"/>
                <w:szCs w:val="10"/>
                <w:color w:val="auto"/>
              </w:rPr>
            </w:pPr>
          </w:p>
        </w:tc>
        <w:tc>
          <w:tcPr>
            <w:tcW w:w="10480" w:type="dxa"/>
            <w:vAlign w:val="bottom"/>
            <w:gridSpan w:val="24"/>
          </w:tcPr>
          <w:p>
            <w:pPr>
              <w:spacing w:after="0" w:line="124" w:lineRule="exact"/>
              <w:rPr>
                <w:rFonts w:ascii="Arial" w:cs="Arial" w:eastAsia="Arial" w:hAnsi="Arial"/>
                <w:sz w:val="12"/>
                <w:szCs w:val="12"/>
                <w:color w:val="0000EE"/>
              </w:rPr>
            </w:pPr>
            <w:hyperlink r:id="rId78">
              <w:r>
                <w:rPr>
                  <w:rFonts w:ascii="Arial" w:cs="Arial" w:eastAsia="Arial" w:hAnsi="Arial"/>
                  <w:sz w:val="12"/>
                  <w:szCs w:val="12"/>
                  <w:color w:val="0000EE"/>
                </w:rPr>
                <w:t>Company’s Current Report on Form 8-K filed with the SEC on September 3, 2015)</w:t>
              </w:r>
            </w:hyperlink>
          </w:p>
        </w:tc>
      </w:tr>
      <w:tr>
        <w:trPr>
          <w:trHeight w:val="20"/>
        </w:trPr>
        <w:tc>
          <w:tcPr>
            <w:tcW w:w="10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**10.10</w:t>
            </w:r>
          </w:p>
        </w:tc>
        <w:tc>
          <w:tcPr>
            <w:tcW w:w="10340" w:type="dxa"/>
            <w:vAlign w:val="bottom"/>
            <w:tcBorders>
              <w:bottom w:val="single" w:sz="8" w:color="0000EE"/>
            </w:tcBorders>
            <w:gridSpan w:val="21"/>
          </w:tcPr>
          <w:p>
            <w:pPr>
              <w:spacing w:after="0"/>
              <w:rPr>
                <w:rFonts w:ascii="Arial" w:cs="Arial" w:eastAsia="Arial" w:hAnsi="Arial"/>
                <w:sz w:val="12"/>
                <w:szCs w:val="12"/>
                <w:color w:val="0000EE"/>
                <w:w w:val="91"/>
              </w:rPr>
            </w:pPr>
            <w:hyperlink r:id="rId79">
              <w:r>
                <w:rPr>
                  <w:rFonts w:ascii="Arial" w:cs="Arial" w:eastAsia="Arial" w:hAnsi="Arial"/>
                  <w:sz w:val="12"/>
                  <w:szCs w:val="12"/>
                  <w:color w:val="0000EE"/>
                  <w:w w:val="91"/>
                </w:rPr>
                <w:t>Director and Officer Indemnification Agreement, dated as of May 12, 2016, by and between the Company and the Directors and Officers of the Company (Incorporated by reference to Exhibit 10.1 to the Company’s</w:t>
              </w:r>
            </w:hyperlink>
          </w:p>
        </w:tc>
        <w:tc>
          <w:tcPr>
            <w:tcW w:w="140" w:type="dxa"/>
            <w:vAlign w:val="bottom"/>
            <w:gridSpan w:val="3"/>
          </w:tcPr>
          <w:p>
            <w:pPr>
              <w:spacing w:after="0"/>
              <w:rPr>
                <w:sz w:val="17"/>
                <w:szCs w:val="17"/>
                <w:color w:val="auto"/>
              </w:rPr>
            </w:pPr>
          </w:p>
        </w:tc>
      </w:tr>
      <w:tr>
        <w:trPr>
          <w:trHeight w:val="124"/>
        </w:trPr>
        <w:tc>
          <w:tcPr>
            <w:tcW w:w="1020" w:type="dxa"/>
            <w:vAlign w:val="bottom"/>
          </w:tcPr>
          <w:p>
            <w:pPr>
              <w:spacing w:after="0"/>
              <w:rPr>
                <w:sz w:val="10"/>
                <w:szCs w:val="10"/>
                <w:color w:val="auto"/>
              </w:rPr>
            </w:pPr>
          </w:p>
        </w:tc>
        <w:tc>
          <w:tcPr>
            <w:tcW w:w="320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r:id="rId79">
              <w:r>
                <w:rPr>
                  <w:rFonts w:ascii="Arial" w:cs="Arial" w:eastAsia="Arial" w:hAnsi="Arial"/>
                  <w:sz w:val="12"/>
                  <w:szCs w:val="12"/>
                  <w:color w:val="0000EE"/>
                  <w:w w:val="92"/>
                </w:rPr>
                <w:t>Current Report on Form 8-K filed with the SEC on May 16, 2016)</w:t>
              </w:r>
            </w:hyperlink>
          </w:p>
        </w:tc>
        <w:tc>
          <w:tcPr>
            <w:tcW w:w="7280" w:type="dxa"/>
            <w:vAlign w:val="bottom"/>
            <w:gridSpan w:val="21"/>
          </w:tcPr>
          <w:p>
            <w:pPr>
              <w:spacing w:after="0"/>
              <w:rPr>
                <w:sz w:val="10"/>
                <w:szCs w:val="10"/>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color w:val="auto"/>
              </w:rPr>
              <w:t>**10.11</w:t>
            </w:r>
          </w:p>
        </w:tc>
        <w:tc>
          <w:tcPr>
            <w:tcW w:w="10380" w:type="dxa"/>
            <w:vAlign w:val="bottom"/>
            <w:tcBorders>
              <w:bottom w:val="single" w:sz="8" w:color="0000EE"/>
            </w:tcBorders>
            <w:gridSpan w:val="22"/>
          </w:tcPr>
          <w:p>
            <w:pPr>
              <w:spacing w:after="0"/>
              <w:rPr>
                <w:rFonts w:ascii="Arial" w:cs="Arial" w:eastAsia="Arial" w:hAnsi="Arial"/>
                <w:sz w:val="12"/>
                <w:szCs w:val="12"/>
                <w:color w:val="0000EE"/>
                <w:w w:val="91"/>
              </w:rPr>
            </w:pPr>
            <w:hyperlink r:id="rId80">
              <w:r>
                <w:rPr>
                  <w:rFonts w:ascii="Arial" w:cs="Arial" w:eastAsia="Arial" w:hAnsi="Arial"/>
                  <w:sz w:val="12"/>
                  <w:szCs w:val="12"/>
                  <w:color w:val="0000EE"/>
                  <w:w w:val="91"/>
                </w:rPr>
                <w:t>Executive Employment Agreement, effective as of January 9, 2017, by and between the Company and Matthew Eckl (Incorporated by reference to Exhibit 10.1 to the Company’s Quarterly Report on Form 10-Q filed</w:t>
              </w:r>
            </w:hyperlink>
          </w:p>
        </w:tc>
        <w:tc>
          <w:tcPr>
            <w:tcW w:w="100" w:type="dxa"/>
            <w:vAlign w:val="bottom"/>
            <w:gridSpan w:val="2"/>
          </w:tcPr>
          <w:p>
            <w:pPr>
              <w:spacing w:after="0"/>
              <w:rPr>
                <w:sz w:val="23"/>
                <w:szCs w:val="23"/>
                <w:color w:val="auto"/>
              </w:rPr>
            </w:pPr>
          </w:p>
        </w:tc>
      </w:tr>
      <w:tr>
        <w:trPr>
          <w:trHeight w:val="124"/>
        </w:trPr>
        <w:tc>
          <w:tcPr>
            <w:tcW w:w="1020" w:type="dxa"/>
            <w:vAlign w:val="bottom"/>
          </w:tcPr>
          <w:p>
            <w:pPr>
              <w:spacing w:after="0"/>
              <w:rPr>
                <w:sz w:val="10"/>
                <w:szCs w:val="10"/>
                <w:color w:val="auto"/>
              </w:rPr>
            </w:pPr>
          </w:p>
        </w:tc>
        <w:tc>
          <w:tcPr>
            <w:tcW w:w="1540" w:type="dxa"/>
            <w:vAlign w:val="bottom"/>
            <w:tcBorders>
              <w:bottom w:val="single" w:sz="8" w:color="0000EE"/>
            </w:tcBorders>
            <w:gridSpan w:val="2"/>
          </w:tcPr>
          <w:p>
            <w:pPr>
              <w:spacing w:after="0" w:line="124" w:lineRule="exact"/>
              <w:rPr>
                <w:rFonts w:ascii="Arial" w:cs="Arial" w:eastAsia="Arial" w:hAnsi="Arial"/>
                <w:sz w:val="12"/>
                <w:szCs w:val="12"/>
                <w:color w:val="0000EE"/>
                <w:w w:val="91"/>
              </w:rPr>
            </w:pPr>
            <w:hyperlink r:id="rId80">
              <w:r>
                <w:rPr>
                  <w:rFonts w:ascii="Arial" w:cs="Arial" w:eastAsia="Arial" w:hAnsi="Arial"/>
                  <w:sz w:val="12"/>
                  <w:szCs w:val="12"/>
                  <w:color w:val="0000EE"/>
                  <w:w w:val="91"/>
                </w:rPr>
                <w:t>with the SEC on May 10, 2017)</w:t>
              </w:r>
            </w:hyperlink>
          </w:p>
        </w:tc>
        <w:tc>
          <w:tcPr>
            <w:tcW w:w="8940" w:type="dxa"/>
            <w:vAlign w:val="bottom"/>
            <w:gridSpan w:val="22"/>
          </w:tcPr>
          <w:p>
            <w:pPr>
              <w:spacing w:after="0"/>
              <w:rPr>
                <w:sz w:val="10"/>
                <w:szCs w:val="10"/>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color w:val="auto"/>
              </w:rPr>
              <w:t>**10.12</w:t>
            </w:r>
          </w:p>
        </w:tc>
        <w:tc>
          <w:tcPr>
            <w:tcW w:w="8480" w:type="dxa"/>
            <w:vAlign w:val="bottom"/>
            <w:tcBorders>
              <w:bottom w:val="single" w:sz="8" w:color="0000EE"/>
            </w:tcBorders>
            <w:gridSpan w:val="11"/>
          </w:tcPr>
          <w:p>
            <w:pPr>
              <w:spacing w:after="0"/>
              <w:rPr>
                <w:rFonts w:ascii="Arial" w:cs="Arial" w:eastAsia="Arial" w:hAnsi="Arial"/>
                <w:sz w:val="12"/>
                <w:szCs w:val="12"/>
                <w:color w:val="0000EE"/>
                <w:w w:val="91"/>
              </w:rPr>
            </w:pPr>
            <w:hyperlink r:id="rId81">
              <w:r>
                <w:rPr>
                  <w:rFonts w:ascii="Arial" w:cs="Arial" w:eastAsia="Arial" w:hAnsi="Arial"/>
                  <w:sz w:val="12"/>
                  <w:szCs w:val="12"/>
                  <w:color w:val="0000EE"/>
                  <w:w w:val="91"/>
                </w:rPr>
                <w:t>Form of Incentive Stock Option Agreement (Incorporated by reference to Exhibit 10.2 to the Company’s Quarterly Report on Form 10-Q filed with the SEC on August 9, 2017)</w:t>
              </w:r>
            </w:hyperlink>
          </w:p>
        </w:tc>
        <w:tc>
          <w:tcPr>
            <w:tcW w:w="2000" w:type="dxa"/>
            <w:vAlign w:val="bottom"/>
            <w:gridSpan w:val="13"/>
          </w:tcPr>
          <w:p>
            <w:pPr>
              <w:spacing w:after="0"/>
              <w:rPr>
                <w:sz w:val="23"/>
                <w:szCs w:val="23"/>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color w:val="auto"/>
              </w:rPr>
              <w:t>**10.13</w:t>
            </w:r>
          </w:p>
        </w:tc>
        <w:tc>
          <w:tcPr>
            <w:tcW w:w="10480" w:type="dxa"/>
            <w:vAlign w:val="bottom"/>
            <w:gridSpan w:val="24"/>
          </w:tcPr>
          <w:p>
            <w:pPr>
              <w:spacing w:after="0"/>
              <w:rPr>
                <w:rFonts w:ascii="Arial" w:cs="Arial" w:eastAsia="Arial" w:hAnsi="Arial"/>
                <w:sz w:val="12"/>
                <w:szCs w:val="12"/>
                <w:color w:val="0000EE"/>
              </w:rPr>
            </w:pPr>
            <w:hyperlink r:id="rId82">
              <w:r>
                <w:rPr>
                  <w:rFonts w:ascii="Arial" w:cs="Arial" w:eastAsia="Arial" w:hAnsi="Arial"/>
                  <w:sz w:val="12"/>
                  <w:szCs w:val="12"/>
                  <w:color w:val="0000EE"/>
                </w:rPr>
                <w:t>Form of Nonqualified Stock Option Agreement (Incorporated by reference to Exhibit 10.3 to the Company’s Quarterly Report on Form 10-Q filed with the SEC on August 9, 2017)</w:t>
              </w:r>
            </w:hyperlink>
          </w:p>
        </w:tc>
      </w:tr>
      <w:tr>
        <w:trPr>
          <w:trHeight w:val="20"/>
        </w:trPr>
        <w:tc>
          <w:tcPr>
            <w:tcW w:w="1020" w:type="dxa"/>
            <w:vAlign w:val="bottom"/>
          </w:tcPr>
          <w:p>
            <w:pPr>
              <w:spacing w:after="0" w:line="20" w:lineRule="exact"/>
              <w:rPr>
                <w:sz w:val="1"/>
                <w:szCs w:val="1"/>
                <w:color w:val="auto"/>
              </w:rPr>
            </w:pPr>
          </w:p>
        </w:tc>
        <w:tc>
          <w:tcPr>
            <w:tcW w:w="8660" w:type="dxa"/>
            <w:vAlign w:val="bottom"/>
            <w:gridSpan w:val="1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color w:val="auto"/>
              </w:rPr>
              <w:t>**10.14</w:t>
            </w:r>
          </w:p>
        </w:tc>
        <w:tc>
          <w:tcPr>
            <w:tcW w:w="10480" w:type="dxa"/>
            <w:vAlign w:val="bottom"/>
            <w:gridSpan w:val="24"/>
          </w:tcPr>
          <w:p>
            <w:pPr>
              <w:spacing w:after="0"/>
              <w:rPr>
                <w:rFonts w:ascii="Arial" w:cs="Arial" w:eastAsia="Arial" w:hAnsi="Arial"/>
                <w:sz w:val="12"/>
                <w:szCs w:val="12"/>
                <w:color w:val="0000EE"/>
              </w:rPr>
            </w:pPr>
            <w:hyperlink r:id="rId83">
              <w:r>
                <w:rPr>
                  <w:rFonts w:ascii="Arial" w:cs="Arial" w:eastAsia="Arial" w:hAnsi="Arial"/>
                  <w:sz w:val="12"/>
                  <w:szCs w:val="12"/>
                  <w:color w:val="0000EE"/>
                </w:rPr>
                <w:t>Form of Restricted Stock Units Agreement for Directors (Incorporated by reference to Exhibit 10.4 to the Company’s Quarterly Report on Form 10-Q filed with the SEC on August 9, 2017)</w:t>
              </w:r>
            </w:hyperlink>
          </w:p>
        </w:tc>
      </w:tr>
      <w:tr>
        <w:trPr>
          <w:trHeight w:val="439"/>
        </w:trPr>
        <w:tc>
          <w:tcPr>
            <w:tcW w:w="1020" w:type="dxa"/>
            <w:vAlign w:val="bottom"/>
          </w:tcPr>
          <w:p>
            <w:pPr>
              <w:spacing w:after="0"/>
              <w:rPr>
                <w:sz w:val="24"/>
                <w:szCs w:val="24"/>
                <w:color w:val="auto"/>
              </w:rPr>
            </w:pPr>
          </w:p>
        </w:tc>
        <w:tc>
          <w:tcPr>
            <w:tcW w:w="4940" w:type="dxa"/>
            <w:vAlign w:val="bottom"/>
            <w:tcBorders>
              <w:top w:val="single" w:sz="8" w:color="0000EE"/>
            </w:tcBorders>
            <w:gridSpan w:val="5"/>
          </w:tcPr>
          <w:p>
            <w:pPr>
              <w:ind w:left="4660"/>
              <w:spacing w:after="0"/>
              <w:rPr>
                <w:sz w:val="20"/>
                <w:szCs w:val="20"/>
                <w:color w:val="auto"/>
              </w:rPr>
            </w:pPr>
            <w:r>
              <w:rPr>
                <w:rFonts w:ascii="Arial" w:cs="Arial" w:eastAsia="Arial" w:hAnsi="Arial"/>
                <w:sz w:val="12"/>
                <w:szCs w:val="12"/>
                <w:color w:val="auto"/>
              </w:rPr>
              <w:t>46</w:t>
            </w: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2"/>
        </w:trPr>
        <w:tc>
          <w:tcPr>
            <w:tcW w:w="10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19" w:right="179" w:bottom="1440" w:gutter="0" w:footer="0" w:header="0"/>
        </w:sectPr>
      </w:pPr>
    </w:p>
    <w:bookmarkStart w:id="48" w:name="page49"/>
    <w:bookmarkEnd w:id="48"/>
    <w:tbl>
      <w:tblPr>
        <w:tblLayout w:type="fixed"/>
        <w:tblInd w:w="8" w:type="dxa"/>
        <w:tblCellMar>
          <w:top w:w="0" w:type="dxa"/>
          <w:left w:w="0" w:type="dxa"/>
          <w:bottom w:w="0" w:type="dxa"/>
          <w:right w:w="0" w:type="dxa"/>
        </w:tblCellMar>
      </w:tblPr>
      <w:tr>
        <w:trPr>
          <w:trHeight w:val="103"/>
        </w:trPr>
        <w:tc>
          <w:tcPr>
            <w:tcW w:w="920" w:type="dxa"/>
            <w:vAlign w:val="bottom"/>
          </w:tcPr>
          <w:p>
            <w:pPr>
              <w:spacing w:after="0"/>
              <w:rPr>
                <w:sz w:val="20"/>
                <w:szCs w:val="20"/>
                <w:color w:val="auto"/>
              </w:rPr>
            </w:pPr>
            <w:r>
              <w:rPr>
                <w:rFonts w:ascii="Arial" w:cs="Arial" w:eastAsia="Arial" w:hAnsi="Arial"/>
                <w:sz w:val="9"/>
                <w:szCs w:val="9"/>
                <w:b w:val="1"/>
                <w:bCs w:val="1"/>
                <w:color w:val="auto"/>
              </w:rPr>
              <w:t>Exhibit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Number</w:t>
            </w:r>
          </w:p>
        </w:tc>
        <w:tc>
          <w:tcPr>
            <w:tcW w:w="100" w:type="dxa"/>
            <w:vAlign w:val="bottom"/>
          </w:tcPr>
          <w:p>
            <w:pPr>
              <w:spacing w:after="0"/>
              <w:rPr>
                <w:sz w:val="9"/>
                <w:szCs w:val="9"/>
                <w:color w:val="auto"/>
              </w:rPr>
            </w:pPr>
          </w:p>
        </w:tc>
        <w:tc>
          <w:tcPr>
            <w:tcW w:w="9180" w:type="dxa"/>
            <w:vAlign w:val="bottom"/>
            <w:gridSpan w:val="10"/>
            <w:vMerge w:val="restart"/>
          </w:tcPr>
          <w:p>
            <w:pPr>
              <w:spacing w:after="0"/>
              <w:rPr>
                <w:rFonts w:ascii="Arial" w:cs="Arial" w:eastAsia="Arial" w:hAnsi="Arial"/>
                <w:sz w:val="12"/>
                <w:szCs w:val="12"/>
                <w:color w:val="0000EE"/>
                <w:w w:val="91"/>
              </w:rPr>
            </w:pPr>
            <w:hyperlink r:id="rId86">
              <w:r>
                <w:rPr>
                  <w:rFonts w:ascii="Arial" w:cs="Arial" w:eastAsia="Arial" w:hAnsi="Arial"/>
                  <w:sz w:val="12"/>
                  <w:szCs w:val="12"/>
                  <w:color w:val="0000EE"/>
                  <w:w w:val="91"/>
                </w:rPr>
                <w:t>Form of Restricted Stock Units Agreement for Employees (Incorporated by reference to Exhibit 10.5 to the Company’s Quarterly Report on Form 10-Q filed with the SEC on August 9, 2017)</w:t>
              </w:r>
            </w:hyperlink>
          </w:p>
        </w:tc>
        <w:tc>
          <w:tcPr>
            <w:tcW w:w="1080" w:type="dxa"/>
            <w:vAlign w:val="bottom"/>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line="88" w:lineRule="exact"/>
              <w:rPr>
                <w:sz w:val="20"/>
                <w:szCs w:val="20"/>
                <w:color w:val="auto"/>
              </w:rPr>
            </w:pPr>
            <w:r>
              <w:rPr>
                <w:rFonts w:ascii="Arial" w:cs="Arial" w:eastAsia="Arial" w:hAnsi="Arial"/>
                <w:sz w:val="10"/>
                <w:szCs w:val="10"/>
                <w:color w:val="auto"/>
              </w:rPr>
              <w:t>**10.15</w:t>
            </w:r>
          </w:p>
        </w:tc>
        <w:tc>
          <w:tcPr>
            <w:tcW w:w="100" w:type="dxa"/>
            <w:vAlign w:val="bottom"/>
          </w:tcPr>
          <w:p>
            <w:pPr>
              <w:spacing w:after="0"/>
              <w:rPr>
                <w:sz w:val="8"/>
                <w:szCs w:val="8"/>
                <w:color w:val="auto"/>
              </w:rPr>
            </w:pPr>
          </w:p>
        </w:tc>
        <w:tc>
          <w:tcPr>
            <w:tcW w:w="9180" w:type="dxa"/>
            <w:vAlign w:val="bottom"/>
            <w:tcBorders>
              <w:bottom w:val="single" w:sz="8" w:color="0000EE"/>
            </w:tcBorders>
            <w:gridSpan w:val="10"/>
            <w:vMerge w:val="continue"/>
          </w:tcPr>
          <w:p>
            <w:pPr>
              <w:spacing w:after="0"/>
              <w:rPr>
                <w:sz w:val="8"/>
                <w:szCs w:val="8"/>
                <w:color w:val="auto"/>
              </w:rPr>
            </w:pPr>
          </w:p>
        </w:tc>
        <w:tc>
          <w:tcPr>
            <w:tcW w:w="10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2"/>
                <w:szCs w:val="12"/>
                <w:color w:val="auto"/>
              </w:rPr>
              <w:t>**10.16</w:t>
            </w:r>
          </w:p>
        </w:tc>
        <w:tc>
          <w:tcPr>
            <w:tcW w:w="100" w:type="dxa"/>
            <w:vAlign w:val="bottom"/>
          </w:tcPr>
          <w:p>
            <w:pPr>
              <w:spacing w:after="0"/>
              <w:rPr>
                <w:sz w:val="24"/>
                <w:szCs w:val="24"/>
                <w:color w:val="auto"/>
              </w:rPr>
            </w:pPr>
          </w:p>
        </w:tc>
        <w:tc>
          <w:tcPr>
            <w:tcW w:w="10240" w:type="dxa"/>
            <w:vAlign w:val="bottom"/>
            <w:tcBorders>
              <w:bottom w:val="single" w:sz="8" w:color="0000EE"/>
            </w:tcBorders>
            <w:gridSpan w:val="14"/>
          </w:tcPr>
          <w:p>
            <w:pPr>
              <w:spacing w:after="0"/>
              <w:rPr>
                <w:rFonts w:ascii="Arial" w:cs="Arial" w:eastAsia="Arial" w:hAnsi="Arial"/>
                <w:sz w:val="12"/>
                <w:szCs w:val="12"/>
                <w:color w:val="0000EE"/>
                <w:w w:val="91"/>
              </w:rPr>
            </w:pPr>
            <w:hyperlink r:id="rId87">
              <w:r>
                <w:rPr>
                  <w:rFonts w:ascii="Arial" w:cs="Arial" w:eastAsia="Arial" w:hAnsi="Arial"/>
                  <w:sz w:val="12"/>
                  <w:szCs w:val="12"/>
                  <w:color w:val="0000EE"/>
                  <w:w w:val="91"/>
                </w:rPr>
                <w:t>Executive Employment Agreement, dated as of June 10, 2017, between the Company and Dennis Sadlowski (Incorporated by reference to Exhibit 10.1 to the Company’s Current Report on Form 8-K filed with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0000EE"/>
            </w:tcBorders>
            <w:gridSpan w:val="2"/>
          </w:tcPr>
          <w:p>
            <w:pPr>
              <w:spacing w:after="0" w:line="124" w:lineRule="exact"/>
              <w:rPr>
                <w:rFonts w:ascii="Arial" w:cs="Arial" w:eastAsia="Arial" w:hAnsi="Arial"/>
                <w:sz w:val="12"/>
                <w:szCs w:val="12"/>
                <w:color w:val="0000EE"/>
                <w:w w:val="88"/>
              </w:rPr>
            </w:pPr>
            <w:hyperlink r:id="rId87">
              <w:r>
                <w:rPr>
                  <w:rFonts w:ascii="Arial" w:cs="Arial" w:eastAsia="Arial" w:hAnsi="Arial"/>
                  <w:sz w:val="12"/>
                  <w:szCs w:val="12"/>
                  <w:color w:val="0000EE"/>
                  <w:w w:val="88"/>
                </w:rPr>
                <w:t>SEC on June 12, 2017)</w:t>
              </w:r>
            </w:hyperlink>
          </w:p>
        </w:tc>
        <w:tc>
          <w:tcPr>
            <w:tcW w:w="914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**10.17</w:t>
            </w:r>
          </w:p>
        </w:tc>
        <w:tc>
          <w:tcPr>
            <w:tcW w:w="100" w:type="dxa"/>
            <w:vAlign w:val="bottom"/>
          </w:tcPr>
          <w:p>
            <w:pPr>
              <w:spacing w:after="0"/>
              <w:rPr>
                <w:sz w:val="23"/>
                <w:szCs w:val="23"/>
                <w:color w:val="auto"/>
              </w:rPr>
            </w:pPr>
          </w:p>
        </w:tc>
        <w:tc>
          <w:tcPr>
            <w:tcW w:w="10260" w:type="dxa"/>
            <w:vAlign w:val="bottom"/>
            <w:tcBorders>
              <w:bottom w:val="single" w:sz="8" w:color="0000EE"/>
            </w:tcBorders>
            <w:gridSpan w:val="15"/>
          </w:tcPr>
          <w:p>
            <w:pPr>
              <w:spacing w:after="0"/>
              <w:rPr>
                <w:rFonts w:ascii="Arial" w:cs="Arial" w:eastAsia="Arial" w:hAnsi="Arial"/>
                <w:sz w:val="12"/>
                <w:szCs w:val="12"/>
                <w:color w:val="0000EE"/>
                <w:w w:val="91"/>
              </w:rPr>
            </w:pPr>
            <w:hyperlink r:id="rId88">
              <w:r>
                <w:rPr>
                  <w:rFonts w:ascii="Arial" w:cs="Arial" w:eastAsia="Arial" w:hAnsi="Arial"/>
                  <w:sz w:val="12"/>
                  <w:szCs w:val="12"/>
                  <w:color w:val="0000EE"/>
                  <w:w w:val="91"/>
                </w:rPr>
                <w:t>CECO Environmental Corp. 2017 Equity and Incentive Compensation Plan (Incorporated by reference to Exhibit 4.3 to the Registrant’s Registration Statement on Form S-8 filed on May 16, 2017 (Registration No.</w:t>
              </w:r>
            </w:hyperlink>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0000EE"/>
            </w:tcBorders>
          </w:tcPr>
          <w:p>
            <w:pPr>
              <w:spacing w:after="0" w:line="124" w:lineRule="exact"/>
              <w:rPr>
                <w:rFonts w:ascii="Arial" w:cs="Arial" w:eastAsia="Arial" w:hAnsi="Arial"/>
                <w:sz w:val="12"/>
                <w:szCs w:val="12"/>
                <w:color w:val="0000EE"/>
                <w:w w:val="88"/>
              </w:rPr>
            </w:pPr>
            <w:hyperlink r:id="rId88">
              <w:r>
                <w:rPr>
                  <w:rFonts w:ascii="Arial" w:cs="Arial" w:eastAsia="Arial" w:hAnsi="Arial"/>
                  <w:sz w:val="12"/>
                  <w:szCs w:val="12"/>
                  <w:color w:val="0000EE"/>
                  <w:w w:val="88"/>
                </w:rPr>
                <w:t>333-218030))</w:t>
              </w:r>
            </w:hyperlink>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10.18</w:t>
            </w:r>
          </w:p>
        </w:tc>
        <w:tc>
          <w:tcPr>
            <w:tcW w:w="100" w:type="dxa"/>
            <w:vAlign w:val="bottom"/>
          </w:tcPr>
          <w:p>
            <w:pPr>
              <w:spacing w:after="0"/>
              <w:rPr>
                <w:sz w:val="23"/>
                <w:szCs w:val="23"/>
                <w:color w:val="auto"/>
              </w:rPr>
            </w:pPr>
          </w:p>
        </w:tc>
        <w:tc>
          <w:tcPr>
            <w:tcW w:w="10260" w:type="dxa"/>
            <w:vAlign w:val="bottom"/>
            <w:gridSpan w:val="15"/>
          </w:tcPr>
          <w:p>
            <w:pPr>
              <w:spacing w:after="0"/>
              <w:rPr>
                <w:rFonts w:ascii="Arial" w:cs="Arial" w:eastAsia="Arial" w:hAnsi="Arial"/>
                <w:sz w:val="12"/>
                <w:szCs w:val="12"/>
                <w:color w:val="0000EE"/>
              </w:rPr>
            </w:pPr>
            <w:hyperlink r:id="rId89">
              <w:r>
                <w:rPr>
                  <w:rFonts w:ascii="Arial" w:cs="Arial" w:eastAsia="Arial" w:hAnsi="Arial"/>
                  <w:sz w:val="12"/>
                  <w:szCs w:val="12"/>
                  <w:color w:val="0000EE"/>
                </w:rPr>
                <w:t>Amendment No. 1 to Amended and Restated Credit Agreement (Incorporated by reference to Exhibit 10.26 to the Company’s Report on Form 10-K filed with the SEC on March 9,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9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10.19</w:t>
            </w:r>
          </w:p>
        </w:tc>
        <w:tc>
          <w:tcPr>
            <w:tcW w:w="100" w:type="dxa"/>
            <w:vAlign w:val="bottom"/>
          </w:tcPr>
          <w:p>
            <w:pPr>
              <w:spacing w:after="0"/>
              <w:rPr>
                <w:sz w:val="23"/>
                <w:szCs w:val="23"/>
                <w:color w:val="auto"/>
              </w:rPr>
            </w:pPr>
          </w:p>
        </w:tc>
        <w:tc>
          <w:tcPr>
            <w:tcW w:w="9440" w:type="dxa"/>
            <w:vAlign w:val="bottom"/>
            <w:tcBorders>
              <w:bottom w:val="single" w:sz="8" w:color="0000EE"/>
            </w:tcBorders>
            <w:gridSpan w:val="11"/>
          </w:tcPr>
          <w:p>
            <w:pPr>
              <w:spacing w:after="0"/>
              <w:rPr>
                <w:rFonts w:ascii="Arial" w:cs="Arial" w:eastAsia="Arial" w:hAnsi="Arial"/>
                <w:sz w:val="12"/>
                <w:szCs w:val="12"/>
                <w:color w:val="0000EE"/>
                <w:w w:val="91"/>
              </w:rPr>
            </w:pPr>
            <w:hyperlink r:id="rId90">
              <w:r>
                <w:rPr>
                  <w:rFonts w:ascii="Arial" w:cs="Arial" w:eastAsia="Arial" w:hAnsi="Arial"/>
                  <w:sz w:val="12"/>
                  <w:szCs w:val="12"/>
                  <w:color w:val="0000EE"/>
                  <w:w w:val="91"/>
                </w:rPr>
                <w:t>Amendment No. 2 to Amended and Restated Credit Agreement (Incorporated by reference to Exhibit 10.1 to the Company’s Quarterly Report on Form 10-Q filed with the SEC on August 9, 2017)</w:t>
              </w:r>
            </w:hyperlink>
          </w:p>
        </w:tc>
        <w:tc>
          <w:tcPr>
            <w:tcW w:w="8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10.20</w:t>
            </w:r>
          </w:p>
        </w:tc>
        <w:tc>
          <w:tcPr>
            <w:tcW w:w="100" w:type="dxa"/>
            <w:vAlign w:val="bottom"/>
          </w:tcPr>
          <w:p>
            <w:pPr>
              <w:spacing w:after="0"/>
              <w:rPr>
                <w:sz w:val="23"/>
                <w:szCs w:val="23"/>
                <w:color w:val="auto"/>
              </w:rPr>
            </w:pPr>
          </w:p>
        </w:tc>
        <w:tc>
          <w:tcPr>
            <w:tcW w:w="9620" w:type="dxa"/>
            <w:vAlign w:val="bottom"/>
            <w:tcBorders>
              <w:bottom w:val="single" w:sz="8" w:color="0000EE"/>
            </w:tcBorders>
            <w:gridSpan w:val="13"/>
          </w:tcPr>
          <w:p>
            <w:pPr>
              <w:spacing w:after="0"/>
              <w:rPr>
                <w:rFonts w:ascii="Arial" w:cs="Arial" w:eastAsia="Arial" w:hAnsi="Arial"/>
                <w:sz w:val="12"/>
                <w:szCs w:val="12"/>
                <w:color w:val="0000EE"/>
                <w:w w:val="91"/>
              </w:rPr>
            </w:pPr>
            <w:hyperlink r:id="rId91">
              <w:r>
                <w:rPr>
                  <w:rFonts w:ascii="Arial" w:cs="Arial" w:eastAsia="Arial" w:hAnsi="Arial"/>
                  <w:sz w:val="12"/>
                  <w:szCs w:val="12"/>
                  <w:color w:val="0000EE"/>
                  <w:w w:val="91"/>
                </w:rPr>
                <w:t>Amendment No. 3 to Amended and Restated Credit Agreement (Incorporated by reference to Exhibit 10.2 to the Company’s Quarterly Report on Form 10-Q filed with the SEC on November 8, 2017)</w:t>
              </w:r>
            </w:hyperlink>
          </w:p>
        </w:tc>
        <w:tc>
          <w:tcPr>
            <w:tcW w:w="6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10.21</w:t>
            </w:r>
          </w:p>
        </w:tc>
        <w:tc>
          <w:tcPr>
            <w:tcW w:w="100" w:type="dxa"/>
            <w:vAlign w:val="bottom"/>
          </w:tcPr>
          <w:p>
            <w:pPr>
              <w:spacing w:after="0"/>
              <w:rPr>
                <w:sz w:val="23"/>
                <w:szCs w:val="23"/>
                <w:color w:val="auto"/>
              </w:rPr>
            </w:pPr>
          </w:p>
        </w:tc>
        <w:tc>
          <w:tcPr>
            <w:tcW w:w="9600" w:type="dxa"/>
            <w:vAlign w:val="bottom"/>
            <w:tcBorders>
              <w:bottom w:val="single" w:sz="8" w:color="0000EE"/>
            </w:tcBorders>
            <w:gridSpan w:val="12"/>
          </w:tcPr>
          <w:p>
            <w:pPr>
              <w:spacing w:after="0"/>
              <w:rPr>
                <w:rFonts w:ascii="Arial" w:cs="Arial" w:eastAsia="Arial" w:hAnsi="Arial"/>
                <w:sz w:val="12"/>
                <w:szCs w:val="12"/>
                <w:color w:val="0000EE"/>
                <w:w w:val="91"/>
              </w:rPr>
            </w:pPr>
            <w:hyperlink r:id="rId92">
              <w:r>
                <w:rPr>
                  <w:rFonts w:ascii="Arial" w:cs="Arial" w:eastAsia="Arial" w:hAnsi="Arial"/>
                  <w:sz w:val="12"/>
                  <w:szCs w:val="12"/>
                  <w:color w:val="0000EE"/>
                  <w:w w:val="91"/>
                </w:rPr>
                <w:t>Amendment No. 4 to Amended and Restated Credit Agreement (Incorporated by reference to Exhibit 10.2 to the Company’s Quarterly Report on Form 10-Q filed with the SEC on November 7, 2018)</w:t>
              </w:r>
            </w:hyperlink>
          </w:p>
        </w:tc>
        <w:tc>
          <w:tcPr>
            <w:tcW w:w="6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3"/>
                <w:szCs w:val="23"/>
                <w:color w:val="auto"/>
              </w:rPr>
            </w:pPr>
          </w:p>
        </w:tc>
        <w:tc>
          <w:tcPr>
            <w:tcW w:w="1400" w:type="dxa"/>
            <w:vAlign w:val="bottom"/>
            <w:tcBorders>
              <w:bottom w:val="single" w:sz="8" w:color="0000EE"/>
            </w:tcBorders>
            <w:gridSpan w:val="4"/>
          </w:tcPr>
          <w:p>
            <w:pPr>
              <w:spacing w:after="0"/>
              <w:rPr>
                <w:rFonts w:ascii="Arial" w:cs="Arial" w:eastAsia="Arial" w:hAnsi="Arial"/>
                <w:sz w:val="12"/>
                <w:szCs w:val="12"/>
                <w:color w:val="0000EE"/>
                <w:w w:val="89"/>
              </w:rPr>
            </w:pPr>
            <w:hyperlink w:anchor="page90">
              <w:r>
                <w:rPr>
                  <w:rFonts w:ascii="Arial" w:cs="Arial" w:eastAsia="Arial" w:hAnsi="Arial"/>
                  <w:sz w:val="12"/>
                  <w:szCs w:val="12"/>
                  <w:color w:val="0000EE"/>
                  <w:w w:val="89"/>
                </w:rPr>
                <w:t>Subsidiaries of the Company</w:t>
              </w:r>
            </w:hyperlink>
          </w:p>
        </w:tc>
        <w:tc>
          <w:tcPr>
            <w:tcW w:w="886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rPr>
                <w:rFonts w:ascii="Arial" w:cs="Arial" w:eastAsia="Arial" w:hAnsi="Arial"/>
                <w:sz w:val="12"/>
                <w:szCs w:val="12"/>
                <w:color w:val="0000EE"/>
                <w:w w:val="93"/>
              </w:rPr>
            </w:pPr>
            <w:hyperlink w:anchor="page91">
              <w:r>
                <w:rPr>
                  <w:rFonts w:ascii="Arial" w:cs="Arial" w:eastAsia="Arial" w:hAnsi="Arial"/>
                  <w:sz w:val="12"/>
                  <w:szCs w:val="12"/>
                  <w:color w:val="0000EE"/>
                  <w:w w:val="93"/>
                </w:rPr>
                <w:t>Consent of BDO USA, LLP</w:t>
              </w:r>
            </w:hyperlink>
          </w:p>
        </w:tc>
        <w:tc>
          <w:tcPr>
            <w:tcW w:w="89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2"/>
                <w:szCs w:val="12"/>
                <w:color w:val="auto"/>
              </w:rPr>
              <w:t>*31.1</w:t>
            </w:r>
          </w:p>
        </w:tc>
        <w:tc>
          <w:tcPr>
            <w:tcW w:w="10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rPr>
                <w:rFonts w:ascii="Arial" w:cs="Arial" w:eastAsia="Arial" w:hAnsi="Arial"/>
                <w:sz w:val="12"/>
                <w:szCs w:val="12"/>
                <w:color w:val="0000EE"/>
                <w:w w:val="93"/>
              </w:rPr>
            </w:pPr>
            <w:hyperlink w:anchor="page92">
              <w:r>
                <w:rPr>
                  <w:rFonts w:ascii="Arial" w:cs="Arial" w:eastAsia="Arial" w:hAnsi="Arial"/>
                  <w:sz w:val="12"/>
                  <w:szCs w:val="12"/>
                  <w:color w:val="0000EE"/>
                  <w:w w:val="93"/>
                </w:rPr>
                <w:t>Rule 13(a)/15d-14(a) Certification by Chief Executive Officer</w:t>
              </w:r>
            </w:hyperlink>
          </w:p>
        </w:tc>
        <w:tc>
          <w:tcPr>
            <w:tcW w:w="7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2"/>
                <w:szCs w:val="12"/>
                <w:color w:val="auto"/>
              </w:rPr>
              <w:t>*31.2</w:t>
            </w:r>
          </w:p>
        </w:tc>
        <w:tc>
          <w:tcPr>
            <w:tcW w:w="100" w:type="dxa"/>
            <w:vAlign w:val="bottom"/>
          </w:tcPr>
          <w:p>
            <w:pPr>
              <w:spacing w:after="0"/>
              <w:rPr>
                <w:sz w:val="17"/>
                <w:szCs w:val="17"/>
                <w:color w:val="auto"/>
              </w:rPr>
            </w:pPr>
          </w:p>
        </w:tc>
        <w:tc>
          <w:tcPr>
            <w:tcW w:w="2960" w:type="dxa"/>
            <w:vAlign w:val="bottom"/>
            <w:tcBorders>
              <w:bottom w:val="single" w:sz="8" w:color="0000EE"/>
            </w:tcBorders>
            <w:gridSpan w:val="5"/>
          </w:tcPr>
          <w:p>
            <w:pPr>
              <w:spacing w:after="0"/>
              <w:rPr>
                <w:rFonts w:ascii="Arial" w:cs="Arial" w:eastAsia="Arial" w:hAnsi="Arial"/>
                <w:sz w:val="12"/>
                <w:szCs w:val="12"/>
                <w:color w:val="0000EE"/>
                <w:w w:val="93"/>
              </w:rPr>
            </w:pPr>
            <w:hyperlink w:anchor="page93">
              <w:r>
                <w:rPr>
                  <w:rFonts w:ascii="Arial" w:cs="Arial" w:eastAsia="Arial" w:hAnsi="Arial"/>
                  <w:sz w:val="12"/>
                  <w:szCs w:val="12"/>
                  <w:color w:val="0000EE"/>
                  <w:w w:val="93"/>
                </w:rPr>
                <w:t>Rule 13(a)/15d-14(a) Certification by Chief Financial Officer</w:t>
              </w:r>
            </w:hyperlink>
          </w:p>
        </w:tc>
        <w:tc>
          <w:tcPr>
            <w:tcW w:w="7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*32.1</w:t>
            </w:r>
          </w:p>
        </w:tc>
        <w:tc>
          <w:tcPr>
            <w:tcW w:w="100" w:type="dxa"/>
            <w:vAlign w:val="bottom"/>
          </w:tcPr>
          <w:p>
            <w:pPr>
              <w:spacing w:after="0"/>
              <w:rPr>
                <w:sz w:val="17"/>
                <w:szCs w:val="17"/>
                <w:color w:val="auto"/>
              </w:rPr>
            </w:pPr>
          </w:p>
        </w:tc>
        <w:tc>
          <w:tcPr>
            <w:tcW w:w="3060" w:type="dxa"/>
            <w:vAlign w:val="bottom"/>
            <w:tcBorders>
              <w:bottom w:val="single" w:sz="8" w:color="0000EE"/>
            </w:tcBorders>
            <w:gridSpan w:val="8"/>
          </w:tcPr>
          <w:p>
            <w:pPr>
              <w:spacing w:after="0"/>
              <w:rPr>
                <w:rFonts w:ascii="Arial" w:cs="Arial" w:eastAsia="Arial" w:hAnsi="Arial"/>
                <w:sz w:val="12"/>
                <w:szCs w:val="12"/>
                <w:color w:val="0000EE"/>
                <w:w w:val="93"/>
              </w:rPr>
            </w:pPr>
            <w:hyperlink w:anchor="page94">
              <w:r>
                <w:rPr>
                  <w:rFonts w:ascii="Arial" w:cs="Arial" w:eastAsia="Arial" w:hAnsi="Arial"/>
                  <w:sz w:val="12"/>
                  <w:szCs w:val="12"/>
                  <w:color w:val="0000EE"/>
                  <w:w w:val="93"/>
                </w:rPr>
                <w:t>Certification of Chief Executive Officer (18 U.S. Section 1350)</w:t>
              </w:r>
            </w:hyperlink>
          </w:p>
        </w:tc>
        <w:tc>
          <w:tcPr>
            <w:tcW w:w="7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*32.2</w:t>
            </w:r>
          </w:p>
        </w:tc>
        <w:tc>
          <w:tcPr>
            <w:tcW w:w="100" w:type="dxa"/>
            <w:vAlign w:val="bottom"/>
          </w:tcPr>
          <w:p>
            <w:pPr>
              <w:spacing w:after="0"/>
              <w:rPr>
                <w:sz w:val="17"/>
                <w:szCs w:val="17"/>
                <w:color w:val="auto"/>
              </w:rPr>
            </w:pPr>
          </w:p>
        </w:tc>
        <w:tc>
          <w:tcPr>
            <w:tcW w:w="10260" w:type="dxa"/>
            <w:vAlign w:val="bottom"/>
            <w:gridSpan w:val="15"/>
          </w:tcPr>
          <w:p>
            <w:pPr>
              <w:spacing w:after="0"/>
              <w:rPr>
                <w:rFonts w:ascii="Arial" w:cs="Arial" w:eastAsia="Arial" w:hAnsi="Arial"/>
                <w:sz w:val="12"/>
                <w:szCs w:val="12"/>
                <w:color w:val="0000EE"/>
              </w:rPr>
            </w:pPr>
            <w:hyperlink w:anchor="page95">
              <w:r>
                <w:rPr>
                  <w:rFonts w:ascii="Arial" w:cs="Arial" w:eastAsia="Arial" w:hAnsi="Arial"/>
                  <w:sz w:val="12"/>
                  <w:szCs w:val="12"/>
                  <w:color w:val="0000EE"/>
                </w:rPr>
                <w:t>Certification of Chief Financial Officer (18 U.S. Section 1350)</w:t>
              </w:r>
            </w:hyperlink>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r>
              <w:rPr>
                <w:rFonts w:ascii="Arial" w:cs="Arial" w:eastAsia="Arial" w:hAnsi="Arial"/>
                <w:sz w:val="12"/>
                <w:szCs w:val="12"/>
                <w:color w:val="auto"/>
              </w:rPr>
              <w:t>*101.INS</w:t>
            </w:r>
          </w:p>
        </w:tc>
        <w:tc>
          <w:tcPr>
            <w:tcW w:w="100" w:type="dxa"/>
            <w:vAlign w:val="bottom"/>
          </w:tcPr>
          <w:p>
            <w:pPr>
              <w:spacing w:after="0"/>
              <w:rPr>
                <w:sz w:val="20"/>
                <w:szCs w:val="20"/>
                <w:color w:val="auto"/>
              </w:rPr>
            </w:pPr>
          </w:p>
        </w:tc>
        <w:tc>
          <w:tcPr>
            <w:tcW w:w="3020" w:type="dxa"/>
            <w:vAlign w:val="bottom"/>
            <w:tcBorders>
              <w:top w:val="single" w:sz="8" w:color="0000EE"/>
            </w:tcBorders>
            <w:gridSpan w:val="7"/>
          </w:tcPr>
          <w:p>
            <w:pPr>
              <w:spacing w:after="0"/>
              <w:rPr>
                <w:sz w:val="20"/>
                <w:szCs w:val="20"/>
                <w:color w:val="auto"/>
              </w:rPr>
            </w:pPr>
            <w:r>
              <w:rPr>
                <w:rFonts w:ascii="Arial" w:cs="Arial" w:eastAsia="Arial" w:hAnsi="Arial"/>
                <w:sz w:val="12"/>
                <w:szCs w:val="12"/>
                <w:color w:val="auto"/>
              </w:rPr>
              <w:t>XBRL Instance Document</w:t>
            </w:r>
          </w:p>
        </w:tc>
        <w:tc>
          <w:tcPr>
            <w:tcW w:w="72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*101.SCH</w:t>
            </w:r>
          </w:p>
        </w:tc>
        <w:tc>
          <w:tcPr>
            <w:tcW w:w="100" w:type="dxa"/>
            <w:vAlign w:val="bottom"/>
          </w:tcPr>
          <w:p>
            <w:pPr>
              <w:spacing w:after="0"/>
              <w:rPr>
                <w:sz w:val="18"/>
                <w:szCs w:val="18"/>
                <w:color w:val="auto"/>
              </w:rPr>
            </w:pPr>
          </w:p>
        </w:tc>
        <w:tc>
          <w:tcPr>
            <w:tcW w:w="10260" w:type="dxa"/>
            <w:vAlign w:val="bottom"/>
            <w:gridSpan w:val="15"/>
          </w:tcPr>
          <w:p>
            <w:pPr>
              <w:spacing w:after="0"/>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*101.CAL</w:t>
            </w:r>
          </w:p>
        </w:tc>
        <w:tc>
          <w:tcPr>
            <w:tcW w:w="100" w:type="dxa"/>
            <w:vAlign w:val="bottom"/>
          </w:tcPr>
          <w:p>
            <w:pPr>
              <w:spacing w:after="0"/>
              <w:rPr>
                <w:sz w:val="18"/>
                <w:szCs w:val="18"/>
                <w:color w:val="auto"/>
              </w:rPr>
            </w:pPr>
          </w:p>
        </w:tc>
        <w:tc>
          <w:tcPr>
            <w:tcW w:w="10260" w:type="dxa"/>
            <w:vAlign w:val="bottom"/>
            <w:gridSpan w:val="15"/>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*101.DEF</w:t>
            </w:r>
          </w:p>
        </w:tc>
        <w:tc>
          <w:tcPr>
            <w:tcW w:w="100" w:type="dxa"/>
            <w:vAlign w:val="bottom"/>
          </w:tcPr>
          <w:p>
            <w:pPr>
              <w:spacing w:after="0"/>
              <w:rPr>
                <w:sz w:val="18"/>
                <w:szCs w:val="18"/>
                <w:color w:val="auto"/>
              </w:rPr>
            </w:pPr>
          </w:p>
        </w:tc>
        <w:tc>
          <w:tcPr>
            <w:tcW w:w="10260" w:type="dxa"/>
            <w:vAlign w:val="bottom"/>
            <w:gridSpan w:val="15"/>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*101.LAB</w:t>
            </w:r>
          </w:p>
        </w:tc>
        <w:tc>
          <w:tcPr>
            <w:tcW w:w="100" w:type="dxa"/>
            <w:vAlign w:val="bottom"/>
          </w:tcPr>
          <w:p>
            <w:pPr>
              <w:spacing w:after="0"/>
              <w:rPr>
                <w:sz w:val="18"/>
                <w:szCs w:val="18"/>
                <w:color w:val="auto"/>
              </w:rPr>
            </w:pPr>
          </w:p>
        </w:tc>
        <w:tc>
          <w:tcPr>
            <w:tcW w:w="10260" w:type="dxa"/>
            <w:vAlign w:val="bottom"/>
            <w:gridSpan w:val="15"/>
          </w:tcPr>
          <w:p>
            <w:pPr>
              <w:spacing w:after="0"/>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*101.PRE</w:t>
            </w:r>
          </w:p>
        </w:tc>
        <w:tc>
          <w:tcPr>
            <w:tcW w:w="100" w:type="dxa"/>
            <w:vAlign w:val="bottom"/>
          </w:tcPr>
          <w:p>
            <w:pPr>
              <w:spacing w:after="0"/>
              <w:rPr>
                <w:sz w:val="18"/>
                <w:szCs w:val="18"/>
                <w:color w:val="auto"/>
              </w:rPr>
            </w:pPr>
          </w:p>
        </w:tc>
        <w:tc>
          <w:tcPr>
            <w:tcW w:w="10260" w:type="dxa"/>
            <w:vAlign w:val="bottom"/>
            <w:gridSpan w:val="15"/>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21793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1217930" cy="5715"/>
                    </a:xfrm>
                    <a:prstGeom prst="rect">
                      <a:avLst/>
                    </a:prstGeom>
                    <a:noFill/>
                  </pic:spPr>
                </pic:pic>
              </a:graphicData>
            </a:graphic>
          </wp:anchor>
        </w:drawing>
      </w:r>
    </w:p>
    <w:p>
      <w:pPr>
        <w:spacing w:after="0" w:line="151" w:lineRule="exact"/>
        <w:rPr>
          <w:sz w:val="20"/>
          <w:szCs w:val="20"/>
          <w:color w:val="auto"/>
        </w:rPr>
      </w:pPr>
    </w:p>
    <w:p>
      <w:pPr>
        <w:ind w:left="508" w:hanging="508"/>
        <w:spacing w:after="0"/>
        <w:tabs>
          <w:tab w:leader="none" w:pos="5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Filed or furnished herewith</w:t>
      </w:r>
    </w:p>
    <w:p>
      <w:pPr>
        <w:spacing w:after="0" w:line="15" w:lineRule="exact"/>
        <w:rPr>
          <w:sz w:val="20"/>
          <w:szCs w:val="20"/>
          <w:color w:val="auto"/>
        </w:rPr>
      </w:pPr>
    </w:p>
    <w:p>
      <w:pPr>
        <w:ind w:left="508" w:hanging="508"/>
        <w:spacing w:after="0"/>
        <w:tabs>
          <w:tab w:leader="none" w:pos="5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Management contracts or compensation plans or arrangement</w:t>
      </w:r>
    </w:p>
    <w:p>
      <w:pPr>
        <w:spacing w:after="0" w:line="27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154" w:lineRule="exact"/>
        <w:rPr>
          <w:sz w:val="20"/>
          <w:szCs w:val="20"/>
          <w:color w:val="auto"/>
        </w:rPr>
      </w:pPr>
    </w:p>
    <w:p>
      <w:pPr>
        <w:ind w:left="28"/>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ind w:right="-18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88"/>
          </w:cols>
          <w:pgMar w:left="212" w:top="270" w:right="39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CECO ENVIRONMENTAL CORP.</w:t>
      </w:r>
    </w:p>
    <w:p>
      <w:pPr>
        <w:spacing w:after="0" w:line="168" w:lineRule="exact"/>
        <w:rPr>
          <w:sz w:val="20"/>
          <w:szCs w:val="20"/>
          <w:color w:val="auto"/>
        </w:rPr>
      </w:pPr>
    </w:p>
    <w:tbl>
      <w:tblPr>
        <w:tblLayout w:type="fixed"/>
        <w:tblInd w:w="6900" w:type="dxa"/>
        <w:tblCellMar>
          <w:top w:w="0" w:type="dxa"/>
          <w:left w:w="0" w:type="dxa"/>
          <w:bottom w:w="0" w:type="dxa"/>
          <w:right w:w="0" w:type="dxa"/>
        </w:tblCellMar>
      </w:tblP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1"/>
              </w:rPr>
              <w:t>By:</w:t>
            </w:r>
          </w:p>
        </w:tc>
        <w:tc>
          <w:tcPr>
            <w:tcW w:w="242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/S/  M</w:t>
            </w:r>
            <w:r>
              <w:rPr>
                <w:rFonts w:ascii="Arial" w:cs="Arial" w:eastAsia="Arial" w:hAnsi="Arial"/>
                <w:sz w:val="9"/>
                <w:szCs w:val="9"/>
                <w:color w:val="auto"/>
              </w:rPr>
              <w:t>ATTHEW</w:t>
            </w:r>
            <w:r>
              <w:rPr>
                <w:rFonts w:ascii="Arial" w:cs="Arial" w:eastAsia="Arial" w:hAnsi="Arial"/>
                <w:sz w:val="12"/>
                <w:szCs w:val="12"/>
                <w:color w:val="auto"/>
              </w:rPr>
              <w:t xml:space="preserve"> E</w:t>
            </w:r>
            <w:r>
              <w:rPr>
                <w:rFonts w:ascii="Arial" w:cs="Arial" w:eastAsia="Arial" w:hAnsi="Arial"/>
                <w:sz w:val="9"/>
                <w:szCs w:val="9"/>
                <w:color w:val="auto"/>
              </w:rPr>
              <w:t>CKL</w:t>
            </w:r>
          </w:p>
        </w:tc>
      </w:tr>
      <w:tr>
        <w:trPr>
          <w:trHeight w:val="141"/>
        </w:trPr>
        <w:tc>
          <w:tcPr>
            <w:tcW w:w="18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4"/>
              </w:rPr>
              <w:t>Matthew Eckl</w:t>
            </w:r>
          </w:p>
        </w:tc>
      </w:tr>
      <w:tr>
        <w:trPr>
          <w:trHeight w:val="144"/>
        </w:trPr>
        <w:tc>
          <w:tcPr>
            <w:tcW w:w="18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4"/>
              </w:rPr>
              <w:t>Chief Financial Officer</w:t>
            </w:r>
          </w:p>
        </w:tc>
      </w:tr>
      <w:tr>
        <w:trPr>
          <w:trHeight w:val="144"/>
        </w:trPr>
        <w:tc>
          <w:tcPr>
            <w:tcW w:w="18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1"/>
              </w:rPr>
              <w:t>March 7, 2019</w:t>
            </w:r>
          </w:p>
        </w:tc>
      </w:tr>
    </w:tbl>
    <w:p>
      <w:pPr>
        <w:spacing w:after="0" w:line="222"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Principal Executive Officer: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80" w:type="dxa"/>
            <w:vAlign w:val="bottom"/>
            <w:tcBorders>
              <w:bottom w:val="single" w:sz="8" w:color="auto"/>
            </w:tcBorders>
          </w:tcPr>
          <w:p>
            <w:pPr>
              <w:ind w:left="2140"/>
              <w:spacing w:after="0"/>
              <w:rPr>
                <w:sz w:val="20"/>
                <w:szCs w:val="20"/>
                <w:color w:val="auto"/>
              </w:rPr>
            </w:pPr>
            <w:r>
              <w:rPr>
                <w:rFonts w:ascii="Arial" w:cs="Arial" w:eastAsia="Arial" w:hAnsi="Arial"/>
                <w:sz w:val="12"/>
                <w:szCs w:val="12"/>
                <w:color w:val="auto"/>
              </w:rPr>
              <w:t>/S/</w:t>
            </w:r>
          </w:p>
        </w:tc>
        <w:tc>
          <w:tcPr>
            <w:tcW w:w="3280" w:type="dxa"/>
            <w:vAlign w:val="bottom"/>
            <w:tcBorders>
              <w:bottom w:val="single" w:sz="8" w:color="auto"/>
            </w:tcBorders>
            <w:gridSpan w:val="2"/>
          </w:tcPr>
          <w:p>
            <w:pPr>
              <w:jc w:val="center"/>
              <w:ind w:right="2230"/>
              <w:spacing w:after="0"/>
              <w:rPr>
                <w:sz w:val="20"/>
                <w:szCs w:val="20"/>
                <w:color w:val="auto"/>
              </w:rPr>
            </w:pPr>
            <w:r>
              <w:rPr>
                <w:rFonts w:ascii="Arial" w:cs="Arial" w:eastAsia="Arial" w:hAnsi="Arial"/>
                <w:sz w:val="12"/>
                <w:szCs w:val="12"/>
                <w:color w:val="auto"/>
                <w:w w:val="96"/>
              </w:rPr>
              <w:t>D</w:t>
            </w:r>
            <w:r>
              <w:rPr>
                <w:rFonts w:ascii="Arial" w:cs="Arial" w:eastAsia="Arial" w:hAnsi="Arial"/>
                <w:sz w:val="9"/>
                <w:szCs w:val="9"/>
                <w:color w:val="auto"/>
                <w:w w:val="96"/>
              </w:rPr>
              <w:t>ENNIS</w:t>
            </w:r>
            <w:r>
              <w:rPr>
                <w:rFonts w:ascii="Arial" w:cs="Arial" w:eastAsia="Arial" w:hAnsi="Arial"/>
                <w:sz w:val="12"/>
                <w:szCs w:val="12"/>
                <w:color w:val="auto"/>
                <w:w w:val="96"/>
              </w:rPr>
              <w:t xml:space="preserve"> S</w:t>
            </w:r>
            <w:r>
              <w:rPr>
                <w:rFonts w:ascii="Arial" w:cs="Arial" w:eastAsia="Arial" w:hAnsi="Arial"/>
                <w:sz w:val="9"/>
                <w:szCs w:val="9"/>
                <w:color w:val="auto"/>
                <w:w w:val="96"/>
              </w:rPr>
              <w:t>ADLOWSKI</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79"/>
        </w:trPr>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20" w:type="dxa"/>
            <w:vAlign w:val="bottom"/>
          </w:tcPr>
          <w:p>
            <w:pPr>
              <w:jc w:val="center"/>
              <w:ind w:right="2410"/>
              <w:spacing w:after="0" w:line="79" w:lineRule="exact"/>
              <w:rPr>
                <w:sz w:val="20"/>
                <w:szCs w:val="20"/>
                <w:color w:val="auto"/>
              </w:rPr>
            </w:pPr>
            <w:r>
              <w:rPr>
                <w:rFonts w:ascii="Arial" w:cs="Arial" w:eastAsia="Arial" w:hAnsi="Arial"/>
                <w:sz w:val="9"/>
                <w:szCs w:val="9"/>
                <w:b w:val="1"/>
                <w:bCs w:val="1"/>
                <w:color w:val="auto"/>
                <w:w w:val="88"/>
              </w:rPr>
              <w:t>Dennis Sadlowski</w:t>
            </w:r>
          </w:p>
        </w:tc>
        <w:tc>
          <w:tcPr>
            <w:tcW w:w="5840" w:type="dxa"/>
            <w:vAlign w:val="bottom"/>
          </w:tcPr>
          <w:p>
            <w:pPr>
              <w:spacing w:after="0"/>
              <w:rPr>
                <w:sz w:val="6"/>
                <w:szCs w:val="6"/>
                <w:color w:val="auto"/>
              </w:rPr>
            </w:pPr>
          </w:p>
        </w:tc>
      </w:tr>
      <w:tr>
        <w:trPr>
          <w:trHeight w:val="116"/>
        </w:trPr>
        <w:tc>
          <w:tcPr>
            <w:tcW w:w="5660" w:type="dxa"/>
            <w:vAlign w:val="bottom"/>
            <w:gridSpan w:val="3"/>
          </w:tcPr>
          <w:p>
            <w:pPr>
              <w:jc w:val="center"/>
              <w:spacing w:after="0"/>
              <w:rPr>
                <w:sz w:val="20"/>
                <w:szCs w:val="20"/>
                <w:color w:val="auto"/>
              </w:rPr>
            </w:pPr>
            <w:r>
              <w:rPr>
                <w:rFonts w:ascii="Arial" w:cs="Arial" w:eastAsia="Arial" w:hAnsi="Arial"/>
                <w:sz w:val="9"/>
                <w:szCs w:val="9"/>
                <w:b w:val="1"/>
                <w:bCs w:val="1"/>
                <w:color w:val="auto"/>
                <w:w w:val="92"/>
              </w:rPr>
              <w:t>Chief Executive Officer and Director</w:t>
            </w:r>
          </w:p>
        </w:tc>
        <w:tc>
          <w:tcPr>
            <w:tcW w:w="5840" w:type="dxa"/>
            <w:vAlign w:val="bottom"/>
          </w:tcPr>
          <w:p>
            <w:pPr>
              <w:spacing w:after="0"/>
              <w:rPr>
                <w:sz w:val="10"/>
                <w:szCs w:val="10"/>
                <w:color w:val="auto"/>
              </w:rPr>
            </w:pPr>
          </w:p>
        </w:tc>
      </w:tr>
      <w:tr>
        <w:trPr>
          <w:trHeight w:val="217"/>
        </w:trPr>
        <w:tc>
          <w:tcPr>
            <w:tcW w:w="2380" w:type="dxa"/>
            <w:vAlign w:val="bottom"/>
          </w:tcPr>
          <w:p>
            <w:pPr>
              <w:spacing w:after="0"/>
              <w:rPr>
                <w:sz w:val="20"/>
                <w:szCs w:val="20"/>
                <w:color w:val="auto"/>
              </w:rPr>
            </w:pPr>
            <w:r>
              <w:rPr>
                <w:rFonts w:ascii="Arial" w:cs="Arial" w:eastAsia="Arial" w:hAnsi="Arial"/>
                <w:sz w:val="12"/>
                <w:szCs w:val="12"/>
                <w:color w:val="auto"/>
              </w:rPr>
              <w:t>Principal Financial Officer:</w:t>
            </w: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225"/>
        </w:trPr>
        <w:tc>
          <w:tcPr>
            <w:tcW w:w="2380" w:type="dxa"/>
            <w:vAlign w:val="bottom"/>
            <w:tcBorders>
              <w:bottom w:val="single" w:sz="8" w:color="auto"/>
            </w:tcBorders>
          </w:tcPr>
          <w:p>
            <w:pPr>
              <w:ind w:left="2240"/>
              <w:spacing w:after="0"/>
              <w:rPr>
                <w:sz w:val="20"/>
                <w:szCs w:val="20"/>
                <w:color w:val="auto"/>
              </w:rPr>
            </w:pPr>
            <w:r>
              <w:rPr>
                <w:rFonts w:ascii="Arial" w:cs="Arial" w:eastAsia="Arial" w:hAnsi="Arial"/>
                <w:sz w:val="12"/>
                <w:szCs w:val="12"/>
                <w:color w:val="auto"/>
                <w:w w:val="81"/>
              </w:rPr>
              <w:t>/S/</w:t>
            </w:r>
          </w:p>
        </w:tc>
        <w:tc>
          <w:tcPr>
            <w:tcW w:w="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center"/>
              <w:ind w:right="2330"/>
              <w:spacing w:after="0"/>
              <w:rPr>
                <w:sz w:val="20"/>
                <w:szCs w:val="20"/>
                <w:color w:val="auto"/>
              </w:rPr>
            </w:pPr>
            <w:r>
              <w:rPr>
                <w:rFonts w:ascii="Arial" w:cs="Arial" w:eastAsia="Arial" w:hAnsi="Arial"/>
                <w:sz w:val="12"/>
                <w:szCs w:val="12"/>
                <w:color w:val="auto"/>
                <w:w w:val="98"/>
              </w:rPr>
              <w:t>M</w:t>
            </w:r>
            <w:r>
              <w:rPr>
                <w:rFonts w:ascii="Arial" w:cs="Arial" w:eastAsia="Arial" w:hAnsi="Arial"/>
                <w:sz w:val="9"/>
                <w:szCs w:val="9"/>
                <w:color w:val="auto"/>
                <w:w w:val="98"/>
              </w:rPr>
              <w:t>ATTHEW</w:t>
            </w:r>
            <w:r>
              <w:rPr>
                <w:rFonts w:ascii="Arial" w:cs="Arial" w:eastAsia="Arial" w:hAnsi="Arial"/>
                <w:sz w:val="12"/>
                <w:szCs w:val="12"/>
                <w:color w:val="auto"/>
                <w:w w:val="98"/>
              </w:rPr>
              <w:t xml:space="preserve"> E</w:t>
            </w:r>
            <w:r>
              <w:rPr>
                <w:rFonts w:ascii="Arial" w:cs="Arial" w:eastAsia="Arial" w:hAnsi="Arial"/>
                <w:sz w:val="9"/>
                <w:szCs w:val="9"/>
                <w:color w:val="auto"/>
                <w:w w:val="98"/>
              </w:rPr>
              <w:t>CKL</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79"/>
        </w:trPr>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20" w:type="dxa"/>
            <w:vAlign w:val="bottom"/>
          </w:tcPr>
          <w:p>
            <w:pPr>
              <w:jc w:val="center"/>
              <w:ind w:right="2390"/>
              <w:spacing w:after="0" w:line="79" w:lineRule="exact"/>
              <w:rPr>
                <w:sz w:val="20"/>
                <w:szCs w:val="20"/>
                <w:color w:val="auto"/>
              </w:rPr>
            </w:pPr>
            <w:r>
              <w:rPr>
                <w:rFonts w:ascii="Arial" w:cs="Arial" w:eastAsia="Arial" w:hAnsi="Arial"/>
                <w:sz w:val="9"/>
                <w:szCs w:val="9"/>
                <w:b w:val="1"/>
                <w:bCs w:val="1"/>
                <w:color w:val="auto"/>
                <w:w w:val="94"/>
              </w:rPr>
              <w:t>Matthew Eckl</w:t>
            </w:r>
          </w:p>
        </w:tc>
        <w:tc>
          <w:tcPr>
            <w:tcW w:w="5840" w:type="dxa"/>
            <w:vAlign w:val="bottom"/>
          </w:tcPr>
          <w:p>
            <w:pPr>
              <w:spacing w:after="0"/>
              <w:rPr>
                <w:sz w:val="6"/>
                <w:szCs w:val="6"/>
                <w:color w:val="auto"/>
              </w:rPr>
            </w:pPr>
          </w:p>
        </w:tc>
      </w:tr>
      <w:tr>
        <w:trPr>
          <w:trHeight w:val="99"/>
        </w:trPr>
        <w:tc>
          <w:tcPr>
            <w:tcW w:w="5660" w:type="dxa"/>
            <w:vAlign w:val="bottom"/>
            <w:gridSpan w:val="3"/>
          </w:tcPr>
          <w:p>
            <w:pPr>
              <w:jc w:val="center"/>
              <w:spacing w:after="0" w:line="100" w:lineRule="exact"/>
              <w:rPr>
                <w:sz w:val="20"/>
                <w:szCs w:val="20"/>
                <w:color w:val="auto"/>
              </w:rPr>
            </w:pPr>
            <w:r>
              <w:rPr>
                <w:rFonts w:ascii="Arial" w:cs="Arial" w:eastAsia="Arial" w:hAnsi="Arial"/>
                <w:sz w:val="9"/>
                <w:szCs w:val="9"/>
                <w:b w:val="1"/>
                <w:bCs w:val="1"/>
                <w:color w:val="auto"/>
                <w:w w:val="94"/>
              </w:rPr>
              <w:t>Chief Financial Officer</w:t>
            </w:r>
          </w:p>
        </w:tc>
        <w:tc>
          <w:tcPr>
            <w:tcW w:w="5840" w:type="dxa"/>
            <w:vAlign w:val="bottom"/>
          </w:tcPr>
          <w:p>
            <w:pPr>
              <w:spacing w:after="0"/>
              <w:rPr>
                <w:sz w:val="8"/>
                <w:szCs w:val="8"/>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2"/>
                <w:szCs w:val="12"/>
                <w:color w:val="auto"/>
              </w:rPr>
              <w:t>Principal Accounting Officer:</w:t>
            </w:r>
          </w:p>
        </w:tc>
        <w:tc>
          <w:tcPr>
            <w:tcW w:w="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840" w:type="dxa"/>
            <w:vAlign w:val="bottom"/>
          </w:tcPr>
          <w:p>
            <w:pPr>
              <w:spacing w:after="0"/>
              <w:rPr>
                <w:sz w:val="13"/>
                <w:szCs w:val="13"/>
                <w:color w:val="auto"/>
              </w:rPr>
            </w:pPr>
          </w:p>
        </w:tc>
      </w:tr>
      <w:tr>
        <w:trPr>
          <w:trHeight w:val="225"/>
        </w:trPr>
        <w:tc>
          <w:tcPr>
            <w:tcW w:w="2440" w:type="dxa"/>
            <w:vAlign w:val="bottom"/>
            <w:tcBorders>
              <w:bottom w:val="single" w:sz="8" w:color="auto"/>
            </w:tcBorders>
            <w:gridSpan w:val="2"/>
          </w:tcPr>
          <w:p>
            <w:pPr>
              <w:ind w:left="2300"/>
              <w:spacing w:after="0"/>
              <w:rPr>
                <w:sz w:val="20"/>
                <w:szCs w:val="20"/>
                <w:color w:val="auto"/>
              </w:rPr>
            </w:pPr>
            <w:r>
              <w:rPr>
                <w:rFonts w:ascii="Arial" w:cs="Arial" w:eastAsia="Arial" w:hAnsi="Arial"/>
                <w:sz w:val="12"/>
                <w:szCs w:val="12"/>
                <w:color w:val="auto"/>
                <w:w w:val="81"/>
              </w:rPr>
              <w:t>/S/</w:t>
            </w:r>
          </w:p>
        </w:tc>
        <w:tc>
          <w:tcPr>
            <w:tcW w:w="3220" w:type="dxa"/>
            <w:vAlign w:val="bottom"/>
            <w:tcBorders>
              <w:bottom w:val="single" w:sz="8" w:color="auto"/>
            </w:tcBorders>
          </w:tcPr>
          <w:p>
            <w:pPr>
              <w:jc w:val="center"/>
              <w:ind w:right="2370"/>
              <w:spacing w:after="0"/>
              <w:rPr>
                <w:sz w:val="20"/>
                <w:szCs w:val="20"/>
                <w:color w:val="auto"/>
              </w:rPr>
            </w:pPr>
            <w:r>
              <w:rPr>
                <w:rFonts w:ascii="Arial" w:cs="Arial" w:eastAsia="Arial" w:hAnsi="Arial"/>
                <w:sz w:val="12"/>
                <w:szCs w:val="12"/>
                <w:color w:val="auto"/>
                <w:w w:val="96"/>
              </w:rPr>
              <w:t>P</w:t>
            </w:r>
            <w:r>
              <w:rPr>
                <w:rFonts w:ascii="Arial" w:cs="Arial" w:eastAsia="Arial" w:hAnsi="Arial"/>
                <w:sz w:val="9"/>
                <w:szCs w:val="9"/>
                <w:color w:val="auto"/>
                <w:w w:val="96"/>
              </w:rPr>
              <w:t>AUL</w:t>
            </w:r>
            <w:r>
              <w:rPr>
                <w:rFonts w:ascii="Arial" w:cs="Arial" w:eastAsia="Arial" w:hAnsi="Arial"/>
                <w:sz w:val="12"/>
                <w:szCs w:val="12"/>
                <w:color w:val="auto"/>
                <w:w w:val="96"/>
              </w:rPr>
              <w:t xml:space="preserve"> G</w:t>
            </w:r>
            <w:r>
              <w:rPr>
                <w:rFonts w:ascii="Arial" w:cs="Arial" w:eastAsia="Arial" w:hAnsi="Arial"/>
                <w:sz w:val="9"/>
                <w:szCs w:val="9"/>
                <w:color w:val="auto"/>
                <w:w w:val="96"/>
              </w:rPr>
              <w:t>OHR</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79"/>
        </w:trPr>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20" w:type="dxa"/>
            <w:vAlign w:val="bottom"/>
          </w:tcPr>
          <w:p>
            <w:pPr>
              <w:jc w:val="center"/>
              <w:ind w:right="2410"/>
              <w:spacing w:after="0" w:line="79" w:lineRule="exact"/>
              <w:rPr>
                <w:sz w:val="20"/>
                <w:szCs w:val="20"/>
                <w:color w:val="auto"/>
              </w:rPr>
            </w:pPr>
            <w:r>
              <w:rPr>
                <w:rFonts w:ascii="Arial" w:cs="Arial" w:eastAsia="Arial" w:hAnsi="Arial"/>
                <w:sz w:val="9"/>
                <w:szCs w:val="9"/>
                <w:b w:val="1"/>
                <w:bCs w:val="1"/>
                <w:color w:val="auto"/>
                <w:w w:val="92"/>
              </w:rPr>
              <w:t>Paul Gohr</w:t>
            </w:r>
          </w:p>
        </w:tc>
        <w:tc>
          <w:tcPr>
            <w:tcW w:w="5840" w:type="dxa"/>
            <w:vAlign w:val="bottom"/>
          </w:tcPr>
          <w:p>
            <w:pPr>
              <w:spacing w:after="0"/>
              <w:rPr>
                <w:sz w:val="6"/>
                <w:szCs w:val="6"/>
                <w:color w:val="auto"/>
              </w:rPr>
            </w:pPr>
          </w:p>
        </w:tc>
      </w:tr>
      <w:tr>
        <w:trPr>
          <w:trHeight w:val="116"/>
        </w:trPr>
        <w:tc>
          <w:tcPr>
            <w:tcW w:w="5660" w:type="dxa"/>
            <w:vAlign w:val="bottom"/>
            <w:gridSpan w:val="3"/>
          </w:tcPr>
          <w:p>
            <w:pPr>
              <w:jc w:val="center"/>
              <w:spacing w:after="0"/>
              <w:rPr>
                <w:sz w:val="20"/>
                <w:szCs w:val="20"/>
                <w:color w:val="auto"/>
              </w:rPr>
            </w:pPr>
            <w:r>
              <w:rPr>
                <w:rFonts w:ascii="Arial" w:cs="Arial" w:eastAsia="Arial" w:hAnsi="Arial"/>
                <w:sz w:val="9"/>
                <w:szCs w:val="9"/>
                <w:b w:val="1"/>
                <w:bCs w:val="1"/>
                <w:color w:val="auto"/>
                <w:w w:val="92"/>
              </w:rPr>
              <w:t>Chief Accounting Officer</w:t>
            </w:r>
          </w:p>
        </w:tc>
        <w:tc>
          <w:tcPr>
            <w:tcW w:w="5840" w:type="dxa"/>
            <w:vAlign w:val="bottom"/>
          </w:tcPr>
          <w:p>
            <w:pPr>
              <w:spacing w:after="0"/>
              <w:rPr>
                <w:sz w:val="10"/>
                <w:szCs w:val="10"/>
                <w:color w:val="auto"/>
              </w:rPr>
            </w:pPr>
          </w:p>
        </w:tc>
      </w:tr>
      <w:tr>
        <w:trPr>
          <w:trHeight w:val="235"/>
        </w:trPr>
        <w:tc>
          <w:tcPr>
            <w:tcW w:w="2380" w:type="dxa"/>
            <w:vAlign w:val="bottom"/>
          </w:tcPr>
          <w:p>
            <w:pPr>
              <w:spacing w:after="0"/>
              <w:rPr>
                <w:sz w:val="20"/>
                <w:szCs w:val="20"/>
                <w:color w:val="auto"/>
              </w:rPr>
            </w:pPr>
            <w:r>
              <w:rPr>
                <w:rFonts w:ascii="Arial" w:cs="Arial" w:eastAsia="Arial" w:hAnsi="Arial"/>
                <w:sz w:val="12"/>
                <w:szCs w:val="12"/>
                <w:color w:val="auto"/>
              </w:rPr>
              <w:t>Directors:</w:t>
            </w:r>
          </w:p>
        </w:tc>
        <w:tc>
          <w:tcPr>
            <w:tcW w:w="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225"/>
        </w:trPr>
        <w:tc>
          <w:tcPr>
            <w:tcW w:w="2380" w:type="dxa"/>
            <w:vAlign w:val="bottom"/>
            <w:tcBorders>
              <w:bottom w:val="single" w:sz="8" w:color="auto"/>
            </w:tcBorders>
          </w:tcPr>
          <w:p>
            <w:pPr>
              <w:ind w:left="2200"/>
              <w:spacing w:after="0"/>
              <w:rPr>
                <w:sz w:val="20"/>
                <w:szCs w:val="20"/>
                <w:color w:val="auto"/>
              </w:rPr>
            </w:pPr>
            <w:r>
              <w:rPr>
                <w:rFonts w:ascii="Arial" w:cs="Arial" w:eastAsia="Arial" w:hAnsi="Arial"/>
                <w:sz w:val="12"/>
                <w:szCs w:val="12"/>
                <w:color w:val="auto"/>
              </w:rPr>
              <w:t>/S/</w:t>
            </w:r>
          </w:p>
        </w:tc>
        <w:tc>
          <w:tcPr>
            <w:tcW w:w="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center"/>
              <w:ind w:right="2330"/>
              <w:spacing w:after="0"/>
              <w:rPr>
                <w:sz w:val="20"/>
                <w:szCs w:val="20"/>
                <w:color w:val="auto"/>
              </w:rPr>
            </w:pPr>
            <w:r>
              <w:rPr>
                <w:rFonts w:ascii="Arial" w:cs="Arial" w:eastAsia="Arial" w:hAnsi="Arial"/>
                <w:sz w:val="12"/>
                <w:szCs w:val="12"/>
                <w:color w:val="auto"/>
                <w:w w:val="94"/>
              </w:rPr>
              <w:t>J</w:t>
            </w:r>
            <w:r>
              <w:rPr>
                <w:rFonts w:ascii="Arial" w:cs="Arial" w:eastAsia="Arial" w:hAnsi="Arial"/>
                <w:sz w:val="9"/>
                <w:szCs w:val="9"/>
                <w:color w:val="auto"/>
                <w:w w:val="94"/>
              </w:rPr>
              <w:t>ASON</w:t>
            </w:r>
            <w:r>
              <w:rPr>
                <w:rFonts w:ascii="Arial" w:cs="Arial" w:eastAsia="Arial" w:hAnsi="Arial"/>
                <w:sz w:val="12"/>
                <w:szCs w:val="12"/>
                <w:color w:val="auto"/>
                <w:w w:val="94"/>
              </w:rPr>
              <w:t xml:space="preserve"> D</w:t>
            </w:r>
            <w:r>
              <w:rPr>
                <w:rFonts w:ascii="Arial" w:cs="Arial" w:eastAsia="Arial" w:hAnsi="Arial"/>
                <w:sz w:val="9"/>
                <w:szCs w:val="9"/>
                <w:color w:val="auto"/>
                <w:w w:val="94"/>
              </w:rPr>
              <w:t>EZWIREK</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79"/>
        </w:trPr>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20" w:type="dxa"/>
            <w:vAlign w:val="bottom"/>
          </w:tcPr>
          <w:p>
            <w:pPr>
              <w:jc w:val="center"/>
              <w:ind w:right="2390"/>
              <w:spacing w:after="0" w:line="79" w:lineRule="exact"/>
              <w:rPr>
                <w:sz w:val="20"/>
                <w:szCs w:val="20"/>
                <w:color w:val="auto"/>
              </w:rPr>
            </w:pPr>
            <w:r>
              <w:rPr>
                <w:rFonts w:ascii="Arial" w:cs="Arial" w:eastAsia="Arial" w:hAnsi="Arial"/>
                <w:sz w:val="9"/>
                <w:szCs w:val="9"/>
                <w:b w:val="1"/>
                <w:bCs w:val="1"/>
                <w:color w:val="auto"/>
                <w:w w:val="90"/>
              </w:rPr>
              <w:t>Jason DeZwirek</w:t>
            </w:r>
          </w:p>
        </w:tc>
        <w:tc>
          <w:tcPr>
            <w:tcW w:w="5840" w:type="dxa"/>
            <w:vAlign w:val="bottom"/>
          </w:tcPr>
          <w:p>
            <w:pPr>
              <w:spacing w:after="0"/>
              <w:rPr>
                <w:sz w:val="6"/>
                <w:szCs w:val="6"/>
                <w:color w:val="auto"/>
              </w:rPr>
            </w:pPr>
          </w:p>
        </w:tc>
      </w:tr>
      <w:tr>
        <w:trPr>
          <w:trHeight w:val="116"/>
        </w:trPr>
        <w:tc>
          <w:tcPr>
            <w:tcW w:w="566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Chairman of the Board and Director</w:t>
            </w:r>
          </w:p>
        </w:tc>
        <w:tc>
          <w:tcPr>
            <w:tcW w:w="5840" w:type="dxa"/>
            <w:vAlign w:val="bottom"/>
          </w:tcPr>
          <w:p>
            <w:pPr>
              <w:spacing w:after="0"/>
              <w:rPr>
                <w:sz w:val="10"/>
                <w:szCs w:val="10"/>
                <w:color w:val="auto"/>
              </w:rPr>
            </w:pPr>
          </w:p>
        </w:tc>
      </w:tr>
      <w:tr>
        <w:trPr>
          <w:trHeight w:val="217"/>
        </w:trPr>
        <w:tc>
          <w:tcPr>
            <w:tcW w:w="2380" w:type="dxa"/>
            <w:vAlign w:val="bottom"/>
            <w:tcBorders>
              <w:bottom w:val="single" w:sz="8" w:color="auto"/>
            </w:tcBorders>
          </w:tcPr>
          <w:p>
            <w:pPr>
              <w:ind w:left="2140"/>
              <w:spacing w:after="0"/>
              <w:rPr>
                <w:sz w:val="20"/>
                <w:szCs w:val="20"/>
                <w:color w:val="auto"/>
              </w:rPr>
            </w:pPr>
            <w:r>
              <w:rPr>
                <w:rFonts w:ascii="Arial" w:cs="Arial" w:eastAsia="Arial" w:hAnsi="Arial"/>
                <w:sz w:val="12"/>
                <w:szCs w:val="12"/>
                <w:color w:val="auto"/>
              </w:rPr>
              <w:t>/S/</w:t>
            </w:r>
          </w:p>
        </w:tc>
        <w:tc>
          <w:tcPr>
            <w:tcW w:w="3280" w:type="dxa"/>
            <w:vAlign w:val="bottom"/>
            <w:tcBorders>
              <w:bottom w:val="single" w:sz="8" w:color="auto"/>
            </w:tcBorders>
            <w:gridSpan w:val="2"/>
          </w:tcPr>
          <w:p>
            <w:pPr>
              <w:jc w:val="center"/>
              <w:ind w:right="2270"/>
              <w:spacing w:after="0"/>
              <w:rPr>
                <w:sz w:val="20"/>
                <w:szCs w:val="20"/>
                <w:color w:val="auto"/>
              </w:rPr>
            </w:pPr>
            <w:r>
              <w:rPr>
                <w:rFonts w:ascii="Arial" w:cs="Arial" w:eastAsia="Arial" w:hAnsi="Arial"/>
                <w:sz w:val="12"/>
                <w:szCs w:val="12"/>
                <w:color w:val="auto"/>
                <w:w w:val="94"/>
              </w:rPr>
              <w:t>E</w:t>
            </w:r>
            <w:r>
              <w:rPr>
                <w:rFonts w:ascii="Arial" w:cs="Arial" w:eastAsia="Arial" w:hAnsi="Arial"/>
                <w:sz w:val="9"/>
                <w:szCs w:val="9"/>
                <w:color w:val="auto"/>
                <w:w w:val="94"/>
              </w:rPr>
              <w:t>RIC</w:t>
            </w:r>
            <w:r>
              <w:rPr>
                <w:rFonts w:ascii="Arial" w:cs="Arial" w:eastAsia="Arial" w:hAnsi="Arial"/>
                <w:sz w:val="12"/>
                <w:szCs w:val="12"/>
                <w:color w:val="auto"/>
                <w:w w:val="94"/>
              </w:rPr>
              <w:t xml:space="preserve"> M. G</w:t>
            </w:r>
            <w:r>
              <w:rPr>
                <w:rFonts w:ascii="Arial" w:cs="Arial" w:eastAsia="Arial" w:hAnsi="Arial"/>
                <w:sz w:val="9"/>
                <w:szCs w:val="9"/>
                <w:color w:val="auto"/>
                <w:w w:val="94"/>
              </w:rPr>
              <w:t>OLDBERG</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79"/>
        </w:trPr>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20" w:type="dxa"/>
            <w:vAlign w:val="bottom"/>
          </w:tcPr>
          <w:p>
            <w:pPr>
              <w:jc w:val="center"/>
              <w:ind w:right="2410"/>
              <w:spacing w:after="0" w:line="79" w:lineRule="exact"/>
              <w:rPr>
                <w:sz w:val="20"/>
                <w:szCs w:val="20"/>
                <w:color w:val="auto"/>
              </w:rPr>
            </w:pPr>
            <w:r>
              <w:rPr>
                <w:rFonts w:ascii="Arial" w:cs="Arial" w:eastAsia="Arial" w:hAnsi="Arial"/>
                <w:sz w:val="9"/>
                <w:szCs w:val="9"/>
                <w:b w:val="1"/>
                <w:bCs w:val="1"/>
                <w:color w:val="auto"/>
                <w:w w:val="94"/>
              </w:rPr>
              <w:t>Eric M. Goldberg</w:t>
            </w:r>
          </w:p>
        </w:tc>
        <w:tc>
          <w:tcPr>
            <w:tcW w:w="5840" w:type="dxa"/>
            <w:vAlign w:val="bottom"/>
          </w:tcPr>
          <w:p>
            <w:pPr>
              <w:spacing w:after="0"/>
              <w:rPr>
                <w:sz w:val="6"/>
                <w:szCs w:val="6"/>
                <w:color w:val="auto"/>
              </w:rPr>
            </w:pPr>
          </w:p>
        </w:tc>
      </w:tr>
      <w:tr>
        <w:trPr>
          <w:trHeight w:val="116"/>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20" w:type="dxa"/>
            <w:vAlign w:val="bottom"/>
          </w:tcPr>
          <w:p>
            <w:pPr>
              <w:jc w:val="center"/>
              <w:ind w:right="2410"/>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17"/>
        </w:trPr>
        <w:tc>
          <w:tcPr>
            <w:tcW w:w="2380" w:type="dxa"/>
            <w:vAlign w:val="bottom"/>
            <w:tcBorders>
              <w:bottom w:val="single" w:sz="8" w:color="auto"/>
            </w:tcBorders>
          </w:tcPr>
          <w:p>
            <w:pPr>
              <w:ind w:left="2220"/>
              <w:spacing w:after="0"/>
              <w:rPr>
                <w:sz w:val="20"/>
                <w:szCs w:val="20"/>
                <w:color w:val="auto"/>
              </w:rPr>
            </w:pPr>
            <w:r>
              <w:rPr>
                <w:rFonts w:ascii="Arial" w:cs="Arial" w:eastAsia="Arial" w:hAnsi="Arial"/>
                <w:sz w:val="12"/>
                <w:szCs w:val="12"/>
                <w:color w:val="auto"/>
                <w:w w:val="95"/>
              </w:rPr>
              <w:t>/S/</w:t>
            </w:r>
          </w:p>
        </w:tc>
        <w:tc>
          <w:tcPr>
            <w:tcW w:w="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center"/>
              <w:ind w:right="2390"/>
              <w:spacing w:after="0"/>
              <w:rPr>
                <w:sz w:val="20"/>
                <w:szCs w:val="20"/>
                <w:color w:val="auto"/>
              </w:rPr>
            </w:pPr>
            <w:r>
              <w:rPr>
                <w:rFonts w:ascii="Arial" w:cs="Arial" w:eastAsia="Arial" w:hAnsi="Arial"/>
                <w:sz w:val="12"/>
                <w:szCs w:val="12"/>
                <w:color w:val="auto"/>
                <w:w w:val="98"/>
              </w:rPr>
              <w:t>D</w:t>
            </w:r>
            <w:r>
              <w:rPr>
                <w:rFonts w:ascii="Arial" w:cs="Arial" w:eastAsia="Arial" w:hAnsi="Arial"/>
                <w:sz w:val="9"/>
                <w:szCs w:val="9"/>
                <w:color w:val="auto"/>
                <w:w w:val="98"/>
              </w:rPr>
              <w:t>AVID</w:t>
            </w:r>
            <w:r>
              <w:rPr>
                <w:rFonts w:ascii="Arial" w:cs="Arial" w:eastAsia="Arial" w:hAnsi="Arial"/>
                <w:sz w:val="12"/>
                <w:szCs w:val="12"/>
                <w:color w:val="auto"/>
                <w:w w:val="98"/>
              </w:rPr>
              <w:t xml:space="preserve"> B</w:t>
            </w:r>
            <w:r>
              <w:rPr>
                <w:rFonts w:ascii="Arial" w:cs="Arial" w:eastAsia="Arial" w:hAnsi="Arial"/>
                <w:sz w:val="9"/>
                <w:szCs w:val="9"/>
                <w:color w:val="auto"/>
                <w:w w:val="98"/>
              </w:rPr>
              <w:t>.</w:t>
            </w:r>
            <w:r>
              <w:rPr>
                <w:rFonts w:ascii="Arial" w:cs="Arial" w:eastAsia="Arial" w:hAnsi="Arial"/>
                <w:sz w:val="12"/>
                <w:szCs w:val="12"/>
                <w:color w:val="auto"/>
                <w:w w:val="98"/>
              </w:rPr>
              <w:t xml:space="preserve"> L</w:t>
            </w:r>
            <w:r>
              <w:rPr>
                <w:rFonts w:ascii="Arial" w:cs="Arial" w:eastAsia="Arial" w:hAnsi="Arial"/>
                <w:sz w:val="9"/>
                <w:szCs w:val="9"/>
                <w:color w:val="auto"/>
                <w:w w:val="98"/>
              </w:rPr>
              <w:t>INER</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79"/>
        </w:trPr>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20" w:type="dxa"/>
            <w:vAlign w:val="bottom"/>
          </w:tcPr>
          <w:p>
            <w:pPr>
              <w:jc w:val="center"/>
              <w:ind w:right="2390"/>
              <w:spacing w:after="0" w:line="79" w:lineRule="exact"/>
              <w:rPr>
                <w:sz w:val="20"/>
                <w:szCs w:val="20"/>
                <w:color w:val="auto"/>
              </w:rPr>
            </w:pPr>
            <w:r>
              <w:rPr>
                <w:rFonts w:ascii="Arial" w:cs="Arial" w:eastAsia="Arial" w:hAnsi="Arial"/>
                <w:sz w:val="9"/>
                <w:szCs w:val="9"/>
                <w:b w:val="1"/>
                <w:bCs w:val="1"/>
                <w:color w:val="auto"/>
                <w:w w:val="95"/>
              </w:rPr>
              <w:t>David B. Liner</w:t>
            </w:r>
          </w:p>
        </w:tc>
        <w:tc>
          <w:tcPr>
            <w:tcW w:w="5840" w:type="dxa"/>
            <w:vAlign w:val="bottom"/>
          </w:tcPr>
          <w:p>
            <w:pPr>
              <w:spacing w:after="0"/>
              <w:rPr>
                <w:sz w:val="6"/>
                <w:szCs w:val="6"/>
                <w:color w:val="auto"/>
              </w:rPr>
            </w:pPr>
          </w:p>
        </w:tc>
      </w:tr>
      <w:tr>
        <w:trPr>
          <w:trHeight w:val="116"/>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20" w:type="dxa"/>
            <w:vAlign w:val="bottom"/>
          </w:tcPr>
          <w:p>
            <w:pPr>
              <w:jc w:val="center"/>
              <w:ind w:right="2410"/>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22"/>
        </w:trPr>
        <w:tc>
          <w:tcPr>
            <w:tcW w:w="5660" w:type="dxa"/>
            <w:vAlign w:val="bottom"/>
            <w:tcBorders>
              <w:bottom w:val="single" w:sz="8" w:color="auto"/>
            </w:tcBorders>
            <w:gridSpan w:val="3"/>
          </w:tcPr>
          <w:p>
            <w:pPr>
              <w:ind w:left="2060"/>
              <w:spacing w:after="0"/>
              <w:rPr>
                <w:sz w:val="20"/>
                <w:szCs w:val="20"/>
                <w:color w:val="auto"/>
              </w:rPr>
            </w:pPr>
            <w:r>
              <w:rPr>
                <w:rFonts w:ascii="Arial" w:cs="Arial" w:eastAsia="Arial" w:hAnsi="Arial"/>
                <w:sz w:val="12"/>
                <w:szCs w:val="12"/>
                <w:color w:val="auto"/>
              </w:rPr>
              <w:t>/S/ C</w:t>
            </w:r>
            <w:r>
              <w:rPr>
                <w:rFonts w:ascii="Arial" w:cs="Arial" w:eastAsia="Arial" w:hAnsi="Arial"/>
                <w:sz w:val="9"/>
                <w:szCs w:val="9"/>
                <w:color w:val="auto"/>
              </w:rPr>
              <w:t>LAUDIO</w:t>
            </w:r>
            <w:r>
              <w:rPr>
                <w:rFonts w:ascii="Arial" w:cs="Arial" w:eastAsia="Arial" w:hAnsi="Arial"/>
                <w:sz w:val="12"/>
                <w:szCs w:val="12"/>
                <w:color w:val="auto"/>
              </w:rPr>
              <w:t xml:space="preserve"> A. M</w:t>
            </w:r>
            <w:r>
              <w:rPr>
                <w:rFonts w:ascii="Arial" w:cs="Arial" w:eastAsia="Arial" w:hAnsi="Arial"/>
                <w:sz w:val="9"/>
                <w:szCs w:val="9"/>
                <w:color w:val="auto"/>
              </w:rPr>
              <w:t>ANNARINO</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83"/>
        </w:trPr>
        <w:tc>
          <w:tcPr>
            <w:tcW w:w="2380" w:type="dxa"/>
            <w:vAlign w:val="bottom"/>
          </w:tcPr>
          <w:p>
            <w:pPr>
              <w:spacing w:after="0"/>
              <w:rPr>
                <w:sz w:val="7"/>
                <w:szCs w:val="7"/>
                <w:color w:val="auto"/>
              </w:rPr>
            </w:pPr>
          </w:p>
        </w:tc>
        <w:tc>
          <w:tcPr>
            <w:tcW w:w="3280" w:type="dxa"/>
            <w:vAlign w:val="bottom"/>
            <w:gridSpan w:val="2"/>
          </w:tcPr>
          <w:p>
            <w:pPr>
              <w:jc w:val="center"/>
              <w:ind w:right="2350"/>
              <w:spacing w:after="0" w:line="84" w:lineRule="exact"/>
              <w:rPr>
                <w:sz w:val="20"/>
                <w:szCs w:val="20"/>
                <w:color w:val="auto"/>
              </w:rPr>
            </w:pPr>
            <w:r>
              <w:rPr>
                <w:rFonts w:ascii="Arial" w:cs="Arial" w:eastAsia="Arial" w:hAnsi="Arial"/>
                <w:sz w:val="9"/>
                <w:szCs w:val="9"/>
                <w:b w:val="1"/>
                <w:bCs w:val="1"/>
                <w:color w:val="auto"/>
                <w:w w:val="95"/>
              </w:rPr>
              <w:t>Claudio A. Mannarino</w:t>
            </w:r>
          </w:p>
        </w:tc>
        <w:tc>
          <w:tcPr>
            <w:tcW w:w="5840" w:type="dxa"/>
            <w:vAlign w:val="bottom"/>
          </w:tcPr>
          <w:p>
            <w:pPr>
              <w:spacing w:after="0"/>
              <w:rPr>
                <w:sz w:val="7"/>
                <w:szCs w:val="7"/>
                <w:color w:val="auto"/>
              </w:rPr>
            </w:pPr>
          </w:p>
        </w:tc>
      </w:tr>
      <w:tr>
        <w:trPr>
          <w:trHeight w:val="116"/>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20" w:type="dxa"/>
            <w:vAlign w:val="bottom"/>
          </w:tcPr>
          <w:p>
            <w:pPr>
              <w:jc w:val="center"/>
              <w:ind w:right="2410"/>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22"/>
        </w:trPr>
        <w:tc>
          <w:tcPr>
            <w:tcW w:w="2440" w:type="dxa"/>
            <w:vAlign w:val="bottom"/>
            <w:tcBorders>
              <w:bottom w:val="single" w:sz="8" w:color="auto"/>
            </w:tcBorders>
            <w:gridSpan w:val="2"/>
          </w:tcPr>
          <w:p>
            <w:pPr>
              <w:ind w:left="2260"/>
              <w:spacing w:after="0"/>
              <w:rPr>
                <w:sz w:val="20"/>
                <w:szCs w:val="20"/>
                <w:color w:val="auto"/>
              </w:rPr>
            </w:pPr>
            <w:r>
              <w:rPr>
                <w:rFonts w:ascii="Arial" w:cs="Arial" w:eastAsia="Arial" w:hAnsi="Arial"/>
                <w:sz w:val="12"/>
                <w:szCs w:val="12"/>
                <w:color w:val="auto"/>
              </w:rPr>
              <w:t>/S/</w:t>
            </w: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M</w:t>
            </w:r>
            <w:r>
              <w:rPr>
                <w:rFonts w:ascii="Arial" w:cs="Arial" w:eastAsia="Arial" w:hAnsi="Arial"/>
                <w:sz w:val="9"/>
                <w:szCs w:val="9"/>
                <w:color w:val="auto"/>
              </w:rPr>
              <w:t>UNISH</w:t>
            </w:r>
            <w:r>
              <w:rPr>
                <w:rFonts w:ascii="Arial" w:cs="Arial" w:eastAsia="Arial" w:hAnsi="Arial"/>
                <w:sz w:val="12"/>
                <w:szCs w:val="12"/>
                <w:color w:val="auto"/>
              </w:rPr>
              <w:t xml:space="preserve"> N</w:t>
            </w:r>
            <w:r>
              <w:rPr>
                <w:rFonts w:ascii="Arial" w:cs="Arial" w:eastAsia="Arial" w:hAnsi="Arial"/>
                <w:sz w:val="9"/>
                <w:szCs w:val="9"/>
                <w:color w:val="auto"/>
              </w:rPr>
              <w:t>ANDA</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83"/>
        </w:trPr>
        <w:tc>
          <w:tcPr>
            <w:tcW w:w="23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20" w:type="dxa"/>
            <w:vAlign w:val="bottom"/>
          </w:tcPr>
          <w:p>
            <w:pPr>
              <w:jc w:val="center"/>
              <w:ind w:right="2390"/>
              <w:spacing w:after="0" w:line="84" w:lineRule="exact"/>
              <w:rPr>
                <w:sz w:val="20"/>
                <w:szCs w:val="20"/>
                <w:color w:val="auto"/>
              </w:rPr>
            </w:pPr>
            <w:r>
              <w:rPr>
                <w:rFonts w:ascii="Arial" w:cs="Arial" w:eastAsia="Arial" w:hAnsi="Arial"/>
                <w:sz w:val="9"/>
                <w:szCs w:val="9"/>
                <w:b w:val="1"/>
                <w:bCs w:val="1"/>
                <w:color w:val="auto"/>
                <w:w w:val="94"/>
              </w:rPr>
              <w:t>Munish Nanda</w:t>
            </w:r>
          </w:p>
        </w:tc>
        <w:tc>
          <w:tcPr>
            <w:tcW w:w="5840" w:type="dxa"/>
            <w:vAlign w:val="bottom"/>
          </w:tcPr>
          <w:p>
            <w:pPr>
              <w:spacing w:after="0"/>
              <w:rPr>
                <w:sz w:val="7"/>
                <w:szCs w:val="7"/>
                <w:color w:val="auto"/>
              </w:rPr>
            </w:pPr>
          </w:p>
        </w:tc>
      </w:tr>
      <w:tr>
        <w:trPr>
          <w:trHeight w:val="116"/>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20" w:type="dxa"/>
            <w:vAlign w:val="bottom"/>
          </w:tcPr>
          <w:p>
            <w:pPr>
              <w:jc w:val="center"/>
              <w:ind w:right="2410"/>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22"/>
        </w:trPr>
        <w:tc>
          <w:tcPr>
            <w:tcW w:w="2380" w:type="dxa"/>
            <w:vAlign w:val="bottom"/>
            <w:tcBorders>
              <w:bottom w:val="single" w:sz="8" w:color="auto"/>
            </w:tcBorders>
          </w:tcPr>
          <w:p>
            <w:pPr>
              <w:ind w:left="2260"/>
              <w:spacing w:after="0"/>
              <w:rPr>
                <w:sz w:val="20"/>
                <w:szCs w:val="20"/>
                <w:color w:val="auto"/>
              </w:rPr>
            </w:pPr>
            <w:r>
              <w:rPr>
                <w:rFonts w:ascii="Arial" w:cs="Arial" w:eastAsia="Arial" w:hAnsi="Arial"/>
                <w:sz w:val="11"/>
                <w:szCs w:val="11"/>
                <w:color w:val="auto"/>
                <w:w w:val="73"/>
              </w:rPr>
              <w:t>/S/</w:t>
            </w:r>
          </w:p>
        </w:tc>
        <w:tc>
          <w:tcPr>
            <w:tcW w:w="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J</w:t>
            </w:r>
            <w:r>
              <w:rPr>
                <w:rFonts w:ascii="Arial" w:cs="Arial" w:eastAsia="Arial" w:hAnsi="Arial"/>
                <w:sz w:val="9"/>
                <w:szCs w:val="9"/>
                <w:color w:val="auto"/>
              </w:rPr>
              <w:t>ONATHAN</w:t>
            </w:r>
            <w:r>
              <w:rPr>
                <w:rFonts w:ascii="Arial" w:cs="Arial" w:eastAsia="Arial" w:hAnsi="Arial"/>
                <w:sz w:val="12"/>
                <w:szCs w:val="12"/>
                <w:color w:val="auto"/>
              </w:rPr>
              <w:t xml:space="preserve"> P</w:t>
            </w:r>
            <w:r>
              <w:rPr>
                <w:rFonts w:ascii="Arial" w:cs="Arial" w:eastAsia="Arial" w:hAnsi="Arial"/>
                <w:sz w:val="9"/>
                <w:szCs w:val="9"/>
                <w:color w:val="auto"/>
              </w:rPr>
              <w:t>OLLACK</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83"/>
        </w:trPr>
        <w:tc>
          <w:tcPr>
            <w:tcW w:w="23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20" w:type="dxa"/>
            <w:vAlign w:val="bottom"/>
          </w:tcPr>
          <w:p>
            <w:pPr>
              <w:jc w:val="center"/>
              <w:ind w:right="2390"/>
              <w:spacing w:after="0" w:line="84" w:lineRule="exact"/>
              <w:rPr>
                <w:sz w:val="20"/>
                <w:szCs w:val="20"/>
                <w:color w:val="auto"/>
              </w:rPr>
            </w:pPr>
            <w:r>
              <w:rPr>
                <w:rFonts w:ascii="Arial" w:cs="Arial" w:eastAsia="Arial" w:hAnsi="Arial"/>
                <w:sz w:val="9"/>
                <w:szCs w:val="9"/>
                <w:b w:val="1"/>
                <w:bCs w:val="1"/>
                <w:color w:val="auto"/>
                <w:w w:val="89"/>
              </w:rPr>
              <w:t>Jonathan Pollack</w:t>
            </w:r>
          </w:p>
        </w:tc>
        <w:tc>
          <w:tcPr>
            <w:tcW w:w="5840" w:type="dxa"/>
            <w:vAlign w:val="bottom"/>
          </w:tcPr>
          <w:p>
            <w:pPr>
              <w:spacing w:after="0"/>
              <w:rPr>
                <w:sz w:val="7"/>
                <w:szCs w:val="7"/>
                <w:color w:val="auto"/>
              </w:rPr>
            </w:pPr>
          </w:p>
        </w:tc>
      </w:tr>
      <w:tr>
        <w:trPr>
          <w:trHeight w:val="116"/>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20" w:type="dxa"/>
            <w:vAlign w:val="bottom"/>
          </w:tcPr>
          <w:p>
            <w:pPr>
              <w:jc w:val="center"/>
              <w:ind w:right="2410"/>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22"/>
        </w:trPr>
        <w:tc>
          <w:tcPr>
            <w:tcW w:w="56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color w:val="auto"/>
                <w:w w:val="99"/>
              </w:rPr>
              <w:t>/S/ V</w:t>
            </w:r>
            <w:r>
              <w:rPr>
                <w:rFonts w:ascii="Arial" w:cs="Arial" w:eastAsia="Arial" w:hAnsi="Arial"/>
                <w:sz w:val="9"/>
                <w:szCs w:val="9"/>
                <w:color w:val="auto"/>
                <w:w w:val="99"/>
              </w:rPr>
              <w:t>ALERIE</w:t>
            </w:r>
            <w:r>
              <w:rPr>
                <w:rFonts w:ascii="Arial" w:cs="Arial" w:eastAsia="Arial" w:hAnsi="Arial"/>
                <w:sz w:val="12"/>
                <w:szCs w:val="12"/>
                <w:color w:val="auto"/>
                <w:w w:val="99"/>
              </w:rPr>
              <w:t xml:space="preserve"> G</w:t>
            </w:r>
            <w:r>
              <w:rPr>
                <w:rFonts w:ascii="Arial" w:cs="Arial" w:eastAsia="Arial" w:hAnsi="Arial"/>
                <w:sz w:val="9"/>
                <w:szCs w:val="9"/>
                <w:color w:val="auto"/>
                <w:w w:val="99"/>
              </w:rPr>
              <w:t>ENTILE</w:t>
            </w:r>
            <w:r>
              <w:rPr>
                <w:rFonts w:ascii="Arial" w:cs="Arial" w:eastAsia="Arial" w:hAnsi="Arial"/>
                <w:sz w:val="12"/>
                <w:szCs w:val="12"/>
                <w:color w:val="auto"/>
                <w:w w:val="99"/>
              </w:rPr>
              <w:t xml:space="preserve"> S</w:t>
            </w:r>
            <w:r>
              <w:rPr>
                <w:rFonts w:ascii="Arial" w:cs="Arial" w:eastAsia="Arial" w:hAnsi="Arial"/>
                <w:sz w:val="9"/>
                <w:szCs w:val="9"/>
                <w:color w:val="auto"/>
                <w:w w:val="99"/>
              </w:rPr>
              <w:t>ACHS</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7, 2019</w:t>
            </w:r>
          </w:p>
        </w:tc>
      </w:tr>
      <w:tr>
        <w:trPr>
          <w:trHeight w:val="83"/>
        </w:trPr>
        <w:tc>
          <w:tcPr>
            <w:tcW w:w="2380" w:type="dxa"/>
            <w:vAlign w:val="bottom"/>
          </w:tcPr>
          <w:p>
            <w:pPr>
              <w:spacing w:after="0"/>
              <w:rPr>
                <w:sz w:val="7"/>
                <w:szCs w:val="7"/>
                <w:color w:val="auto"/>
              </w:rPr>
            </w:pPr>
          </w:p>
        </w:tc>
        <w:tc>
          <w:tcPr>
            <w:tcW w:w="3280" w:type="dxa"/>
            <w:vAlign w:val="bottom"/>
            <w:gridSpan w:val="2"/>
          </w:tcPr>
          <w:p>
            <w:pPr>
              <w:jc w:val="center"/>
              <w:ind w:right="2330"/>
              <w:spacing w:after="0" w:line="84" w:lineRule="exact"/>
              <w:rPr>
                <w:sz w:val="20"/>
                <w:szCs w:val="20"/>
                <w:color w:val="auto"/>
              </w:rPr>
            </w:pPr>
            <w:r>
              <w:rPr>
                <w:rFonts w:ascii="Arial" w:cs="Arial" w:eastAsia="Arial" w:hAnsi="Arial"/>
                <w:sz w:val="9"/>
                <w:szCs w:val="9"/>
                <w:b w:val="1"/>
                <w:bCs w:val="1"/>
                <w:color w:val="auto"/>
                <w:w w:val="89"/>
              </w:rPr>
              <w:t>Valerie Gentile Sachs</w:t>
            </w:r>
          </w:p>
        </w:tc>
        <w:tc>
          <w:tcPr>
            <w:tcW w:w="5840" w:type="dxa"/>
            <w:vAlign w:val="bottom"/>
          </w:tcPr>
          <w:p>
            <w:pPr>
              <w:spacing w:after="0"/>
              <w:rPr>
                <w:sz w:val="7"/>
                <w:szCs w:val="7"/>
                <w:color w:val="auto"/>
              </w:rPr>
            </w:pPr>
          </w:p>
        </w:tc>
      </w:tr>
      <w:tr>
        <w:trPr>
          <w:trHeight w:val="116"/>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20" w:type="dxa"/>
            <w:vAlign w:val="bottom"/>
          </w:tcPr>
          <w:p>
            <w:pPr>
              <w:jc w:val="center"/>
              <w:ind w:right="2410"/>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695"/>
        </w:trPr>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Arial" w:cs="Arial" w:eastAsia="Arial" w:hAnsi="Arial"/>
                <w:sz w:val="12"/>
                <w:szCs w:val="12"/>
                <w:color w:val="auto"/>
              </w:rPr>
              <w:t>48</w:t>
            </w:r>
          </w:p>
        </w:tc>
      </w:tr>
      <w:tr>
        <w:trPr>
          <w:trHeight w:val="72"/>
        </w:trPr>
        <w:tc>
          <w:tcPr>
            <w:tcW w:w="23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220" w:type="dxa"/>
            <w:vAlign w:val="bottom"/>
            <w:tcBorders>
              <w:bottom w:val="single" w:sz="8" w:color="9A9A9A"/>
            </w:tcBorders>
          </w:tcPr>
          <w:p>
            <w:pPr>
              <w:spacing w:after="0"/>
              <w:rPr>
                <w:sz w:val="6"/>
                <w:szCs w:val="6"/>
                <w:color w:val="auto"/>
              </w:rPr>
            </w:pPr>
          </w:p>
        </w:tc>
        <w:tc>
          <w:tcPr>
            <w:tcW w:w="5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50" w:name="page51"/>
    <w:bookmarkEnd w:id="50"/>
    <w:p>
      <w:pPr>
        <w:jc w:val="center"/>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Corp.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Cincinnati, Ohio</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audited the accompanying consolidated balance sheets of CECO Environmental Corp. and Subsidiaries (the “Company”) as of December 31, 2018 and 2017, the related consolidated statements of operations and comprehensive income (loss),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their operations and their cash flows for each of the three years in the period ended December 31, 2018</w:t>
      </w:r>
      <w:r>
        <w:rPr>
          <w:rFonts w:ascii="Arial" w:cs="Arial" w:eastAsia="Arial" w:hAnsi="Arial"/>
          <w:sz w:val="12"/>
          <w:szCs w:val="12"/>
          <w:b w:val="1"/>
          <w:bCs w:val="1"/>
          <w:color w:val="auto"/>
        </w:rPr>
        <w:t>,</w:t>
      </w:r>
      <w:r>
        <w:rPr>
          <w:rFonts w:ascii="Arial" w:cs="Arial" w:eastAsia="Arial" w:hAnsi="Arial"/>
          <w:sz w:val="12"/>
          <w:szCs w:val="12"/>
          <w:color w:val="auto"/>
        </w:rPr>
        <w:t xml:space="preserve"> in conformity with accounting principles generally accepted in the United States of America.</w:t>
      </w:r>
    </w:p>
    <w:p>
      <w:pPr>
        <w:spacing w:after="0" w:line="12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(“COSO”) and our report dated March 7, 2019 expressed an unqualified opinion thereon.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2008.</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Cincinnati, Ohio</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2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 except share data)</w:t>
            </w:r>
          </w:p>
        </w:tc>
        <w:tc>
          <w:tcPr>
            <w:tcW w:w="3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rPr>
              <w:t>December 31,</w:t>
            </w: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920" w:type="dxa"/>
            <w:vAlign w:val="bottom"/>
            <w:tcBorders>
              <w:bottom w:val="single" w:sz="8" w:color="CFF0FC"/>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640"/>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20" w:type="dxa"/>
            <w:vAlign w:val="bottom"/>
            <w:shd w:val="clear" w:color="auto" w:fill="CFF0FC"/>
          </w:tcPr>
          <w:p>
            <w:pPr>
              <w:ind w:left="3640"/>
              <w:spacing w:after="0"/>
              <w:rPr>
                <w:sz w:val="20"/>
                <w:szCs w:val="20"/>
                <w:color w:val="auto"/>
              </w:rPr>
            </w:pPr>
            <w:r>
              <w:rPr>
                <w:rFonts w:ascii="Arial" w:cs="Arial" w:eastAsia="Arial" w:hAnsi="Arial"/>
                <w:sz w:val="12"/>
                <w:szCs w:val="12"/>
                <w:b w:val="1"/>
                <w:bCs w:val="1"/>
                <w:color w:val="auto"/>
              </w:rPr>
              <w:t>ASSETS</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Current assets: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43,676</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Restricted cash</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762</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receivable, net</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53,225</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Costs and estimated earnings in excess of billings on uncompleted contracts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29,694</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33,947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 net</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20,817</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20,969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10,117</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10,760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Prepaid income taxes</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1,388</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Assets held for sale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1,186</w:t>
            </w: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160,865</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173,942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22,200</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23,400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Goodwill</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152,156</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166,951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Intangible assets – finite life, net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35,959</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49,956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Intangible assets – indefinite life</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18,258</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Deferred charges and other assets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3,144</w:t>
            </w: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assets</w:t>
            </w: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392,582</w:t>
            </w:r>
          </w:p>
        </w:tc>
        <w:tc>
          <w:tcPr>
            <w:tcW w:w="28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438,549</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920" w:type="dxa"/>
            <w:vAlign w:val="bottom"/>
          </w:tcPr>
          <w:p>
            <w:pPr>
              <w:ind w:left="2560"/>
              <w:spacing w:after="0"/>
              <w:rPr>
                <w:sz w:val="20"/>
                <w:szCs w:val="20"/>
                <w:color w:val="auto"/>
              </w:rPr>
            </w:pPr>
            <w:r>
              <w:rPr>
                <w:rFonts w:ascii="Arial" w:cs="Arial" w:eastAsia="Arial" w:hAnsi="Arial"/>
                <w:sz w:val="12"/>
                <w:szCs w:val="12"/>
                <w:b w:val="1"/>
                <w:bCs w:val="1"/>
                <w:color w:val="auto"/>
              </w:rPr>
              <w:t>LIABILITIES AND SHAREHOLDERS’ EQUITY</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Current liabilities:</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Current portion of debt</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11,296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 and accrued expenses</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80,229</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70,786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Billings in excess of costs and estimated earnings on uncompleted contracts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20,144</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20,469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Note payable</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1,700</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Income taxes payable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1,813</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792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current liabilities</w:t>
            </w:r>
          </w:p>
        </w:tc>
        <w:tc>
          <w:tcPr>
            <w:tcW w:w="38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103,886</w:t>
            </w: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107,851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Other liabilities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26,925</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30,382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Debt, less current portion</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74,456</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103,537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Deferred income tax liability, net</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8,755</w:t>
            </w: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10,210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liabilities</w:t>
            </w:r>
          </w:p>
        </w:tc>
        <w:tc>
          <w:tcPr>
            <w:tcW w:w="3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214,022</w:t>
            </w:r>
          </w:p>
        </w:tc>
        <w:tc>
          <w:tcPr>
            <w:tcW w:w="280" w:type="dxa"/>
            <w:vAlign w:val="bottom"/>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251,980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Shareholders’ equity:</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Preferred stock, $.01 par value; 10,000 shares authorized, none issued</w:t>
            </w:r>
          </w:p>
        </w:tc>
        <w:tc>
          <w:tcPr>
            <w:tcW w:w="380" w:type="dxa"/>
            <w:vAlign w:val="bottom"/>
          </w:tcPr>
          <w:p>
            <w:pPr>
              <w:spacing w:after="0"/>
              <w:rPr>
                <w:sz w:val="13"/>
                <w:szCs w:val="13"/>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Common stock, $.01 par value; 100,000,000 shares authorized, 34,953,825 and</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34,707,924 shares issued and outstanding at December 31, 2018</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and 2017, respectively</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Capital in excess of par value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251,409</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248,170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loss</w:t>
            </w:r>
          </w:p>
        </w:tc>
        <w:tc>
          <w:tcPr>
            <w:tcW w:w="3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(59,427)</w:t>
            </w:r>
          </w:p>
        </w:tc>
        <w:tc>
          <w:tcPr>
            <w:tcW w:w="4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(52,673)</w:t>
            </w: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Accumulated other comprehensive loss</w:t>
            </w:r>
          </w:p>
        </w:tc>
        <w:tc>
          <w:tcPr>
            <w:tcW w:w="380" w:type="dxa"/>
            <w:vAlign w:val="bottom"/>
          </w:tcPr>
          <w:p>
            <w:pPr>
              <w:spacing w:after="0"/>
              <w:rPr>
                <w:sz w:val="13"/>
                <w:szCs w:val="1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(13,415)</w:t>
            </w:r>
          </w:p>
        </w:tc>
        <w:tc>
          <w:tcPr>
            <w:tcW w:w="42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(8,919)</w:t>
            </w:r>
          </w:p>
        </w:tc>
        <w:tc>
          <w:tcPr>
            <w:tcW w:w="0" w:type="dxa"/>
            <w:vAlign w:val="bottom"/>
          </w:tcPr>
          <w:p>
            <w:pPr>
              <w:spacing w:after="0"/>
              <w:rPr>
                <w:sz w:val="1"/>
                <w:szCs w:val="1"/>
                <w:color w:val="auto"/>
              </w:rPr>
            </w:pPr>
          </w:p>
        </w:tc>
      </w:tr>
      <w:tr>
        <w:trPr>
          <w:trHeight w:val="142"/>
        </w:trPr>
        <w:tc>
          <w:tcPr>
            <w:tcW w:w="792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178,916</w:t>
            </w: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186,925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Less treasury stock, at cost, 137,920 shares at December 31, 2018 and 2017</w:t>
            </w:r>
          </w:p>
        </w:tc>
        <w:tc>
          <w:tcPr>
            <w:tcW w:w="380" w:type="dxa"/>
            <w:vAlign w:val="bottom"/>
          </w:tcPr>
          <w:p>
            <w:pPr>
              <w:spacing w:after="0"/>
              <w:rPr>
                <w:sz w:val="13"/>
                <w:szCs w:val="1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(356)</w:t>
            </w:r>
          </w:p>
        </w:tc>
        <w:tc>
          <w:tcPr>
            <w:tcW w:w="42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142"/>
        </w:trPr>
        <w:tc>
          <w:tcPr>
            <w:tcW w:w="792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shareholders’ equity</w:t>
            </w:r>
          </w:p>
        </w:tc>
        <w:tc>
          <w:tcPr>
            <w:tcW w:w="38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178,560</w:t>
            </w: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186,569</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Pr>
          <w:p>
            <w:pPr>
              <w:ind w:left="480"/>
              <w:spacing w:after="0"/>
              <w:rPr>
                <w:sz w:val="20"/>
                <w:szCs w:val="20"/>
                <w:color w:val="auto"/>
              </w:rPr>
            </w:pPr>
            <w:r>
              <w:rPr>
                <w:rFonts w:ascii="Arial" w:cs="Arial" w:eastAsia="Arial" w:hAnsi="Arial"/>
                <w:sz w:val="12"/>
                <w:szCs w:val="12"/>
                <w:color w:val="auto"/>
              </w:rPr>
              <w:t>Total liabilities and shareholders’ equity</w:t>
            </w: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392,582</w:t>
            </w:r>
          </w:p>
        </w:tc>
        <w:tc>
          <w:tcPr>
            <w:tcW w:w="280" w:type="dxa"/>
            <w:vAlign w:val="bottom"/>
          </w:tcPr>
          <w:p>
            <w:pPr>
              <w:spacing w:after="0"/>
              <w:rPr>
                <w:sz w:val="12"/>
                <w:szCs w:val="1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438,549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 except share and per share data)</w:t>
            </w: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w w:val="87"/>
              </w:rPr>
              <w:t>Year Ended December 31,</w:t>
            </w: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800" w:type="dxa"/>
            <w:vAlign w:val="bottom"/>
            <w:tcBorders>
              <w:bottom w:val="single" w:sz="8" w:color="CFF0FC"/>
            </w:tcBorders>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Net sales</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337,339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345,051</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sales</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225,802</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231,857</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282,152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Gross profit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111,537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113,194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134,859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87,462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88,975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81,743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Acquisition and integration expenses</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Amortization and earnout expenses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9,683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7,132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20,231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Intangible asset and goodwill impairment</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7,168</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57,923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Loss on divestitures, net of selling costs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4,390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Restructuring expenses</w:t>
            </w: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1,895</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tcPr>
          <w:p>
            <w:pPr>
              <w:ind w:left="160"/>
              <w:spacing w:after="0"/>
              <w:rPr>
                <w:sz w:val="20"/>
                <w:szCs w:val="20"/>
                <w:color w:val="auto"/>
              </w:rPr>
            </w:pPr>
            <w:r>
              <w:rPr>
                <w:rFonts w:ascii="Arial" w:cs="Arial" w:eastAsia="Arial" w:hAnsi="Arial"/>
                <w:sz w:val="12"/>
                <w:szCs w:val="12"/>
                <w:color w:val="auto"/>
              </w:rPr>
              <w:t>Income (loss) from operations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10,002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(25,562)</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Other (expense) income, net</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(365)</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Interest expense</w:t>
            </w: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(7,140)</w:t>
            </w:r>
          </w:p>
        </w:tc>
        <w:tc>
          <w:tcPr>
            <w:tcW w:w="10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(6,721)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(7,712)</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Income (loss) before income taxes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(32,964)</w:t>
            </w:r>
          </w:p>
        </w:tc>
        <w:tc>
          <w:tcPr>
            <w:tcW w:w="0" w:type="dxa"/>
            <w:vAlign w:val="bottom"/>
          </w:tcPr>
          <w:p>
            <w:pPr>
              <w:spacing w:after="0"/>
              <w:rPr>
                <w:sz w:val="1"/>
                <w:szCs w:val="1"/>
                <w:color w:val="auto"/>
              </w:rPr>
            </w:pPr>
          </w:p>
        </w:tc>
      </w:tr>
      <w:tr>
        <w:trPr>
          <w:trHeight w:val="153"/>
        </w:trPr>
        <w:tc>
          <w:tcPr>
            <w:tcW w:w="68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Income tax expense</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9,618</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4,438</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(7,121)</w:t>
            </w:r>
          </w:p>
        </w:tc>
        <w:tc>
          <w:tcPr>
            <w:tcW w:w="1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(3,029)</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(38,254)</w:t>
            </w: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Net loss attributable to noncontrolling interest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Net loss attributable to CECO Environmental Corp.</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(7,121)</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(3,029)</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(38,218)</w:t>
            </w:r>
          </w:p>
        </w:tc>
        <w:tc>
          <w:tcPr>
            <w:tcW w:w="0" w:type="dxa"/>
            <w:vAlign w:val="bottom"/>
          </w:tcPr>
          <w:p>
            <w:pPr>
              <w:spacing w:after="0"/>
              <w:rPr>
                <w:sz w:val="1"/>
                <w:szCs w:val="1"/>
                <w:color w:val="auto"/>
              </w:rPr>
            </w:pPr>
          </w:p>
        </w:tc>
      </w:tr>
      <w:tr>
        <w:trPr>
          <w:trHeight w:val="140"/>
        </w:trPr>
        <w:tc>
          <w:tcPr>
            <w:tcW w:w="680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Loss per share:</w:t>
            </w: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Basic</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(0.21)</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(0.09)</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Diluted</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(0.09)</w:t>
            </w:r>
          </w:p>
        </w:tc>
        <w:tc>
          <w:tcPr>
            <w:tcW w:w="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number of common shares outstanding:</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Basic</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34,714,395</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34,445,256</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33,979,549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Diluted</w:t>
            </w: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34,714,395</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34,445,256</w:t>
            </w: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33,979,549</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0"/>
                <w:szCs w:val="10"/>
                <w:b w:val="1"/>
                <w:bCs w:val="1"/>
                <w:color w:val="auto"/>
                <w:w w:val="87"/>
              </w:rPr>
              <w:t>Year Ended December 31,</w:t>
            </w: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800" w:type="dxa"/>
            <w:vAlign w:val="bottom"/>
            <w:tcBorders>
              <w:bottom w:val="single" w:sz="8" w:color="CFF0FC"/>
            </w:tcBorders>
          </w:tcPr>
          <w:p>
            <w:pPr>
              <w:spacing w:after="0"/>
              <w:rPr>
                <w:sz w:val="8"/>
                <w:szCs w:val="8"/>
                <w:color w:val="auto"/>
              </w:rPr>
            </w:pPr>
          </w:p>
        </w:tc>
        <w:tc>
          <w:tcPr>
            <w:tcW w:w="860" w:type="dxa"/>
            <w:vAlign w:val="bottom"/>
            <w:tcBorders>
              <w:bottom w:val="single" w:sz="8" w:color="auto"/>
            </w:tcBorders>
          </w:tcPr>
          <w:p>
            <w:pPr>
              <w:jc w:val="right"/>
              <w:ind w:right="51"/>
              <w:spacing w:after="0" w:line="97" w:lineRule="exact"/>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523"/>
              <w:spacing w:after="0" w:line="97"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(7,121)</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(3,029)</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(38,254)</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20"/>
                <w:szCs w:val="20"/>
                <w:color w:val="auto"/>
              </w:rPr>
            </w:pPr>
            <w:r>
              <w:rPr>
                <w:rFonts w:ascii="Arial" w:cs="Arial" w:eastAsia="Arial" w:hAnsi="Arial"/>
                <w:sz w:val="12"/>
                <w:szCs w:val="12"/>
                <w:color w:val="auto"/>
              </w:rPr>
              <w:t>Other comprehensive (loss) income, net of tax:</w:t>
            </w:r>
          </w:p>
        </w:tc>
        <w:tc>
          <w:tcPr>
            <w:tcW w:w="8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Translation (loss) income</w:t>
            </w:r>
          </w:p>
        </w:tc>
        <w:tc>
          <w:tcPr>
            <w:tcW w:w="8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(3,858)</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4,021</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(3,864)</w:t>
            </w:r>
          </w:p>
        </w:tc>
        <w:tc>
          <w:tcPr>
            <w:tcW w:w="0" w:type="dxa"/>
            <w:vAlign w:val="bottom"/>
          </w:tcPr>
          <w:p>
            <w:pPr>
              <w:spacing w:after="0"/>
              <w:rPr>
                <w:sz w:val="1"/>
                <w:szCs w:val="1"/>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Interest rate swap</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180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Minimum pension liability adjustment</w:t>
            </w:r>
          </w:p>
        </w:tc>
        <w:tc>
          <w:tcPr>
            <w:tcW w:w="8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(78)</w:t>
            </w: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2"/>
                <w:szCs w:val="12"/>
                <w:color w:val="auto"/>
              </w:rPr>
              <w:t>Comprehensive (loss) income</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(10,925)</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1,094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(41,719)</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 attributable to noncontrolling interest</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2"/>
                <w:szCs w:val="12"/>
                <w:color w:val="auto"/>
              </w:rPr>
              <w:t>Comprehensive (loss) income attributable to CECO Environmental Corp.</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(10,925)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1,094</w:t>
            </w:r>
          </w:p>
        </w:tc>
        <w:tc>
          <w:tcPr>
            <w:tcW w:w="26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(41,683)</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SHAREHOLDERS’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4"/>
          </w:tcPr>
          <w:p>
            <w:pPr>
              <w:jc w:val="center"/>
              <w:ind w:right="280"/>
              <w:spacing w:after="0"/>
              <w:rPr>
                <w:sz w:val="20"/>
                <w:szCs w:val="20"/>
                <w:color w:val="auto"/>
              </w:rPr>
            </w:pPr>
            <w:r>
              <w:rPr>
                <w:rFonts w:ascii="Arial" w:cs="Arial" w:eastAsia="Arial" w:hAnsi="Arial"/>
                <w:sz w:val="9"/>
                <w:szCs w:val="9"/>
                <w:b w:val="1"/>
                <w:bCs w:val="1"/>
                <w:color w:val="auto"/>
                <w:w w:val="88"/>
              </w:rPr>
              <w:t>Accumulated</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3"/>
          </w:tcPr>
          <w:p>
            <w:pPr>
              <w:jc w:val="center"/>
              <w:ind w:right="360"/>
              <w:spacing w:after="0"/>
              <w:rPr>
                <w:sz w:val="20"/>
                <w:szCs w:val="20"/>
                <w:color w:val="auto"/>
              </w:rPr>
            </w:pPr>
            <w:r>
              <w:rPr>
                <w:rFonts w:ascii="Arial" w:cs="Arial" w:eastAsia="Arial" w:hAnsi="Arial"/>
                <w:sz w:val="9"/>
                <w:szCs w:val="9"/>
                <w:b w:val="1"/>
                <w:bCs w:val="1"/>
                <w:color w:val="auto"/>
                <w:w w:val="92"/>
              </w:rPr>
              <w:t>Total</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4"/>
          </w:tcPr>
          <w:p>
            <w:pPr>
              <w:jc w:val="center"/>
              <w:ind w:right="220"/>
              <w:spacing w:after="0"/>
              <w:rPr>
                <w:sz w:val="20"/>
                <w:szCs w:val="20"/>
                <w:color w:val="auto"/>
              </w:rPr>
            </w:pPr>
            <w:r>
              <w:rPr>
                <w:rFonts w:ascii="Arial" w:cs="Arial" w:eastAsia="Arial" w:hAnsi="Arial"/>
                <w:sz w:val="9"/>
                <w:szCs w:val="9"/>
                <w:b w:val="1"/>
                <w:bCs w:val="1"/>
                <w:color w:val="auto"/>
                <w:w w:val="98"/>
              </w:rPr>
              <w:t>Capital in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40" w:type="dxa"/>
            <w:vAlign w:val="bottom"/>
          </w:tcPr>
          <w:p>
            <w:pPr>
              <w:spacing w:after="0"/>
              <w:rPr>
                <w:sz w:val="9"/>
                <w:szCs w:val="9"/>
                <w:color w:val="auto"/>
              </w:rPr>
            </w:pPr>
          </w:p>
        </w:tc>
        <w:tc>
          <w:tcPr>
            <w:tcW w:w="820" w:type="dxa"/>
            <w:vAlign w:val="bottom"/>
            <w:gridSpan w:val="4"/>
          </w:tcPr>
          <w:p>
            <w:pPr>
              <w:jc w:val="center"/>
              <w:ind w:right="280"/>
              <w:spacing w:after="0"/>
              <w:rPr>
                <w:sz w:val="20"/>
                <w:szCs w:val="20"/>
                <w:color w:val="auto"/>
              </w:rPr>
            </w:pPr>
            <w:r>
              <w:rPr>
                <w:rFonts w:ascii="Arial" w:cs="Arial" w:eastAsia="Arial" w:hAnsi="Arial"/>
                <w:sz w:val="9"/>
                <w:szCs w:val="9"/>
                <w:b w:val="1"/>
                <w:bCs w:val="1"/>
                <w:color w:val="auto"/>
                <w:w w:val="91"/>
              </w:rPr>
              <w:t>Other</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center"/>
              <w:ind w:right="200"/>
              <w:spacing w:after="0"/>
              <w:rPr>
                <w:sz w:val="20"/>
                <w:szCs w:val="20"/>
                <w:color w:val="auto"/>
              </w:rPr>
            </w:pPr>
            <w:r>
              <w:rPr>
                <w:rFonts w:ascii="Arial" w:cs="Arial" w:eastAsia="Arial" w:hAnsi="Arial"/>
                <w:sz w:val="9"/>
                <w:szCs w:val="9"/>
                <w:b w:val="1"/>
                <w:bCs w:val="1"/>
                <w:color w:val="auto"/>
                <w:w w:val="99"/>
              </w:rPr>
              <w:t>CECO</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3"/>
          </w:tcPr>
          <w:p>
            <w:pPr>
              <w:jc w:val="center"/>
              <w:ind w:right="32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4"/>
          </w:tcPr>
          <w:p>
            <w:pPr>
              <w:ind w:left="20"/>
              <w:spacing w:after="0"/>
              <w:rPr>
                <w:sz w:val="20"/>
                <w:szCs w:val="20"/>
                <w:color w:val="auto"/>
              </w:rPr>
            </w:pPr>
            <w:r>
              <w:rPr>
                <w:rFonts w:ascii="Arial" w:cs="Arial" w:eastAsia="Arial" w:hAnsi="Arial"/>
                <w:sz w:val="9"/>
                <w:szCs w:val="9"/>
                <w:b w:val="1"/>
                <w:bCs w:val="1"/>
                <w:color w:val="auto"/>
              </w:rPr>
              <w:t>Common Stock</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tcPr>
          <w:p>
            <w:pPr>
              <w:jc w:val="center"/>
              <w:ind w:right="260"/>
              <w:spacing w:after="0"/>
              <w:rPr>
                <w:sz w:val="20"/>
                <w:szCs w:val="20"/>
                <w:color w:val="auto"/>
              </w:rPr>
            </w:pPr>
            <w:r>
              <w:rPr>
                <w:rFonts w:ascii="Arial" w:cs="Arial" w:eastAsia="Arial" w:hAnsi="Arial"/>
                <w:sz w:val="9"/>
                <w:szCs w:val="9"/>
                <w:b w:val="1"/>
                <w:bCs w:val="1"/>
                <w:color w:val="auto"/>
                <w:w w:val="77"/>
              </w:rPr>
              <w:t>excess of</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9"/>
                <w:szCs w:val="9"/>
                <w:b w:val="1"/>
                <w:bCs w:val="1"/>
                <w:color w:val="auto"/>
                <w:w w:val="93"/>
              </w:rPr>
              <w:t>Earnings</w:t>
            </w:r>
          </w:p>
        </w:tc>
        <w:tc>
          <w:tcPr>
            <w:tcW w:w="860" w:type="dxa"/>
            <w:vAlign w:val="bottom"/>
            <w:gridSpan w:val="5"/>
          </w:tcPr>
          <w:p>
            <w:pPr>
              <w:jc w:val="center"/>
              <w:ind w:right="220"/>
              <w:spacing w:after="0"/>
              <w:rPr>
                <w:sz w:val="20"/>
                <w:szCs w:val="20"/>
                <w:color w:val="auto"/>
              </w:rPr>
            </w:pPr>
            <w:r>
              <w:rPr>
                <w:rFonts w:ascii="Arial" w:cs="Arial" w:eastAsia="Arial" w:hAnsi="Arial"/>
                <w:sz w:val="9"/>
                <w:szCs w:val="9"/>
                <w:b w:val="1"/>
                <w:bCs w:val="1"/>
                <w:color w:val="auto"/>
                <w:w w:val="88"/>
              </w:rPr>
              <w:t>Comprehensive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gridSpan w:val="7"/>
          </w:tcPr>
          <w:p>
            <w:pPr>
              <w:jc w:val="right"/>
              <w:ind w:right="680"/>
              <w:spacing w:after="0"/>
              <w:rPr>
                <w:sz w:val="20"/>
                <w:szCs w:val="20"/>
                <w:color w:val="auto"/>
              </w:rPr>
            </w:pPr>
            <w:r>
              <w:rPr>
                <w:rFonts w:ascii="Arial" w:cs="Arial" w:eastAsia="Arial" w:hAnsi="Arial"/>
                <w:sz w:val="9"/>
                <w:szCs w:val="9"/>
                <w:b w:val="1"/>
                <w:bCs w:val="1"/>
                <w:color w:val="auto"/>
                <w:w w:val="89"/>
              </w:rPr>
              <w:t>Treasury Stock</w:t>
            </w:r>
          </w:p>
        </w:tc>
        <w:tc>
          <w:tcPr>
            <w:tcW w:w="60" w:type="dxa"/>
            <w:vAlign w:val="bottom"/>
          </w:tcPr>
          <w:p>
            <w:pPr>
              <w:spacing w:after="0"/>
              <w:rPr>
                <w:sz w:val="9"/>
                <w:szCs w:val="9"/>
                <w:color w:val="auto"/>
              </w:rPr>
            </w:pPr>
          </w:p>
        </w:tc>
        <w:tc>
          <w:tcPr>
            <w:tcW w:w="740" w:type="dxa"/>
            <w:vAlign w:val="bottom"/>
            <w:gridSpan w:val="4"/>
          </w:tcPr>
          <w:p>
            <w:pPr>
              <w:jc w:val="center"/>
              <w:ind w:right="200"/>
              <w:spacing w:after="0"/>
              <w:rPr>
                <w:sz w:val="20"/>
                <w:szCs w:val="20"/>
                <w:color w:val="auto"/>
              </w:rPr>
            </w:pPr>
            <w:r>
              <w:rPr>
                <w:rFonts w:ascii="Arial" w:cs="Arial" w:eastAsia="Arial" w:hAnsi="Arial"/>
                <w:sz w:val="9"/>
                <w:szCs w:val="9"/>
                <w:b w:val="1"/>
                <w:bCs w:val="1"/>
                <w:color w:val="auto"/>
                <w:w w:val="90"/>
              </w:rPr>
              <w:t>Shareholders'</w:t>
            </w:r>
          </w:p>
        </w:tc>
        <w:tc>
          <w:tcPr>
            <w:tcW w:w="120" w:type="dxa"/>
            <w:vAlign w:val="bottom"/>
          </w:tcPr>
          <w:p>
            <w:pPr>
              <w:spacing w:after="0"/>
              <w:rPr>
                <w:sz w:val="9"/>
                <w:szCs w:val="9"/>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9"/>
                <w:szCs w:val="9"/>
                <w:b w:val="1"/>
                <w:bCs w:val="1"/>
                <w:color w:val="auto"/>
                <w:w w:val="93"/>
              </w:rPr>
              <w:t>Noncontrolling</w:t>
            </w:r>
          </w:p>
        </w:tc>
        <w:tc>
          <w:tcPr>
            <w:tcW w:w="60" w:type="dxa"/>
            <w:vAlign w:val="bottom"/>
          </w:tcPr>
          <w:p>
            <w:pPr>
              <w:spacing w:after="0"/>
              <w:rPr>
                <w:sz w:val="9"/>
                <w:szCs w:val="9"/>
                <w:color w:val="auto"/>
              </w:rPr>
            </w:pPr>
          </w:p>
        </w:tc>
        <w:tc>
          <w:tcPr>
            <w:tcW w:w="740" w:type="dxa"/>
            <w:vAlign w:val="bottom"/>
            <w:gridSpan w:val="4"/>
          </w:tcPr>
          <w:p>
            <w:pPr>
              <w:jc w:val="center"/>
              <w:ind w:right="200"/>
              <w:spacing w:after="0"/>
              <w:rPr>
                <w:sz w:val="20"/>
                <w:szCs w:val="20"/>
                <w:color w:val="auto"/>
              </w:rPr>
            </w:pPr>
            <w:r>
              <w:rPr>
                <w:rFonts w:ascii="Arial" w:cs="Arial" w:eastAsia="Arial" w:hAnsi="Arial"/>
                <w:sz w:val="9"/>
                <w:szCs w:val="9"/>
                <w:b w:val="1"/>
                <w:bCs w:val="1"/>
                <w:color w:val="auto"/>
                <w:w w:val="89"/>
              </w:rPr>
              <w:t>Shareholders’</w:t>
            </w: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3"/>
          </w:tcPr>
          <w:p>
            <w:pPr>
              <w:jc w:val="right"/>
              <w:ind w:right="420"/>
              <w:spacing w:after="0" w:line="88" w:lineRule="exact"/>
              <w:rPr>
                <w:sz w:val="20"/>
                <w:szCs w:val="20"/>
                <w:color w:val="auto"/>
              </w:rPr>
            </w:pPr>
            <w:r>
              <w:rPr>
                <w:rFonts w:ascii="Arial" w:cs="Arial" w:eastAsia="Arial" w:hAnsi="Arial"/>
                <w:sz w:val="9"/>
                <w:szCs w:val="9"/>
                <w:b w:val="1"/>
                <w:bCs w:val="1"/>
                <w:color w:val="auto"/>
                <w:w w:val="73"/>
              </w:rPr>
              <w:t>Shares</w:t>
            </w: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4"/>
          </w:tcPr>
          <w:p>
            <w:pPr>
              <w:jc w:val="center"/>
              <w:ind w:right="220"/>
              <w:spacing w:after="0" w:line="88" w:lineRule="exact"/>
              <w:rPr>
                <w:sz w:val="20"/>
                <w:szCs w:val="20"/>
                <w:color w:val="auto"/>
              </w:rPr>
            </w:pPr>
            <w:r>
              <w:rPr>
                <w:rFonts w:ascii="Arial" w:cs="Arial" w:eastAsia="Arial" w:hAnsi="Arial"/>
                <w:sz w:val="9"/>
                <w:szCs w:val="9"/>
                <w:b w:val="1"/>
                <w:bCs w:val="1"/>
                <w:color w:val="auto"/>
                <w:w w:val="90"/>
              </w:rPr>
              <w:t>par value</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4"/>
          </w:tcPr>
          <w:p>
            <w:pPr>
              <w:jc w:val="center"/>
              <w:ind w:right="280"/>
              <w:spacing w:after="0" w:line="88" w:lineRule="exact"/>
              <w:rPr>
                <w:sz w:val="20"/>
                <w:szCs w:val="20"/>
                <w:color w:val="auto"/>
              </w:rPr>
            </w:pPr>
            <w:r>
              <w:rPr>
                <w:rFonts w:ascii="Arial" w:cs="Arial" w:eastAsia="Arial" w:hAnsi="Arial"/>
                <w:sz w:val="9"/>
                <w:szCs w:val="9"/>
                <w:b w:val="1"/>
                <w:bCs w:val="1"/>
                <w:color w:val="auto"/>
                <w:w w:val="88"/>
              </w:rPr>
              <w:t>(Loss)</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3"/>
          </w:tcPr>
          <w:p>
            <w:pPr>
              <w:jc w:val="center"/>
              <w:ind w:right="460"/>
              <w:spacing w:after="0" w:line="88" w:lineRule="exact"/>
              <w:rPr>
                <w:sz w:val="20"/>
                <w:szCs w:val="20"/>
                <w:color w:val="auto"/>
              </w:rPr>
            </w:pPr>
            <w:r>
              <w:rPr>
                <w:rFonts w:ascii="Arial" w:cs="Arial" w:eastAsia="Arial" w:hAnsi="Arial"/>
                <w:sz w:val="9"/>
                <w:szCs w:val="9"/>
                <w:b w:val="1"/>
                <w:bCs w:val="1"/>
                <w:color w:val="auto"/>
                <w:w w:val="85"/>
              </w:rPr>
              <w:t>Loss</w:t>
            </w:r>
          </w:p>
        </w:tc>
        <w:tc>
          <w:tcPr>
            <w:tcW w:w="760" w:type="dxa"/>
            <w:vAlign w:val="bottom"/>
            <w:tcBorders>
              <w:top w:val="single" w:sz="8" w:color="auto"/>
            </w:tcBorders>
            <w:gridSpan w:val="4"/>
          </w:tcPr>
          <w:p>
            <w:pPr>
              <w:jc w:val="right"/>
              <w:ind w:right="320"/>
              <w:spacing w:after="0" w:line="88" w:lineRule="exact"/>
              <w:rPr>
                <w:sz w:val="20"/>
                <w:szCs w:val="20"/>
                <w:color w:val="auto"/>
              </w:rPr>
            </w:pPr>
            <w:r>
              <w:rPr>
                <w:rFonts w:ascii="Arial" w:cs="Arial" w:eastAsia="Arial" w:hAnsi="Arial"/>
                <w:sz w:val="9"/>
                <w:szCs w:val="9"/>
                <w:b w:val="1"/>
                <w:bCs w:val="1"/>
                <w:color w:val="auto"/>
              </w:rPr>
              <w:t>Shares</w:t>
            </w:r>
          </w:p>
        </w:tc>
        <w:tc>
          <w:tcPr>
            <w:tcW w:w="1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4"/>
          </w:tcPr>
          <w:p>
            <w:pPr>
              <w:jc w:val="center"/>
              <w:ind w:right="200"/>
              <w:spacing w:after="0" w:line="88" w:lineRule="exact"/>
              <w:rPr>
                <w:sz w:val="20"/>
                <w:szCs w:val="20"/>
                <w:color w:val="auto"/>
              </w:rPr>
            </w:pPr>
            <w:r>
              <w:rPr>
                <w:rFonts w:ascii="Arial" w:cs="Arial" w:eastAsia="Arial" w:hAnsi="Arial"/>
                <w:sz w:val="9"/>
                <w:szCs w:val="9"/>
                <w:b w:val="1"/>
                <w:bCs w:val="1"/>
                <w:color w:val="auto"/>
                <w:w w:val="94"/>
              </w:rPr>
              <w:t>Equity</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3"/>
          </w:tcPr>
          <w:p>
            <w:pPr>
              <w:jc w:val="right"/>
              <w:ind w:right="400"/>
              <w:spacing w:after="0" w:line="88" w:lineRule="exact"/>
              <w:rPr>
                <w:sz w:val="20"/>
                <w:szCs w:val="20"/>
                <w:color w:val="auto"/>
              </w:rPr>
            </w:pPr>
            <w:r>
              <w:rPr>
                <w:rFonts w:ascii="Arial" w:cs="Arial" w:eastAsia="Arial" w:hAnsi="Arial"/>
                <w:sz w:val="9"/>
                <w:szCs w:val="9"/>
                <w:b w:val="1"/>
                <w:bCs w:val="1"/>
                <w:color w:val="auto"/>
                <w:w w:val="85"/>
              </w:rPr>
              <w:t>Interest</w:t>
            </w:r>
          </w:p>
        </w:tc>
        <w:tc>
          <w:tcPr>
            <w:tcW w:w="60" w:type="dxa"/>
            <w:vAlign w:val="bottom"/>
          </w:tcPr>
          <w:p>
            <w:pPr>
              <w:spacing w:after="0"/>
              <w:rPr>
                <w:sz w:val="7"/>
                <w:szCs w:val="7"/>
                <w:color w:val="auto"/>
              </w:rPr>
            </w:pPr>
          </w:p>
        </w:tc>
        <w:tc>
          <w:tcPr>
            <w:tcW w:w="740" w:type="dxa"/>
            <w:vAlign w:val="bottom"/>
            <w:gridSpan w:val="4"/>
          </w:tcPr>
          <w:p>
            <w:pPr>
              <w:jc w:val="center"/>
              <w:ind w:right="200"/>
              <w:spacing w:after="0" w:line="88" w:lineRule="exact"/>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860" w:type="dxa"/>
            <w:vAlign w:val="bottom"/>
            <w:shd w:val="clear" w:color="auto" w:fill="CFF0FC"/>
          </w:tcPr>
          <w:p>
            <w:pPr>
              <w:spacing w:after="0" w:line="98" w:lineRule="exact"/>
              <w:rPr>
                <w:sz w:val="20"/>
                <w:szCs w:val="20"/>
                <w:color w:val="auto"/>
              </w:rPr>
            </w:pPr>
            <w:r>
              <w:rPr>
                <w:rFonts w:ascii="Arial" w:cs="Arial" w:eastAsia="Arial" w:hAnsi="Arial"/>
                <w:sz w:val="9"/>
                <w:szCs w:val="9"/>
                <w:color w:val="auto"/>
              </w:rPr>
              <w:t>Balance January 1, 2016</w:t>
            </w:r>
          </w:p>
        </w:tc>
        <w:tc>
          <w:tcPr>
            <w:tcW w:w="200" w:type="dxa"/>
            <w:vAlign w:val="bottom"/>
            <w:shd w:val="clear" w:color="auto" w:fill="CFF0FC"/>
          </w:tcPr>
          <w:p>
            <w:pPr>
              <w:spacing w:after="0"/>
              <w:rPr>
                <w:sz w:val="8"/>
                <w:szCs w:val="8"/>
                <w:color w:val="auto"/>
              </w:rPr>
            </w:pPr>
          </w:p>
        </w:tc>
        <w:tc>
          <w:tcPr>
            <w:tcW w:w="440" w:type="dxa"/>
            <w:vAlign w:val="bottom"/>
            <w:gridSpan w:val="2"/>
            <w:shd w:val="clear" w:color="auto" w:fill="CFF0FC"/>
          </w:tcPr>
          <w:p>
            <w:pPr>
              <w:jc w:val="right"/>
              <w:spacing w:after="0" w:line="98" w:lineRule="exact"/>
              <w:rPr>
                <w:sz w:val="20"/>
                <w:szCs w:val="20"/>
                <w:color w:val="auto"/>
              </w:rPr>
            </w:pPr>
            <w:r>
              <w:rPr>
                <w:rFonts w:ascii="Arial" w:cs="Arial" w:eastAsia="Arial" w:hAnsi="Arial"/>
                <w:sz w:val="9"/>
                <w:szCs w:val="9"/>
                <w:color w:val="auto"/>
              </w:rPr>
              <w:t>34,056</w:t>
            </w: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jc w:val="right"/>
              <w:ind w:right="97"/>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FF0FC"/>
          </w:tcPr>
          <w:p>
            <w:pPr>
              <w:spacing w:after="0"/>
              <w:rPr>
                <w:sz w:val="8"/>
                <w:szCs w:val="8"/>
                <w:color w:val="auto"/>
              </w:rPr>
            </w:pPr>
          </w:p>
        </w:tc>
        <w:tc>
          <w:tcPr>
            <w:tcW w:w="160" w:type="dxa"/>
            <w:vAlign w:val="bottom"/>
            <w:shd w:val="clear" w:color="auto" w:fill="CFF0FC"/>
          </w:tcPr>
          <w:p>
            <w:pPr>
              <w:jc w:val="right"/>
              <w:spacing w:after="0" w:line="98" w:lineRule="exact"/>
              <w:rPr>
                <w:sz w:val="20"/>
                <w:szCs w:val="20"/>
                <w:color w:val="auto"/>
              </w:rPr>
            </w:pPr>
            <w:r>
              <w:rPr>
                <w:rFonts w:ascii="Arial" w:cs="Arial" w:eastAsia="Arial" w:hAnsi="Arial"/>
                <w:sz w:val="9"/>
                <w:szCs w:val="9"/>
                <w:color w:val="auto"/>
                <w:w w:val="92"/>
              </w:rPr>
              <w:t>340</w:t>
            </w:r>
          </w:p>
        </w:tc>
        <w:tc>
          <w:tcPr>
            <w:tcW w:w="120" w:type="dxa"/>
            <w:vAlign w:val="bottom"/>
            <w:shd w:val="clear" w:color="auto" w:fill="CFF0FC"/>
          </w:tcPr>
          <w:p>
            <w:pPr>
              <w:spacing w:after="0"/>
              <w:rPr>
                <w:sz w:val="8"/>
                <w:szCs w:val="8"/>
                <w:color w:val="auto"/>
              </w:rPr>
            </w:pPr>
          </w:p>
        </w:tc>
        <w:tc>
          <w:tcPr>
            <w:tcW w:w="200" w:type="dxa"/>
            <w:vAlign w:val="bottom"/>
            <w:gridSpan w:val="2"/>
            <w:shd w:val="clear" w:color="auto" w:fill="CFF0FC"/>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3"/>
            <w:shd w:val="clear" w:color="auto" w:fill="CFF0FC"/>
          </w:tcPr>
          <w:p>
            <w:pPr>
              <w:jc w:val="right"/>
              <w:spacing w:after="0" w:line="98" w:lineRule="exact"/>
              <w:rPr>
                <w:sz w:val="20"/>
                <w:szCs w:val="20"/>
                <w:color w:val="auto"/>
              </w:rPr>
            </w:pPr>
            <w:r>
              <w:rPr>
                <w:rFonts w:ascii="Arial" w:cs="Arial" w:eastAsia="Arial" w:hAnsi="Arial"/>
                <w:sz w:val="9"/>
                <w:szCs w:val="9"/>
                <w:color w:val="auto"/>
              </w:rPr>
              <w:t>243,274</w:t>
            </w:r>
          </w:p>
        </w:tc>
        <w:tc>
          <w:tcPr>
            <w:tcW w:w="120" w:type="dxa"/>
            <w:vAlign w:val="bottom"/>
            <w:shd w:val="clear" w:color="auto" w:fill="CFF0FC"/>
          </w:tcPr>
          <w:p>
            <w:pPr>
              <w:spacing w:after="0"/>
              <w:rPr>
                <w:sz w:val="8"/>
                <w:szCs w:val="8"/>
                <w:color w:val="auto"/>
              </w:rPr>
            </w:pPr>
          </w:p>
        </w:tc>
        <w:tc>
          <w:tcPr>
            <w:tcW w:w="160" w:type="dxa"/>
            <w:vAlign w:val="bottom"/>
            <w:gridSpan w:val="2"/>
            <w:shd w:val="clear" w:color="auto" w:fill="CFF0FC"/>
          </w:tcPr>
          <w:p>
            <w:pPr>
              <w:jc w:val="right"/>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3"/>
            <w:shd w:val="clear" w:color="auto" w:fill="CFF0FC"/>
          </w:tcPr>
          <w:p>
            <w:pPr>
              <w:jc w:val="right"/>
              <w:spacing w:after="0" w:line="98" w:lineRule="exact"/>
              <w:rPr>
                <w:sz w:val="20"/>
                <w:szCs w:val="20"/>
                <w:color w:val="auto"/>
              </w:rPr>
            </w:pPr>
            <w:r>
              <w:rPr>
                <w:rFonts w:ascii="Arial" w:cs="Arial" w:eastAsia="Arial" w:hAnsi="Arial"/>
                <w:sz w:val="9"/>
                <w:szCs w:val="9"/>
                <w:color w:val="auto"/>
              </w:rPr>
              <w:t>5,472</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4"/>
            <w:shd w:val="clear" w:color="auto" w:fill="CFF0FC"/>
          </w:tcPr>
          <w:p>
            <w:pPr>
              <w:jc w:val="right"/>
              <w:ind w:right="200"/>
              <w:spacing w:after="0" w:line="98" w:lineRule="exact"/>
              <w:rPr>
                <w:sz w:val="20"/>
                <w:szCs w:val="20"/>
                <w:color w:val="auto"/>
              </w:rPr>
            </w:pPr>
            <w:r>
              <w:rPr>
                <w:rFonts w:ascii="Arial" w:cs="Arial" w:eastAsia="Arial" w:hAnsi="Arial"/>
                <w:sz w:val="9"/>
                <w:szCs w:val="9"/>
                <w:color w:val="auto"/>
              </w:rPr>
              <w:t>(9,577)</w:t>
            </w:r>
          </w:p>
        </w:tc>
        <w:tc>
          <w:tcPr>
            <w:tcW w:w="760" w:type="dxa"/>
            <w:vAlign w:val="bottom"/>
            <w:gridSpan w:val="4"/>
            <w:shd w:val="clear" w:color="auto" w:fill="CFF0FC"/>
          </w:tcPr>
          <w:p>
            <w:pPr>
              <w:jc w:val="right"/>
              <w:ind w:right="80"/>
              <w:spacing w:after="0" w:line="98" w:lineRule="exact"/>
              <w:rPr>
                <w:sz w:val="20"/>
                <w:szCs w:val="20"/>
                <w:color w:val="auto"/>
              </w:rPr>
            </w:pPr>
            <w:r>
              <w:rPr>
                <w:rFonts w:ascii="Arial" w:cs="Arial" w:eastAsia="Arial" w:hAnsi="Arial"/>
                <w:sz w:val="9"/>
                <w:szCs w:val="9"/>
                <w:color w:val="auto"/>
              </w:rPr>
              <w:t>(138)</w:t>
            </w:r>
          </w:p>
        </w:tc>
        <w:tc>
          <w:tcPr>
            <w:tcW w:w="260" w:type="dxa"/>
            <w:vAlign w:val="bottom"/>
            <w:gridSpan w:val="2"/>
            <w:shd w:val="clear" w:color="auto" w:fill="CFF0FC"/>
          </w:tcPr>
          <w:p>
            <w:pPr>
              <w:jc w:val="right"/>
              <w:ind w:right="12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3"/>
            <w:shd w:val="clear" w:color="auto" w:fill="CFF0FC"/>
          </w:tcPr>
          <w:p>
            <w:pPr>
              <w:jc w:val="right"/>
              <w:ind w:right="180"/>
              <w:spacing w:after="0" w:line="98" w:lineRule="exact"/>
              <w:rPr>
                <w:sz w:val="20"/>
                <w:szCs w:val="20"/>
                <w:color w:val="auto"/>
              </w:rPr>
            </w:pPr>
            <w:r>
              <w:rPr>
                <w:rFonts w:ascii="Arial" w:cs="Arial" w:eastAsia="Arial" w:hAnsi="Arial"/>
                <w:sz w:val="9"/>
                <w:szCs w:val="9"/>
                <w:color w:val="auto"/>
              </w:rPr>
              <w:t>(356)</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3"/>
            <w:shd w:val="clear" w:color="auto" w:fill="CFF0FC"/>
          </w:tcPr>
          <w:p>
            <w:pPr>
              <w:jc w:val="right"/>
              <w:spacing w:after="0" w:line="98" w:lineRule="exact"/>
              <w:rPr>
                <w:sz w:val="20"/>
                <w:szCs w:val="20"/>
                <w:color w:val="auto"/>
              </w:rPr>
            </w:pPr>
            <w:r>
              <w:rPr>
                <w:rFonts w:ascii="Arial" w:cs="Arial" w:eastAsia="Arial" w:hAnsi="Arial"/>
                <w:sz w:val="9"/>
                <w:szCs w:val="9"/>
                <w:color w:val="auto"/>
              </w:rPr>
              <w:t>239,153</w:t>
            </w:r>
          </w:p>
        </w:tc>
        <w:tc>
          <w:tcPr>
            <w:tcW w:w="140" w:type="dxa"/>
            <w:vAlign w:val="bottom"/>
            <w:shd w:val="clear" w:color="auto" w:fill="CFF0FC"/>
          </w:tcPr>
          <w:p>
            <w:pPr>
              <w:spacing w:after="0"/>
              <w:rPr>
                <w:sz w:val="8"/>
                <w:szCs w:val="8"/>
                <w:color w:val="auto"/>
              </w:rPr>
            </w:pPr>
          </w:p>
        </w:tc>
        <w:tc>
          <w:tcPr>
            <w:tcW w:w="300" w:type="dxa"/>
            <w:vAlign w:val="bottom"/>
            <w:gridSpan w:val="2"/>
            <w:shd w:val="clear" w:color="auto" w:fill="CFF0FC"/>
          </w:tcPr>
          <w:p>
            <w:pPr>
              <w:jc w:val="right"/>
              <w:ind w:right="95"/>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FF0FC"/>
          </w:tcPr>
          <w:p>
            <w:pPr>
              <w:jc w:val="right"/>
              <w:spacing w:after="0" w:line="98" w:lineRule="exact"/>
              <w:rPr>
                <w:sz w:val="20"/>
                <w:szCs w:val="20"/>
                <w:color w:val="auto"/>
              </w:rPr>
            </w:pPr>
            <w:r>
              <w:rPr>
                <w:rFonts w:ascii="Arial" w:cs="Arial" w:eastAsia="Arial" w:hAnsi="Arial"/>
                <w:sz w:val="9"/>
                <w:szCs w:val="9"/>
                <w:color w:val="auto"/>
              </w:rPr>
              <w:t>5,868</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3"/>
            <w:shd w:val="clear" w:color="auto" w:fill="CFF0FC"/>
          </w:tcPr>
          <w:p>
            <w:pPr>
              <w:jc w:val="right"/>
              <w:spacing w:after="0" w:line="98" w:lineRule="exact"/>
              <w:rPr>
                <w:sz w:val="20"/>
                <w:szCs w:val="20"/>
                <w:color w:val="auto"/>
              </w:rPr>
            </w:pPr>
            <w:r>
              <w:rPr>
                <w:rFonts w:ascii="Arial" w:cs="Arial" w:eastAsia="Arial" w:hAnsi="Arial"/>
                <w:sz w:val="9"/>
                <w:szCs w:val="9"/>
                <w:color w:val="auto"/>
              </w:rPr>
              <w:t>245,021</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Net loss for the year ended December 31, 2016</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9"/>
                <w:szCs w:val="9"/>
                <w:color w:val="auto"/>
              </w:rPr>
              <w:t>(38,218)</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9"/>
                <w:szCs w:val="9"/>
                <w:color w:val="auto"/>
              </w:rPr>
              <w:t>(38,218)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9"/>
                <w:szCs w:val="9"/>
                <w:color w:val="auto"/>
              </w:rPr>
              <w:t>(36)</w:t>
            </w:r>
          </w:p>
        </w:tc>
        <w:tc>
          <w:tcPr>
            <w:tcW w:w="60" w:type="dxa"/>
            <w:vAlign w:val="bottom"/>
          </w:tcPr>
          <w:p>
            <w:pPr>
              <w:spacing w:after="0"/>
              <w:rPr>
                <w:sz w:val="9"/>
                <w:szCs w:val="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9"/>
                <w:szCs w:val="9"/>
                <w:color w:val="auto"/>
              </w:rPr>
              <w:t>(38,254)</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Common stock dividends</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9"/>
                <w:szCs w:val="9"/>
                <w:color w:val="auto"/>
              </w:rPr>
              <w:t>(8,995)</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(8,995)</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(8,995)</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Exercise of stock options and dividend reinvestment issuances</w:t>
            </w:r>
          </w:p>
        </w:tc>
        <w:tc>
          <w:tcPr>
            <w:tcW w:w="640" w:type="dxa"/>
            <w:vAlign w:val="bottom"/>
            <w:gridSpan w:val="3"/>
          </w:tcPr>
          <w:p>
            <w:pPr>
              <w:jc w:val="right"/>
              <w:spacing w:after="0"/>
              <w:rPr>
                <w:sz w:val="20"/>
                <w:szCs w:val="20"/>
                <w:color w:val="auto"/>
              </w:rPr>
            </w:pPr>
            <w:r>
              <w:rPr>
                <w:rFonts w:ascii="Arial" w:cs="Arial" w:eastAsia="Arial" w:hAnsi="Arial"/>
                <w:sz w:val="9"/>
                <w:szCs w:val="9"/>
                <w:color w:val="auto"/>
              </w:rPr>
              <w:t>215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right"/>
              <w:spacing w:after="0"/>
              <w:rPr>
                <w:sz w:val="20"/>
                <w:szCs w:val="20"/>
                <w:color w:val="auto"/>
              </w:rPr>
            </w:pPr>
            <w:r>
              <w:rPr>
                <w:rFonts w:ascii="Arial" w:cs="Arial" w:eastAsia="Arial" w:hAnsi="Arial"/>
                <w:sz w:val="9"/>
                <w:szCs w:val="9"/>
                <w:color w:val="auto"/>
              </w:rPr>
              <w:t>1,513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right"/>
              <w:spacing w:after="0"/>
              <w:rPr>
                <w:sz w:val="20"/>
                <w:szCs w:val="20"/>
                <w:color w:val="auto"/>
              </w:rPr>
            </w:pPr>
            <w:r>
              <w:rPr>
                <w:rFonts w:ascii="Arial" w:cs="Arial" w:eastAsia="Arial" w:hAnsi="Arial"/>
                <w:sz w:val="9"/>
                <w:szCs w:val="9"/>
                <w:color w:val="auto"/>
              </w:rPr>
              <w:t>1,515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1,515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Excess tax benefit from stock options exercised</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137</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137</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137</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Restricted stock units issued</w:t>
            </w:r>
          </w:p>
        </w:tc>
        <w:tc>
          <w:tcPr>
            <w:tcW w:w="640" w:type="dxa"/>
            <w:vAlign w:val="bottom"/>
            <w:gridSpan w:val="3"/>
          </w:tcPr>
          <w:p>
            <w:pPr>
              <w:jc w:val="right"/>
              <w:spacing w:after="0"/>
              <w:rPr>
                <w:sz w:val="20"/>
                <w:szCs w:val="20"/>
                <w:color w:val="auto"/>
              </w:rPr>
            </w:pPr>
            <w:r>
              <w:rPr>
                <w:rFonts w:ascii="Arial" w:cs="Arial" w:eastAsia="Arial" w:hAnsi="Arial"/>
                <w:sz w:val="9"/>
                <w:szCs w:val="9"/>
                <w:color w:val="auto"/>
              </w:rPr>
              <w:t>17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9"/>
                <w:szCs w:val="9"/>
                <w:color w:val="auto"/>
              </w:rPr>
              <w:t>(9)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9"/>
                <w:szCs w:val="9"/>
                <w:color w:val="auto"/>
              </w:rPr>
              <w:t>(9)</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Share based compensation earned</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27</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2,457</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2,458</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2,458</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Issuance of shares for cashless warrant exercise (See Note 10)</w:t>
            </w:r>
          </w:p>
        </w:tc>
        <w:tc>
          <w:tcPr>
            <w:tcW w:w="640" w:type="dxa"/>
            <w:vAlign w:val="bottom"/>
            <w:gridSpan w:val="3"/>
          </w:tcPr>
          <w:p>
            <w:pPr>
              <w:jc w:val="right"/>
              <w:spacing w:after="0"/>
              <w:rPr>
                <w:sz w:val="20"/>
                <w:szCs w:val="20"/>
                <w:color w:val="auto"/>
              </w:rPr>
            </w:pPr>
            <w:r>
              <w:rPr>
                <w:rFonts w:ascii="Arial" w:cs="Arial" w:eastAsia="Arial" w:hAnsi="Arial"/>
                <w:sz w:val="9"/>
                <w:szCs w:val="9"/>
                <w:color w:val="auto"/>
              </w:rPr>
              <w:t>90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Stock repurchase and retirement</w:t>
            </w:r>
          </w:p>
        </w:tc>
        <w:tc>
          <w:tcPr>
            <w:tcW w:w="860" w:type="dxa"/>
            <w:vAlign w:val="bottom"/>
            <w:gridSpan w:val="4"/>
            <w:shd w:val="clear" w:color="auto" w:fill="CFF0FC"/>
          </w:tcPr>
          <w:p>
            <w:pPr>
              <w:jc w:val="right"/>
              <w:ind w:right="180"/>
              <w:spacing w:after="0"/>
              <w:rPr>
                <w:sz w:val="20"/>
                <w:szCs w:val="20"/>
                <w:color w:val="auto"/>
              </w:rPr>
            </w:pPr>
            <w:r>
              <w:rPr>
                <w:rFonts w:ascii="Arial" w:cs="Arial" w:eastAsia="Arial" w:hAnsi="Arial"/>
                <w:sz w:val="9"/>
                <w:szCs w:val="9"/>
                <w:color w:val="auto"/>
              </w:rPr>
              <w:t>(105)</w:t>
            </w: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9"/>
                <w:szCs w:val="9"/>
                <w:color w:val="auto"/>
              </w:rPr>
              <w:t>(1)</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gridSpan w:val="4"/>
            <w:shd w:val="clear" w:color="auto" w:fill="CFF0FC"/>
          </w:tcPr>
          <w:p>
            <w:pPr>
              <w:jc w:val="right"/>
              <w:ind w:right="80"/>
              <w:spacing w:after="0"/>
              <w:rPr>
                <w:sz w:val="20"/>
                <w:szCs w:val="20"/>
                <w:color w:val="auto"/>
              </w:rPr>
            </w:pPr>
            <w:r>
              <w:rPr>
                <w:rFonts w:ascii="Arial" w:cs="Arial" w:eastAsia="Arial" w:hAnsi="Arial"/>
                <w:sz w:val="9"/>
                <w:szCs w:val="9"/>
                <w:color w:val="auto"/>
              </w:rPr>
              <w:t>(1,237)</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(1,238)</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(1,238)</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Noncontrolling interest acquisition (See Note 16)</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9"/>
                <w:szCs w:val="9"/>
                <w:color w:val="auto"/>
              </w:rPr>
              <w:t>(1,256)</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9"/>
                <w:szCs w:val="9"/>
                <w:color w:val="auto"/>
              </w:rPr>
              <w:t>(1,256)</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9"/>
                <w:szCs w:val="9"/>
                <w:color w:val="auto"/>
              </w:rPr>
              <w:t>(5,832)</w:t>
            </w:r>
          </w:p>
        </w:tc>
        <w:tc>
          <w:tcPr>
            <w:tcW w:w="60" w:type="dxa"/>
            <w:vAlign w:val="bottom"/>
          </w:tcPr>
          <w:p>
            <w:pPr>
              <w:spacing w:after="0"/>
              <w:rPr>
                <w:sz w:val="9"/>
                <w:szCs w:val="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9"/>
                <w:szCs w:val="9"/>
                <w:color w:val="auto"/>
              </w:rPr>
              <w:t>(7,088)</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Adjustment for minimum pension liability, net of tax of $53</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9"/>
                <w:szCs w:val="9"/>
                <w:color w:val="auto"/>
              </w:rPr>
              <w:t>87</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87</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87</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Adjustment for interest rate swap net of tax of $181</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9"/>
                <w:szCs w:val="9"/>
                <w:color w:val="auto"/>
              </w:rPr>
              <w:t>312</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right"/>
              <w:spacing w:after="0"/>
              <w:rPr>
                <w:sz w:val="20"/>
                <w:szCs w:val="20"/>
                <w:color w:val="auto"/>
              </w:rPr>
            </w:pPr>
            <w:r>
              <w:rPr>
                <w:rFonts w:ascii="Arial" w:cs="Arial" w:eastAsia="Arial" w:hAnsi="Arial"/>
                <w:sz w:val="9"/>
                <w:szCs w:val="9"/>
                <w:color w:val="auto"/>
              </w:rPr>
              <w:t>312</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312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Translation loss</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20" w:type="dxa"/>
            <w:vAlign w:val="bottom"/>
            <w:gridSpan w:val="4"/>
            <w:shd w:val="clear" w:color="auto" w:fill="CFF0FC"/>
          </w:tcPr>
          <w:p>
            <w:pPr>
              <w:jc w:val="right"/>
              <w:ind w:right="200"/>
              <w:spacing w:after="0"/>
              <w:rPr>
                <w:sz w:val="20"/>
                <w:szCs w:val="20"/>
                <w:color w:val="auto"/>
              </w:rPr>
            </w:pPr>
            <w:r>
              <w:rPr>
                <w:rFonts w:ascii="Arial" w:cs="Arial" w:eastAsia="Arial" w:hAnsi="Arial"/>
                <w:sz w:val="9"/>
                <w:szCs w:val="9"/>
                <w:color w:val="auto"/>
              </w:rPr>
              <w:t>(3,864)</w:t>
            </w: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(3,864)</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(3,864)</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9"/>
                <w:szCs w:val="9"/>
                <w:color w:val="auto"/>
              </w:rPr>
              <w:t>Balance December 31, 2016</w:t>
            </w: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860" w:type="dxa"/>
            <w:vAlign w:val="bottom"/>
            <w:vMerge w:val="continue"/>
          </w:tcPr>
          <w:p>
            <w:pPr>
              <w:spacing w:after="0"/>
              <w:rPr>
                <w:sz w:val="8"/>
                <w:szCs w:val="8"/>
                <w:color w:val="auto"/>
              </w:rPr>
            </w:pPr>
          </w:p>
        </w:tc>
        <w:tc>
          <w:tcPr>
            <w:tcW w:w="640" w:type="dxa"/>
            <w:vAlign w:val="bottom"/>
            <w:gridSpan w:val="3"/>
          </w:tcPr>
          <w:p>
            <w:pPr>
              <w:jc w:val="right"/>
              <w:spacing w:after="0" w:line="98" w:lineRule="exact"/>
              <w:rPr>
                <w:sz w:val="20"/>
                <w:szCs w:val="20"/>
                <w:color w:val="auto"/>
              </w:rPr>
            </w:pPr>
            <w:r>
              <w:rPr>
                <w:rFonts w:ascii="Arial" w:cs="Arial" w:eastAsia="Arial" w:hAnsi="Arial"/>
                <w:sz w:val="9"/>
                <w:szCs w:val="9"/>
                <w:color w:val="auto"/>
              </w:rPr>
              <w:t>34,300</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jc w:val="right"/>
              <w:spacing w:after="0" w:line="98" w:lineRule="exact"/>
              <w:rPr>
                <w:sz w:val="20"/>
                <w:szCs w:val="20"/>
                <w:color w:val="auto"/>
              </w:rPr>
            </w:pPr>
            <w:r>
              <w:rPr>
                <w:rFonts w:ascii="Arial" w:cs="Arial" w:eastAsia="Arial" w:hAnsi="Arial"/>
                <w:sz w:val="9"/>
                <w:szCs w:val="9"/>
                <w:color w:val="auto"/>
                <w:w w:val="92"/>
              </w:rPr>
              <w:t>343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3"/>
          </w:tcPr>
          <w:p>
            <w:pPr>
              <w:jc w:val="right"/>
              <w:spacing w:after="0" w:line="98" w:lineRule="exact"/>
              <w:rPr>
                <w:sz w:val="20"/>
                <w:szCs w:val="20"/>
                <w:color w:val="auto"/>
              </w:rPr>
            </w:pPr>
            <w:r>
              <w:rPr>
                <w:rFonts w:ascii="Arial" w:cs="Arial" w:eastAsia="Arial" w:hAnsi="Arial"/>
                <w:sz w:val="9"/>
                <w:szCs w:val="9"/>
                <w:color w:val="auto"/>
              </w:rPr>
              <w:t>244,878</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4"/>
          </w:tcPr>
          <w:p>
            <w:pPr>
              <w:jc w:val="right"/>
              <w:ind w:right="180"/>
              <w:spacing w:after="0" w:line="98" w:lineRule="exact"/>
              <w:rPr>
                <w:sz w:val="20"/>
                <w:szCs w:val="20"/>
                <w:color w:val="auto"/>
              </w:rPr>
            </w:pPr>
            <w:r>
              <w:rPr>
                <w:rFonts w:ascii="Arial" w:cs="Arial" w:eastAsia="Arial" w:hAnsi="Arial"/>
                <w:sz w:val="9"/>
                <w:szCs w:val="9"/>
                <w:color w:val="auto"/>
              </w:rPr>
              <w:t>(41,741)</w:t>
            </w:r>
          </w:p>
        </w:tc>
        <w:tc>
          <w:tcPr>
            <w:tcW w:w="40" w:type="dxa"/>
            <w:vAlign w:val="bottom"/>
          </w:tcPr>
          <w:p>
            <w:pPr>
              <w:spacing w:after="0"/>
              <w:rPr>
                <w:sz w:val="8"/>
                <w:szCs w:val="8"/>
                <w:color w:val="auto"/>
              </w:rPr>
            </w:pPr>
          </w:p>
        </w:tc>
        <w:tc>
          <w:tcPr>
            <w:tcW w:w="820" w:type="dxa"/>
            <w:vAlign w:val="bottom"/>
            <w:gridSpan w:val="4"/>
          </w:tcPr>
          <w:p>
            <w:pPr>
              <w:jc w:val="right"/>
              <w:ind w:right="200"/>
              <w:spacing w:after="0" w:line="98" w:lineRule="exact"/>
              <w:rPr>
                <w:sz w:val="20"/>
                <w:szCs w:val="20"/>
                <w:color w:val="auto"/>
              </w:rPr>
            </w:pPr>
            <w:r>
              <w:rPr>
                <w:rFonts w:ascii="Arial" w:cs="Arial" w:eastAsia="Arial" w:hAnsi="Arial"/>
                <w:sz w:val="9"/>
                <w:szCs w:val="9"/>
                <w:color w:val="auto"/>
              </w:rPr>
              <w:t>(13,042)</w:t>
            </w:r>
          </w:p>
        </w:tc>
        <w:tc>
          <w:tcPr>
            <w:tcW w:w="760" w:type="dxa"/>
            <w:vAlign w:val="bottom"/>
            <w:gridSpan w:val="4"/>
          </w:tcPr>
          <w:p>
            <w:pPr>
              <w:jc w:val="right"/>
              <w:ind w:right="80"/>
              <w:spacing w:after="0" w:line="98" w:lineRule="exact"/>
              <w:rPr>
                <w:sz w:val="20"/>
                <w:szCs w:val="20"/>
                <w:color w:val="auto"/>
              </w:rPr>
            </w:pPr>
            <w:r>
              <w:rPr>
                <w:rFonts w:ascii="Arial" w:cs="Arial" w:eastAsia="Arial" w:hAnsi="Arial"/>
                <w:sz w:val="9"/>
                <w:szCs w:val="9"/>
                <w:color w:val="auto"/>
              </w:rPr>
              <w:t>(138)</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3"/>
          </w:tcPr>
          <w:p>
            <w:pPr>
              <w:jc w:val="right"/>
              <w:ind w:right="180"/>
              <w:spacing w:after="0" w:line="98" w:lineRule="exact"/>
              <w:rPr>
                <w:sz w:val="20"/>
                <w:szCs w:val="20"/>
                <w:color w:val="auto"/>
              </w:rPr>
            </w:pPr>
            <w:r>
              <w:rPr>
                <w:rFonts w:ascii="Arial" w:cs="Arial" w:eastAsia="Arial" w:hAnsi="Arial"/>
                <w:sz w:val="9"/>
                <w:szCs w:val="9"/>
                <w:color w:val="auto"/>
              </w:rPr>
              <w:t>(356)</w:t>
            </w:r>
          </w:p>
        </w:tc>
        <w:tc>
          <w:tcPr>
            <w:tcW w:w="60" w:type="dxa"/>
            <w:vAlign w:val="bottom"/>
          </w:tcPr>
          <w:p>
            <w:pPr>
              <w:spacing w:after="0"/>
              <w:rPr>
                <w:sz w:val="8"/>
                <w:szCs w:val="8"/>
                <w:color w:val="auto"/>
              </w:rPr>
            </w:pPr>
          </w:p>
        </w:tc>
        <w:tc>
          <w:tcPr>
            <w:tcW w:w="600" w:type="dxa"/>
            <w:vAlign w:val="bottom"/>
            <w:gridSpan w:val="3"/>
          </w:tcPr>
          <w:p>
            <w:pPr>
              <w:jc w:val="right"/>
              <w:spacing w:after="0" w:line="98" w:lineRule="exact"/>
              <w:rPr>
                <w:sz w:val="20"/>
                <w:szCs w:val="20"/>
                <w:color w:val="auto"/>
              </w:rPr>
            </w:pPr>
            <w:r>
              <w:rPr>
                <w:rFonts w:ascii="Arial" w:cs="Arial" w:eastAsia="Arial" w:hAnsi="Arial"/>
                <w:sz w:val="9"/>
                <w:szCs w:val="9"/>
                <w:color w:val="auto"/>
              </w:rPr>
              <w:t>190,082</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3"/>
          </w:tcPr>
          <w:p>
            <w:pPr>
              <w:jc w:val="right"/>
              <w:spacing w:after="0" w:line="98" w:lineRule="exact"/>
              <w:rPr>
                <w:sz w:val="20"/>
                <w:szCs w:val="20"/>
                <w:color w:val="auto"/>
              </w:rPr>
            </w:pPr>
            <w:r>
              <w:rPr>
                <w:rFonts w:ascii="Arial" w:cs="Arial" w:eastAsia="Arial" w:hAnsi="Arial"/>
                <w:sz w:val="9"/>
                <w:szCs w:val="9"/>
                <w:color w:val="auto"/>
              </w:rPr>
              <w:t>190,082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Net loss for the year ended December 31, 2017</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9"/>
                <w:szCs w:val="9"/>
                <w:color w:val="auto"/>
              </w:rPr>
              <w:t>(3,029)</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(3,029)</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(3,029)</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Cumulative effect adjustment adopting ASU 2016-09 (See Note 1)</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right"/>
              <w:spacing w:after="0"/>
              <w:rPr>
                <w:sz w:val="20"/>
                <w:szCs w:val="20"/>
                <w:color w:val="auto"/>
              </w:rPr>
            </w:pPr>
            <w:r>
              <w:rPr>
                <w:rFonts w:ascii="Arial" w:cs="Arial" w:eastAsia="Arial" w:hAnsi="Arial"/>
                <w:sz w:val="9"/>
                <w:szCs w:val="9"/>
                <w:color w:val="auto"/>
              </w:rPr>
              <w:t>177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9"/>
                <w:szCs w:val="9"/>
                <w:color w:val="auto"/>
              </w:rPr>
              <w:t>(111)</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right"/>
              <w:spacing w:after="0"/>
              <w:rPr>
                <w:sz w:val="20"/>
                <w:szCs w:val="20"/>
                <w:color w:val="auto"/>
              </w:rPr>
            </w:pPr>
            <w:r>
              <w:rPr>
                <w:rFonts w:ascii="Arial" w:cs="Arial" w:eastAsia="Arial" w:hAnsi="Arial"/>
                <w:sz w:val="9"/>
                <w:szCs w:val="9"/>
                <w:color w:val="auto"/>
              </w:rPr>
              <w:t>66</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66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Common stock dividends</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9"/>
                <w:szCs w:val="9"/>
                <w:color w:val="auto"/>
              </w:rPr>
              <w:t>(7,792)</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(7,792)</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(7,792)</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Exercise of stock options and dividend reinvestment issuances</w:t>
            </w:r>
          </w:p>
        </w:tc>
        <w:tc>
          <w:tcPr>
            <w:tcW w:w="640" w:type="dxa"/>
            <w:vAlign w:val="bottom"/>
            <w:gridSpan w:val="3"/>
          </w:tcPr>
          <w:p>
            <w:pPr>
              <w:jc w:val="right"/>
              <w:spacing w:after="0"/>
              <w:rPr>
                <w:sz w:val="20"/>
                <w:szCs w:val="20"/>
                <w:color w:val="auto"/>
              </w:rPr>
            </w:pPr>
            <w:r>
              <w:rPr>
                <w:rFonts w:ascii="Arial" w:cs="Arial" w:eastAsia="Arial" w:hAnsi="Arial"/>
                <w:sz w:val="9"/>
                <w:szCs w:val="9"/>
                <w:color w:val="auto"/>
              </w:rPr>
              <w:t>291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right"/>
              <w:spacing w:after="0"/>
              <w:rPr>
                <w:sz w:val="20"/>
                <w:szCs w:val="20"/>
                <w:color w:val="auto"/>
              </w:rPr>
            </w:pPr>
            <w:r>
              <w:rPr>
                <w:rFonts w:ascii="Arial" w:cs="Arial" w:eastAsia="Arial" w:hAnsi="Arial"/>
                <w:sz w:val="9"/>
                <w:szCs w:val="9"/>
                <w:color w:val="auto"/>
              </w:rPr>
              <w:t>1,292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right"/>
              <w:spacing w:after="0"/>
              <w:rPr>
                <w:sz w:val="20"/>
                <w:szCs w:val="20"/>
                <w:color w:val="auto"/>
              </w:rPr>
            </w:pPr>
            <w:r>
              <w:rPr>
                <w:rFonts w:ascii="Arial" w:cs="Arial" w:eastAsia="Arial" w:hAnsi="Arial"/>
                <w:sz w:val="9"/>
                <w:szCs w:val="9"/>
                <w:color w:val="auto"/>
              </w:rPr>
              <w:t>1,295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1,295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Restricted stock units issued</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92</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gridSpan w:val="4"/>
            <w:shd w:val="clear" w:color="auto" w:fill="CFF0FC"/>
          </w:tcPr>
          <w:p>
            <w:pPr>
              <w:jc w:val="right"/>
              <w:ind w:right="80"/>
              <w:spacing w:after="0"/>
              <w:rPr>
                <w:sz w:val="20"/>
                <w:szCs w:val="20"/>
                <w:color w:val="auto"/>
              </w:rPr>
            </w:pPr>
            <w:r>
              <w:rPr>
                <w:rFonts w:ascii="Arial" w:cs="Arial" w:eastAsia="Arial" w:hAnsi="Arial"/>
                <w:sz w:val="9"/>
                <w:szCs w:val="9"/>
                <w:color w:val="auto"/>
              </w:rPr>
              <w:t>(136)</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(135)</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(135)</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Share based compensation earned</w:t>
            </w:r>
          </w:p>
        </w:tc>
        <w:tc>
          <w:tcPr>
            <w:tcW w:w="640" w:type="dxa"/>
            <w:vAlign w:val="bottom"/>
            <w:gridSpan w:val="3"/>
          </w:tcPr>
          <w:p>
            <w:pPr>
              <w:jc w:val="right"/>
              <w:spacing w:after="0"/>
              <w:rPr>
                <w:sz w:val="20"/>
                <w:szCs w:val="20"/>
                <w:color w:val="auto"/>
              </w:rPr>
            </w:pPr>
            <w:r>
              <w:rPr>
                <w:rFonts w:ascii="Arial" w:cs="Arial" w:eastAsia="Arial" w:hAnsi="Arial"/>
                <w:sz w:val="9"/>
                <w:szCs w:val="9"/>
                <w:color w:val="auto"/>
              </w:rPr>
              <w:t>25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right"/>
              <w:spacing w:after="0"/>
              <w:rPr>
                <w:sz w:val="20"/>
                <w:szCs w:val="20"/>
                <w:color w:val="auto"/>
              </w:rPr>
            </w:pPr>
            <w:r>
              <w:rPr>
                <w:rFonts w:ascii="Arial" w:cs="Arial" w:eastAsia="Arial" w:hAnsi="Arial"/>
                <w:sz w:val="9"/>
                <w:szCs w:val="9"/>
                <w:color w:val="auto"/>
              </w:rPr>
              <w:t>1,959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right"/>
              <w:spacing w:after="0"/>
              <w:rPr>
                <w:sz w:val="20"/>
                <w:szCs w:val="20"/>
                <w:color w:val="auto"/>
              </w:rPr>
            </w:pPr>
            <w:r>
              <w:rPr>
                <w:rFonts w:ascii="Arial" w:cs="Arial" w:eastAsia="Arial" w:hAnsi="Arial"/>
                <w:sz w:val="9"/>
                <w:szCs w:val="9"/>
                <w:color w:val="auto"/>
              </w:rPr>
              <w:t>1,959</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1,959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Adjustment for minimum pension liability, net of tax of $48</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20" w:type="dxa"/>
            <w:vAlign w:val="bottom"/>
            <w:gridSpan w:val="4"/>
            <w:shd w:val="clear" w:color="auto" w:fill="CFF0FC"/>
          </w:tcPr>
          <w:p>
            <w:pPr>
              <w:jc w:val="right"/>
              <w:ind w:right="200"/>
              <w:spacing w:after="0"/>
              <w:rPr>
                <w:sz w:val="20"/>
                <w:szCs w:val="20"/>
                <w:color w:val="auto"/>
              </w:rPr>
            </w:pPr>
            <w:r>
              <w:rPr>
                <w:rFonts w:ascii="Arial" w:cs="Arial" w:eastAsia="Arial" w:hAnsi="Arial"/>
                <w:sz w:val="9"/>
                <w:szCs w:val="9"/>
                <w:color w:val="auto"/>
              </w:rPr>
              <w:t>(78)</w:t>
            </w: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(78)</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(78)</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Adjustment for interest rate swap net of tax of $103</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9"/>
                <w:szCs w:val="9"/>
                <w:color w:val="auto"/>
              </w:rPr>
              <w:t>180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right"/>
              <w:spacing w:after="0"/>
              <w:rPr>
                <w:sz w:val="20"/>
                <w:szCs w:val="20"/>
                <w:color w:val="auto"/>
              </w:rPr>
            </w:pPr>
            <w:r>
              <w:rPr>
                <w:rFonts w:ascii="Arial" w:cs="Arial" w:eastAsia="Arial" w:hAnsi="Arial"/>
                <w:sz w:val="9"/>
                <w:szCs w:val="9"/>
                <w:color w:val="auto"/>
              </w:rPr>
              <w:t>180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180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Translation income</w:t>
            </w:r>
          </w:p>
        </w:tc>
        <w:tc>
          <w:tcPr>
            <w:tcW w:w="200" w:type="dxa"/>
            <w:vAlign w:val="bottom"/>
            <w:tcBorders>
              <w:bottom w:val="single" w:sz="8" w:color="auto"/>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360" w:type="dxa"/>
            <w:vAlign w:val="bottom"/>
            <w:tcBorders>
              <w:bottom w:val="single" w:sz="8" w:color="auto"/>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9"/>
                <w:szCs w:val="9"/>
                <w:color w:val="auto"/>
              </w:rPr>
              <w:t>4,021</w:t>
            </w:r>
          </w:p>
        </w:tc>
        <w:tc>
          <w:tcPr>
            <w:tcW w:w="220" w:type="dxa"/>
            <w:vAlign w:val="bottom"/>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9"/>
                <w:szCs w:val="9"/>
                <w:color w:val="auto"/>
              </w:rPr>
              <w:t>4,021</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9"/>
                <w:szCs w:val="9"/>
                <w:color w:val="auto"/>
              </w:rPr>
              <w:t>4,021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December 31, 2017</w:t>
            </w:r>
          </w:p>
        </w:tc>
        <w:tc>
          <w:tcPr>
            <w:tcW w:w="640" w:type="dxa"/>
            <w:vAlign w:val="bottom"/>
            <w:gridSpan w:val="3"/>
          </w:tcPr>
          <w:p>
            <w:pPr>
              <w:jc w:val="right"/>
              <w:spacing w:after="0" w:line="98" w:lineRule="exact"/>
              <w:rPr>
                <w:sz w:val="20"/>
                <w:szCs w:val="20"/>
                <w:color w:val="auto"/>
              </w:rPr>
            </w:pPr>
            <w:r>
              <w:rPr>
                <w:rFonts w:ascii="Arial" w:cs="Arial" w:eastAsia="Arial" w:hAnsi="Arial"/>
                <w:sz w:val="9"/>
                <w:szCs w:val="9"/>
                <w:color w:val="auto"/>
              </w:rPr>
              <w:t>34,708</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jc w:val="right"/>
              <w:spacing w:after="0" w:line="98" w:lineRule="exact"/>
              <w:rPr>
                <w:sz w:val="20"/>
                <w:szCs w:val="20"/>
                <w:color w:val="auto"/>
              </w:rPr>
            </w:pPr>
            <w:r>
              <w:rPr>
                <w:rFonts w:ascii="Arial" w:cs="Arial" w:eastAsia="Arial" w:hAnsi="Arial"/>
                <w:sz w:val="9"/>
                <w:szCs w:val="9"/>
                <w:color w:val="auto"/>
                <w:w w:val="92"/>
              </w:rPr>
              <w:t>347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3"/>
          </w:tcPr>
          <w:p>
            <w:pPr>
              <w:jc w:val="right"/>
              <w:spacing w:after="0" w:line="98" w:lineRule="exact"/>
              <w:rPr>
                <w:sz w:val="20"/>
                <w:szCs w:val="20"/>
                <w:color w:val="auto"/>
              </w:rPr>
            </w:pPr>
            <w:r>
              <w:rPr>
                <w:rFonts w:ascii="Arial" w:cs="Arial" w:eastAsia="Arial" w:hAnsi="Arial"/>
                <w:sz w:val="9"/>
                <w:szCs w:val="9"/>
                <w:color w:val="auto"/>
              </w:rPr>
              <w:t>248,170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4"/>
          </w:tcPr>
          <w:p>
            <w:pPr>
              <w:jc w:val="right"/>
              <w:ind w:right="180"/>
              <w:spacing w:after="0" w:line="98" w:lineRule="exact"/>
              <w:rPr>
                <w:sz w:val="20"/>
                <w:szCs w:val="20"/>
                <w:color w:val="auto"/>
              </w:rPr>
            </w:pPr>
            <w:r>
              <w:rPr>
                <w:rFonts w:ascii="Arial" w:cs="Arial" w:eastAsia="Arial" w:hAnsi="Arial"/>
                <w:sz w:val="9"/>
                <w:szCs w:val="9"/>
                <w:color w:val="auto"/>
              </w:rPr>
              <w:t>(52,673)</w:t>
            </w:r>
          </w:p>
        </w:tc>
        <w:tc>
          <w:tcPr>
            <w:tcW w:w="40" w:type="dxa"/>
            <w:vAlign w:val="bottom"/>
          </w:tcPr>
          <w:p>
            <w:pPr>
              <w:spacing w:after="0"/>
              <w:rPr>
                <w:sz w:val="8"/>
                <w:szCs w:val="8"/>
                <w:color w:val="auto"/>
              </w:rPr>
            </w:pPr>
          </w:p>
        </w:tc>
        <w:tc>
          <w:tcPr>
            <w:tcW w:w="820" w:type="dxa"/>
            <w:vAlign w:val="bottom"/>
            <w:gridSpan w:val="4"/>
          </w:tcPr>
          <w:p>
            <w:pPr>
              <w:jc w:val="right"/>
              <w:ind w:right="200"/>
              <w:spacing w:after="0" w:line="98" w:lineRule="exact"/>
              <w:rPr>
                <w:sz w:val="20"/>
                <w:szCs w:val="20"/>
                <w:color w:val="auto"/>
              </w:rPr>
            </w:pPr>
            <w:r>
              <w:rPr>
                <w:rFonts w:ascii="Arial" w:cs="Arial" w:eastAsia="Arial" w:hAnsi="Arial"/>
                <w:sz w:val="9"/>
                <w:szCs w:val="9"/>
                <w:color w:val="auto"/>
              </w:rPr>
              <w:t>(8,919)</w:t>
            </w:r>
          </w:p>
        </w:tc>
        <w:tc>
          <w:tcPr>
            <w:tcW w:w="760" w:type="dxa"/>
            <w:vAlign w:val="bottom"/>
            <w:gridSpan w:val="4"/>
          </w:tcPr>
          <w:p>
            <w:pPr>
              <w:jc w:val="right"/>
              <w:ind w:right="80"/>
              <w:spacing w:after="0" w:line="98" w:lineRule="exact"/>
              <w:rPr>
                <w:sz w:val="20"/>
                <w:szCs w:val="20"/>
                <w:color w:val="auto"/>
              </w:rPr>
            </w:pPr>
            <w:r>
              <w:rPr>
                <w:rFonts w:ascii="Arial" w:cs="Arial" w:eastAsia="Arial" w:hAnsi="Arial"/>
                <w:sz w:val="9"/>
                <w:szCs w:val="9"/>
                <w:color w:val="auto"/>
              </w:rPr>
              <w:t>(138)</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3"/>
          </w:tcPr>
          <w:p>
            <w:pPr>
              <w:jc w:val="right"/>
              <w:ind w:right="180"/>
              <w:spacing w:after="0" w:line="98" w:lineRule="exact"/>
              <w:rPr>
                <w:sz w:val="20"/>
                <w:szCs w:val="20"/>
                <w:color w:val="auto"/>
              </w:rPr>
            </w:pPr>
            <w:r>
              <w:rPr>
                <w:rFonts w:ascii="Arial" w:cs="Arial" w:eastAsia="Arial" w:hAnsi="Arial"/>
                <w:sz w:val="9"/>
                <w:szCs w:val="9"/>
                <w:color w:val="auto"/>
              </w:rPr>
              <w:t>(356)</w:t>
            </w:r>
          </w:p>
        </w:tc>
        <w:tc>
          <w:tcPr>
            <w:tcW w:w="60" w:type="dxa"/>
            <w:vAlign w:val="bottom"/>
          </w:tcPr>
          <w:p>
            <w:pPr>
              <w:spacing w:after="0"/>
              <w:rPr>
                <w:sz w:val="8"/>
                <w:szCs w:val="8"/>
                <w:color w:val="auto"/>
              </w:rPr>
            </w:pPr>
          </w:p>
        </w:tc>
        <w:tc>
          <w:tcPr>
            <w:tcW w:w="60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186,569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186,569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Net loss for the year ended December 31, 2018</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9"/>
                <w:szCs w:val="9"/>
                <w:color w:val="auto"/>
              </w:rPr>
              <w:t>(7,121)</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(7,121)</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(7,121)</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Cumulative effect adjustment of adopting ASU 2018-02 (See Note 1)</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3"/>
          </w:tcPr>
          <w:p>
            <w:pPr>
              <w:jc w:val="right"/>
              <w:spacing w:after="0"/>
              <w:rPr>
                <w:sz w:val="20"/>
                <w:szCs w:val="20"/>
                <w:color w:val="auto"/>
              </w:rPr>
            </w:pPr>
            <w:r>
              <w:rPr>
                <w:rFonts w:ascii="Arial" w:cs="Arial" w:eastAsia="Arial" w:hAnsi="Arial"/>
                <w:sz w:val="9"/>
                <w:szCs w:val="9"/>
                <w:color w:val="auto"/>
              </w:rPr>
              <w:t>1,037</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9"/>
                <w:szCs w:val="9"/>
                <w:color w:val="auto"/>
              </w:rPr>
              <w:t>(1,067)</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9"/>
                <w:szCs w:val="9"/>
                <w:color w:val="auto"/>
              </w:rPr>
              <w:t>(30)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9"/>
                <w:szCs w:val="9"/>
                <w:color w:val="auto"/>
              </w:rPr>
              <w:t>(30)</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Cumulative effect adjustment of adopting ASU 2014-09 (See Note 1)</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9"/>
                <w:szCs w:val="9"/>
                <w:color w:val="auto"/>
              </w:rPr>
              <w:t>(622)</w:t>
            </w: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9"/>
                <w:szCs w:val="9"/>
                <w:color w:val="auto"/>
              </w:rPr>
              <w:t>(622)</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9"/>
                <w:szCs w:val="9"/>
                <w:color w:val="auto"/>
              </w:rPr>
              <w:t>(622)</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Cumulative translation adjustment for divestiture</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9"/>
                <w:szCs w:val="9"/>
                <w:color w:val="auto"/>
              </w:rPr>
              <w:t>375</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tcPr>
          <w:p>
            <w:pPr>
              <w:jc w:val="right"/>
              <w:spacing w:after="0"/>
              <w:rPr>
                <w:sz w:val="20"/>
                <w:szCs w:val="20"/>
                <w:color w:val="auto"/>
              </w:rPr>
            </w:pPr>
            <w:r>
              <w:rPr>
                <w:rFonts w:ascii="Arial" w:cs="Arial" w:eastAsia="Arial" w:hAnsi="Arial"/>
                <w:sz w:val="9"/>
                <w:szCs w:val="9"/>
                <w:color w:val="auto"/>
              </w:rPr>
              <w:t>375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right"/>
              <w:spacing w:after="0"/>
              <w:rPr>
                <w:sz w:val="20"/>
                <w:szCs w:val="20"/>
                <w:color w:val="auto"/>
              </w:rPr>
            </w:pPr>
            <w:r>
              <w:rPr>
                <w:rFonts w:ascii="Arial" w:cs="Arial" w:eastAsia="Arial" w:hAnsi="Arial"/>
                <w:sz w:val="9"/>
                <w:szCs w:val="9"/>
                <w:color w:val="auto"/>
              </w:rPr>
              <w:t>375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Exercise of stock options and dividend reinvestment issuances</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16</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89</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89</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89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Restricted stock units issued</w:t>
            </w:r>
          </w:p>
        </w:tc>
        <w:tc>
          <w:tcPr>
            <w:tcW w:w="640" w:type="dxa"/>
            <w:vAlign w:val="bottom"/>
            <w:gridSpan w:val="3"/>
          </w:tcPr>
          <w:p>
            <w:pPr>
              <w:jc w:val="right"/>
              <w:spacing w:after="0"/>
              <w:rPr>
                <w:sz w:val="20"/>
                <w:szCs w:val="20"/>
                <w:color w:val="auto"/>
              </w:rPr>
            </w:pPr>
            <w:r>
              <w:rPr>
                <w:rFonts w:ascii="Arial" w:cs="Arial" w:eastAsia="Arial" w:hAnsi="Arial"/>
                <w:sz w:val="9"/>
                <w:szCs w:val="9"/>
                <w:color w:val="auto"/>
              </w:rPr>
              <w:t>192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9"/>
                <w:szCs w:val="9"/>
                <w:color w:val="auto"/>
              </w:rPr>
              <w:t>(207)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9"/>
                <w:szCs w:val="9"/>
                <w:color w:val="auto"/>
              </w:rPr>
              <w:t>(48)</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9"/>
                <w:szCs w:val="9"/>
                <w:color w:val="auto"/>
              </w:rPr>
              <w:t>(253)</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9"/>
                <w:szCs w:val="9"/>
                <w:color w:val="auto"/>
              </w:rPr>
              <w:t>(253)</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Share based compensation earned</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38</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3,357</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3,357</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3,357</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Adjustment for minimum pension liability, net of tax of $17</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9"/>
                <w:szCs w:val="9"/>
                <w:color w:val="auto"/>
              </w:rPr>
              <w:t>(22)</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9"/>
                <w:szCs w:val="9"/>
                <w:color w:val="auto"/>
              </w:rPr>
              <w:t>(22)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spacing w:after="0"/>
              <w:rPr>
                <w:sz w:val="20"/>
                <w:szCs w:val="20"/>
                <w:color w:val="auto"/>
              </w:rPr>
            </w:pPr>
            <w:r>
              <w:rPr>
                <w:rFonts w:ascii="Arial" w:cs="Arial" w:eastAsia="Arial" w:hAnsi="Arial"/>
                <w:sz w:val="9"/>
                <w:szCs w:val="9"/>
                <w:color w:val="auto"/>
              </w:rPr>
              <w:t>Adjustment for interest rate swap, net of tax of $111</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9"/>
                <w:szCs w:val="9"/>
                <w:color w:val="auto"/>
              </w:rPr>
              <w:t>76</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76</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9"/>
                <w:szCs w:val="9"/>
                <w:color w:val="auto"/>
              </w:rPr>
              <w:t>76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20"/>
                <w:szCs w:val="20"/>
                <w:color w:val="auto"/>
              </w:rPr>
            </w:pPr>
            <w:r>
              <w:rPr>
                <w:rFonts w:ascii="Arial" w:cs="Arial" w:eastAsia="Arial" w:hAnsi="Arial"/>
                <w:sz w:val="9"/>
                <w:szCs w:val="9"/>
                <w:color w:val="auto"/>
              </w:rPr>
              <w:t>Translation loss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9"/>
                <w:szCs w:val="9"/>
                <w:color w:val="auto"/>
              </w:rPr>
              <w:t>(3,858)</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9"/>
                <w:szCs w:val="9"/>
                <w:color w:val="auto"/>
              </w:rPr>
              <w:t>(3,858)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9"/>
                <w:szCs w:val="9"/>
                <w:color w:val="auto"/>
              </w:rPr>
              <w:t>(3,858)</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FF0FC"/>
          </w:tcPr>
          <w:p>
            <w:pPr>
              <w:spacing w:after="0"/>
              <w:rPr>
                <w:sz w:val="20"/>
                <w:szCs w:val="20"/>
                <w:color w:val="auto"/>
              </w:rPr>
            </w:pPr>
            <w:r>
              <w:rPr>
                <w:rFonts w:ascii="Arial" w:cs="Arial" w:eastAsia="Arial" w:hAnsi="Arial"/>
                <w:sz w:val="9"/>
                <w:szCs w:val="9"/>
                <w:color w:val="auto"/>
              </w:rPr>
              <w:t>Balance December 31, 2018</w:t>
            </w: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860" w:type="dxa"/>
            <w:vAlign w:val="bottom"/>
            <w:vMerge w:val="continue"/>
            <w:shd w:val="clear" w:color="auto" w:fill="CFF0FC"/>
          </w:tcPr>
          <w:p>
            <w:pPr>
              <w:spacing w:after="0"/>
              <w:rPr>
                <w:sz w:val="8"/>
                <w:szCs w:val="8"/>
                <w:color w:val="auto"/>
              </w:rPr>
            </w:pPr>
          </w:p>
        </w:tc>
        <w:tc>
          <w:tcPr>
            <w:tcW w:w="640" w:type="dxa"/>
            <w:vAlign w:val="bottom"/>
            <w:gridSpan w:val="3"/>
            <w:shd w:val="clear" w:color="auto" w:fill="CFF0FC"/>
          </w:tcPr>
          <w:p>
            <w:pPr>
              <w:jc w:val="right"/>
              <w:spacing w:after="0" w:line="98" w:lineRule="exact"/>
              <w:rPr>
                <w:sz w:val="20"/>
                <w:szCs w:val="20"/>
                <w:color w:val="auto"/>
              </w:rPr>
            </w:pPr>
            <w:r>
              <w:rPr>
                <w:rFonts w:ascii="Arial" w:cs="Arial" w:eastAsia="Arial" w:hAnsi="Arial"/>
                <w:sz w:val="9"/>
                <w:szCs w:val="9"/>
                <w:color w:val="auto"/>
              </w:rPr>
              <w:t>34,954</w:t>
            </w: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jc w:val="right"/>
              <w:ind w:right="97"/>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FF0FC"/>
          </w:tcPr>
          <w:p>
            <w:pPr>
              <w:spacing w:after="0"/>
              <w:rPr>
                <w:sz w:val="8"/>
                <w:szCs w:val="8"/>
                <w:color w:val="auto"/>
              </w:rPr>
            </w:pPr>
          </w:p>
        </w:tc>
        <w:tc>
          <w:tcPr>
            <w:tcW w:w="160" w:type="dxa"/>
            <w:vAlign w:val="bottom"/>
            <w:shd w:val="clear" w:color="auto" w:fill="CFF0FC"/>
          </w:tcPr>
          <w:p>
            <w:pPr>
              <w:jc w:val="right"/>
              <w:spacing w:after="0" w:line="98" w:lineRule="exact"/>
              <w:rPr>
                <w:sz w:val="20"/>
                <w:szCs w:val="20"/>
                <w:color w:val="auto"/>
              </w:rPr>
            </w:pPr>
            <w:r>
              <w:rPr>
                <w:rFonts w:ascii="Arial" w:cs="Arial" w:eastAsia="Arial" w:hAnsi="Arial"/>
                <w:sz w:val="9"/>
                <w:szCs w:val="9"/>
                <w:color w:val="auto"/>
                <w:w w:val="92"/>
              </w:rPr>
              <w:t>349</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3"/>
            <w:shd w:val="clear" w:color="auto" w:fill="CFF0FC"/>
          </w:tcPr>
          <w:p>
            <w:pPr>
              <w:jc w:val="right"/>
              <w:spacing w:after="0" w:line="98" w:lineRule="exact"/>
              <w:rPr>
                <w:sz w:val="20"/>
                <w:szCs w:val="20"/>
                <w:color w:val="auto"/>
              </w:rPr>
            </w:pPr>
            <w:r>
              <w:rPr>
                <w:rFonts w:ascii="Arial" w:cs="Arial" w:eastAsia="Arial" w:hAnsi="Arial"/>
                <w:sz w:val="9"/>
                <w:szCs w:val="9"/>
                <w:color w:val="auto"/>
              </w:rPr>
              <w:t>251,409</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gridSpan w:val="4"/>
            <w:shd w:val="clear" w:color="auto" w:fill="CFF0FC"/>
          </w:tcPr>
          <w:p>
            <w:pPr>
              <w:jc w:val="right"/>
              <w:ind w:right="180"/>
              <w:spacing w:after="0" w:line="98" w:lineRule="exact"/>
              <w:rPr>
                <w:sz w:val="20"/>
                <w:szCs w:val="20"/>
                <w:color w:val="auto"/>
              </w:rPr>
            </w:pPr>
            <w:r>
              <w:rPr>
                <w:rFonts w:ascii="Arial" w:cs="Arial" w:eastAsia="Arial" w:hAnsi="Arial"/>
                <w:sz w:val="9"/>
                <w:szCs w:val="9"/>
                <w:color w:val="auto"/>
              </w:rPr>
              <w:t>(59,427)</w:t>
            </w: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4"/>
            <w:shd w:val="clear" w:color="auto" w:fill="CFF0FC"/>
          </w:tcPr>
          <w:p>
            <w:pPr>
              <w:jc w:val="right"/>
              <w:ind w:right="200"/>
              <w:spacing w:after="0" w:line="98" w:lineRule="exact"/>
              <w:rPr>
                <w:sz w:val="20"/>
                <w:szCs w:val="20"/>
                <w:color w:val="auto"/>
              </w:rPr>
            </w:pPr>
            <w:r>
              <w:rPr>
                <w:rFonts w:ascii="Arial" w:cs="Arial" w:eastAsia="Arial" w:hAnsi="Arial"/>
                <w:sz w:val="9"/>
                <w:szCs w:val="9"/>
                <w:color w:val="auto"/>
              </w:rPr>
              <w:t>(13,415)</w:t>
            </w:r>
          </w:p>
        </w:tc>
        <w:tc>
          <w:tcPr>
            <w:tcW w:w="760" w:type="dxa"/>
            <w:vAlign w:val="bottom"/>
            <w:gridSpan w:val="4"/>
            <w:shd w:val="clear" w:color="auto" w:fill="CFF0FC"/>
          </w:tcPr>
          <w:p>
            <w:pPr>
              <w:jc w:val="right"/>
              <w:ind w:right="80"/>
              <w:spacing w:after="0" w:line="98" w:lineRule="exact"/>
              <w:rPr>
                <w:sz w:val="20"/>
                <w:szCs w:val="20"/>
                <w:color w:val="auto"/>
              </w:rPr>
            </w:pPr>
            <w:r>
              <w:rPr>
                <w:rFonts w:ascii="Arial" w:cs="Arial" w:eastAsia="Arial" w:hAnsi="Arial"/>
                <w:sz w:val="9"/>
                <w:szCs w:val="9"/>
                <w:color w:val="auto"/>
              </w:rPr>
              <w:t>(138)</w:t>
            </w:r>
          </w:p>
        </w:tc>
        <w:tc>
          <w:tcPr>
            <w:tcW w:w="260" w:type="dxa"/>
            <w:vAlign w:val="bottom"/>
            <w:gridSpan w:val="2"/>
            <w:shd w:val="clear" w:color="auto" w:fill="CFF0FC"/>
          </w:tcPr>
          <w:p>
            <w:pPr>
              <w:jc w:val="right"/>
              <w:ind w:right="12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3"/>
            <w:shd w:val="clear" w:color="auto" w:fill="CFF0FC"/>
          </w:tcPr>
          <w:p>
            <w:pPr>
              <w:jc w:val="right"/>
              <w:ind w:right="180"/>
              <w:spacing w:after="0" w:line="98" w:lineRule="exact"/>
              <w:rPr>
                <w:sz w:val="20"/>
                <w:szCs w:val="20"/>
                <w:color w:val="auto"/>
              </w:rPr>
            </w:pPr>
            <w:r>
              <w:rPr>
                <w:rFonts w:ascii="Arial" w:cs="Arial" w:eastAsia="Arial" w:hAnsi="Arial"/>
                <w:sz w:val="9"/>
                <w:szCs w:val="9"/>
                <w:color w:val="auto"/>
              </w:rPr>
              <w:t>(356)</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3"/>
            <w:shd w:val="clear" w:color="auto" w:fill="CFF0FC"/>
          </w:tcPr>
          <w:p>
            <w:pPr>
              <w:jc w:val="right"/>
              <w:spacing w:after="0" w:line="98" w:lineRule="exact"/>
              <w:rPr>
                <w:sz w:val="20"/>
                <w:szCs w:val="20"/>
                <w:color w:val="auto"/>
              </w:rPr>
            </w:pPr>
            <w:r>
              <w:rPr>
                <w:rFonts w:ascii="Arial" w:cs="Arial" w:eastAsia="Arial" w:hAnsi="Arial"/>
                <w:sz w:val="9"/>
                <w:szCs w:val="9"/>
                <w:color w:val="auto"/>
              </w:rPr>
              <w:t>178,560</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3"/>
            <w:shd w:val="clear" w:color="auto" w:fill="CFF0FC"/>
          </w:tcPr>
          <w:p>
            <w:pPr>
              <w:jc w:val="right"/>
              <w:spacing w:after="0" w:line="98" w:lineRule="exact"/>
              <w:rPr>
                <w:sz w:val="20"/>
                <w:szCs w:val="20"/>
                <w:color w:val="auto"/>
              </w:rPr>
            </w:pPr>
            <w:r>
              <w:rPr>
                <w:rFonts w:ascii="Arial" w:cs="Arial" w:eastAsia="Arial" w:hAnsi="Arial"/>
                <w:sz w:val="9"/>
                <w:szCs w:val="9"/>
                <w:color w:val="auto"/>
              </w:rPr>
              <w:t>178,560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8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ACCUMULATED OTHER COMPREHENSIVE LOSS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6"/>
              </w:rPr>
              <w:t>Minimum pension</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Translation</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jc w:val="right"/>
              <w:ind w:right="71"/>
              <w:spacing w:after="0" w:line="99" w:lineRule="exact"/>
              <w:rPr>
                <w:sz w:val="20"/>
                <w:szCs w:val="20"/>
                <w:color w:val="auto"/>
              </w:rPr>
            </w:pPr>
            <w:r>
              <w:rPr>
                <w:rFonts w:ascii="Arial" w:cs="Arial" w:eastAsia="Arial" w:hAnsi="Arial"/>
                <w:sz w:val="10"/>
                <w:szCs w:val="10"/>
                <w:b w:val="1"/>
                <w:bCs w:val="1"/>
                <w:color w:val="auto"/>
              </w:rPr>
              <w:t>Interest rate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2"/>
              </w:rPr>
              <w:t>liability</w:t>
            </w:r>
          </w:p>
        </w:tc>
        <w:tc>
          <w:tcPr>
            <w:tcW w:w="140" w:type="dxa"/>
            <w:vAlign w:val="bottom"/>
          </w:tcPr>
          <w:p>
            <w:pPr>
              <w:spacing w:after="0"/>
              <w:rPr>
                <w:sz w:val="8"/>
                <w:szCs w:val="8"/>
                <w:color w:val="auto"/>
              </w:rPr>
            </w:pPr>
          </w:p>
        </w:tc>
        <w:tc>
          <w:tcPr>
            <w:tcW w:w="116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90"/>
              </w:rPr>
              <w:t>Accumulated other</w:t>
            </w:r>
          </w:p>
        </w:tc>
        <w:tc>
          <w:tcPr>
            <w:tcW w:w="0" w:type="dxa"/>
            <w:vAlign w:val="bottom"/>
          </w:tcPr>
          <w:p>
            <w:pPr>
              <w:spacing w:after="0"/>
              <w:rPr>
                <w:sz w:val="1"/>
                <w:szCs w:val="1"/>
                <w:color w:val="auto"/>
              </w:rPr>
            </w:pPr>
          </w:p>
        </w:tc>
      </w:tr>
      <w:tr>
        <w:trPr>
          <w:trHeight w:val="114"/>
        </w:trPr>
        <w:tc>
          <w:tcPr>
            <w:tcW w:w="458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b w:val="1"/>
                <w:bCs w:val="1"/>
                <w:color w:val="auto"/>
              </w:rPr>
              <w:t>($ in thousands)</w:t>
            </w:r>
          </w:p>
        </w:tc>
        <w:tc>
          <w:tcPr>
            <w:tcW w:w="138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jc w:val="right"/>
              <w:ind w:right="132"/>
              <w:spacing w:after="0" w:line="114" w:lineRule="exact"/>
              <w:rPr>
                <w:sz w:val="20"/>
                <w:szCs w:val="20"/>
                <w:color w:val="auto"/>
              </w:rPr>
            </w:pPr>
            <w:r>
              <w:rPr>
                <w:rFonts w:ascii="Arial" w:cs="Arial" w:eastAsia="Arial" w:hAnsi="Arial"/>
                <w:sz w:val="10"/>
                <w:szCs w:val="10"/>
                <w:b w:val="1"/>
                <w:bCs w:val="1"/>
                <w:color w:val="auto"/>
              </w:rPr>
              <w:t>loss</w:t>
            </w: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swap adjustment</w:t>
            </w: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ind w:right="83"/>
              <w:spacing w:after="0" w:line="114" w:lineRule="exact"/>
              <w:rPr>
                <w:sz w:val="20"/>
                <w:szCs w:val="20"/>
                <w:color w:val="auto"/>
              </w:rPr>
            </w:pPr>
            <w:r>
              <w:rPr>
                <w:rFonts w:ascii="Arial" w:cs="Arial" w:eastAsia="Arial" w:hAnsi="Arial"/>
                <w:sz w:val="10"/>
                <w:szCs w:val="10"/>
                <w:b w:val="1"/>
                <w:bCs w:val="1"/>
                <w:color w:val="auto"/>
                <w:w w:val="86"/>
              </w:rPr>
              <w:t>adjustment</w:t>
            </w:r>
          </w:p>
        </w:tc>
        <w:tc>
          <w:tcPr>
            <w:tcW w:w="24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142"/>
              <w:spacing w:after="0" w:line="114" w:lineRule="exact"/>
              <w:rPr>
                <w:sz w:val="20"/>
                <w:szCs w:val="20"/>
                <w:color w:val="auto"/>
              </w:rPr>
            </w:pPr>
            <w:r>
              <w:rPr>
                <w:rFonts w:ascii="Arial" w:cs="Arial" w:eastAsia="Arial" w:hAnsi="Arial"/>
                <w:sz w:val="10"/>
                <w:szCs w:val="10"/>
                <w:b w:val="1"/>
                <w:bCs w:val="1"/>
                <w:color w:val="auto"/>
                <w:w w:val="85"/>
              </w:rPr>
              <w:t>comprehensive loss</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spacing w:after="0"/>
              <w:rPr>
                <w:sz w:val="20"/>
                <w:szCs w:val="20"/>
                <w:color w:val="auto"/>
              </w:rPr>
            </w:pPr>
            <w:r>
              <w:rPr>
                <w:rFonts w:ascii="Arial" w:cs="Arial" w:eastAsia="Arial" w:hAnsi="Arial"/>
                <w:sz w:val="12"/>
                <w:szCs w:val="12"/>
                <w:color w:val="auto"/>
              </w:rPr>
              <w:t>January 1, 2016</w:t>
            </w:r>
          </w:p>
        </w:tc>
        <w:tc>
          <w:tcPr>
            <w:tcW w:w="2200" w:type="dxa"/>
            <w:vAlign w:val="bottom"/>
            <w:gridSpan w:val="2"/>
            <w:shd w:val="clear" w:color="auto" w:fill="CFF0FC"/>
          </w:tcPr>
          <w:p>
            <w:pPr>
              <w:jc w:val="right"/>
              <w:ind w:right="71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4"/>
              </w:rPr>
              <w:t>(4,407)</w:t>
            </w:r>
          </w:p>
        </w:tc>
        <w:tc>
          <w:tcPr>
            <w:tcW w:w="960" w:type="dxa"/>
            <w:vAlign w:val="bottom"/>
            <w:shd w:val="clear" w:color="auto" w:fill="CFF0FC"/>
          </w:tcPr>
          <w:p>
            <w:pPr>
              <w:jc w:val="right"/>
              <w:ind w:right="851"/>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(5,170)</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(9,577)</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2016 activity</w:t>
            </w: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4"/>
              </w:rPr>
              <w:t>(3,864)</w:t>
            </w:r>
          </w:p>
        </w:tc>
        <w:tc>
          <w:tcPr>
            <w:tcW w:w="9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9"/>
              </w:rPr>
              <w:t>312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(3,465)</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December 31, 2016</w:t>
            </w:r>
          </w:p>
        </w:tc>
        <w:tc>
          <w:tcPr>
            <w:tcW w:w="13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80" w:type="dxa"/>
            <w:vAlign w:val="bottom"/>
            <w:vMerge w:val="continue"/>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4"/>
              </w:rPr>
              <w:t>(8,271)</w:t>
            </w: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312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(5,083)</w:t>
            </w:r>
          </w:p>
        </w:tc>
        <w:tc>
          <w:tcPr>
            <w:tcW w:w="1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(13,042)</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2017 activity</w:t>
            </w: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4,021</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9"/>
              </w:rPr>
              <w:t>180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(78)</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December 31, 2017</w:t>
            </w:r>
          </w:p>
        </w:tc>
        <w:tc>
          <w:tcPr>
            <w:tcW w:w="13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80" w:type="dxa"/>
            <w:vAlign w:val="bottom"/>
            <w:vMerge w:val="continue"/>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4"/>
              </w:rPr>
              <w:t>(4,250)</w:t>
            </w: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492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(5,161)</w:t>
            </w:r>
          </w:p>
        </w:tc>
        <w:tc>
          <w:tcPr>
            <w:tcW w:w="1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(8,919)</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Cumulative effect adjustment adopting ASU 2018-02 (See Note 1)</w:t>
            </w: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(1,062)</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(1,067)</w:t>
            </w: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spacing w:after="0"/>
              <w:rPr>
                <w:sz w:val="20"/>
                <w:szCs w:val="20"/>
                <w:color w:val="auto"/>
              </w:rPr>
            </w:pPr>
            <w:r>
              <w:rPr>
                <w:rFonts w:ascii="Arial" w:cs="Arial" w:eastAsia="Arial" w:hAnsi="Arial"/>
                <w:sz w:val="12"/>
                <w:szCs w:val="12"/>
                <w:color w:val="auto"/>
              </w:rPr>
              <w:t>Cumulative translation adjustment for divestiture</w:t>
            </w:r>
          </w:p>
        </w:tc>
        <w:tc>
          <w:tcPr>
            <w:tcW w:w="1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w:t>
            </w: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2018 activity</w:t>
            </w: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4"/>
              </w:rPr>
              <w:t>(3,858)</w:t>
            </w:r>
          </w:p>
        </w:tc>
        <w:tc>
          <w:tcPr>
            <w:tcW w:w="9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76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(3,804)</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December 31, 2018</w:t>
            </w:r>
          </w:p>
        </w:tc>
        <w:tc>
          <w:tcPr>
            <w:tcW w:w="13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80" w:type="dxa"/>
            <w:vAlign w:val="bottom"/>
            <w:vMerge w:val="continue"/>
            <w:shd w:val="clear" w:color="auto" w:fill="CFF0FC"/>
          </w:tcPr>
          <w:p>
            <w:pPr>
              <w:spacing w:after="0"/>
              <w:rPr>
                <w:sz w:val="12"/>
                <w:szCs w:val="12"/>
                <w:color w:val="auto"/>
              </w:rPr>
            </w:pPr>
          </w:p>
        </w:tc>
        <w:tc>
          <w:tcPr>
            <w:tcW w:w="2200" w:type="dxa"/>
            <w:vAlign w:val="bottom"/>
            <w:gridSpan w:val="2"/>
            <w:shd w:val="clear" w:color="auto" w:fill="CFF0FC"/>
          </w:tcPr>
          <w:p>
            <w:pPr>
              <w:jc w:val="right"/>
              <w:ind w:right="71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4"/>
              </w:rPr>
              <w:t>(7,733)</w:t>
            </w:r>
          </w:p>
        </w:tc>
        <w:tc>
          <w:tcPr>
            <w:tcW w:w="960" w:type="dxa"/>
            <w:vAlign w:val="bottom"/>
            <w:shd w:val="clear" w:color="auto" w:fill="CFF0FC"/>
          </w:tcPr>
          <w:p>
            <w:pPr>
              <w:jc w:val="right"/>
              <w:ind w:right="851"/>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563</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(6,245)</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(13,415)</w:t>
            </w:r>
          </w:p>
        </w:tc>
        <w:tc>
          <w:tcPr>
            <w:tcW w:w="0" w:type="dxa"/>
            <w:vAlign w:val="bottom"/>
          </w:tcPr>
          <w:p>
            <w:pPr>
              <w:spacing w:after="0"/>
              <w:rPr>
                <w:sz w:val="1"/>
                <w:szCs w:val="1"/>
                <w:color w:val="auto"/>
              </w:rPr>
            </w:pPr>
          </w:p>
        </w:tc>
      </w:tr>
      <w:tr>
        <w:trPr>
          <w:trHeight w:val="27"/>
        </w:trPr>
        <w:tc>
          <w:tcPr>
            <w:tcW w:w="458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68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9"/>
                <w:szCs w:val="9"/>
                <w:b w:val="1"/>
                <w:bCs w:val="1"/>
                <w:color w:val="auto"/>
                <w:w w:val="94"/>
              </w:rPr>
              <w:t>Year Ended December 31,</w:t>
            </w: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840" w:type="dxa"/>
            <w:vAlign w:val="bottom"/>
            <w:tcBorders>
              <w:bottom w:val="single" w:sz="8" w:color="CFF0FC"/>
            </w:tcBorders>
          </w:tcPr>
          <w:p>
            <w:pPr>
              <w:spacing w:after="0" w:line="98" w:lineRule="exact"/>
              <w:rPr>
                <w:sz w:val="20"/>
                <w:szCs w:val="20"/>
                <w:color w:val="auto"/>
              </w:rPr>
            </w:pPr>
            <w:r>
              <w:rPr>
                <w:rFonts w:ascii="Arial" w:cs="Arial" w:eastAsia="Arial" w:hAnsi="Arial"/>
                <w:sz w:val="9"/>
                <w:szCs w:val="9"/>
                <w:b w:val="1"/>
                <w:bCs w:val="1"/>
                <w:color w:val="auto"/>
              </w:rPr>
              <w:t>($ in thousands)</w:t>
            </w: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6"/>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526"/>
              <w:spacing w:after="0" w:line="97"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06"/>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840" w:type="dxa"/>
            <w:vAlign w:val="bottom"/>
            <w:shd w:val="clear" w:color="auto" w:fill="CFF0FC"/>
          </w:tcPr>
          <w:p>
            <w:pPr>
              <w:spacing w:after="0"/>
              <w:rPr>
                <w:sz w:val="20"/>
                <w:szCs w:val="20"/>
                <w:color w:val="auto"/>
              </w:rPr>
            </w:pPr>
            <w:r>
              <w:rPr>
                <w:rFonts w:ascii="Arial" w:cs="Arial" w:eastAsia="Arial" w:hAnsi="Arial"/>
                <w:sz w:val="11"/>
                <w:szCs w:val="11"/>
                <w:color w:val="auto"/>
              </w:rPr>
              <w:t>Cash flows from operating activities:</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Net loss</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(7,121)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(3,029)</w:t>
            </w:r>
          </w:p>
        </w:tc>
        <w:tc>
          <w:tcPr>
            <w:tcW w:w="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(38,254)</w:t>
            </w:r>
          </w:p>
        </w:tc>
        <w:tc>
          <w:tcPr>
            <w:tcW w:w="0" w:type="dxa"/>
            <w:vAlign w:val="bottom"/>
          </w:tcPr>
          <w:p>
            <w:pPr>
              <w:spacing w:after="0"/>
              <w:rPr>
                <w:sz w:val="1"/>
                <w:szCs w:val="1"/>
                <w:color w:val="auto"/>
              </w:rPr>
            </w:pPr>
          </w:p>
        </w:tc>
      </w:tr>
      <w:tr>
        <w:trPr>
          <w:trHeight w:val="141"/>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Adjustments to reconcile net loss to net cash provided by</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operating activities: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Depreciation and amortization</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13,272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16,088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18,903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Unrealized foreign currency loss (gain)</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836</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(2,103)</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Net (gain) loss on interest rate swaps</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(276)</w:t>
            </w:r>
          </w:p>
        </w:tc>
        <w:tc>
          <w:tcPr>
            <w:tcW w:w="10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(327)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Impairment of property and equipment</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Impairment of intangible assets and goodwill</w:t>
            </w:r>
          </w:p>
        </w:tc>
        <w:tc>
          <w:tcPr>
            <w:tcW w:w="32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7,168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57,923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Fair value adjustments to earnout liabilities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(330)</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(6,610)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Earnout payments</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(2,862)</w:t>
            </w:r>
          </w:p>
        </w:tc>
        <w:tc>
          <w:tcPr>
            <w:tcW w:w="10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(7,797)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Loss on sale of property and equipment</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(217)</w:t>
            </w: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Loss on divestitures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4,390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Amortization of debt discount</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1,143</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Share based compensation expense</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3,187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1,768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Bad debt expense</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3,895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Inventory reserve expense</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Excess tax benefit from stock options exercised</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Deferred income tax benefit</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(3,123)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(3,750)</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spacing w:after="0"/>
              <w:rPr>
                <w:sz w:val="20"/>
                <w:szCs w:val="20"/>
                <w:color w:val="auto"/>
              </w:rPr>
            </w:pPr>
            <w:r>
              <w:rPr>
                <w:rFonts w:ascii="Arial" w:cs="Arial" w:eastAsia="Arial" w:hAnsi="Arial"/>
                <w:sz w:val="11"/>
                <w:szCs w:val="11"/>
                <w:color w:val="auto"/>
              </w:rPr>
              <w:t>Changes in operating assets and liabilities, net of acquisitions and divestitures: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Accounts receivable</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(6,084)</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14,107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13,294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Cost and estimated earnings of billings on uncompleted contracts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(4,557)</w:t>
            </w: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6,232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Inventories</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(1,704)</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9,449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Prepaid expenses and other current assets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773</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3,530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(2,218)</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Deferred charges and other assets</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1,585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Accounts payable and accrued expenses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21,321</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(15,847)</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(6,593)</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Billings in excess of costs and estimated earnings on uncompleted contracts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(15,186)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7,440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Income taxes payable</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1,839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(1,827)</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Other liabilities</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(3,446)</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5,061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4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1"/>
                <w:szCs w:val="11"/>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21,952</w:t>
            </w:r>
          </w:p>
        </w:tc>
        <w:tc>
          <w:tcPr>
            <w:tcW w:w="2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6,570</w:t>
            </w: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69,599</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840" w:type="dxa"/>
            <w:vAlign w:val="bottom"/>
          </w:tcPr>
          <w:p>
            <w:pPr>
              <w:spacing w:after="0"/>
              <w:rPr>
                <w:sz w:val="20"/>
                <w:szCs w:val="20"/>
                <w:color w:val="auto"/>
              </w:rPr>
            </w:pPr>
            <w:r>
              <w:rPr>
                <w:rFonts w:ascii="Arial" w:cs="Arial" w:eastAsia="Arial" w:hAnsi="Arial"/>
                <w:sz w:val="11"/>
                <w:szCs w:val="11"/>
                <w:color w:val="auto"/>
              </w:rPr>
              <w:t>Cash flows from investing activities:</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Acquisitions of property and equipment</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(3,090)</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(1,028)</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(1,076)</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Net cash proceeds from divestitures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35,052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Payoff of loans on life insurance policies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(987)</w:t>
            </w:r>
          </w:p>
        </w:tc>
        <w:tc>
          <w:tcPr>
            <w:tcW w:w="0" w:type="dxa"/>
            <w:vAlign w:val="bottom"/>
          </w:tcPr>
          <w:p>
            <w:pPr>
              <w:spacing w:after="0"/>
              <w:rPr>
                <w:sz w:val="1"/>
                <w:szCs w:val="1"/>
                <w:color w:val="auto"/>
              </w:rPr>
            </w:pPr>
          </w:p>
        </w:tc>
      </w:tr>
      <w:tr>
        <w:trPr>
          <w:trHeight w:val="142"/>
        </w:trPr>
        <w:tc>
          <w:tcPr>
            <w:tcW w:w="684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Net proceeds from sale of assets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6,296</w:t>
            </w: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368</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Net cash provided by (used in) investing activities</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38,258</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(660)</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(1,406)</w:t>
            </w:r>
          </w:p>
        </w:tc>
        <w:tc>
          <w:tcPr>
            <w:tcW w:w="0" w:type="dxa"/>
            <w:vAlign w:val="bottom"/>
          </w:tcPr>
          <w:p>
            <w:pPr>
              <w:spacing w:after="0"/>
              <w:rPr>
                <w:sz w:val="1"/>
                <w:szCs w:val="1"/>
                <w:color w:val="auto"/>
              </w:rPr>
            </w:pPr>
          </w:p>
        </w:tc>
      </w:tr>
      <w:tr>
        <w:trPr>
          <w:trHeight w:val="131"/>
        </w:trPr>
        <w:tc>
          <w:tcPr>
            <w:tcW w:w="6840" w:type="dxa"/>
            <w:vAlign w:val="bottom"/>
          </w:tcPr>
          <w:p>
            <w:pPr>
              <w:spacing w:after="0"/>
              <w:rPr>
                <w:sz w:val="20"/>
                <w:szCs w:val="20"/>
                <w:color w:val="auto"/>
              </w:rPr>
            </w:pPr>
            <w:r>
              <w:rPr>
                <w:rFonts w:ascii="Arial" w:cs="Arial" w:eastAsia="Arial" w:hAnsi="Arial"/>
                <w:sz w:val="11"/>
                <w:szCs w:val="11"/>
                <w:color w:val="auto"/>
              </w:rPr>
              <w:t>Cash flows from financing activities:</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Net (repayments) borrowings on revolving credit lines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(3,723)</w:t>
            </w: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(13,407)</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Repayments of long-term debt</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(41,356)</w:t>
            </w:r>
          </w:p>
        </w:tc>
        <w:tc>
          <w:tcPr>
            <w:tcW w:w="10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(11,168)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(41,768)</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Deferred financing fees paid</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(692)</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Earnout payments</w:t>
            </w:r>
          </w:p>
        </w:tc>
        <w:tc>
          <w:tcPr>
            <w:tcW w:w="32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(7,396)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(9,270)</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Proceeds from sale-leaseback transactions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Payments on capital leases and sale-leaseback financing liability</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(675)</w:t>
            </w:r>
          </w:p>
        </w:tc>
        <w:tc>
          <w:tcPr>
            <w:tcW w:w="10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141"/>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Proceeds from employee stock purchase plan, exercise of stock options,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and dividend reinvestment plan</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Cash paid for repurchase of common shares</w:t>
            </w:r>
          </w:p>
        </w:tc>
        <w:tc>
          <w:tcPr>
            <w:tcW w:w="32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Excess tax benefit from stock options exercised</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Dividends paid to common shareholders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1"/>
                <w:szCs w:val="11"/>
                <w:color w:val="auto"/>
              </w:rPr>
              <w:t>(7,792)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(8,995)</w:t>
            </w:r>
          </w:p>
        </w:tc>
        <w:tc>
          <w:tcPr>
            <w:tcW w:w="0" w:type="dxa"/>
            <w:vAlign w:val="bottom"/>
          </w:tcPr>
          <w:p>
            <w:pPr>
              <w:spacing w:after="0"/>
              <w:rPr>
                <w:sz w:val="1"/>
                <w:szCs w:val="1"/>
                <w:color w:val="auto"/>
              </w:rPr>
            </w:pPr>
          </w:p>
        </w:tc>
      </w:tr>
      <w:tr>
        <w:trPr>
          <w:trHeight w:val="20"/>
        </w:trPr>
        <w:tc>
          <w:tcPr>
            <w:tcW w:w="6840" w:type="dxa"/>
            <w:vAlign w:val="bottom"/>
            <w:vMerge w:val="restart"/>
            <w:shd w:val="clear" w:color="auto" w:fill="CFF0FC"/>
          </w:tcPr>
          <w:p>
            <w:pPr>
              <w:ind w:left="320"/>
              <w:spacing w:after="0"/>
              <w:rPr>
                <w:sz w:val="20"/>
                <w:szCs w:val="20"/>
                <w:color w:val="auto"/>
              </w:rPr>
            </w:pPr>
            <w:r>
              <w:rPr>
                <w:rFonts w:ascii="Arial" w:cs="Arial" w:eastAsia="Arial" w:hAnsi="Arial"/>
                <w:sz w:val="11"/>
                <w:szCs w:val="11"/>
                <w:color w:val="auto"/>
              </w:rPr>
              <w:t>Net cash used in financing activities</w:t>
            </w: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840" w:type="dxa"/>
            <w:vAlign w:val="bottom"/>
            <w:vMerge w:val="continue"/>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(44,900)</w:t>
            </w:r>
          </w:p>
        </w:tc>
        <w:tc>
          <w:tcPr>
            <w:tcW w:w="10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(24,138)</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(57,988)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1"/>
                <w:szCs w:val="11"/>
                <w:color w:val="auto"/>
              </w:rPr>
              <w:t>Effect of exchange rate changes on cash and cash equivalents</w:t>
            </w: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8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(1,531)</w:t>
            </w:r>
          </w:p>
        </w:tc>
        <w:tc>
          <w:tcPr>
            <w:tcW w:w="1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881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(1,712)</w:t>
            </w:r>
          </w:p>
        </w:tc>
        <w:tc>
          <w:tcPr>
            <w:tcW w:w="0" w:type="dxa"/>
            <w:vAlign w:val="bottom"/>
          </w:tcPr>
          <w:p>
            <w:pPr>
              <w:spacing w:after="0"/>
              <w:rPr>
                <w:sz w:val="1"/>
                <w:szCs w:val="1"/>
                <w:color w:val="auto"/>
              </w:rPr>
            </w:pPr>
          </w:p>
        </w:tc>
      </w:tr>
      <w:tr>
        <w:trPr>
          <w:trHeight w:val="20"/>
        </w:trPr>
        <w:tc>
          <w:tcPr>
            <w:tcW w:w="68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840" w:type="dxa"/>
            <w:vAlign w:val="bottom"/>
            <w:vMerge w:val="continue"/>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13,779</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(17,347)</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8,493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Cash, cash equivalents and restricted cash at beginning of year</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30,659</w:t>
            </w: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48,006</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39,513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840" w:type="dxa"/>
            <w:vAlign w:val="bottom"/>
            <w:shd w:val="clear" w:color="auto" w:fill="CFF0FC"/>
          </w:tcPr>
          <w:p>
            <w:pPr>
              <w:spacing w:after="0"/>
              <w:rPr>
                <w:sz w:val="20"/>
                <w:szCs w:val="20"/>
                <w:color w:val="auto"/>
              </w:rPr>
            </w:pPr>
            <w:r>
              <w:rPr>
                <w:rFonts w:ascii="Arial" w:cs="Arial" w:eastAsia="Arial" w:hAnsi="Arial"/>
                <w:sz w:val="11"/>
                <w:szCs w:val="11"/>
                <w:color w:val="auto"/>
              </w:rPr>
              <w:t>Cash, cash equivalents and restricted cash at end of year</w:t>
            </w:r>
          </w:p>
        </w:tc>
        <w:tc>
          <w:tcPr>
            <w:tcW w:w="320" w:type="dxa"/>
            <w:vAlign w:val="bottom"/>
            <w:shd w:val="clear" w:color="auto" w:fill="CFF0FC"/>
          </w:tcPr>
          <w:p>
            <w:pPr>
              <w:jc w:val="right"/>
              <w:ind w:right="21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44,438</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30,659</w:t>
            </w: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48,006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4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SUPPLEMENTAL DISCLOSURES OF CASH FLOW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800" w:type="dxa"/>
            <w:vAlign w:val="bottom"/>
            <w:tcBorders>
              <w:bottom w:val="single" w:sz="8" w:color="CFF0FC"/>
            </w:tcBorders>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522"/>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523"/>
              <w:spacing w:after="0" w:line="97"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2"/>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Non-cash transactions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8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Property, plant and equipment acquired under capital leases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Noncontrolling interest acquired through an issuance of a note payable (See Note 16)</w:t>
            </w: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5,300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8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Earnout settled through an exchange of accounts receivable</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Accrual of share repurchase</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0" w:type="dxa"/>
            <w:vAlign w:val="bottom"/>
            <w:tcBorders>
              <w:top w:val="single" w:sz="8" w:color="CFF0FC"/>
              <w:bottom w:val="single" w:sz="8" w:color="CFF0FC"/>
            </w:tcBorders>
          </w:tcPr>
          <w:p>
            <w:pPr>
              <w:spacing w:after="0"/>
              <w:rPr>
                <w:sz w:val="20"/>
                <w:szCs w:val="20"/>
                <w:color w:val="auto"/>
              </w:rPr>
            </w:pPr>
            <w:r>
              <w:rPr>
                <w:rFonts w:ascii="Arial" w:cs="Arial" w:eastAsia="Arial" w:hAnsi="Arial"/>
                <w:sz w:val="12"/>
                <w:szCs w:val="12"/>
                <w:b w:val="1"/>
                <w:bCs w:val="1"/>
                <w:color w:val="auto"/>
              </w:rPr>
              <w:t>Cash paid during the year for:</w:t>
            </w: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CFF0FC"/>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Interest</w:t>
            </w: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5,559</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5,686</w:t>
            </w: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6,923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800" w:type="dxa"/>
            <w:vAlign w:val="bottom"/>
          </w:tcPr>
          <w:p>
            <w:pPr>
              <w:ind w:left="160"/>
              <w:spacing w:after="0"/>
              <w:rPr>
                <w:sz w:val="20"/>
                <w:szCs w:val="20"/>
                <w:color w:val="auto"/>
              </w:rPr>
            </w:pPr>
            <w:r>
              <w:rPr>
                <w:rFonts w:ascii="Arial" w:cs="Arial" w:eastAsia="Arial" w:hAnsi="Arial"/>
                <w:sz w:val="12"/>
                <w:szCs w:val="12"/>
                <w:color w:val="auto"/>
              </w:rPr>
              <w:t>Income taxes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10,205</w:t>
            </w:r>
          </w:p>
        </w:tc>
        <w:tc>
          <w:tcPr>
            <w:tcW w:w="2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3,048</w:t>
            </w:r>
          </w:p>
        </w:tc>
        <w:tc>
          <w:tcPr>
            <w:tcW w:w="260" w:type="dxa"/>
            <w:vAlign w:val="bottom"/>
          </w:tcPr>
          <w:p>
            <w:pPr>
              <w:spacing w:after="0"/>
              <w:rPr>
                <w:sz w:val="12"/>
                <w:szCs w:val="12"/>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8" w:name="page59"/>
    <w:bookmarkEnd w:id="58"/>
    <w:p>
      <w:pPr>
        <w:jc w:val="center"/>
        <w:ind w:right="-7"/>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For the Years Ended December 31, 2018, 2017 and 2016</w:t>
      </w:r>
    </w:p>
    <w:p>
      <w:pPr>
        <w:spacing w:after="0" w:line="168" w:lineRule="exact"/>
        <w:rPr>
          <w:sz w:val="20"/>
          <w:szCs w:val="20"/>
          <w:color w:val="auto"/>
        </w:rPr>
      </w:pPr>
    </w:p>
    <w:p>
      <w:pPr>
        <w:ind w:left="508" w:hanging="508"/>
        <w:spacing w:after="0"/>
        <w:tabs>
          <w:tab w:leader="none" w:pos="508"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Nature of Business and Summary of Significant Accounting Policies</w:t>
      </w:r>
    </w:p>
    <w:p>
      <w:pPr>
        <w:spacing w:after="0" w:line="82" w:lineRule="exact"/>
        <w:rPr>
          <w:sz w:val="20"/>
          <w:szCs w:val="20"/>
          <w:color w:val="auto"/>
        </w:rPr>
      </w:pPr>
    </w:p>
    <w:p>
      <w:pPr>
        <w:ind w:left="8" w:right="40" w:firstLine="521"/>
        <w:spacing w:after="0" w:line="290" w:lineRule="auto"/>
        <w:rPr>
          <w:sz w:val="20"/>
          <w:szCs w:val="20"/>
          <w:color w:val="auto"/>
        </w:rPr>
      </w:pPr>
      <w:r>
        <w:rPr>
          <w:rFonts w:ascii="Arial" w:cs="Arial" w:eastAsia="Arial" w:hAnsi="Arial"/>
          <w:sz w:val="11"/>
          <w:szCs w:val="11"/>
          <w:i w:val="1"/>
          <w:iCs w:val="1"/>
          <w:color w:val="auto"/>
        </w:rPr>
        <w:t>Nature of business</w:t>
      </w:r>
      <w:r>
        <w:rPr>
          <w:rFonts w:ascii="Arial" w:cs="Arial" w:eastAsia="Arial" w:hAnsi="Arial"/>
          <w:sz w:val="11"/>
          <w:szCs w:val="11"/>
          <w:color w:val="auto"/>
        </w:rPr>
        <w:t>— CECO Environmental Corp. and its consolidated subsidiaries (“CECO,” the “Company,” “we,” “us,” or “our”) is a global leader in industrial air quality and fluid handling serving the energy, industrial and</w:t>
      </w:r>
      <w:r>
        <w:rPr>
          <w:rFonts w:ascii="Arial" w:cs="Arial" w:eastAsia="Arial" w:hAnsi="Arial"/>
          <w:sz w:val="11"/>
          <w:szCs w:val="11"/>
          <w:i w:val="1"/>
          <w:iCs w:val="1"/>
          <w:color w:val="auto"/>
        </w:rPr>
        <w:t xml:space="preserve"> </w:t>
      </w:r>
      <w:r>
        <w:rPr>
          <w:rFonts w:ascii="Arial" w:cs="Arial" w:eastAsia="Arial" w:hAnsi="Arial"/>
          <w:sz w:val="11"/>
          <w:szCs w:val="11"/>
          <w:color w:val="auto"/>
        </w:rPr>
        <w:t>other niche markets through an attractive asset-light business model. CECO provides innovative technology and application expertise that helps companies grow their businesses with safe, clean, and more efficient solutions to help protect our shared environment. CECO serves both established and emerging industries in regions around the world working to improve air quality, optimize the energy value chain, and provide customized engineered solutions in multiple applications that include oil and gas, power generation, water and wastewater, battery production, poly silicon fabrication, chemical and petrochemical processing, along with a wide range of other industries.</w:t>
      </w:r>
    </w:p>
    <w:p>
      <w:pPr>
        <w:spacing w:after="0" w:line="109" w:lineRule="exact"/>
        <w:rPr>
          <w:sz w:val="20"/>
          <w:szCs w:val="20"/>
          <w:color w:val="auto"/>
        </w:rPr>
      </w:pPr>
    </w:p>
    <w:p>
      <w:pPr>
        <w:ind w:left="528"/>
        <w:spacing w:after="0"/>
        <w:rPr>
          <w:sz w:val="20"/>
          <w:szCs w:val="20"/>
          <w:color w:val="auto"/>
        </w:rPr>
      </w:pPr>
      <w:r>
        <w:rPr>
          <w:rFonts w:ascii="Arial" w:cs="Arial" w:eastAsia="Arial" w:hAnsi="Arial"/>
          <w:sz w:val="12"/>
          <w:szCs w:val="12"/>
          <w:i w:val="1"/>
          <w:iCs w:val="1"/>
          <w:color w:val="auto"/>
        </w:rPr>
        <w:t>Principles of consolidation</w:t>
      </w:r>
      <w:r>
        <w:rPr>
          <w:rFonts w:ascii="Arial" w:cs="Arial" w:eastAsia="Arial" w:hAnsi="Arial"/>
          <w:sz w:val="12"/>
          <w:szCs w:val="12"/>
          <w:color w:val="auto"/>
        </w:rPr>
        <w:t>—Our consolidated financial statements include the Company and its controlled subsidiaries. All intercompany balances and transactions have been eliminated.</w:t>
      </w:r>
    </w:p>
    <w:p>
      <w:pPr>
        <w:spacing w:after="0" w:line="15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Unless indicated, all balances within tables are in thousands except per share amounts.</w:t>
      </w:r>
    </w:p>
    <w:p>
      <w:pPr>
        <w:spacing w:after="0" w:line="150" w:lineRule="exact"/>
        <w:rPr>
          <w:sz w:val="20"/>
          <w:szCs w:val="20"/>
          <w:color w:val="auto"/>
        </w:rPr>
      </w:pPr>
    </w:p>
    <w:p>
      <w:pPr>
        <w:ind w:left="8" w:right="20" w:firstLine="521"/>
        <w:spacing w:after="0" w:line="263" w:lineRule="auto"/>
        <w:rPr>
          <w:sz w:val="20"/>
          <w:szCs w:val="20"/>
          <w:color w:val="auto"/>
        </w:rPr>
      </w:pPr>
      <w:r>
        <w:rPr>
          <w:rFonts w:ascii="Arial" w:cs="Arial" w:eastAsia="Arial" w:hAnsi="Arial"/>
          <w:sz w:val="12"/>
          <w:szCs w:val="12"/>
          <w:i w:val="1"/>
          <w:iCs w:val="1"/>
          <w:color w:val="auto"/>
        </w:rPr>
        <w:t>Use of estimates</w:t>
      </w:r>
      <w:r>
        <w:rPr>
          <w:rFonts w:ascii="Arial" w:cs="Arial" w:eastAsia="Arial" w:hAnsi="Arial"/>
          <w:sz w:val="12"/>
          <w:szCs w:val="12"/>
          <w:color w:val="auto"/>
        </w:rPr>
        <w:t>—The preparation of financial statements in conformity with accounting principles generally accepted in the United States of America (“GAAP”) requires management to make estimates and assumptions that</w:t>
      </w:r>
      <w:r>
        <w:rPr>
          <w:rFonts w:ascii="Arial" w:cs="Arial" w:eastAsia="Arial" w:hAnsi="Arial"/>
          <w:sz w:val="12"/>
          <w:szCs w:val="12"/>
          <w:i w:val="1"/>
          <w:iCs w:val="1"/>
          <w:color w:val="auto"/>
        </w:rPr>
        <w:t xml:space="preserve"> </w:t>
      </w:r>
      <w:r>
        <w:rPr>
          <w:rFonts w:ascii="Arial" w:cs="Arial" w:eastAsia="Arial" w:hAnsi="Arial"/>
          <w:sz w:val="12"/>
          <w:szCs w:val="12"/>
          <w:color w:val="auto"/>
        </w:rPr>
        <w:t>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3" w:lineRule="exact"/>
        <w:rPr>
          <w:sz w:val="20"/>
          <w:szCs w:val="20"/>
          <w:color w:val="auto"/>
        </w:rPr>
      </w:pPr>
    </w:p>
    <w:p>
      <w:pPr>
        <w:ind w:left="8" w:right="140" w:firstLine="521"/>
        <w:spacing w:after="0" w:line="276" w:lineRule="auto"/>
        <w:rPr>
          <w:sz w:val="20"/>
          <w:szCs w:val="20"/>
          <w:color w:val="auto"/>
        </w:rPr>
      </w:pPr>
      <w:r>
        <w:rPr>
          <w:rFonts w:ascii="Arial" w:cs="Arial" w:eastAsia="Arial" w:hAnsi="Arial"/>
          <w:sz w:val="12"/>
          <w:szCs w:val="12"/>
          <w:i w:val="1"/>
          <w:iCs w:val="1"/>
          <w:color w:val="auto"/>
        </w:rPr>
        <w:t>Cash equivalents</w:t>
      </w:r>
      <w:r>
        <w:rPr>
          <w:rFonts w:ascii="Arial" w:cs="Arial" w:eastAsia="Arial" w:hAnsi="Arial"/>
          <w:sz w:val="12"/>
          <w:szCs w:val="12"/>
          <w:color w:val="auto"/>
        </w:rPr>
        <w:t>—We consider all highly liquid investments with original maturities of three months or less to be cash equivalents. At December 31, 2018 and 2017, Restricted Cash is cash in support of letters of credit issued</w:t>
      </w:r>
      <w:r>
        <w:rPr>
          <w:rFonts w:ascii="Arial" w:cs="Arial" w:eastAsia="Arial" w:hAnsi="Arial"/>
          <w:sz w:val="12"/>
          <w:szCs w:val="12"/>
          <w:i w:val="1"/>
          <w:iCs w:val="1"/>
          <w:color w:val="auto"/>
        </w:rPr>
        <w:t xml:space="preserve"> </w:t>
      </w:r>
      <w:r>
        <w:rPr>
          <w:rFonts w:ascii="Arial" w:cs="Arial" w:eastAsia="Arial" w:hAnsi="Arial"/>
          <w:sz w:val="12"/>
          <w:szCs w:val="12"/>
          <w:color w:val="auto"/>
        </w:rPr>
        <w:t>by various foreign subsidiaries of the Company. The Company occasionally enters into letters of credit with durations in excess of one year.</w:t>
      </w:r>
    </w:p>
    <w:p>
      <w:pPr>
        <w:spacing w:after="0" w:line="115"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following table provides a reconciliation of cash, cash equivalents and restricted cash reported within the Consolidated Statements of Cash Flows.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7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0"/>
                <w:szCs w:val="10"/>
                <w:b w:val="1"/>
                <w:bCs w:val="1"/>
                <w:color w:val="auto"/>
              </w:rPr>
              <w:t>December 31,</w:t>
            </w: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40" w:type="dxa"/>
            <w:vAlign w:val="bottom"/>
            <w:vMerge w:val="restart"/>
          </w:tcPr>
          <w:p>
            <w:pPr>
              <w:ind w:left="160"/>
              <w:spacing w:after="0"/>
              <w:rPr>
                <w:sz w:val="20"/>
                <w:szCs w:val="20"/>
                <w:color w:val="auto"/>
              </w:rPr>
            </w:pPr>
            <w:r>
              <w:rPr>
                <w:rFonts w:ascii="Arial" w:cs="Arial" w:eastAsia="Arial" w:hAnsi="Arial"/>
                <w:sz w:val="12"/>
                <w:szCs w:val="12"/>
                <w:color w:val="auto"/>
              </w:rPr>
              <w:t>Cash and cash equivalents</w:t>
            </w:r>
          </w:p>
        </w:tc>
        <w:tc>
          <w:tcPr>
            <w:tcW w:w="2460" w:type="dxa"/>
            <w:vAlign w:val="bottom"/>
          </w:tcPr>
          <w:p>
            <w:pPr>
              <w:spacing w:after="0"/>
              <w:rPr>
                <w:sz w:val="13"/>
                <w:szCs w:val="13"/>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3440" w:type="dxa"/>
            <w:vAlign w:val="bottom"/>
            <w:gridSpan w:val="2"/>
          </w:tcPr>
          <w:p>
            <w:pPr>
              <w:jc w:val="right"/>
              <w:ind w:right="871"/>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43,676</w:t>
            </w:r>
          </w:p>
        </w:tc>
        <w:tc>
          <w:tcPr>
            <w:tcW w:w="260" w:type="dxa"/>
            <w:vAlign w:val="bottom"/>
          </w:tcPr>
          <w:p>
            <w:pPr>
              <w:spacing w:after="0"/>
              <w:rPr>
                <w:sz w:val="12"/>
                <w:szCs w:val="12"/>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29,902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cash</w:t>
            </w:r>
          </w:p>
        </w:tc>
        <w:tc>
          <w:tcPr>
            <w:tcW w:w="24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762</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Restricted cash included within deferred charges and other assets</w:t>
            </w:r>
          </w:p>
        </w:tc>
        <w:tc>
          <w:tcPr>
            <w:tcW w:w="24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Total cash, cash equivalents and restricted cash</w:t>
            </w:r>
          </w:p>
        </w:tc>
        <w:tc>
          <w:tcPr>
            <w:tcW w:w="24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44,438</w:t>
            </w:r>
          </w:p>
        </w:tc>
        <w:tc>
          <w:tcPr>
            <w:tcW w:w="26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30,659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right="60" w:firstLine="521"/>
        <w:spacing w:after="0" w:line="259" w:lineRule="auto"/>
        <w:rPr>
          <w:sz w:val="20"/>
          <w:szCs w:val="20"/>
          <w:color w:val="auto"/>
        </w:rPr>
      </w:pPr>
      <w:r>
        <w:rPr>
          <w:rFonts w:ascii="Arial" w:cs="Arial" w:eastAsia="Arial" w:hAnsi="Arial"/>
          <w:sz w:val="12"/>
          <w:szCs w:val="12"/>
          <w:i w:val="1"/>
          <w:iCs w:val="1"/>
          <w:color w:val="auto"/>
        </w:rPr>
        <w:t>Accounts Receivable</w:t>
      </w:r>
      <w:r>
        <w:rPr>
          <w:rFonts w:ascii="Arial" w:cs="Arial" w:eastAsia="Arial" w:hAnsi="Arial"/>
          <w:sz w:val="12"/>
          <w:szCs w:val="12"/>
          <w:color w:val="auto"/>
        </w:rPr>
        <w:t>—Receivables are generally uncollateralized customer obligations due under normal terms requiring payment generally within 30 days from the invoice date unless otherwise determined by specific contract</w:t>
      </w:r>
      <w:r>
        <w:rPr>
          <w:rFonts w:ascii="Arial" w:cs="Arial" w:eastAsia="Arial" w:hAnsi="Arial"/>
          <w:sz w:val="12"/>
          <w:szCs w:val="12"/>
          <w:i w:val="1"/>
          <w:iCs w:val="1"/>
          <w:color w:val="auto"/>
        </w:rPr>
        <w:t xml:space="preserve"> </w:t>
      </w:r>
      <w:r>
        <w:rPr>
          <w:rFonts w:ascii="Arial" w:cs="Arial" w:eastAsia="Arial" w:hAnsi="Arial"/>
          <w:sz w:val="12"/>
          <w:szCs w:val="12"/>
          <w:color w:val="auto"/>
        </w:rPr>
        <w:t>terms, generally due to retainage provisions. The Company’s estimate of the allowance for doubtful accounts for trade receivables is primarily determined based upon the length of time that the receivables are past due. In addition, management estimates are used to determine probable losses based upon an analysis of prior collection experience, specific account risks and economic conditions. Accounts are deemed uncollectible based on past account experience and the current financial condition of the account.</w:t>
      </w:r>
    </w:p>
    <w:p>
      <w:pPr>
        <w:spacing w:after="0" w:line="125" w:lineRule="exact"/>
        <w:rPr>
          <w:sz w:val="20"/>
          <w:szCs w:val="20"/>
          <w:color w:val="auto"/>
        </w:rPr>
      </w:pPr>
    </w:p>
    <w:p>
      <w:pPr>
        <w:ind w:left="8" w:right="60" w:firstLine="521"/>
        <w:spacing w:after="0" w:line="380" w:lineRule="auto"/>
        <w:rPr>
          <w:sz w:val="20"/>
          <w:szCs w:val="20"/>
          <w:color w:val="auto"/>
        </w:rPr>
      </w:pPr>
      <w:r>
        <w:rPr>
          <w:rFonts w:ascii="Arial" w:cs="Arial" w:eastAsia="Arial" w:hAnsi="Arial"/>
          <w:sz w:val="10"/>
          <w:szCs w:val="10"/>
          <w:i w:val="1"/>
          <w:iCs w:val="1"/>
          <w:color w:val="auto"/>
        </w:rPr>
        <w:t>Inventories</w:t>
      </w:r>
      <w:r>
        <w:rPr>
          <w:rFonts w:ascii="Arial" w:cs="Arial" w:eastAsia="Arial" w:hAnsi="Arial"/>
          <w:sz w:val="10"/>
          <w:szCs w:val="10"/>
          <w:color w:val="auto"/>
        </w:rPr>
        <w:t>—The Company’s inventory is valued at the lower of cost or net realizable value, using the first-in, first-out inventory costing method. Inventory quantities are regularly reviewed and provisions for excess or obsolete</w:t>
      </w:r>
      <w:r>
        <w:rPr>
          <w:rFonts w:ascii="Arial" w:cs="Arial" w:eastAsia="Arial" w:hAnsi="Arial"/>
          <w:sz w:val="10"/>
          <w:szCs w:val="10"/>
          <w:i w:val="1"/>
          <w:iCs w:val="1"/>
          <w:color w:val="auto"/>
        </w:rPr>
        <w:t xml:space="preserve"> </w:t>
      </w:r>
      <w:r>
        <w:rPr>
          <w:rFonts w:ascii="Arial" w:cs="Arial" w:eastAsia="Arial" w:hAnsi="Arial"/>
          <w:sz w:val="10"/>
          <w:szCs w:val="10"/>
          <w:color w:val="auto"/>
        </w:rPr>
        <w:t>inventory are recorded based on the Company’s forecast of future demand and market conditions. Significant unanticipated changes to the Company’s forecasts could require a change in the provision for excess or obsolete inventory.</w:t>
      </w:r>
    </w:p>
    <w:p>
      <w:pPr>
        <w:spacing w:after="0" w:line="68" w:lineRule="exact"/>
        <w:rPr>
          <w:sz w:val="20"/>
          <w:szCs w:val="20"/>
          <w:color w:val="auto"/>
        </w:rPr>
      </w:pPr>
    </w:p>
    <w:p>
      <w:pPr>
        <w:jc w:val="both"/>
        <w:ind w:left="8" w:right="80" w:firstLine="521"/>
        <w:spacing w:after="0" w:line="263" w:lineRule="auto"/>
        <w:rPr>
          <w:sz w:val="20"/>
          <w:szCs w:val="20"/>
          <w:color w:val="auto"/>
        </w:rPr>
      </w:pPr>
      <w:r>
        <w:rPr>
          <w:rFonts w:ascii="Arial" w:cs="Arial" w:eastAsia="Arial" w:hAnsi="Arial"/>
          <w:sz w:val="12"/>
          <w:szCs w:val="12"/>
          <w:i w:val="1"/>
          <w:iCs w:val="1"/>
          <w:color w:val="auto"/>
        </w:rPr>
        <w:t>Assets Held for Sale</w:t>
      </w:r>
      <w:r>
        <w:rPr>
          <w:rFonts w:ascii="Arial" w:cs="Arial" w:eastAsia="Arial" w:hAnsi="Arial"/>
          <w:sz w:val="12"/>
          <w:szCs w:val="12"/>
          <w:color w:val="auto"/>
        </w:rPr>
        <w:t>—The Company classifies properties as held for sale when certain criteria are met. At such time, the properties, including significant assets that are expected to be transferred as part of a sale transaction, are</w:t>
      </w:r>
      <w:r>
        <w:rPr>
          <w:rFonts w:ascii="Arial" w:cs="Arial" w:eastAsia="Arial" w:hAnsi="Arial"/>
          <w:sz w:val="12"/>
          <w:szCs w:val="12"/>
          <w:i w:val="1"/>
          <w:iCs w:val="1"/>
          <w:color w:val="auto"/>
        </w:rPr>
        <w:t xml:space="preserve"> </w:t>
      </w:r>
      <w:r>
        <w:rPr>
          <w:rFonts w:ascii="Arial" w:cs="Arial" w:eastAsia="Arial" w:hAnsi="Arial"/>
          <w:sz w:val="12"/>
          <w:szCs w:val="12"/>
          <w:color w:val="auto"/>
        </w:rPr>
        <w:t>presented separately on the consolidated balance sheet at the lower of carrying value or estimated fair value less costs to sell and depreciation is no longer recognized. Assets classified as held for sale included buildings, tracts of land and equipment.</w:t>
      </w:r>
    </w:p>
    <w:p>
      <w:pPr>
        <w:spacing w:after="0" w:line="123" w:lineRule="exact"/>
        <w:rPr>
          <w:sz w:val="20"/>
          <w:szCs w:val="20"/>
          <w:color w:val="auto"/>
        </w:rPr>
      </w:pPr>
    </w:p>
    <w:p>
      <w:pPr>
        <w:ind w:left="8" w:right="100" w:firstLine="521"/>
        <w:spacing w:after="0" w:line="276" w:lineRule="auto"/>
        <w:rPr>
          <w:sz w:val="20"/>
          <w:szCs w:val="20"/>
          <w:color w:val="auto"/>
        </w:rPr>
      </w:pPr>
      <w:r>
        <w:rPr>
          <w:rFonts w:ascii="Arial" w:cs="Arial" w:eastAsia="Arial" w:hAnsi="Arial"/>
          <w:sz w:val="12"/>
          <w:szCs w:val="12"/>
          <w:i w:val="1"/>
          <w:iCs w:val="1"/>
          <w:color w:val="auto"/>
        </w:rPr>
        <w:t>Property, plant and equipment</w:t>
      </w:r>
      <w:r>
        <w:rPr>
          <w:rFonts w:ascii="Arial" w:cs="Arial" w:eastAsia="Arial" w:hAnsi="Arial"/>
          <w:sz w:val="12"/>
          <w:szCs w:val="12"/>
          <w:color w:val="auto"/>
        </w:rPr>
        <w:t>—Property, plant and equipment are carried at the cost of acquisition or construction and depreciated over the estimated useful lives of the assets. Depreciation and amortization are provided using</w:t>
      </w:r>
      <w:r>
        <w:rPr>
          <w:rFonts w:ascii="Arial" w:cs="Arial" w:eastAsia="Arial" w:hAnsi="Arial"/>
          <w:sz w:val="12"/>
          <w:szCs w:val="12"/>
          <w:i w:val="1"/>
          <w:iCs w:val="1"/>
          <w:color w:val="auto"/>
        </w:rPr>
        <w:t xml:space="preserve"> </w:t>
      </w:r>
      <w:r>
        <w:rPr>
          <w:rFonts w:ascii="Arial" w:cs="Arial" w:eastAsia="Arial" w:hAnsi="Arial"/>
          <w:sz w:val="12"/>
          <w:szCs w:val="12"/>
          <w:color w:val="auto"/>
        </w:rPr>
        <w:t>the straight-line method in</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59" w:name="page60"/>
    <w:bookmarkEnd w:id="59"/>
    <w:p>
      <w:pPr>
        <w:spacing w:after="0" w:line="276" w:lineRule="auto"/>
        <w:rPr>
          <w:sz w:val="20"/>
          <w:szCs w:val="20"/>
          <w:color w:val="auto"/>
        </w:rPr>
      </w:pPr>
      <w:r>
        <w:rPr>
          <w:rFonts w:ascii="Arial" w:cs="Arial" w:eastAsia="Arial" w:hAnsi="Arial"/>
          <w:sz w:val="12"/>
          <w:szCs w:val="12"/>
          <w:color w:val="auto"/>
        </w:rPr>
        <w:t>amounts sufficient to amortize the cost of the assets over their estimated useful lives (buildings and improvements—generally five to 40 years; 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15" w:lineRule="exact"/>
        <w:rPr>
          <w:sz w:val="20"/>
          <w:szCs w:val="20"/>
          <w:color w:val="auto"/>
        </w:rPr>
      </w:pPr>
    </w:p>
    <w:p>
      <w:pPr>
        <w:ind w:right="140" w:firstLine="521"/>
        <w:spacing w:after="0" w:line="380" w:lineRule="auto"/>
        <w:rPr>
          <w:sz w:val="20"/>
          <w:szCs w:val="20"/>
          <w:color w:val="auto"/>
        </w:rPr>
      </w:pPr>
      <w:r>
        <w:rPr>
          <w:rFonts w:ascii="Arial" w:cs="Arial" w:eastAsia="Arial" w:hAnsi="Arial"/>
          <w:sz w:val="10"/>
          <w:szCs w:val="10"/>
          <w:i w:val="1"/>
          <w:iCs w:val="1"/>
          <w:color w:val="auto"/>
        </w:rPr>
        <w:t>Intangible assets</w:t>
      </w:r>
      <w:r>
        <w:rPr>
          <w:rFonts w:ascii="Arial" w:cs="Arial" w:eastAsia="Arial" w:hAnsi="Arial"/>
          <w:sz w:val="10"/>
          <w:szCs w:val="10"/>
          <w:color w:val="auto"/>
        </w:rPr>
        <w:t>— Indefinite life intangible assets are comprised of tradenames, while finite life intangible assets are comprised of technology, customer lists, noncompetition agreements and tradenames. Finite life intangible</w:t>
      </w:r>
      <w:r>
        <w:rPr>
          <w:rFonts w:ascii="Arial" w:cs="Arial" w:eastAsia="Arial" w:hAnsi="Arial"/>
          <w:sz w:val="10"/>
          <w:szCs w:val="10"/>
          <w:i w:val="1"/>
          <w:iCs w:val="1"/>
          <w:color w:val="auto"/>
        </w:rPr>
        <w:t xml:space="preserve"> </w:t>
      </w:r>
      <w:r>
        <w:rPr>
          <w:rFonts w:ascii="Arial" w:cs="Arial" w:eastAsia="Arial" w:hAnsi="Arial"/>
          <w:sz w:val="10"/>
          <w:szCs w:val="10"/>
          <w:color w:val="auto"/>
        </w:rPr>
        <w:t>assets are amortized on a straight line or accelerated basis over their estimated useful lives of seven to 10 years for technology, five to 20 years for customer lists, five years for noncompetition agreements and 10 years for tradenames.</w:t>
      </w:r>
    </w:p>
    <w:p>
      <w:pPr>
        <w:spacing w:after="0" w:line="68" w:lineRule="exact"/>
        <w:rPr>
          <w:sz w:val="20"/>
          <w:szCs w:val="20"/>
          <w:color w:val="auto"/>
        </w:rPr>
      </w:pPr>
    </w:p>
    <w:p>
      <w:pPr>
        <w:ind w:right="120" w:firstLine="521"/>
        <w:spacing w:after="0" w:line="255" w:lineRule="auto"/>
        <w:rPr>
          <w:sz w:val="20"/>
          <w:szCs w:val="20"/>
          <w:color w:val="auto"/>
        </w:rPr>
      </w:pPr>
      <w:r>
        <w:rPr>
          <w:rFonts w:ascii="Arial" w:cs="Arial" w:eastAsia="Arial" w:hAnsi="Arial"/>
          <w:sz w:val="12"/>
          <w:szCs w:val="12"/>
          <w:i w:val="1"/>
          <w:iCs w:val="1"/>
          <w:color w:val="auto"/>
        </w:rPr>
        <w:t>Long-lived assets</w:t>
      </w:r>
      <w:r>
        <w:rPr>
          <w:rFonts w:ascii="Arial" w:cs="Arial" w:eastAsia="Arial" w:hAnsi="Arial"/>
          <w:sz w:val="12"/>
          <w:szCs w:val="12"/>
          <w:color w:val="auto"/>
        </w:rPr>
        <w:t>—Property, plant and equipment and finite life intangible assets are reviewed whenever events or changes in circumstances occur that indicate possible impairment. If events or changes in circumstances occur</w:t>
      </w:r>
      <w:r>
        <w:rPr>
          <w:rFonts w:ascii="Arial" w:cs="Arial" w:eastAsia="Arial" w:hAnsi="Arial"/>
          <w:sz w:val="12"/>
          <w:szCs w:val="12"/>
          <w:i w:val="1"/>
          <w:iCs w:val="1"/>
          <w:color w:val="auto"/>
        </w:rPr>
        <w:t xml:space="preserve"> </w:t>
      </w:r>
      <w:r>
        <w:rPr>
          <w:rFonts w:ascii="Arial" w:cs="Arial" w:eastAsia="Arial" w:hAnsi="Arial"/>
          <w:sz w:val="12"/>
          <w:szCs w:val="12"/>
          <w:color w:val="auto"/>
        </w:rPr>
        <w:t>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29"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15"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26"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i w:val="1"/>
          <w:iCs w:val="1"/>
          <w:color w:val="auto"/>
        </w:rPr>
        <w:t>Goodwill</w:t>
      </w:r>
      <w:r>
        <w:rPr>
          <w:rFonts w:ascii="Arial" w:cs="Arial" w:eastAsia="Arial" w:hAnsi="Arial"/>
          <w:sz w:val="12"/>
          <w:szCs w:val="12"/>
          <w:color w:val="auto"/>
        </w:rPr>
        <w:t>—The Company completes an annual (or more often if circumstances require) impairment assessment on October 1 of its goodwill on a reporting unit level, at or below the operating segment level. As a part of its</w:t>
      </w:r>
      <w:r>
        <w:rPr>
          <w:rFonts w:ascii="Arial" w:cs="Arial" w:eastAsia="Arial" w:hAnsi="Arial"/>
          <w:sz w:val="12"/>
          <w:szCs w:val="12"/>
          <w:i w:val="1"/>
          <w:iCs w:val="1"/>
          <w:color w:val="auto"/>
        </w:rPr>
        <w:t xml:space="preserve"> </w:t>
      </w:r>
      <w:r>
        <w:rPr>
          <w:rFonts w:ascii="Arial" w:cs="Arial" w:eastAsia="Arial" w:hAnsi="Arial"/>
          <w:sz w:val="12"/>
          <w:szCs w:val="12"/>
          <w:color w:val="auto"/>
        </w:rPr>
        <w:t>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26" w:lineRule="exact"/>
        <w:rPr>
          <w:sz w:val="20"/>
          <w:szCs w:val="20"/>
          <w:color w:val="auto"/>
        </w:rPr>
      </w:pPr>
    </w:p>
    <w:p>
      <w:pPr>
        <w:ind w:right="180" w:firstLine="521"/>
        <w:spacing w:after="0" w:line="263" w:lineRule="auto"/>
        <w:rPr>
          <w:sz w:val="20"/>
          <w:szCs w:val="20"/>
          <w:color w:val="auto"/>
        </w:rPr>
      </w:pPr>
      <w:r>
        <w:rPr>
          <w:rFonts w:ascii="Arial" w:cs="Arial" w:eastAsia="Arial" w:hAnsi="Arial"/>
          <w:sz w:val="12"/>
          <w:szCs w:val="12"/>
          <w:i w:val="1"/>
          <w:iCs w:val="1"/>
          <w:color w:val="auto"/>
        </w:rPr>
        <w:t>Deferred charges</w:t>
      </w:r>
      <w:r>
        <w:rPr>
          <w:rFonts w:ascii="Arial" w:cs="Arial" w:eastAsia="Arial" w:hAnsi="Arial"/>
          <w:sz w:val="12"/>
          <w:szCs w:val="12"/>
          <w:color w:val="auto"/>
        </w:rPr>
        <w:t>—Deferred charges include deferred financing costs, which are amortized to interest expense over the life of the related loan. The Company incurred and capitalized $0.7 million of deferred financing fees in</w:t>
      </w:r>
      <w:r>
        <w:rPr>
          <w:rFonts w:ascii="Arial" w:cs="Arial" w:eastAsia="Arial" w:hAnsi="Arial"/>
          <w:sz w:val="12"/>
          <w:szCs w:val="12"/>
          <w:i w:val="1"/>
          <w:iCs w:val="1"/>
          <w:color w:val="auto"/>
        </w:rPr>
        <w:t xml:space="preserve"> </w:t>
      </w:r>
      <w:r>
        <w:rPr>
          <w:rFonts w:ascii="Arial" w:cs="Arial" w:eastAsia="Arial" w:hAnsi="Arial"/>
          <w:sz w:val="12"/>
          <w:szCs w:val="12"/>
          <w:color w:val="auto"/>
        </w:rPr>
        <w:t>2017 related to long-term debt modifications. Amortization expense was $1.1 million, $1.0 million and $1.1 million for 2018, 2017 and 2016, respectively. As of December 31, 2018 and 2017, remaining capitalized deferred financing costs of $1.7 million and $2.8 million, respectively, are included as a discount to debt in the accompanying Consolidated Balance Sheets.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ind w:right="140" w:firstLine="521"/>
        <w:spacing w:after="0" w:line="323" w:lineRule="auto"/>
        <w:rPr>
          <w:sz w:val="20"/>
          <w:szCs w:val="20"/>
          <w:color w:val="auto"/>
        </w:rPr>
      </w:pPr>
      <w:r>
        <w:rPr>
          <w:rFonts w:ascii="Arial" w:cs="Arial" w:eastAsia="Arial" w:hAnsi="Arial"/>
          <w:sz w:val="11"/>
          <w:szCs w:val="11"/>
          <w:i w:val="1"/>
          <w:iCs w:val="1"/>
          <w:color w:val="auto"/>
        </w:rPr>
        <w:t>Energy Solutions and Industrial Solutions Segments</w:t>
      </w:r>
      <w:r>
        <w:rPr>
          <w:rFonts w:ascii="Arial" w:cs="Arial" w:eastAsia="Arial" w:hAnsi="Arial"/>
          <w:sz w:val="11"/>
          <w:szCs w:val="11"/>
          <w:color w:val="auto"/>
        </w:rPr>
        <w:t>—Within the Energy Solutions and Industrial Solutions segments, a significant portion of our revenue is derived from fixed-price contracts. We account for a contract after it</w:t>
      </w:r>
      <w:r>
        <w:rPr>
          <w:rFonts w:ascii="Arial" w:cs="Arial" w:eastAsia="Arial" w:hAnsi="Arial"/>
          <w:sz w:val="11"/>
          <w:szCs w:val="11"/>
          <w:i w:val="1"/>
          <w:iCs w:val="1"/>
          <w:color w:val="auto"/>
        </w:rPr>
        <w:t xml:space="preserve"> </w:t>
      </w:r>
      <w:r>
        <w:rPr>
          <w:rFonts w:ascii="Arial" w:cs="Arial" w:eastAsia="Arial" w:hAnsi="Arial"/>
          <w:sz w:val="11"/>
          <w:szCs w:val="11"/>
          <w:color w:val="auto"/>
        </w:rPr>
        <w:t>has been approved by all parties to the arrangement, the rights of the parties are identified, payment terms are identified, the contract has commercial substance and collectability of consideration is probable.</w:t>
      </w:r>
    </w:p>
    <w:p>
      <w:pPr>
        <w:spacing w:after="0" w:line="92"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For each contract, we assess the goods and services promised to a customer and identify a performance obligation for each distinct promised good or service. The typical life of our contracts is generally less than 12 months and each contract generally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60" w:name="page61"/>
    <w:bookmarkEnd w:id="60"/>
    <w:p>
      <w:pPr>
        <w:ind w:right="40"/>
        <w:spacing w:after="0" w:line="276" w:lineRule="auto"/>
        <w:rPr>
          <w:sz w:val="20"/>
          <w:szCs w:val="20"/>
          <w:color w:val="auto"/>
        </w:rPr>
      </w:pPr>
      <w:r>
        <w:rPr>
          <w:rFonts w:ascii="Arial" w:cs="Arial" w:eastAsia="Arial" w:hAnsi="Arial"/>
          <w:sz w:val="12"/>
          <w:szCs w:val="12"/>
          <w:color w:val="auto"/>
        </w:rPr>
        <w:t>contains only one performance obligation, to provide goods or services to the customer. We determine the transaction price for each contract based on the consideration we expect to receive for the products or services being provided under the contract.</w:t>
      </w:r>
    </w:p>
    <w:p>
      <w:pPr>
        <w:spacing w:after="0" w:line="115"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25"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w:t>
      </w:r>
    </w:p>
    <w:p>
      <w:pPr>
        <w:spacing w:after="0" w:line="115"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15" w:lineRule="exact"/>
        <w:rPr>
          <w:sz w:val="20"/>
          <w:szCs w:val="20"/>
          <w:color w:val="auto"/>
        </w:rPr>
      </w:pPr>
    </w:p>
    <w:p>
      <w:pPr>
        <w:ind w:right="40" w:firstLine="521"/>
        <w:spacing w:after="0" w:line="276" w:lineRule="auto"/>
        <w:rPr>
          <w:sz w:val="20"/>
          <w:szCs w:val="20"/>
          <w:color w:val="auto"/>
        </w:rPr>
      </w:pPr>
      <w:r>
        <w:rPr>
          <w:rFonts w:ascii="Arial" w:cs="Arial" w:eastAsia="Arial" w:hAnsi="Arial"/>
          <w:sz w:val="12"/>
          <w:szCs w:val="12"/>
          <w:i w:val="1"/>
          <w:iCs w:val="1"/>
          <w:color w:val="auto"/>
        </w:rPr>
        <w:t>Fluid Handling Solutions Segments</w:t>
      </w:r>
      <w:r>
        <w:rPr>
          <w:rFonts w:ascii="Arial" w:cs="Arial" w:eastAsia="Arial" w:hAnsi="Arial"/>
          <w:sz w:val="12"/>
          <w:szCs w:val="12"/>
          <w:color w:val="auto"/>
        </w:rPr>
        <w:t>—Within the Fluid Handling Solutions segment, a significant portion of our revenue is primarily derived from sales of inventory product and is recognized at the point in time control passes to</w:t>
      </w:r>
      <w:r>
        <w:rPr>
          <w:rFonts w:ascii="Arial" w:cs="Arial" w:eastAsia="Arial" w:hAnsi="Arial"/>
          <w:sz w:val="12"/>
          <w:szCs w:val="12"/>
          <w:i w:val="1"/>
          <w:iCs w:val="1"/>
          <w:color w:val="auto"/>
        </w:rPr>
        <w:t xml:space="preserve"> </w:t>
      </w:r>
      <w:r>
        <w:rPr>
          <w:rFonts w:ascii="Arial" w:cs="Arial" w:eastAsia="Arial" w:hAnsi="Arial"/>
          <w:sz w:val="12"/>
          <w:szCs w:val="12"/>
          <w:color w:val="auto"/>
        </w:rPr>
        <w:t>the customer, which occurs generally upon shipment of the product.</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0"/>
          <w:szCs w:val="10"/>
          <w:color w:val="auto"/>
        </w:rPr>
        <w:t>Payments vary by customer but are typically due within 30 days. Shipping and handling activities after control of the products has transferred to the customer are considered fulfillment activities. Sales taxes are recorded on a net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basis.</w:t>
      </w:r>
    </w:p>
    <w:p>
      <w:pPr>
        <w:spacing w:after="0" w:line="141" w:lineRule="exact"/>
        <w:rPr>
          <w:sz w:val="20"/>
          <w:szCs w:val="20"/>
          <w:color w:val="auto"/>
        </w:rPr>
      </w:pPr>
    </w:p>
    <w:p>
      <w:pPr>
        <w:ind w:firstLine="521"/>
        <w:spacing w:after="0" w:line="253" w:lineRule="auto"/>
        <w:rPr>
          <w:sz w:val="20"/>
          <w:szCs w:val="20"/>
          <w:color w:val="auto"/>
        </w:rPr>
      </w:pPr>
      <w:r>
        <w:rPr>
          <w:rFonts w:ascii="Arial" w:cs="Arial" w:eastAsia="Arial" w:hAnsi="Arial"/>
          <w:sz w:val="12"/>
          <w:szCs w:val="12"/>
          <w:i w:val="1"/>
          <w:iCs w:val="1"/>
          <w:color w:val="auto"/>
        </w:rPr>
        <w:t xml:space="preserve">Contract Assets and Contract Liabilities </w:t>
      </w:r>
      <w:r>
        <w:rPr>
          <w:rFonts w:ascii="Arial" w:cs="Arial" w:eastAsia="Arial" w:hAnsi="Arial"/>
          <w:sz w:val="12"/>
          <w:szCs w:val="12"/>
          <w:color w:val="auto"/>
        </w:rPr>
        <w:t>— Contract assets consist of costs and earnings in excess of billings, costs incurred for contracts recognized at a point in time, and retainage. Costs and earnings in excess of billings</w:t>
      </w:r>
      <w:r>
        <w:rPr>
          <w:rFonts w:ascii="Arial" w:cs="Arial" w:eastAsia="Arial" w:hAnsi="Arial"/>
          <w:sz w:val="12"/>
          <w:szCs w:val="12"/>
          <w:i w:val="1"/>
          <w:iCs w:val="1"/>
          <w:color w:val="auto"/>
        </w:rPr>
        <w:t xml:space="preserve"> </w:t>
      </w:r>
      <w:r>
        <w:rPr>
          <w:rFonts w:ascii="Arial" w:cs="Arial" w:eastAsia="Arial" w:hAnsi="Arial"/>
          <w:sz w:val="12"/>
          <w:szCs w:val="12"/>
          <w:color w:val="auto"/>
        </w:rPr>
        <w:t>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depending on when it is due. Almost all of the Company’s contract assets are classified as current assets in the Consolidated Balance Sheets.</w:t>
      </w:r>
    </w:p>
    <w:p>
      <w:pPr>
        <w:spacing w:after="0" w:line="2" w:lineRule="exact"/>
        <w:rPr>
          <w:sz w:val="20"/>
          <w:szCs w:val="20"/>
          <w:color w:val="auto"/>
        </w:rPr>
      </w:pPr>
    </w:p>
    <w:p>
      <w:pPr>
        <w:jc w:val="both"/>
        <w:ind w:right="160" w:firstLine="766"/>
        <w:spacing w:after="0" w:line="284" w:lineRule="auto"/>
        <w:rPr>
          <w:sz w:val="20"/>
          <w:szCs w:val="20"/>
          <w:color w:val="auto"/>
        </w:rPr>
      </w:pPr>
      <w:r>
        <w:rPr>
          <w:rFonts w:ascii="Arial" w:cs="Arial" w:eastAsia="Arial" w:hAnsi="Arial"/>
          <w:sz w:val="11"/>
          <w:szCs w:val="11"/>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accounts payable and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revenue streams within the Company are consistent with those disclosed for our reportable segments. For descriptions of our product offerings and segments, see Note 18— Business Segment Information.</w:t>
      </w:r>
    </w:p>
    <w:p>
      <w:pPr>
        <w:spacing w:after="0" w:line="162" w:lineRule="exact"/>
        <w:rPr>
          <w:sz w:val="20"/>
          <w:szCs w:val="20"/>
          <w:color w:val="auto"/>
        </w:rPr>
      </w:pPr>
    </w:p>
    <w:p>
      <w:pPr>
        <w:ind w:right="200" w:firstLine="521"/>
        <w:spacing w:after="0" w:line="276" w:lineRule="auto"/>
        <w:rPr>
          <w:sz w:val="20"/>
          <w:szCs w:val="20"/>
          <w:color w:val="auto"/>
        </w:rPr>
      </w:pPr>
      <w:r>
        <w:rPr>
          <w:rFonts w:ascii="Arial" w:cs="Arial" w:eastAsia="Arial" w:hAnsi="Arial"/>
          <w:sz w:val="12"/>
          <w:szCs w:val="12"/>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2018 and 2017.</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Cost of sales</w:t>
      </w:r>
      <w:r>
        <w:rPr>
          <w:rFonts w:ascii="Arial" w:cs="Arial" w:eastAsia="Arial" w:hAnsi="Arial"/>
          <w:sz w:val="12"/>
          <w:szCs w:val="12"/>
          <w:color w:val="auto"/>
        </w:rPr>
        <w:t>—Cost of sales amounts include materials, direct labor and associated benefits, inbound freight charges, purchasing and receiving, inspection, warehousing, and depreciation.</w:t>
      </w:r>
    </w:p>
    <w:p>
      <w:pPr>
        <w:spacing w:after="0" w:line="150" w:lineRule="exact"/>
        <w:rPr>
          <w:sz w:val="20"/>
          <w:szCs w:val="20"/>
          <w:color w:val="auto"/>
        </w:rPr>
      </w:pPr>
    </w:p>
    <w:p>
      <w:pPr>
        <w:ind w:firstLine="521"/>
        <w:spacing w:after="0" w:line="340" w:lineRule="auto"/>
        <w:rPr>
          <w:sz w:val="20"/>
          <w:szCs w:val="20"/>
          <w:color w:val="auto"/>
        </w:rPr>
      </w:pPr>
      <w:r>
        <w:rPr>
          <w:rFonts w:ascii="Arial" w:cs="Arial" w:eastAsia="Arial" w:hAnsi="Arial"/>
          <w:sz w:val="10"/>
          <w:szCs w:val="10"/>
          <w:i w:val="1"/>
          <w:iCs w:val="1"/>
          <w:color w:val="auto"/>
        </w:rPr>
        <w:t>Claims</w:t>
      </w:r>
      <w:r>
        <w:rPr>
          <w:rFonts w:ascii="Arial" w:cs="Arial" w:eastAsia="Arial" w:hAnsi="Arial"/>
          <w:sz w:val="10"/>
          <w:szCs w:val="10"/>
          <w:color w:val="auto"/>
        </w:rPr>
        <w:t>—Change orders arise when the scope of the original project is modified for any of a variety of reasons. The Company will negotiate the extent of the modifications, its expected costs and recovery with the customer.</w:t>
      </w:r>
      <w:r>
        <w:rPr>
          <w:rFonts w:ascii="Arial" w:cs="Arial" w:eastAsia="Arial" w:hAnsi="Arial"/>
          <w:sz w:val="10"/>
          <w:szCs w:val="10"/>
          <w:i w:val="1"/>
          <w:iCs w:val="1"/>
          <w:color w:val="auto"/>
        </w:rPr>
        <w:t xml:space="preserve"> </w:t>
      </w:r>
      <w:r>
        <w:rPr>
          <w:rFonts w:ascii="Arial" w:cs="Arial" w:eastAsia="Arial" w:hAnsi="Arial"/>
          <w:sz w:val="10"/>
          <w:szCs w:val="10"/>
          <w:color w:val="auto"/>
        </w:rPr>
        <w:t>Costs related to change orders are added to the expected total cost of the project.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1" w:name="page62"/>
    <w:bookmarkEnd w:id="61"/>
    <w:p>
      <w:pPr>
        <w:ind w:right="280" w:firstLine="521"/>
        <w:spacing w:after="0" w:line="276" w:lineRule="auto"/>
        <w:rPr>
          <w:sz w:val="20"/>
          <w:szCs w:val="20"/>
          <w:color w:val="auto"/>
        </w:rPr>
      </w:pPr>
      <w:r>
        <w:rPr>
          <w:rFonts w:ascii="Arial" w:cs="Arial" w:eastAsia="Arial" w:hAnsi="Arial"/>
          <w:sz w:val="12"/>
          <w:szCs w:val="12"/>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15" w:lineRule="exact"/>
        <w:rPr>
          <w:sz w:val="20"/>
          <w:szCs w:val="20"/>
          <w:color w:val="auto"/>
        </w:rPr>
      </w:pPr>
    </w:p>
    <w:p>
      <w:pPr>
        <w:jc w:val="both"/>
        <w:ind w:right="20" w:firstLine="521"/>
        <w:spacing w:after="0" w:line="298" w:lineRule="auto"/>
        <w:rPr>
          <w:sz w:val="20"/>
          <w:szCs w:val="20"/>
          <w:color w:val="auto"/>
        </w:rPr>
      </w:pPr>
      <w:r>
        <w:rPr>
          <w:rFonts w:ascii="Arial" w:cs="Arial" w:eastAsia="Arial" w:hAnsi="Arial"/>
          <w:sz w:val="11"/>
          <w:szCs w:val="11"/>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05" w:lineRule="exact"/>
        <w:rPr>
          <w:sz w:val="20"/>
          <w:szCs w:val="20"/>
          <w:color w:val="auto"/>
        </w:rPr>
      </w:pPr>
    </w:p>
    <w:p>
      <w:pPr>
        <w:ind w:right="200" w:firstLine="521"/>
        <w:spacing w:after="0" w:line="276" w:lineRule="auto"/>
        <w:rPr>
          <w:sz w:val="20"/>
          <w:szCs w:val="20"/>
          <w:color w:val="auto"/>
        </w:rPr>
      </w:pPr>
      <w:r>
        <w:rPr>
          <w:rFonts w:ascii="Arial" w:cs="Arial" w:eastAsia="Arial" w:hAnsi="Arial"/>
          <w:sz w:val="12"/>
          <w:szCs w:val="12"/>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15"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i w:val="1"/>
          <w:iCs w:val="1"/>
          <w:color w:val="auto"/>
        </w:rPr>
        <w:t>Pre-contract costs</w:t>
      </w:r>
      <w:r>
        <w:rPr>
          <w:rFonts w:ascii="Arial" w:cs="Arial" w:eastAsia="Arial" w:hAnsi="Arial"/>
          <w:sz w:val="12"/>
          <w:szCs w:val="12"/>
          <w:color w:val="auto"/>
        </w:rPr>
        <w:t>—Pre-contract costs are not significant and are primarily internal costs. As most of the Company’s contracts are one year of less, the Company expenses all pre-contract costs as incurred regardless of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or not the bids are successful. A majority of our business is obtained through a bidding 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w:t>
      </w:r>
    </w:p>
    <w:p>
      <w:pPr>
        <w:spacing w:after="0" w:line="123"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i w:val="1"/>
          <w:iCs w:val="1"/>
          <w:color w:val="auto"/>
        </w:rPr>
        <w:t>Selling and administrative expenses</w:t>
      </w:r>
      <w:r>
        <w:rPr>
          <w:rFonts w:ascii="Arial" w:cs="Arial" w:eastAsia="Arial" w:hAnsi="Arial"/>
          <w:sz w:val="12"/>
          <w:szCs w:val="12"/>
          <w:color w:val="auto"/>
        </w:rPr>
        <w:t>—Selling and administrative expenses on the Consolidated Statements of Operations include sales and administrative wages and associated benefits, selling and office expenses, professional</w:t>
      </w:r>
      <w:r>
        <w:rPr>
          <w:rFonts w:ascii="Arial" w:cs="Arial" w:eastAsia="Arial" w:hAnsi="Arial"/>
          <w:sz w:val="12"/>
          <w:szCs w:val="12"/>
          <w:i w:val="1"/>
          <w:iCs w:val="1"/>
          <w:color w:val="auto"/>
        </w:rPr>
        <w:t xml:space="preserve"> </w:t>
      </w:r>
      <w:r>
        <w:rPr>
          <w:rFonts w:ascii="Arial" w:cs="Arial" w:eastAsia="Arial" w:hAnsi="Arial"/>
          <w:sz w:val="12"/>
          <w:szCs w:val="12"/>
          <w:color w:val="auto"/>
        </w:rPr>
        <w:t>fees, bad debt expense and depreciation. Selling and administrative expenses are charged to expense as incurred.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1"/>
          <w:szCs w:val="11"/>
          <w:i w:val="1"/>
          <w:iCs w:val="1"/>
          <w:color w:val="auto"/>
        </w:rPr>
        <w:t>Acquisition and integration expenses</w:t>
      </w:r>
      <w:r>
        <w:rPr>
          <w:rFonts w:ascii="Arial" w:cs="Arial" w:eastAsia="Arial" w:hAnsi="Arial"/>
          <w:sz w:val="11"/>
          <w:szCs w:val="11"/>
          <w:color w:val="auto"/>
        </w:rPr>
        <w:t>—Acquisition and integration expenses on the Consolidated Statements of Operations are related to acquisition activities, which include retention, legal, accounting, banking, and other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expenses.</w:t>
      </w:r>
    </w:p>
    <w:p>
      <w:pPr>
        <w:spacing w:after="0" w:line="141" w:lineRule="exact"/>
        <w:rPr>
          <w:sz w:val="20"/>
          <w:szCs w:val="20"/>
          <w:color w:val="auto"/>
        </w:rPr>
      </w:pPr>
    </w:p>
    <w:p>
      <w:pPr>
        <w:ind w:right="200" w:firstLine="521"/>
        <w:spacing w:after="0" w:line="276" w:lineRule="auto"/>
        <w:rPr>
          <w:sz w:val="20"/>
          <w:szCs w:val="20"/>
          <w:color w:val="auto"/>
        </w:rPr>
      </w:pPr>
      <w:r>
        <w:rPr>
          <w:rFonts w:ascii="Arial" w:cs="Arial" w:eastAsia="Arial" w:hAnsi="Arial"/>
          <w:sz w:val="12"/>
          <w:szCs w:val="12"/>
          <w:i w:val="1"/>
          <w:iCs w:val="1"/>
          <w:color w:val="auto"/>
        </w:rPr>
        <w:t>Amortization and earnout expenses</w:t>
      </w:r>
      <w:r>
        <w:rPr>
          <w:rFonts w:ascii="Arial" w:cs="Arial" w:eastAsia="Arial" w:hAnsi="Arial"/>
          <w:sz w:val="12"/>
          <w:szCs w:val="12"/>
          <w:color w:val="auto"/>
        </w:rPr>
        <w:t>—Amortization and earnout expenses on the Consolidated Statements of Operations include amortization of intangible assets, and changes to earnout and contingent compensation amounts</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to acquisitions as more fully presented and described in Note 8.</w:t>
      </w:r>
    </w:p>
    <w:p>
      <w:pPr>
        <w:spacing w:after="0" w:line="115"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i w:val="1"/>
          <w:iCs w:val="1"/>
          <w:color w:val="auto"/>
        </w:rPr>
        <w:t>Restructuring expenses</w:t>
      </w:r>
      <w:r>
        <w:rPr>
          <w:rFonts w:ascii="Arial" w:cs="Arial" w:eastAsia="Arial" w:hAnsi="Arial"/>
          <w:sz w:val="12"/>
          <w:szCs w:val="12"/>
          <w:color w:val="auto"/>
        </w:rPr>
        <w:t>—Restructuring expense on the Consolidated Statements of Operations include expenses related to a restructuring program implemented during the fourth quarter of 2017 to reduce operating costs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123"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i w:val="1"/>
          <w:iCs w:val="1"/>
          <w:color w:val="auto"/>
        </w:rPr>
        <w:t>Product Warranties</w:t>
      </w:r>
      <w:r>
        <w:rPr>
          <w:rFonts w:ascii="Arial" w:cs="Arial" w:eastAsia="Arial" w:hAnsi="Arial"/>
          <w:sz w:val="12"/>
          <w:szCs w:val="12"/>
          <w:color w:val="auto"/>
        </w:rPr>
        <w:t>—The Company’s warranty reserve is to cover the products sold. The warranty accrual is based on historical claims information. The warranty reserve is reviewed and adjusted as necessary on a quarterly</w:t>
      </w:r>
      <w:r>
        <w:rPr>
          <w:rFonts w:ascii="Arial" w:cs="Arial" w:eastAsia="Arial" w:hAnsi="Arial"/>
          <w:sz w:val="12"/>
          <w:szCs w:val="12"/>
          <w:i w:val="1"/>
          <w:iCs w:val="1"/>
          <w:color w:val="auto"/>
        </w:rPr>
        <w:t xml:space="preserve"> </w:t>
      </w:r>
      <w:r>
        <w:rPr>
          <w:rFonts w:ascii="Arial" w:cs="Arial" w:eastAsia="Arial" w:hAnsi="Arial"/>
          <w:sz w:val="12"/>
          <w:szCs w:val="12"/>
          <w:color w:val="auto"/>
        </w:rPr>
        <w:t>basis and is presented within Note 8.</w:t>
      </w:r>
    </w:p>
    <w:p>
      <w:pPr>
        <w:spacing w:after="0" w:line="115"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i w:val="1"/>
          <w:iCs w:val="1"/>
          <w:color w:val="auto"/>
        </w:rPr>
        <w:t>Research and Development</w:t>
      </w:r>
      <w:r>
        <w:rPr>
          <w:rFonts w:ascii="Arial" w:cs="Arial" w:eastAsia="Arial" w:hAnsi="Arial"/>
          <w:sz w:val="12"/>
          <w:szCs w:val="12"/>
          <w:color w:val="auto"/>
        </w:rPr>
        <w:t>—Although not technically defined as research and development, a significant amount of time, effort and expense is devoted to (a) custom engineering which qualifies products for specific customer</w:t>
      </w:r>
      <w:r>
        <w:rPr>
          <w:rFonts w:ascii="Arial" w:cs="Arial" w:eastAsia="Arial" w:hAnsi="Arial"/>
          <w:sz w:val="12"/>
          <w:szCs w:val="12"/>
          <w:i w:val="1"/>
          <w:iCs w:val="1"/>
          <w:color w:val="auto"/>
        </w:rPr>
        <w:t xml:space="preserve"> </w:t>
      </w:r>
      <w:r>
        <w:rPr>
          <w:rFonts w:ascii="Arial" w:cs="Arial" w:eastAsia="Arial" w:hAnsi="Arial"/>
          <w:sz w:val="12"/>
          <w:szCs w:val="12"/>
          <w:color w:val="auto"/>
        </w:rPr>
        <w:t>applications, (b) developing proprietary process technology and (c) partnering with customers to develop new products.</w:t>
      </w:r>
    </w:p>
    <w:p>
      <w:pPr>
        <w:spacing w:after="0" w:line="115" w:lineRule="exact"/>
        <w:rPr>
          <w:sz w:val="20"/>
          <w:szCs w:val="20"/>
          <w:color w:val="auto"/>
        </w:rPr>
      </w:pPr>
    </w:p>
    <w:p>
      <w:pPr>
        <w:ind w:right="80" w:firstLine="581"/>
        <w:spacing w:after="0" w:line="276" w:lineRule="auto"/>
        <w:rPr>
          <w:sz w:val="20"/>
          <w:szCs w:val="20"/>
          <w:color w:val="auto"/>
        </w:rPr>
      </w:pPr>
      <w:r>
        <w:rPr>
          <w:rFonts w:ascii="Arial" w:cs="Arial" w:eastAsia="Arial" w:hAnsi="Arial"/>
          <w:sz w:val="12"/>
          <w:szCs w:val="12"/>
          <w:i w:val="1"/>
          <w:iCs w:val="1"/>
          <w:color w:val="auto"/>
        </w:rPr>
        <w:t>Income Taxes</w:t>
      </w:r>
      <w:r>
        <w:rPr>
          <w:rFonts w:ascii="Arial" w:cs="Arial" w:eastAsia="Arial" w:hAnsi="Arial"/>
          <w:sz w:val="12"/>
          <w:szCs w:val="12"/>
          <w:color w:val="auto"/>
        </w:rPr>
        <w:t>—Income taxes are determined using the asset and liability method of accounting for income taxes in accordance with Financial Accounting Standards Board (“FASB”), ASC Topic 740, “Income Taxes”. Income</w:t>
      </w:r>
      <w:r>
        <w:rPr>
          <w:rFonts w:ascii="Arial" w:cs="Arial" w:eastAsia="Arial" w:hAnsi="Arial"/>
          <w:sz w:val="12"/>
          <w:szCs w:val="12"/>
          <w:i w:val="1"/>
          <w:iCs w:val="1"/>
          <w:color w:val="auto"/>
        </w:rPr>
        <w:t xml:space="preserve"> </w:t>
      </w:r>
      <w:r>
        <w:rPr>
          <w:rFonts w:ascii="Arial" w:cs="Arial" w:eastAsia="Arial" w:hAnsi="Arial"/>
          <w:sz w:val="12"/>
          <w:szCs w:val="12"/>
          <w:color w:val="auto"/>
        </w:rPr>
        <w:t>tax expense includes federal, state and foreign income taxes.</w:t>
      </w:r>
    </w:p>
    <w:p>
      <w:pPr>
        <w:spacing w:after="0" w:line="115"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25"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62" w:name="page63"/>
    <w:bookmarkEnd w:id="62"/>
    <w:p>
      <w:pPr>
        <w:spacing w:after="0"/>
        <w:rPr>
          <w:sz w:val="20"/>
          <w:szCs w:val="20"/>
          <w:color w:val="auto"/>
        </w:rPr>
      </w:pPr>
      <w:r>
        <w:rPr>
          <w:rFonts w:ascii="Arial" w:cs="Arial" w:eastAsia="Arial" w:hAnsi="Arial"/>
          <w:sz w:val="12"/>
          <w:szCs w:val="12"/>
          <w:color w:val="auto"/>
        </w:rPr>
        <w:t>measurement of a tax position taken or expected to be taken in a tax return. The Company records the related interest expense and penalties, if any, as tax expense in the tax provision.</w:t>
      </w:r>
    </w:p>
    <w:p>
      <w:pPr>
        <w:spacing w:after="0" w:line="15" w:lineRule="exact"/>
        <w:rPr>
          <w:sz w:val="20"/>
          <w:szCs w:val="20"/>
          <w:color w:val="auto"/>
        </w:rPr>
      </w:pPr>
    </w:p>
    <w:p>
      <w:pPr>
        <w:ind w:right="440" w:firstLine="766"/>
        <w:spacing w:after="0" w:line="261" w:lineRule="auto"/>
        <w:rPr>
          <w:sz w:val="20"/>
          <w:szCs w:val="20"/>
          <w:color w:val="auto"/>
        </w:rPr>
      </w:pPr>
      <w:r>
        <w:rPr>
          <w:rFonts w:ascii="Arial" w:cs="Arial" w:eastAsia="Arial" w:hAnsi="Arial"/>
          <w:sz w:val="12"/>
          <w:szCs w:val="12"/>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23" w:lineRule="exact"/>
        <w:rPr>
          <w:sz w:val="20"/>
          <w:szCs w:val="20"/>
          <w:color w:val="auto"/>
        </w:rPr>
      </w:pPr>
    </w:p>
    <w:p>
      <w:pPr>
        <w:ind w:right="500" w:firstLine="766"/>
        <w:spacing w:after="0" w:line="276" w:lineRule="auto"/>
        <w:rPr>
          <w:sz w:val="20"/>
          <w:szCs w:val="20"/>
          <w:color w:val="auto"/>
        </w:rPr>
      </w:pPr>
      <w:r>
        <w:rPr>
          <w:rFonts w:ascii="Arial" w:cs="Arial" w:eastAsia="Arial" w:hAnsi="Arial"/>
          <w:sz w:val="12"/>
          <w:szCs w:val="12"/>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Earnings per share</w:t>
      </w:r>
      <w:r>
        <w:rPr>
          <w:rFonts w:ascii="Arial" w:cs="Arial" w:eastAsia="Arial" w:hAnsi="Arial"/>
          <w:sz w:val="12"/>
          <w:szCs w:val="12"/>
          <w:color w:val="auto"/>
        </w:rPr>
        <w:t>—The following table reconciles the numerators and denominators used to calculate basic and diluted earnings per share for 2018, 2017 and 2016.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0"/>
                <w:szCs w:val="10"/>
                <w:b w:val="1"/>
                <w:bCs w:val="1"/>
                <w:color w:val="auto"/>
                <w:w w:val="88"/>
              </w:rPr>
              <w:t>For the Year Ended December 31</w:t>
            </w: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5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980" w:type="dxa"/>
            <w:vAlign w:val="bottom"/>
            <w:tcBorders>
              <w:bottom w:val="single" w:sz="8" w:color="auto"/>
            </w:tcBorders>
          </w:tcPr>
          <w:p>
            <w:pPr>
              <w:jc w:val="right"/>
              <w:ind w:right="132"/>
              <w:spacing w:after="0" w:line="97" w:lineRule="exact"/>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572"/>
              <w:spacing w:after="0" w:line="97" w:lineRule="exact"/>
              <w:rPr>
                <w:sz w:val="20"/>
                <w:szCs w:val="20"/>
                <w:color w:val="auto"/>
              </w:rPr>
            </w:pPr>
            <w:r>
              <w:rPr>
                <w:rFonts w:ascii="Arial" w:cs="Arial" w:eastAsia="Arial" w:hAnsi="Arial"/>
                <w:sz w:val="10"/>
                <w:szCs w:val="10"/>
                <w:b w:val="1"/>
                <w:bCs w:val="1"/>
                <w:color w:val="auto"/>
              </w:rPr>
              <w:t>2017</w:t>
            </w:r>
          </w:p>
        </w:tc>
        <w:tc>
          <w:tcPr>
            <w:tcW w:w="2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552"/>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58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65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 xml:space="preserve">Numerator </w:t>
            </w:r>
            <w:r>
              <w:rPr>
                <w:rFonts w:ascii="Arial" w:cs="Arial" w:eastAsia="Arial" w:hAnsi="Arial"/>
                <w:sz w:val="10"/>
                <w:szCs w:val="10"/>
                <w:color w:val="auto"/>
              </w:rPr>
              <w:t>(for basic and diluted earnings per share)</w:t>
            </w: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56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Net loss</w:t>
            </w:r>
          </w:p>
        </w:tc>
        <w:tc>
          <w:tcPr>
            <w:tcW w:w="980" w:type="dxa"/>
            <w:vAlign w:val="bottom"/>
            <w:shd w:val="clear" w:color="auto" w:fill="CFF0FC"/>
          </w:tcPr>
          <w:p>
            <w:pPr>
              <w:jc w:val="right"/>
              <w:ind w:right="872"/>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FF0FC"/>
          </w:tcPr>
          <w:p>
            <w:pPr>
              <w:jc w:val="right"/>
              <w:ind w:right="120"/>
              <w:spacing w:after="0" w:line="108" w:lineRule="exact"/>
              <w:rPr>
                <w:sz w:val="20"/>
                <w:szCs w:val="20"/>
                <w:color w:val="auto"/>
              </w:rPr>
            </w:pPr>
            <w:r>
              <w:rPr>
                <w:rFonts w:ascii="Arial" w:cs="Arial" w:eastAsia="Arial" w:hAnsi="Arial"/>
                <w:sz w:val="10"/>
                <w:szCs w:val="10"/>
                <w:color w:val="auto"/>
              </w:rPr>
              <w:t>(7,121)</w:t>
            </w:r>
          </w:p>
        </w:tc>
        <w:tc>
          <w:tcPr>
            <w:tcW w:w="440" w:type="dxa"/>
            <w:vAlign w:val="bottom"/>
            <w:gridSpan w:val="2"/>
            <w:shd w:val="clear" w:color="auto" w:fill="CFF0FC"/>
          </w:tcPr>
          <w:p>
            <w:pPr>
              <w:jc w:val="right"/>
              <w:ind w:right="232"/>
              <w:spacing w:after="0" w:line="108" w:lineRule="exact"/>
              <w:rPr>
                <w:sz w:val="20"/>
                <w:szCs w:val="20"/>
                <w:color w:val="auto"/>
              </w:rPr>
            </w:pPr>
            <w:r>
              <w:rPr>
                <w:rFonts w:ascii="Arial" w:cs="Arial" w:eastAsia="Arial" w:hAnsi="Arial"/>
                <w:sz w:val="10"/>
                <w:szCs w:val="10"/>
                <w:color w:val="auto"/>
              </w:rPr>
              <w:t>$</w:t>
            </w:r>
          </w:p>
        </w:tc>
        <w:tc>
          <w:tcPr>
            <w:tcW w:w="13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(3,029)</w:t>
            </w:r>
          </w:p>
        </w:tc>
        <w:tc>
          <w:tcPr>
            <w:tcW w:w="320" w:type="dxa"/>
            <w:vAlign w:val="bottom"/>
            <w:shd w:val="clear" w:color="auto" w:fill="CFF0FC"/>
          </w:tcPr>
          <w:p>
            <w:pPr>
              <w:jc w:val="right"/>
              <w:ind w:right="256"/>
              <w:spacing w:after="0"/>
              <w:rPr>
                <w:sz w:val="20"/>
                <w:szCs w:val="20"/>
                <w:color w:val="auto"/>
              </w:rPr>
            </w:pPr>
            <w:r>
              <w:rPr>
                <w:rFonts w:ascii="Arial" w:cs="Arial" w:eastAsia="Arial" w:hAnsi="Arial"/>
                <w:sz w:val="5"/>
                <w:szCs w:val="5"/>
                <w:color w:val="auto"/>
                <w:w w:val="70"/>
              </w:rPr>
              <w:t>$</w:t>
            </w:r>
          </w:p>
        </w:tc>
        <w:tc>
          <w:tcPr>
            <w:tcW w:w="120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(38,218)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60" w:type="dxa"/>
            <w:vAlign w:val="bottom"/>
            <w:tcBorders>
              <w:top w:val="single" w:sz="8" w:color="CFF0FC"/>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560" w:type="dxa"/>
            <w:vAlign w:val="bottom"/>
            <w:shd w:val="clear" w:color="auto" w:fill="CFF0FC"/>
          </w:tcPr>
          <w:p>
            <w:pPr>
              <w:spacing w:after="0" w:line="108" w:lineRule="exact"/>
              <w:rPr>
                <w:sz w:val="20"/>
                <w:szCs w:val="20"/>
                <w:color w:val="auto"/>
              </w:rPr>
            </w:pPr>
            <w:r>
              <w:rPr>
                <w:rFonts w:ascii="Arial" w:cs="Arial" w:eastAsia="Arial" w:hAnsi="Arial"/>
                <w:sz w:val="10"/>
                <w:szCs w:val="10"/>
                <w:b w:val="1"/>
                <w:bCs w:val="1"/>
                <w:color w:val="auto"/>
              </w:rPr>
              <w:t>Denominator</w:t>
            </w:r>
          </w:p>
        </w:tc>
        <w:tc>
          <w:tcPr>
            <w:tcW w:w="9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Pr>
          <w:p>
            <w:pPr>
              <w:spacing w:after="0" w:line="108" w:lineRule="exact"/>
              <w:rPr>
                <w:sz w:val="20"/>
                <w:szCs w:val="20"/>
                <w:color w:val="auto"/>
              </w:rPr>
            </w:pPr>
            <w:r>
              <w:rPr>
                <w:rFonts w:ascii="Arial" w:cs="Arial" w:eastAsia="Arial" w:hAnsi="Arial"/>
                <w:sz w:val="10"/>
                <w:szCs w:val="10"/>
                <w:color w:val="auto"/>
              </w:rPr>
              <w:t>Basic weighted-average shares outstanding</w:t>
            </w:r>
          </w:p>
        </w:tc>
        <w:tc>
          <w:tcPr>
            <w:tcW w:w="98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0"/>
                <w:szCs w:val="10"/>
                <w:color w:val="auto"/>
              </w:rPr>
              <w:t>34,714</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jc w:val="right"/>
              <w:spacing w:after="0" w:line="108" w:lineRule="exact"/>
              <w:rPr>
                <w:sz w:val="20"/>
                <w:szCs w:val="20"/>
                <w:color w:val="auto"/>
              </w:rPr>
            </w:pPr>
            <w:r>
              <w:rPr>
                <w:rFonts w:ascii="Arial" w:cs="Arial" w:eastAsia="Arial" w:hAnsi="Arial"/>
                <w:sz w:val="10"/>
                <w:szCs w:val="10"/>
                <w:color w:val="auto"/>
              </w:rPr>
              <w:t>34,445</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spacing w:after="0" w:line="108" w:lineRule="exact"/>
              <w:rPr>
                <w:sz w:val="20"/>
                <w:szCs w:val="20"/>
                <w:color w:val="auto"/>
              </w:rPr>
            </w:pPr>
            <w:r>
              <w:rPr>
                <w:rFonts w:ascii="Arial" w:cs="Arial" w:eastAsia="Arial" w:hAnsi="Arial"/>
                <w:sz w:val="10"/>
                <w:szCs w:val="10"/>
                <w:color w:val="auto"/>
              </w:rPr>
              <w:t>33,980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Common stock equivalents arising from stock options and restricted stock awards</w:t>
            </w:r>
          </w:p>
        </w:tc>
        <w:tc>
          <w:tcPr>
            <w:tcW w:w="980" w:type="dxa"/>
            <w:vAlign w:val="bottom"/>
            <w:shd w:val="clear" w:color="auto" w:fill="CFF0FC"/>
          </w:tcPr>
          <w:p>
            <w:pPr>
              <w:spacing w:after="0"/>
              <w:rPr>
                <w:sz w:val="9"/>
                <w:szCs w:val="9"/>
                <w:color w:val="auto"/>
              </w:rPr>
            </w:pPr>
          </w:p>
        </w:tc>
        <w:tc>
          <w:tcPr>
            <w:tcW w:w="600" w:type="dxa"/>
            <w:vAlign w:val="bottom"/>
            <w:gridSpan w:val="2"/>
            <w:shd w:val="clear" w:color="auto" w:fill="CFF0FC"/>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60" w:type="dxa"/>
            <w:vAlign w:val="bottom"/>
            <w:gridSpan w:val="2"/>
            <w:shd w:val="clear" w:color="auto" w:fill="CFF0FC"/>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6580" w:type="dxa"/>
            <w:vAlign w:val="bottom"/>
            <w:gridSpan w:val="2"/>
          </w:tcPr>
          <w:p>
            <w:pPr>
              <w:spacing w:after="0" w:line="97" w:lineRule="exact"/>
              <w:rPr>
                <w:sz w:val="20"/>
                <w:szCs w:val="20"/>
                <w:color w:val="auto"/>
              </w:rPr>
            </w:pPr>
            <w:r>
              <w:rPr>
                <w:rFonts w:ascii="Arial" w:cs="Arial" w:eastAsia="Arial" w:hAnsi="Arial"/>
                <w:sz w:val="10"/>
                <w:szCs w:val="10"/>
                <w:color w:val="auto"/>
              </w:rPr>
              <w:t>Diluted weighted-average shares outstanding</w:t>
            </w:r>
          </w:p>
        </w:tc>
        <w:tc>
          <w:tcPr>
            <w:tcW w:w="9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34,714</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10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34,445</w:t>
            </w:r>
          </w:p>
        </w:tc>
        <w:tc>
          <w:tcPr>
            <w:tcW w:w="280" w:type="dxa"/>
            <w:vAlign w:val="bottom"/>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0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33,980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Options and unvested restricted stock units are included in the computation of diluted earnings per share using the treasury stock method. For 2018, 2017 and 2016, outstanding options and unvested restricted stock units of 0.8 million, 0.7 million and 1.6 million, respectively, were excluded from the computation of diluted earnings per share due to their having an anti-dilutive effect.</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Once a restricted stock award vests, it is included in the computation of weighted average shares outstanding for purposes of basic and diluted earnings per share.</w:t>
      </w:r>
    </w:p>
    <w:p>
      <w:pPr>
        <w:spacing w:after="0" w:line="150" w:lineRule="exact"/>
        <w:rPr>
          <w:sz w:val="20"/>
          <w:szCs w:val="20"/>
          <w:color w:val="auto"/>
        </w:rPr>
      </w:pPr>
    </w:p>
    <w:p>
      <w:pPr>
        <w:ind w:right="80" w:firstLine="521"/>
        <w:spacing w:after="0" w:line="263" w:lineRule="auto"/>
        <w:rPr>
          <w:sz w:val="20"/>
          <w:szCs w:val="20"/>
          <w:color w:val="auto"/>
        </w:rPr>
      </w:pPr>
      <w:r>
        <w:rPr>
          <w:rFonts w:ascii="Arial" w:cs="Arial" w:eastAsia="Arial" w:hAnsi="Arial"/>
          <w:sz w:val="12"/>
          <w:szCs w:val="12"/>
          <w:i w:val="1"/>
          <w:iCs w:val="1"/>
          <w:color w:val="auto"/>
        </w:rPr>
        <w:t>Foreign Currency Translation</w:t>
      </w:r>
      <w:r>
        <w:rPr>
          <w:rFonts w:ascii="Arial" w:cs="Arial" w:eastAsia="Arial" w:hAnsi="Arial"/>
          <w:sz w:val="12"/>
          <w:szCs w:val="12"/>
          <w:color w:val="auto"/>
        </w:rPr>
        <w:t>—The functional currencies of the Company’s foreign subsidiaries are their local currencies and their books and records are maintained in the local currency. The assets and liabilities of these</w:t>
      </w:r>
      <w:r>
        <w:rPr>
          <w:rFonts w:ascii="Arial" w:cs="Arial" w:eastAsia="Arial" w:hAnsi="Arial"/>
          <w:sz w:val="12"/>
          <w:szCs w:val="12"/>
          <w:i w:val="1"/>
          <w:iCs w:val="1"/>
          <w:color w:val="auto"/>
        </w:rPr>
        <w:t xml:space="preserve"> </w:t>
      </w:r>
      <w:r>
        <w:rPr>
          <w:rFonts w:ascii="Arial" w:cs="Arial" w:eastAsia="Arial" w:hAnsi="Arial"/>
          <w:sz w:val="12"/>
          <w:szCs w:val="12"/>
          <w:color w:val="auto"/>
        </w:rPr>
        <w:t>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Income and expenses are translated into USD at average exchange rates in effect during the period.</w:t>
      </w:r>
    </w:p>
    <w:p>
      <w:pPr>
        <w:spacing w:after="0" w:line="150" w:lineRule="exact"/>
        <w:rPr>
          <w:sz w:val="20"/>
          <w:szCs w:val="20"/>
          <w:color w:val="auto"/>
        </w:rPr>
      </w:pPr>
    </w:p>
    <w:p>
      <w:pPr>
        <w:ind w:right="160" w:firstLine="521"/>
        <w:spacing w:after="0" w:line="276" w:lineRule="auto"/>
        <w:rPr>
          <w:sz w:val="20"/>
          <w:szCs w:val="20"/>
          <w:color w:val="auto"/>
        </w:rPr>
      </w:pPr>
      <w:r>
        <w:rPr>
          <w:rFonts w:ascii="Arial" w:cs="Arial" w:eastAsia="Arial" w:hAnsi="Arial"/>
          <w:sz w:val="12"/>
          <w:szCs w:val="12"/>
          <w:color w:val="auto"/>
        </w:rPr>
        <w:t>Transactions denominated in other than the local currency are remeasured into the local currency and the resulting exchange gains or losses are included in “Other income (expense), net” line of the Consolidated Statements of Operations. Transaction gains were $0.7 million, $0.1 million and $0.7 million in 2018, 2017 and 2016,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 Financial Accounting Pronouncements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Accounting Standards Adopted in 2018</w:t>
      </w:r>
    </w:p>
    <w:p>
      <w:pPr>
        <w:spacing w:after="0" w:line="150" w:lineRule="exact"/>
        <w:rPr>
          <w:sz w:val="20"/>
          <w:szCs w:val="20"/>
          <w:color w:val="auto"/>
        </w:rPr>
      </w:pPr>
    </w:p>
    <w:p>
      <w:pPr>
        <w:jc w:val="both"/>
        <w:ind w:right="120" w:firstLine="521"/>
        <w:spacing w:after="0" w:line="263" w:lineRule="auto"/>
        <w:rPr>
          <w:sz w:val="20"/>
          <w:szCs w:val="20"/>
          <w:color w:val="auto"/>
        </w:rPr>
      </w:pPr>
      <w:r>
        <w:rPr>
          <w:rFonts w:ascii="Arial" w:cs="Arial" w:eastAsia="Arial" w:hAnsi="Arial"/>
          <w:sz w:val="12"/>
          <w:szCs w:val="12"/>
          <w:color w:val="auto"/>
        </w:rPr>
        <w:t>In March 2018, the FASB issued Accounting Standards Update (“ASU”) 2018-05, “Income Taxes (Topic 740): Amendments to SEC Paragraphs Pursuant to SEC Staff Accounting Bulletin No. 118.” The standard relates to the accounting and disclosures around the issuance of the SEC’s Staff Accounting Bulletin No. 118, “Income Tax Accounting Implications of the Tax Cuts and Jobs Act” (“SAB 118”), which the Company has adopted. See Note 14 – Income Taxes for the disclosures related to this amended guidance.</w:t>
      </w:r>
    </w:p>
    <w:p>
      <w:pPr>
        <w:spacing w:after="0" w:line="123" w:lineRule="exact"/>
        <w:rPr>
          <w:sz w:val="20"/>
          <w:szCs w:val="20"/>
          <w:color w:val="auto"/>
        </w:rPr>
      </w:pPr>
    </w:p>
    <w:p>
      <w:pPr>
        <w:ind w:right="140" w:firstLine="521"/>
        <w:spacing w:after="0" w:line="257" w:lineRule="auto"/>
        <w:rPr>
          <w:sz w:val="20"/>
          <w:szCs w:val="20"/>
          <w:color w:val="auto"/>
        </w:rPr>
      </w:pPr>
      <w:r>
        <w:rPr>
          <w:rFonts w:ascii="Arial" w:cs="Arial" w:eastAsia="Arial" w:hAnsi="Arial"/>
          <w:sz w:val="12"/>
          <w:szCs w:val="12"/>
          <w:color w:val="auto"/>
        </w:rPr>
        <w:t>In February 2018, the FASB issued ASU No. 2018-02, “Income Statement — Reporting Comprehensive Income (Topic 220): Reclassification of Certain Tax Effects from Accumulated Other Comprehensive Income.” The standard allows for reclassification of stranded tax effects on items resulting from the Tax Cuts and Jobs Act (the “Tax Act”) from accumulated other comprehensive income to retained earnings. Tax effects unrelated to the Tax Act are released from accumulated other comprehensive income based on the nature of the underlying item. The Company adopted this ASU in the first quarter of 2018, under the prospective method resulting in accumulated loss in the Consolidated Balance Sheets decreasing by approximately $1.1 million, with a corresponding increase in accumulated other comprehensive loss in the Consolidated Balance Sheets due to the reduction in the federal income tax rate from 35% to 21%. See Note 14 — Income Taxes for additional information about the Tax Act.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63" w:name="page64"/>
    <w:bookmarkEnd w:id="63"/>
    <w:p>
      <w:pPr>
        <w:ind w:firstLine="521"/>
        <w:spacing w:after="0" w:line="263" w:lineRule="auto"/>
        <w:rPr>
          <w:sz w:val="20"/>
          <w:szCs w:val="20"/>
          <w:color w:val="auto"/>
        </w:rPr>
      </w:pPr>
      <w:r>
        <w:rPr>
          <w:rFonts w:ascii="Arial" w:cs="Arial" w:eastAsia="Arial" w:hAnsi="Arial"/>
          <w:sz w:val="12"/>
          <w:szCs w:val="12"/>
          <w:color w:val="auto"/>
        </w:rPr>
        <w:t>In May 2017, the FASB issued ASU 2017-09, “Compensation – Stock Compensation (Topic 718): Scope of Modification Accounting.” ASU 2017-09 clarifies when changes to the terms or conditions of a share-based award must be accounted for as a modification. We adopted ASU 2017-09 on January 1, 2018, under the prospective method. The adoption had no impact on our consolidated financial statements as there were no events requiring management to evaluate for a potential modification to a share-based payment award.</w:t>
      </w:r>
    </w:p>
    <w:p>
      <w:pPr>
        <w:spacing w:after="0" w:line="123" w:lineRule="exact"/>
        <w:rPr>
          <w:sz w:val="20"/>
          <w:szCs w:val="20"/>
          <w:color w:val="auto"/>
        </w:rPr>
      </w:pPr>
    </w:p>
    <w:p>
      <w:pPr>
        <w:ind w:right="20" w:firstLine="521"/>
        <w:spacing w:after="0" w:line="313" w:lineRule="auto"/>
        <w:rPr>
          <w:sz w:val="20"/>
          <w:szCs w:val="20"/>
          <w:color w:val="auto"/>
        </w:rPr>
      </w:pPr>
      <w:r>
        <w:rPr>
          <w:rFonts w:ascii="Arial" w:cs="Arial" w:eastAsia="Arial" w:hAnsi="Arial"/>
          <w:sz w:val="10"/>
          <w:szCs w:val="10"/>
          <w:color w:val="auto"/>
        </w:rPr>
        <w:t>In March 2017, the FASB issued ASU 2017-07, “Compensation – Retirement Benefits (Topic 715): Improving the Presentation of Net Periodic Pension Cost and Net Periodic Postretirement Benefit Cost.” Under existing GAAP, an entity is required to present all components of net periodic pension cost and net periodic postretirement benefit cost aggregated as a net amount in the income statement, and this net amount may be capitalized as part of an asset where appropriate. ASU 2017-07 requires that the service cost component is reported in the same line item or items as other compensation costs arising from services rendered by the employees during the period, and requires the other components of net periodic pension cost and net periodic postretirement benefit cost to be presented in the income statement separately from the service cost component and outside a subtotal of income from operations, if one is presented. We adopted ASU 2017-07 on January 1, 2018, under the retrospective method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The adoption resulted in reclassification of the other components of net periodic pension cost outside of operating income the impact of which was not material. See Note 11 – Pension and Employee Benefit Plans for additional disclosures related to the adoption of the standard.</w:t>
      </w:r>
    </w:p>
    <w:p>
      <w:pPr>
        <w:spacing w:after="0" w:line="103" w:lineRule="exact"/>
        <w:rPr>
          <w:sz w:val="20"/>
          <w:szCs w:val="20"/>
          <w:color w:val="auto"/>
        </w:rPr>
      </w:pPr>
    </w:p>
    <w:p>
      <w:pPr>
        <w:ind w:right="60" w:firstLine="521"/>
        <w:spacing w:after="0" w:line="290" w:lineRule="auto"/>
        <w:rPr>
          <w:sz w:val="20"/>
          <w:szCs w:val="20"/>
          <w:color w:val="auto"/>
        </w:rPr>
      </w:pPr>
      <w:r>
        <w:rPr>
          <w:rFonts w:ascii="Arial" w:cs="Arial" w:eastAsia="Arial" w:hAnsi="Arial"/>
          <w:sz w:val="11"/>
          <w:szCs w:val="11"/>
          <w:color w:val="auto"/>
        </w:rPr>
        <w:t>In January 2017, the FASB issued ASU 2017-01, “Business Combinations (Topic 805): Clarifying the Definition of a Business.”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We adopted ASU 2017-01 on January 1, 2018, under the prospective method. The adoption of the standard’s definition of a business was followed for the Company’s 2018 divestitures. The divestitures would have been considered a business both before and after the adoption of the standard and, therefore, the provisions of ASU 2017-01 did not have a material effect on the Company’s consolidated financial statements.</w:t>
      </w:r>
    </w:p>
    <w:p>
      <w:pPr>
        <w:spacing w:after="0" w:line="109"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In November 2016, the FASB issued ASU 2016-18, “Statement of Cash Flows (Topic 230): Restricted Cash.” ASU 2016-18 requires the change during the period in the total of cash, cash equivalents, and restricted cash to be included with cash and cash equivalents when reconciling the beginning-of-period and end-of-period total amounts shown on the statement of cash flows. We adopted ASU 2016-18 on January 1, 2018, under the retrospective method. The prior year statement of cash flows has been reclassified to conform with the standard. The impact of the adoption was not material to the Company. The adoption resulted in the Company classifying restricted cash in Cash, Cash Equivalents and Restricted Cash in the Consolidated Statements of Cash Flows for each period presented.</w:t>
      </w:r>
    </w:p>
    <w:p>
      <w:pPr>
        <w:spacing w:after="0" w:line="125" w:lineRule="exact"/>
        <w:rPr>
          <w:sz w:val="20"/>
          <w:szCs w:val="20"/>
          <w:color w:val="auto"/>
        </w:rPr>
      </w:pPr>
    </w:p>
    <w:p>
      <w:pPr>
        <w:ind w:right="260" w:firstLine="521"/>
        <w:spacing w:after="0" w:line="263" w:lineRule="auto"/>
        <w:rPr>
          <w:sz w:val="20"/>
          <w:szCs w:val="20"/>
          <w:color w:val="auto"/>
        </w:rPr>
      </w:pPr>
      <w:r>
        <w:rPr>
          <w:rFonts w:ascii="Arial" w:cs="Arial" w:eastAsia="Arial" w:hAnsi="Arial"/>
          <w:sz w:val="12"/>
          <w:szCs w:val="12"/>
          <w:color w:val="auto"/>
        </w:rPr>
        <w:t>In August 2016, the FASB issued ASU 2016-15, “Statement of Cash Flows (Topic 230): Classification of Certain Cash Receipts and Cash Payments.” ASU 2016-15 provides guidance on how certain cash receipts and cash payments are presented and classified in the statement of cash flows. We adopted ASU 2016-15 on January 1, 2018, under the retrospective method. The adoption resulted in the reclassification of $1.0 million payoff of loans on life insurance policies in the 2016 Statement of Cash Flows from financing activities to investing activities.</w:t>
      </w:r>
    </w:p>
    <w:p>
      <w:pPr>
        <w:spacing w:after="0" w:line="123" w:lineRule="exact"/>
        <w:rPr>
          <w:sz w:val="20"/>
          <w:szCs w:val="20"/>
          <w:color w:val="auto"/>
        </w:rPr>
      </w:pPr>
    </w:p>
    <w:p>
      <w:pPr>
        <w:jc w:val="both"/>
        <w:ind w:right="200" w:firstLine="521"/>
        <w:spacing w:after="0" w:line="340" w:lineRule="auto"/>
        <w:rPr>
          <w:sz w:val="20"/>
          <w:szCs w:val="20"/>
          <w:color w:val="auto"/>
        </w:rPr>
      </w:pPr>
      <w:r>
        <w:rPr>
          <w:rFonts w:ascii="Arial" w:cs="Arial" w:eastAsia="Arial" w:hAnsi="Arial"/>
          <w:sz w:val="10"/>
          <w:szCs w:val="10"/>
          <w:color w:val="auto"/>
        </w:rPr>
        <w:t>In May 2014, the FASB issued ASU 2014-09, “Revenue From Contracts With Customers.” ASU 2014-09 supersedes nearly all existing revenue recognition principles under GAAP. The core principle of ASU 2014-09 is to recognize revenues when promised goods or services are transferred to customers in an amount that reflects the consideration an entity expects to be entitled to for those goods or services using a defined five-step process. In 2016, the FASB issued accounting standards updates to address implementation issues and to clarify the guidance for identifying performance obligations, licenses and determining if a company is the principal or agent in a revenue arrangement.</w:t>
      </w:r>
    </w:p>
    <w:p>
      <w:pPr>
        <w:spacing w:after="0" w:line="88" w:lineRule="exact"/>
        <w:rPr>
          <w:sz w:val="20"/>
          <w:szCs w:val="20"/>
          <w:color w:val="auto"/>
        </w:rPr>
      </w:pPr>
    </w:p>
    <w:p>
      <w:pPr>
        <w:ind w:right="140" w:firstLine="521"/>
        <w:spacing w:after="0" w:line="259" w:lineRule="auto"/>
        <w:rPr>
          <w:sz w:val="20"/>
          <w:szCs w:val="20"/>
          <w:color w:val="auto"/>
        </w:rPr>
      </w:pPr>
      <w:r>
        <w:rPr>
          <w:rFonts w:ascii="Arial" w:cs="Arial" w:eastAsia="Arial" w:hAnsi="Arial"/>
          <w:sz w:val="12"/>
          <w:szCs w:val="12"/>
          <w:color w:val="auto"/>
        </w:rPr>
        <w:t>We adopted ASU 2014-09 on January 1, 2018, under the modified retrospective method where the cumulative effect is recognized through retained earnings as of the date of adoption. Under the new standard, certain contract arrangements that were historically recognized over time under our previous policies will now be recognized at a point in time upon completion of the contracts. Based on the Company’s evaluation of existing contracts that were not substantially complete as of January 1, 2018, the $0.6 million cumulative effect adjustment to the opening balance of retained earnings is reflected in the Consolidated Statement of Shareholders’ Equity. See Note 1—Nature of Business and Summary of Significant Accounting Policies for details on our accounting policies under the new standard.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64" w:name="page65"/>
    <w:bookmarkEnd w:id="64"/>
    <w:p>
      <w:pPr>
        <w:ind w:left="528"/>
        <w:spacing w:after="0"/>
        <w:rPr>
          <w:sz w:val="20"/>
          <w:szCs w:val="20"/>
          <w:color w:val="auto"/>
        </w:rPr>
      </w:pPr>
      <w:r>
        <w:rPr>
          <w:rFonts w:ascii="Arial" w:cs="Arial" w:eastAsia="Arial" w:hAnsi="Arial"/>
          <w:sz w:val="12"/>
          <w:szCs w:val="12"/>
          <w:i w:val="1"/>
          <w:iCs w:val="1"/>
          <w:color w:val="auto"/>
        </w:rPr>
        <w:t>Accounting Standards Yet to be Adopted</w:t>
      </w:r>
    </w:p>
    <w:p>
      <w:pPr>
        <w:spacing w:after="0" w:line="78" w:lineRule="exact"/>
        <w:rPr>
          <w:sz w:val="20"/>
          <w:szCs w:val="20"/>
          <w:color w:val="auto"/>
        </w:rPr>
      </w:pPr>
    </w:p>
    <w:p>
      <w:pPr>
        <w:ind w:left="8" w:right="140" w:firstLine="521"/>
        <w:spacing w:after="0" w:line="259" w:lineRule="auto"/>
        <w:rPr>
          <w:sz w:val="20"/>
          <w:szCs w:val="20"/>
          <w:color w:val="auto"/>
        </w:rPr>
      </w:pPr>
      <w:r>
        <w:rPr>
          <w:rFonts w:ascii="Arial" w:cs="Arial" w:eastAsia="Arial" w:hAnsi="Arial"/>
          <w:sz w:val="12"/>
          <w:szCs w:val="12"/>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us January 1, 2021. We are evaluating the impact of the adoption of ASU 2018-14 on our consolidated financial statements.</w:t>
      </w:r>
    </w:p>
    <w:p>
      <w:pPr>
        <w:spacing w:after="0" w:line="125" w:lineRule="exact"/>
        <w:rPr>
          <w:sz w:val="20"/>
          <w:szCs w:val="20"/>
          <w:color w:val="auto"/>
        </w:rPr>
      </w:pPr>
    </w:p>
    <w:p>
      <w:pPr>
        <w:ind w:left="8" w:firstLine="521"/>
        <w:spacing w:after="0" w:line="290" w:lineRule="auto"/>
        <w:rPr>
          <w:sz w:val="20"/>
          <w:szCs w:val="20"/>
          <w:color w:val="auto"/>
        </w:rPr>
      </w:pPr>
      <w:r>
        <w:rPr>
          <w:rFonts w:ascii="Arial" w:cs="Arial" w:eastAsia="Arial" w:hAnsi="Arial"/>
          <w:sz w:val="11"/>
          <w:szCs w:val="11"/>
          <w:color w:val="auto"/>
        </w:rPr>
        <w:t>In August 2017, the FASB issued ASU 2017-12, “Derivatives and Hedging (Topic 815): Targeted Improvements to Accounting for Hedging Activities.” ASU 2017-12 expands an entity’s ability to apply hedge accounting for nonfinancial and financial risk components and allows for a simplified approach for fair value hedging of interest rate risk. ASU 2017-12 eliminates the need to separately measure and report hedge ineffectiveness and generally requires the entire change in fair value of a hedging instrument to be presented in the same income statement line as the hedged item. Additionally, ASU 2017-12 simplifies the hedge documentation and effectiveness assessment under the previous guidance. We will adopt the standard on January 1, 2019. We do not expect the adoption of this guidance to have a material impact on our consolidated financial statements.</w:t>
      </w:r>
    </w:p>
    <w:p>
      <w:pPr>
        <w:spacing w:after="0" w:line="109" w:lineRule="exact"/>
        <w:rPr>
          <w:sz w:val="20"/>
          <w:szCs w:val="20"/>
          <w:color w:val="auto"/>
        </w:rPr>
      </w:pPr>
    </w:p>
    <w:p>
      <w:pPr>
        <w:ind w:left="8" w:right="20" w:firstLine="521"/>
        <w:spacing w:after="0" w:line="279" w:lineRule="auto"/>
        <w:rPr>
          <w:sz w:val="20"/>
          <w:szCs w:val="20"/>
          <w:color w:val="auto"/>
        </w:rPr>
      </w:pPr>
      <w:r>
        <w:rPr>
          <w:rFonts w:ascii="Arial" w:cs="Arial" w:eastAsia="Arial" w:hAnsi="Arial"/>
          <w:sz w:val="11"/>
          <w:szCs w:val="11"/>
          <w:color w:val="auto"/>
        </w:rPr>
        <w:t>In February 2016, the FASB issued ASU 2016-02, “Leases,” which, together with its related clarifying ASUs, provides revised guidance for lease accounting and related disclosure requirements and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This guidance is effective for us on January 1, 2019. We will adopt the standard using the modified retrospective method which will be applied to leases that exist or are entered into on or after January 1, 2019. The Company will elect to utilize the package of practical expedients that allows entities to 1) not reassess whether any expired or existing contracts are or contain leases, 2) retain the existing classification of lease contracts as of the date of adoption, and 3) not reassess initial direct costs for any existing leases. The Company is in the final stages of evaluating its existing lease portfolio and is continuing to assess and quantify the amount of ROU assets and lease liabilities that will be included on its balance sheet as of January 1, 2019. The Company is finalizing its implementation of a new lease accounting and administration software solution to manage and account for leases under the new guidance and is updating certain of its business processes and internal controls to meet the reporting and disclosure requirements of the new standard. We believe that the new standard will have a material impact on our consolidated balance sheet due to the recognition of ROU assets and liabilities for our operating leases, but it is not expected to have a material impact on our statement of operations or liquidity. The ASU will also require disclosures to allow financial statement users to better understand the amount, timing and uncertainty of cash flows arising from leases. These disclosures include qualitative and quantitative requirements, providing additional information about the amounts recorded in the financial statements. Our leasing activity is primarily related to buildings as well as various sale-leaseback transactions.</w:t>
      </w:r>
    </w:p>
    <w:p>
      <w:pPr>
        <w:spacing w:after="0" w:line="237" w:lineRule="exact"/>
        <w:rPr>
          <w:sz w:val="20"/>
          <w:szCs w:val="20"/>
          <w:color w:val="auto"/>
        </w:rPr>
      </w:pPr>
    </w:p>
    <w:p>
      <w:pPr>
        <w:ind w:left="508" w:hanging="508"/>
        <w:spacing w:after="0"/>
        <w:tabs>
          <w:tab w:leader="none" w:pos="508"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w:t>
      </w:r>
    </w:p>
    <w:p>
      <w:pPr>
        <w:spacing w:after="0" w:line="82" w:lineRule="exact"/>
        <w:rPr>
          <w:sz w:val="20"/>
          <w:szCs w:val="20"/>
          <w:color w:val="auto"/>
        </w:rPr>
      </w:pPr>
    </w:p>
    <w:p>
      <w:pPr>
        <w:ind w:left="8" w:right="80" w:firstLine="521"/>
        <w:spacing w:after="0" w:line="276" w:lineRule="auto"/>
        <w:rPr>
          <w:sz w:val="20"/>
          <w:szCs w:val="20"/>
          <w:color w:val="auto"/>
        </w:rPr>
      </w:pPr>
      <w:r>
        <w:rPr>
          <w:rFonts w:ascii="Arial" w:cs="Arial" w:eastAsia="Arial" w:hAnsi="Arial"/>
          <w:sz w:val="12"/>
          <w:szCs w:val="12"/>
          <w:color w:val="auto"/>
        </w:rPr>
        <w:t>Our financial instruments consist primarily of cash and cash equivalents, receivables and certain other assets, foreign debt, and accounts payable, which approximate fair value at December 31, 2018 and 2017, due to their short-term nature or variable, market-driven interest rates.</w:t>
      </w:r>
    </w:p>
    <w:p>
      <w:pPr>
        <w:spacing w:after="0" w:line="115" w:lineRule="exact"/>
        <w:rPr>
          <w:sz w:val="20"/>
          <w:szCs w:val="20"/>
          <w:color w:val="auto"/>
        </w:rPr>
      </w:pPr>
    </w:p>
    <w:p>
      <w:pPr>
        <w:ind w:left="8" w:right="20" w:firstLine="521"/>
        <w:spacing w:after="0" w:line="276" w:lineRule="auto"/>
        <w:rPr>
          <w:sz w:val="20"/>
          <w:szCs w:val="20"/>
          <w:color w:val="auto"/>
        </w:rPr>
      </w:pPr>
      <w:r>
        <w:rPr>
          <w:rFonts w:ascii="Arial" w:cs="Arial" w:eastAsia="Arial" w:hAnsi="Arial"/>
          <w:sz w:val="12"/>
          <w:szCs w:val="12"/>
          <w:color w:val="auto"/>
        </w:rPr>
        <w:t>The fair value of the debt issued under the Credit Agreement was $76.1 million and $114.9 million at December 31, 2018 and 2017, respectively. The fair value of the note payable was $1.7 million and $5.3 million at December 31, 2018 and 2017, respectively. The fair value was determined considering market conditions, our credit worthiness and the current terms of our debt.</w:t>
      </w:r>
    </w:p>
    <w:p>
      <w:pPr>
        <w:spacing w:after="0" w:line="43" w:lineRule="exact"/>
        <w:rPr>
          <w:sz w:val="20"/>
          <w:szCs w:val="20"/>
          <w:color w:val="auto"/>
        </w:rPr>
      </w:pPr>
    </w:p>
    <w:p>
      <w:pPr>
        <w:ind w:left="8" w:right="80" w:firstLine="521"/>
        <w:spacing w:after="0" w:line="276" w:lineRule="auto"/>
        <w:rPr>
          <w:sz w:val="20"/>
          <w:szCs w:val="20"/>
          <w:color w:val="auto"/>
        </w:rPr>
      </w:pPr>
      <w:r>
        <w:rPr>
          <w:rFonts w:ascii="Arial" w:cs="Arial" w:eastAsia="Arial" w:hAnsi="Arial"/>
          <w:sz w:val="12"/>
          <w:szCs w:val="12"/>
          <w:color w:val="auto"/>
        </w:rPr>
        <w:t>In accordance with the terms of the Credit Agreement, the Company entered into an interest rate swap on December 30, 2015 to hedge against interest rate exposure related to a portion of the outstanding debt indexed to LIBOR market rates. See Note 9 for further information regarding the interest rate swap.</w:t>
      </w:r>
    </w:p>
    <w:p>
      <w:pPr>
        <w:spacing w:after="0" w:line="115" w:lineRule="exact"/>
        <w:rPr>
          <w:sz w:val="20"/>
          <w:szCs w:val="20"/>
          <w:color w:val="auto"/>
        </w:rPr>
      </w:pPr>
    </w:p>
    <w:p>
      <w:pPr>
        <w:ind w:left="8" w:right="120" w:firstLine="766"/>
        <w:spacing w:after="0" w:line="276" w:lineRule="auto"/>
        <w:rPr>
          <w:sz w:val="20"/>
          <w:szCs w:val="20"/>
          <w:color w:val="auto"/>
        </w:rPr>
      </w:pPr>
      <w:r>
        <w:rPr>
          <w:rFonts w:ascii="Arial" w:cs="Arial" w:eastAsia="Arial" w:hAnsi="Arial"/>
          <w:sz w:val="12"/>
          <w:szCs w:val="12"/>
          <w:color w:val="auto"/>
        </w:rPr>
        <w:t>At December 31, 2018 and 2017, the Company had cash and cash equivalents of $43.7 million and $29.9 million, respectively, of which $23.3 million and $19.7 million, respectively, was held outside of the United States, principally in the Netherlands, United Kingdom, China, and Canada.</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Concentrations of credit risk:</w:t>
      </w:r>
    </w:p>
    <w:p>
      <w:pPr>
        <w:spacing w:after="0" w:line="78" w:lineRule="exact"/>
        <w:rPr>
          <w:sz w:val="20"/>
          <w:szCs w:val="20"/>
          <w:color w:val="auto"/>
        </w:rPr>
      </w:pPr>
    </w:p>
    <w:p>
      <w:pPr>
        <w:ind w:left="8" w:right="420" w:firstLine="521"/>
        <w:spacing w:after="0" w:line="276" w:lineRule="auto"/>
        <w:rPr>
          <w:sz w:val="20"/>
          <w:szCs w:val="20"/>
          <w:color w:val="auto"/>
        </w:rPr>
      </w:pPr>
      <w:r>
        <w:rPr>
          <w:rFonts w:ascii="Arial" w:cs="Arial" w:eastAsia="Arial" w:hAnsi="Arial"/>
          <w:sz w:val="12"/>
          <w:szCs w:val="12"/>
          <w:color w:val="auto"/>
        </w:rPr>
        <w:t>Financial instruments that potentially subject us to credit risk consist principally of cash and cash equivalents, and accounts receivable. We maintain cash and cash equivalents with various major financial institutions. We perform periodic evaluations of the financial institutions in which our cash is invested. Concentrations of credit risk with respect to trade and contract receivables are</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419" w:right="199" w:bottom="1440" w:gutter="0" w:footer="0" w:header="0"/>
        </w:sectPr>
      </w:pPr>
    </w:p>
    <w:bookmarkStart w:id="65" w:name="page66"/>
    <w:bookmarkEnd w:id="65"/>
    <w:p>
      <w:pPr>
        <w:ind w:left="8"/>
        <w:spacing w:after="0"/>
        <w:rPr>
          <w:sz w:val="20"/>
          <w:szCs w:val="20"/>
          <w:color w:val="auto"/>
        </w:rPr>
      </w:pPr>
      <w:r>
        <w:rPr>
          <w:rFonts w:ascii="Arial" w:cs="Arial" w:eastAsia="Arial" w:hAnsi="Arial"/>
          <w:sz w:val="12"/>
          <w:szCs w:val="12"/>
          <w:color w:val="auto"/>
        </w:rPr>
        <w:t>limited due to the large number of customers and various geographic areas. Additionally, we perform ongoing credit evaluations of our customers’ financial condition.</w:t>
      </w:r>
    </w:p>
    <w:p>
      <w:pPr>
        <w:spacing w:after="0" w:line="27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7780" w:type="dxa"/>
            <w:vAlign w:val="bottom"/>
          </w:tcPr>
          <w:p>
            <w:pPr>
              <w:ind w:left="400"/>
              <w:spacing w:after="0"/>
              <w:rPr>
                <w:sz w:val="20"/>
                <w:szCs w:val="20"/>
                <w:color w:val="auto"/>
              </w:rPr>
            </w:pPr>
            <w:r>
              <w:rPr>
                <w:rFonts w:ascii="Arial" w:cs="Arial" w:eastAsia="Arial" w:hAnsi="Arial"/>
                <w:sz w:val="12"/>
                <w:szCs w:val="12"/>
                <w:b w:val="1"/>
                <w:bCs w:val="1"/>
                <w:color w:val="auto"/>
              </w:rPr>
              <w:t>Accounts Receivable</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900" w:type="dxa"/>
            <w:vAlign w:val="bottom"/>
            <w:gridSpan w:val="2"/>
          </w:tcPr>
          <w:p>
            <w:pPr>
              <w:spacing w:after="0"/>
              <w:rPr>
                <w:sz w:val="20"/>
                <w:szCs w:val="20"/>
                <w:color w:val="auto"/>
              </w:rPr>
            </w:pPr>
            <w:r>
              <w:rPr>
                <w:rFonts w:ascii="Arial" w:cs="Arial" w:eastAsia="Arial" w:hAnsi="Arial"/>
                <w:sz w:val="12"/>
                <w:szCs w:val="12"/>
                <w:color w:val="auto"/>
              </w:rPr>
              <w:t>Accounts receivable consisted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7900" w:type="dxa"/>
            <w:vAlign w:val="bottom"/>
            <w:gridSpan w:val="2"/>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644"/>
              <w:spacing w:after="0" w:line="97"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00" w:type="dxa"/>
            <w:vAlign w:val="bottom"/>
            <w:gridSpan w:val="2"/>
          </w:tcPr>
          <w:p>
            <w:pPr>
              <w:spacing w:after="0"/>
              <w:rPr>
                <w:sz w:val="20"/>
                <w:szCs w:val="20"/>
                <w:color w:val="auto"/>
              </w:rPr>
            </w:pPr>
            <w:r>
              <w:rPr>
                <w:rFonts w:ascii="Arial" w:cs="Arial" w:eastAsia="Arial" w:hAnsi="Arial"/>
                <w:sz w:val="12"/>
                <w:szCs w:val="12"/>
                <w:color w:val="auto"/>
              </w:rPr>
              <w:t>Trade receivables</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7,296</w:t>
            </w:r>
          </w:p>
        </w:tc>
        <w:tc>
          <w:tcPr>
            <w:tcW w:w="160" w:type="dxa"/>
            <w:vAlign w:val="bottom"/>
          </w:tcPr>
          <w:p>
            <w:pPr>
              <w:spacing w:after="0"/>
              <w:rPr>
                <w:sz w:val="12"/>
                <w:szCs w:val="12"/>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11,603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Contract receivables</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48,826</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Allowance for doubtful accounts</w:t>
            </w:r>
          </w:p>
        </w:tc>
        <w:tc>
          <w:tcPr>
            <w:tcW w:w="38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(2,897)</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(4,156)</w:t>
            </w:r>
          </w:p>
        </w:tc>
        <w:tc>
          <w:tcPr>
            <w:tcW w:w="0" w:type="dxa"/>
            <w:vAlign w:val="bottom"/>
          </w:tcPr>
          <w:p>
            <w:pPr>
              <w:spacing w:after="0"/>
              <w:rPr>
                <w:sz w:val="1"/>
                <w:szCs w:val="1"/>
                <w:color w:val="auto"/>
              </w:rPr>
            </w:pPr>
          </w:p>
        </w:tc>
      </w:tr>
      <w:tr>
        <w:trPr>
          <w:trHeight w:val="20"/>
        </w:trPr>
        <w:tc>
          <w:tcPr>
            <w:tcW w:w="120" w:type="dxa"/>
            <w:vAlign w:val="bottom"/>
            <w:shd w:val="clear" w:color="auto" w:fill="CFF0FC"/>
          </w:tcPr>
          <w:p>
            <w:pPr>
              <w:spacing w:after="0" w:line="20" w:lineRule="exact"/>
              <w:rPr>
                <w:sz w:val="1"/>
                <w:szCs w:val="1"/>
                <w:color w:val="auto"/>
              </w:rPr>
            </w:pPr>
          </w:p>
        </w:tc>
        <w:tc>
          <w:tcPr>
            <w:tcW w:w="7780" w:type="dxa"/>
            <w:vAlign w:val="bottom"/>
            <w:vMerge w:val="restart"/>
            <w:shd w:val="clear" w:color="auto" w:fill="CFF0FC"/>
          </w:tcPr>
          <w:p>
            <w:pPr>
              <w:ind w:left="40"/>
              <w:spacing w:after="0"/>
              <w:rPr>
                <w:sz w:val="20"/>
                <w:szCs w:val="20"/>
                <w:color w:val="auto"/>
              </w:rPr>
            </w:pPr>
            <w:r>
              <w:rPr>
                <w:rFonts w:ascii="Arial" w:cs="Arial" w:eastAsia="Arial" w:hAnsi="Arial"/>
                <w:sz w:val="12"/>
                <w:szCs w:val="12"/>
                <w:color w:val="auto"/>
              </w:rPr>
              <w:t>Total accounts receivable</w:t>
            </w: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shd w:val="clear" w:color="auto" w:fill="CFF0FC"/>
          </w:tcPr>
          <w:p>
            <w:pPr>
              <w:spacing w:after="0"/>
              <w:rPr>
                <w:sz w:val="12"/>
                <w:szCs w:val="12"/>
                <w:color w:val="auto"/>
              </w:rPr>
            </w:pPr>
          </w:p>
        </w:tc>
        <w:tc>
          <w:tcPr>
            <w:tcW w:w="7780" w:type="dxa"/>
            <w:vAlign w:val="bottom"/>
            <w:vMerge w:val="continue"/>
            <w:shd w:val="clear" w:color="auto" w:fill="CFF0FC"/>
          </w:tcPr>
          <w:p>
            <w:pPr>
              <w:spacing w:after="0"/>
              <w:rPr>
                <w:sz w:val="12"/>
                <w:szCs w:val="12"/>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53,225</w:t>
            </w:r>
          </w:p>
        </w:tc>
        <w:tc>
          <w:tcPr>
            <w:tcW w:w="1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CFF0FC"/>
          </w:tcPr>
          <w:p>
            <w:pPr>
              <w:spacing w:after="0"/>
              <w:rPr>
                <w:sz w:val="2"/>
                <w:szCs w:val="2"/>
                <w:color w:val="auto"/>
              </w:rPr>
            </w:pPr>
          </w:p>
        </w:tc>
        <w:tc>
          <w:tcPr>
            <w:tcW w:w="778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 w:right="100" w:firstLine="521"/>
        <w:spacing w:after="0" w:line="323" w:lineRule="auto"/>
        <w:rPr>
          <w:sz w:val="20"/>
          <w:szCs w:val="20"/>
          <w:color w:val="auto"/>
        </w:rPr>
      </w:pPr>
      <w:r>
        <w:rPr>
          <w:rFonts w:ascii="Arial" w:cs="Arial" w:eastAsia="Arial" w:hAnsi="Arial"/>
          <w:sz w:val="11"/>
          <w:szCs w:val="11"/>
          <w:color w:val="auto"/>
        </w:rPr>
        <w:t>Balances billed, but not paid by customers under retainage provisions in contracts that are recorded in deferred charges and other assets within the Consolidated Balance Sheets, amounted to approximately $0.9 million and $2.5 million at December 31, 2018 and 2017, respectively. Retainage receivables on contracts in progress are generally collected within a year or two subsequent to contract completion.</w:t>
      </w:r>
    </w:p>
    <w:p>
      <w:pPr>
        <w:spacing w:after="0" w:line="92" w:lineRule="exact"/>
        <w:rPr>
          <w:sz w:val="20"/>
          <w:szCs w:val="20"/>
          <w:color w:val="auto"/>
        </w:rPr>
      </w:pPr>
    </w:p>
    <w:p>
      <w:pPr>
        <w:ind w:left="8" w:right="160" w:firstLine="521"/>
        <w:spacing w:after="0" w:line="276" w:lineRule="auto"/>
        <w:rPr>
          <w:sz w:val="20"/>
          <w:szCs w:val="20"/>
          <w:color w:val="auto"/>
        </w:rPr>
      </w:pPr>
      <w:r>
        <w:rPr>
          <w:rFonts w:ascii="Arial" w:cs="Arial" w:eastAsia="Arial" w:hAnsi="Arial"/>
          <w:sz w:val="12"/>
          <w:szCs w:val="12"/>
          <w:color w:val="auto"/>
        </w:rPr>
        <w:t>Provision for doubtful accounts was $1.4 million, $3.9 million and $0.8 million during 2018, 2017 and 2016, respectively, while accounts charged to the allowance were $0.8 million, $1.5 million and $0.3 million during 2018, 2017 and 2016, respectively.</w:t>
      </w:r>
    </w:p>
    <w:p>
      <w:pPr>
        <w:spacing w:after="0" w:line="115" w:lineRule="exact"/>
        <w:rPr>
          <w:sz w:val="20"/>
          <w:szCs w:val="20"/>
          <w:color w:val="auto"/>
        </w:rPr>
      </w:pPr>
    </w:p>
    <w:p>
      <w:pPr>
        <w:ind w:left="528"/>
        <w:spacing w:after="0"/>
        <w:rPr>
          <w:sz w:val="20"/>
          <w:szCs w:val="20"/>
          <w:color w:val="auto"/>
        </w:rPr>
      </w:pPr>
      <w:r>
        <w:rPr>
          <w:rFonts w:ascii="Arial" w:cs="Arial" w:eastAsia="Arial" w:hAnsi="Arial"/>
          <w:sz w:val="12"/>
          <w:szCs w:val="12"/>
          <w:color w:val="auto"/>
        </w:rPr>
        <w:t>In 2018, the divestitures impacted contract receivables by $22.2 million as well as $1.2 million on the allowance for doubtful accounts.</w:t>
      </w:r>
    </w:p>
    <w:p>
      <w:pPr>
        <w:spacing w:after="0" w:line="272" w:lineRule="exact"/>
        <w:rPr>
          <w:sz w:val="20"/>
          <w:szCs w:val="20"/>
          <w:color w:val="auto"/>
        </w:rPr>
      </w:pPr>
    </w:p>
    <w:p>
      <w:pPr>
        <w:ind w:left="508" w:hanging="508"/>
        <w:spacing w:after="0"/>
        <w:tabs>
          <w:tab w:leader="none" w:pos="508"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Costs and Estimated Earnings on Uncompleted Contracts</w:t>
      </w:r>
    </w:p>
    <w:p>
      <w:pPr>
        <w:spacing w:after="0" w:line="181" w:lineRule="exact"/>
        <w:rPr>
          <w:sz w:val="20"/>
          <w:szCs w:val="20"/>
          <w:color w:val="auto"/>
        </w:rPr>
      </w:pPr>
    </w:p>
    <w:p>
      <w:pPr>
        <w:ind w:left="8" w:right="60" w:firstLine="521"/>
        <w:spacing w:after="0" w:line="263" w:lineRule="auto"/>
        <w:rPr>
          <w:sz w:val="20"/>
          <w:szCs w:val="20"/>
          <w:color w:val="auto"/>
        </w:rPr>
      </w:pPr>
      <w:r>
        <w:rPr>
          <w:rFonts w:ascii="Arial" w:cs="Arial" w:eastAsia="Arial" w:hAnsi="Arial"/>
          <w:sz w:val="12"/>
          <w:szCs w:val="12"/>
          <w:color w:val="auto"/>
        </w:rPr>
        <w:t>Our contracts have various lengths to completion ranging from a few days to several months. We anticipate that a majority of our current contracts will be completed within the next 12 months and any unrecognized billings will be recorded as revenue in that same period. A significant amount of our revenue within the Energy Solutions and Industrial Solutions segments is recognized over a period of time as we perform under the contract because control of the work in process transfers continuously to the customer. The assets and liabilities recognized in association with these contracts are as follows: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50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34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50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20"/>
                <w:szCs w:val="20"/>
                <w:color w:val="auto"/>
              </w:rPr>
            </w:pPr>
            <w:r>
              <w:rPr>
                <w:rFonts w:ascii="Arial" w:cs="Arial" w:eastAsia="Arial" w:hAnsi="Arial"/>
                <w:sz w:val="12"/>
                <w:szCs w:val="12"/>
                <w:color w:val="auto"/>
              </w:rPr>
              <w:t>Costs incurred on uncompleted contracts</w:t>
            </w:r>
          </w:p>
        </w:tc>
        <w:tc>
          <w:tcPr>
            <w:tcW w:w="37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174,168</w:t>
            </w:r>
          </w:p>
        </w:tc>
        <w:tc>
          <w:tcPr>
            <w:tcW w:w="160" w:type="dxa"/>
            <w:vAlign w:val="bottom"/>
          </w:tcPr>
          <w:p>
            <w:pPr>
              <w:spacing w:after="0"/>
              <w:rPr>
                <w:sz w:val="12"/>
                <w:szCs w:val="12"/>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169,665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FF0FC"/>
          </w:tcPr>
          <w:p>
            <w:pPr>
              <w:spacing w:after="0"/>
              <w:rPr>
                <w:sz w:val="20"/>
                <w:szCs w:val="20"/>
                <w:color w:val="auto"/>
              </w:rPr>
            </w:pPr>
            <w:r>
              <w:rPr>
                <w:rFonts w:ascii="Arial" w:cs="Arial" w:eastAsia="Arial" w:hAnsi="Arial"/>
                <w:sz w:val="12"/>
                <w:szCs w:val="12"/>
                <w:color w:val="auto"/>
              </w:rPr>
              <w:t>Estimated earnings</w:t>
            </w:r>
          </w:p>
        </w:tc>
        <w:tc>
          <w:tcPr>
            <w:tcW w:w="34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67,427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61,556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00" w:type="dxa"/>
            <w:vAlign w:val="bottom"/>
          </w:tcPr>
          <w:p>
            <w:pPr>
              <w:ind w:left="160"/>
              <w:spacing w:after="0"/>
              <w:rPr>
                <w:sz w:val="20"/>
                <w:szCs w:val="20"/>
                <w:color w:val="auto"/>
              </w:rPr>
            </w:pPr>
            <w:r>
              <w:rPr>
                <w:rFonts w:ascii="Arial" w:cs="Arial" w:eastAsia="Arial" w:hAnsi="Arial"/>
                <w:sz w:val="12"/>
                <w:szCs w:val="12"/>
                <w:color w:val="auto"/>
              </w:rPr>
              <w:t>Total costs and estimated earnings on uncompleted contracts, gross</w:t>
            </w:r>
          </w:p>
        </w:tc>
        <w:tc>
          <w:tcPr>
            <w:tcW w:w="3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241,595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231,221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FF0FC"/>
          </w:tcPr>
          <w:p>
            <w:pPr>
              <w:spacing w:after="0"/>
              <w:rPr>
                <w:sz w:val="20"/>
                <w:szCs w:val="20"/>
                <w:color w:val="auto"/>
              </w:rPr>
            </w:pPr>
            <w:r>
              <w:rPr>
                <w:rFonts w:ascii="Arial" w:cs="Arial" w:eastAsia="Arial" w:hAnsi="Arial"/>
                <w:sz w:val="12"/>
                <w:szCs w:val="12"/>
                <w:color w:val="auto"/>
              </w:rPr>
              <w:t>Less billings to date</w:t>
            </w:r>
          </w:p>
        </w:tc>
        <w:tc>
          <w:tcPr>
            <w:tcW w:w="34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(232,045)</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(217,743)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160"/>
              <w:spacing w:after="0"/>
              <w:rPr>
                <w:sz w:val="20"/>
                <w:szCs w:val="20"/>
                <w:color w:val="auto"/>
              </w:rPr>
            </w:pPr>
            <w:r>
              <w:rPr>
                <w:rFonts w:ascii="Arial" w:cs="Arial" w:eastAsia="Arial" w:hAnsi="Arial"/>
                <w:sz w:val="12"/>
                <w:szCs w:val="12"/>
                <w:color w:val="auto"/>
              </w:rPr>
              <w:t>Total costs and estimated earnings on uncompleted contracts, net</w:t>
            </w:r>
          </w:p>
        </w:tc>
        <w:tc>
          <w:tcPr>
            <w:tcW w:w="3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vMerge w:val="continue"/>
          </w:tcPr>
          <w:p>
            <w:pPr>
              <w:spacing w:after="0"/>
              <w:rPr>
                <w:sz w:val="12"/>
                <w:szCs w:val="12"/>
                <w:color w:val="auto"/>
              </w:rPr>
            </w:pPr>
          </w:p>
        </w:tc>
        <w:tc>
          <w:tcPr>
            <w:tcW w:w="37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9,550</w:t>
            </w:r>
          </w:p>
        </w:tc>
        <w:tc>
          <w:tcPr>
            <w:tcW w:w="160" w:type="dxa"/>
            <w:vAlign w:val="bottom"/>
          </w:tcPr>
          <w:p>
            <w:pPr>
              <w:spacing w:after="0"/>
              <w:rPr>
                <w:sz w:val="12"/>
                <w:szCs w:val="12"/>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13,478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Included in the accompanying consolidated balance sheets</w:t>
            </w:r>
          </w:p>
        </w:tc>
        <w:tc>
          <w:tcPr>
            <w:tcW w:w="34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under the following captions:</w:t>
            </w:r>
          </w:p>
        </w:tc>
        <w:tc>
          <w:tcPr>
            <w:tcW w:w="34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20"/>
                <w:szCs w:val="20"/>
                <w:color w:val="auto"/>
              </w:rPr>
            </w:pPr>
            <w:r>
              <w:rPr>
                <w:rFonts w:ascii="Arial" w:cs="Arial" w:eastAsia="Arial" w:hAnsi="Arial"/>
                <w:sz w:val="12"/>
                <w:szCs w:val="12"/>
                <w:color w:val="auto"/>
              </w:rPr>
              <w:t>Costs and estimated earnings in excess of billings on</w:t>
            </w:r>
          </w:p>
        </w:tc>
        <w:tc>
          <w:tcPr>
            <w:tcW w:w="3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Pr>
          <w:p>
            <w:pPr>
              <w:ind w:left="80"/>
              <w:spacing w:after="0"/>
              <w:rPr>
                <w:sz w:val="20"/>
                <w:szCs w:val="20"/>
                <w:color w:val="auto"/>
              </w:rPr>
            </w:pPr>
            <w:r>
              <w:rPr>
                <w:rFonts w:ascii="Arial" w:cs="Arial" w:eastAsia="Arial" w:hAnsi="Arial"/>
                <w:sz w:val="12"/>
                <w:szCs w:val="12"/>
                <w:color w:val="auto"/>
              </w:rPr>
              <w:t>uncompleted contracts</w:t>
            </w:r>
          </w:p>
        </w:tc>
        <w:tc>
          <w:tcPr>
            <w:tcW w:w="37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29,694</w:t>
            </w:r>
          </w:p>
        </w:tc>
        <w:tc>
          <w:tcPr>
            <w:tcW w:w="160" w:type="dxa"/>
            <w:vAlign w:val="bottom"/>
          </w:tcPr>
          <w:p>
            <w:pPr>
              <w:spacing w:after="0"/>
              <w:rPr>
                <w:sz w:val="13"/>
                <w:szCs w:val="13"/>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33,947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shd w:val="clear" w:color="auto" w:fill="CFF0FC"/>
          </w:tcPr>
          <w:p>
            <w:pPr>
              <w:spacing w:after="0"/>
              <w:rPr>
                <w:sz w:val="20"/>
                <w:szCs w:val="20"/>
                <w:color w:val="auto"/>
              </w:rPr>
            </w:pPr>
            <w:r>
              <w:rPr>
                <w:rFonts w:ascii="Arial" w:cs="Arial" w:eastAsia="Arial" w:hAnsi="Arial"/>
                <w:sz w:val="12"/>
                <w:szCs w:val="12"/>
                <w:color w:val="auto"/>
              </w:rPr>
              <w:t>Billings in excess of costs and estimated earnings on</w:t>
            </w:r>
          </w:p>
        </w:tc>
        <w:tc>
          <w:tcPr>
            <w:tcW w:w="3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uncompleted contracts</w:t>
            </w:r>
          </w:p>
        </w:tc>
        <w:tc>
          <w:tcPr>
            <w:tcW w:w="34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(20,144)</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(20,469)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160"/>
              <w:spacing w:after="0"/>
              <w:rPr>
                <w:sz w:val="20"/>
                <w:szCs w:val="20"/>
                <w:color w:val="auto"/>
              </w:rPr>
            </w:pPr>
            <w:r>
              <w:rPr>
                <w:rFonts w:ascii="Arial" w:cs="Arial" w:eastAsia="Arial" w:hAnsi="Arial"/>
                <w:sz w:val="12"/>
                <w:szCs w:val="12"/>
                <w:color w:val="auto"/>
              </w:rPr>
              <w:t>Total costs and estimated earnings on uncompleted contracts, net</w:t>
            </w:r>
          </w:p>
        </w:tc>
        <w:tc>
          <w:tcPr>
            <w:tcW w:w="3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vMerge w:val="continue"/>
          </w:tcPr>
          <w:p>
            <w:pPr>
              <w:spacing w:after="0"/>
              <w:rPr>
                <w:sz w:val="12"/>
                <w:szCs w:val="12"/>
                <w:color w:val="auto"/>
              </w:rPr>
            </w:pPr>
          </w:p>
        </w:tc>
        <w:tc>
          <w:tcPr>
            <w:tcW w:w="37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9,550</w:t>
            </w:r>
          </w:p>
        </w:tc>
        <w:tc>
          <w:tcPr>
            <w:tcW w:w="160" w:type="dxa"/>
            <w:vAlign w:val="bottom"/>
          </w:tcPr>
          <w:p>
            <w:pPr>
              <w:spacing w:after="0"/>
              <w:rPr>
                <w:sz w:val="12"/>
                <w:szCs w:val="12"/>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13,478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9"/>
        </w:trPr>
        <w:tc>
          <w:tcPr>
            <w:tcW w:w="450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Arial" w:cs="Arial" w:eastAsia="Arial" w:hAnsi="Arial"/>
                <w:sz w:val="12"/>
                <w:szCs w:val="12"/>
                <w:color w:val="auto"/>
              </w:rPr>
              <w:t>F-16</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50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347" w:right="179" w:bottom="1440" w:gutter="0" w:footer="0" w:header="0"/>
        </w:sectPr>
      </w:pPr>
    </w:p>
    <w:bookmarkStart w:id="66" w:name="page67"/>
    <w:bookmarkEnd w:id="66"/>
    <w:p>
      <w:pPr>
        <w:ind w:left="508" w:hanging="508"/>
        <w:spacing w:after="0"/>
        <w:tabs>
          <w:tab w:leader="none" w:pos="508"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82" w:lineRule="exact"/>
        <w:rPr>
          <w:rFonts w:ascii="Arial" w:cs="Arial" w:eastAsia="Arial" w:hAnsi="Arial"/>
          <w:sz w:val="12"/>
          <w:szCs w:val="12"/>
          <w:b w:val="1"/>
          <w:bCs w:val="1"/>
          <w:color w:val="auto"/>
        </w:rPr>
      </w:pPr>
    </w:p>
    <w:p>
      <w:pPr>
        <w:ind w:left="528"/>
        <w:spacing w:after="0"/>
        <w:rPr>
          <w:rFonts w:ascii="Arial" w:cs="Arial" w:eastAsia="Arial" w:hAnsi="Arial"/>
          <w:sz w:val="12"/>
          <w:szCs w:val="12"/>
          <w:b w:val="1"/>
          <w:bCs w:val="1"/>
          <w:color w:val="auto"/>
        </w:rPr>
      </w:pPr>
      <w:r>
        <w:rPr>
          <w:rFonts w:ascii="Arial" w:cs="Arial" w:eastAsia="Arial" w:hAnsi="Arial"/>
          <w:sz w:val="12"/>
          <w:szCs w:val="12"/>
          <w:color w:val="auto"/>
        </w:rPr>
        <w:t>Inventories consisted of the following:</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0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3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900" w:type="dxa"/>
            <w:vAlign w:val="bottom"/>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643"/>
              <w:spacing w:after="0" w:line="97" w:lineRule="exact"/>
              <w:rPr>
                <w:sz w:val="20"/>
                <w:szCs w:val="20"/>
                <w:color w:val="auto"/>
              </w:rPr>
            </w:pPr>
            <w:r>
              <w:rPr>
                <w:rFonts w:ascii="Arial" w:cs="Arial" w:eastAsia="Arial" w:hAnsi="Arial"/>
                <w:sz w:val="10"/>
                <w:szCs w:val="10"/>
                <w:b w:val="1"/>
                <w:bCs w:val="1"/>
                <w:color w:val="auto"/>
              </w:rPr>
              <w:t>2018</w:t>
            </w: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20"/>
                <w:szCs w:val="20"/>
                <w:color w:val="auto"/>
              </w:rPr>
            </w:pPr>
            <w:r>
              <w:rPr>
                <w:rFonts w:ascii="Arial" w:cs="Arial" w:eastAsia="Arial" w:hAnsi="Arial"/>
                <w:sz w:val="12"/>
                <w:szCs w:val="12"/>
                <w:color w:val="auto"/>
              </w:rPr>
              <w:t>Raw materials</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15,819</w:t>
            </w:r>
          </w:p>
        </w:tc>
        <w:tc>
          <w:tcPr>
            <w:tcW w:w="30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18,444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Work in process</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6,098</w:t>
            </w:r>
          </w:p>
        </w:tc>
        <w:tc>
          <w:tcPr>
            <w:tcW w:w="3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spacing w:after="0"/>
              <w:rPr>
                <w:sz w:val="20"/>
                <w:szCs w:val="20"/>
                <w:color w:val="auto"/>
              </w:rPr>
            </w:pPr>
            <w:r>
              <w:rPr>
                <w:rFonts w:ascii="Arial" w:cs="Arial" w:eastAsia="Arial" w:hAnsi="Arial"/>
                <w:sz w:val="12"/>
                <w:szCs w:val="12"/>
                <w:color w:val="auto"/>
              </w:rPr>
              <w:t>Finished goods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807</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Obsolescence allowance</w:t>
            </w:r>
          </w:p>
        </w:tc>
        <w:tc>
          <w:tcPr>
            <w:tcW w:w="3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(1,907)</w:t>
            </w:r>
          </w:p>
        </w:tc>
        <w:tc>
          <w:tcPr>
            <w:tcW w:w="4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(1,597)</w:t>
            </w:r>
          </w:p>
        </w:tc>
        <w:tc>
          <w:tcPr>
            <w:tcW w:w="0" w:type="dxa"/>
            <w:vAlign w:val="bottom"/>
          </w:tcPr>
          <w:p>
            <w:pPr>
              <w:spacing w:after="0"/>
              <w:rPr>
                <w:sz w:val="1"/>
                <w:szCs w:val="1"/>
                <w:color w:val="auto"/>
              </w:rPr>
            </w:pPr>
          </w:p>
        </w:tc>
      </w:tr>
      <w:tr>
        <w:trPr>
          <w:trHeight w:val="149"/>
        </w:trPr>
        <w:tc>
          <w:tcPr>
            <w:tcW w:w="7900" w:type="dxa"/>
            <w:vAlign w:val="bottom"/>
          </w:tcPr>
          <w:p>
            <w:pPr>
              <w:ind w:left="160"/>
              <w:spacing w:after="0"/>
              <w:rPr>
                <w:sz w:val="20"/>
                <w:szCs w:val="20"/>
                <w:color w:val="auto"/>
              </w:rPr>
            </w:pPr>
            <w:r>
              <w:rPr>
                <w:rFonts w:ascii="Arial" w:cs="Arial" w:eastAsia="Arial" w:hAnsi="Arial"/>
                <w:sz w:val="12"/>
                <w:szCs w:val="12"/>
                <w:color w:val="auto"/>
              </w:rPr>
              <w:t>Total inventories</w:t>
            </w: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20,817</w:t>
            </w:r>
          </w:p>
        </w:tc>
        <w:tc>
          <w:tcPr>
            <w:tcW w:w="3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20,969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8" w:right="420" w:firstLine="521"/>
        <w:spacing w:after="0" w:line="276" w:lineRule="auto"/>
        <w:rPr>
          <w:sz w:val="20"/>
          <w:szCs w:val="20"/>
          <w:color w:val="auto"/>
        </w:rPr>
      </w:pPr>
      <w:r>
        <w:rPr>
          <w:rFonts w:ascii="Arial" w:cs="Arial" w:eastAsia="Arial" w:hAnsi="Arial"/>
          <w:sz w:val="12"/>
          <w:szCs w:val="12"/>
          <w:color w:val="auto"/>
        </w:rPr>
        <w:t>Amounts credited to the allowance for obsolete inventory and charged to cost of sales amounted to $0.5 million, $0.2 million and $1.2 million during 2018, 2017 and 2016, respectively. Items charged to the allowance for inventory write-offs were $0.3 million, $0.6 million and $0.2 million, during 2018, 2017 and 2016, respectively.</w:t>
      </w:r>
    </w:p>
    <w:p>
      <w:pPr>
        <w:spacing w:after="0" w:line="23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20" w:type="dxa"/>
            <w:vAlign w:val="bottom"/>
          </w:tcPr>
          <w:p>
            <w:pPr>
              <w:spacing w:after="0"/>
              <w:rPr>
                <w:sz w:val="20"/>
                <w:szCs w:val="20"/>
                <w:color w:val="auto"/>
              </w:rPr>
            </w:pPr>
            <w:r>
              <w:rPr>
                <w:rFonts w:ascii="Arial" w:cs="Arial" w:eastAsia="Arial" w:hAnsi="Arial"/>
                <w:sz w:val="12"/>
                <w:szCs w:val="12"/>
                <w:b w:val="1"/>
                <w:bCs w:val="1"/>
                <w:color w:val="auto"/>
                <w:w w:val="99"/>
              </w:rPr>
              <w:t>6.</w:t>
            </w:r>
          </w:p>
        </w:tc>
        <w:tc>
          <w:tcPr>
            <w:tcW w:w="7780" w:type="dxa"/>
            <w:vAlign w:val="bottom"/>
          </w:tcPr>
          <w:p>
            <w:pPr>
              <w:ind w:left="380"/>
              <w:spacing w:after="0"/>
              <w:rPr>
                <w:sz w:val="20"/>
                <w:szCs w:val="20"/>
                <w:color w:val="auto"/>
              </w:rPr>
            </w:pPr>
            <w:r>
              <w:rPr>
                <w:rFonts w:ascii="Arial" w:cs="Arial" w:eastAsia="Arial" w:hAnsi="Arial"/>
                <w:sz w:val="12"/>
                <w:szCs w:val="12"/>
                <w:b w:val="1"/>
                <w:bCs w:val="1"/>
                <w:color w:val="auto"/>
              </w:rPr>
              <w:t>Property, Plant and Equipment</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7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900" w:type="dxa"/>
            <w:vAlign w:val="bottom"/>
            <w:gridSpan w:val="2"/>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643"/>
              <w:spacing w:after="0" w:line="97"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00" w:type="dxa"/>
            <w:vAlign w:val="bottom"/>
            <w:gridSpan w:val="2"/>
          </w:tcPr>
          <w:p>
            <w:pPr>
              <w:spacing w:after="0"/>
              <w:rPr>
                <w:sz w:val="20"/>
                <w:szCs w:val="20"/>
                <w:color w:val="auto"/>
              </w:rPr>
            </w:pPr>
            <w:r>
              <w:rPr>
                <w:rFonts w:ascii="Arial" w:cs="Arial" w:eastAsia="Arial" w:hAnsi="Arial"/>
                <w:sz w:val="12"/>
                <w:szCs w:val="12"/>
                <w:color w:val="auto"/>
              </w:rPr>
              <w:t>Land</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1,623</w:t>
            </w:r>
          </w:p>
        </w:tc>
        <w:tc>
          <w:tcPr>
            <w:tcW w:w="160" w:type="dxa"/>
            <w:vAlign w:val="bottom"/>
          </w:tcPr>
          <w:p>
            <w:pPr>
              <w:spacing w:after="0"/>
              <w:rPr>
                <w:sz w:val="12"/>
                <w:szCs w:val="12"/>
                <w:color w:val="auto"/>
              </w:rPr>
            </w:pPr>
          </w:p>
        </w:tc>
        <w:tc>
          <w:tcPr>
            <w:tcW w:w="540" w:type="dxa"/>
            <w:vAlign w:val="bottom"/>
            <w:gridSpan w:val="2"/>
          </w:tcPr>
          <w:p>
            <w:pPr>
              <w:jc w:val="right"/>
              <w:ind w:right="31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1,627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Building and improvements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18,185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Machinery and equipment</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25,257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25,068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0" w:type="dxa"/>
            <w:vAlign w:val="bottom"/>
            <w:shd w:val="clear" w:color="auto" w:fill="CFF0FC"/>
          </w:tcPr>
          <w:p>
            <w:pPr>
              <w:spacing w:after="0"/>
              <w:rPr>
                <w:sz w:val="12"/>
                <w:szCs w:val="12"/>
                <w:color w:val="auto"/>
              </w:rPr>
            </w:pPr>
          </w:p>
        </w:tc>
        <w:tc>
          <w:tcPr>
            <w:tcW w:w="7780" w:type="dxa"/>
            <w:vAlign w:val="bottom"/>
            <w:shd w:val="clear" w:color="auto" w:fill="CFF0FC"/>
          </w:tcPr>
          <w:p>
            <w:pPr>
              <w:ind w:left="40"/>
              <w:spacing w:after="0"/>
              <w:rPr>
                <w:sz w:val="20"/>
                <w:szCs w:val="20"/>
                <w:color w:val="auto"/>
              </w:rPr>
            </w:pPr>
            <w:r>
              <w:rPr>
                <w:rFonts w:ascii="Arial" w:cs="Arial" w:eastAsia="Arial" w:hAnsi="Arial"/>
                <w:sz w:val="12"/>
                <w:szCs w:val="12"/>
                <w:color w:val="auto"/>
              </w:rPr>
              <w:t>Property, plant and equipment, gross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45,065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44,758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36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(22,865)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(21,358)</w:t>
            </w:r>
          </w:p>
        </w:tc>
        <w:tc>
          <w:tcPr>
            <w:tcW w:w="0" w:type="dxa"/>
            <w:vAlign w:val="bottom"/>
          </w:tcPr>
          <w:p>
            <w:pPr>
              <w:spacing w:after="0"/>
              <w:rPr>
                <w:sz w:val="1"/>
                <w:szCs w:val="1"/>
                <w:color w:val="auto"/>
              </w:rPr>
            </w:pPr>
          </w:p>
        </w:tc>
      </w:tr>
      <w:tr>
        <w:trPr>
          <w:trHeight w:val="149"/>
        </w:trPr>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778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2"/>
                <w:szCs w:val="12"/>
                <w:color w:val="auto"/>
              </w:rPr>
              <w:t>Property, plant and equipment, net</w:t>
            </w:r>
          </w:p>
        </w:tc>
        <w:tc>
          <w:tcPr>
            <w:tcW w:w="3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22,200</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23,400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Depreciation expense was $3.5 million, $4.5 million and $5.0 million for 2018, 2017 and 2016, respectively.</w:t>
      </w:r>
    </w:p>
    <w:p>
      <w:pPr>
        <w:spacing w:after="0" w:line="137" w:lineRule="exact"/>
        <w:rPr>
          <w:sz w:val="20"/>
          <w:szCs w:val="20"/>
          <w:color w:val="auto"/>
        </w:rPr>
      </w:pPr>
    </w:p>
    <w:p>
      <w:pPr>
        <w:ind w:left="508" w:hanging="508"/>
        <w:spacing w:after="0"/>
        <w:tabs>
          <w:tab w:leader="none" w:pos="508"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Intangible Assets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Energy Solutions</w:t>
            </w:r>
          </w:p>
        </w:tc>
        <w:tc>
          <w:tcPr>
            <w:tcW w:w="120" w:type="dxa"/>
            <w:vAlign w:val="bottom"/>
          </w:tcPr>
          <w:p>
            <w:pPr>
              <w:spacing w:after="0"/>
              <w:rPr>
                <w:sz w:val="10"/>
                <w:szCs w:val="10"/>
                <w:color w:val="auto"/>
              </w:rPr>
            </w:pPr>
          </w:p>
        </w:tc>
        <w:tc>
          <w:tcPr>
            <w:tcW w:w="1040" w:type="dxa"/>
            <w:vAlign w:val="bottom"/>
          </w:tcPr>
          <w:p>
            <w:pPr>
              <w:jc w:val="right"/>
              <w:ind w:right="103"/>
              <w:spacing w:after="0"/>
              <w:rPr>
                <w:sz w:val="20"/>
                <w:szCs w:val="20"/>
                <w:color w:val="auto"/>
              </w:rPr>
            </w:pPr>
            <w:r>
              <w:rPr>
                <w:rFonts w:ascii="Arial" w:cs="Arial" w:eastAsia="Arial" w:hAnsi="Arial"/>
                <w:sz w:val="10"/>
                <w:szCs w:val="10"/>
                <w:b w:val="1"/>
                <w:bCs w:val="1"/>
                <w:color w:val="auto"/>
                <w:w w:val="92"/>
              </w:rPr>
              <w:t>Industrial Solutions</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00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b w:val="1"/>
                <w:bCs w:val="1"/>
                <w:color w:val="auto"/>
              </w:rPr>
              <w:t>(Table only in thousands)</w:t>
            </w:r>
          </w:p>
        </w:tc>
        <w:tc>
          <w:tcPr>
            <w:tcW w:w="196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363"/>
              <w:spacing w:after="0" w:line="114" w:lineRule="exact"/>
              <w:rPr>
                <w:sz w:val="20"/>
                <w:szCs w:val="20"/>
                <w:color w:val="auto"/>
              </w:rPr>
            </w:pPr>
            <w:r>
              <w:rPr>
                <w:rFonts w:ascii="Arial" w:cs="Arial" w:eastAsia="Arial" w:hAnsi="Arial"/>
                <w:sz w:val="10"/>
                <w:szCs w:val="10"/>
                <w:b w:val="1"/>
                <w:bCs w:val="1"/>
                <w:color w:val="auto"/>
              </w:rPr>
              <w:t>segment</w:t>
            </w:r>
          </w:p>
        </w:tc>
        <w:tc>
          <w:tcPr>
            <w:tcW w:w="2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343"/>
              <w:spacing w:after="0" w:line="114" w:lineRule="exact"/>
              <w:rPr>
                <w:sz w:val="20"/>
                <w:szCs w:val="20"/>
                <w:color w:val="auto"/>
              </w:rPr>
            </w:pPr>
            <w:r>
              <w:rPr>
                <w:rFonts w:ascii="Arial" w:cs="Arial" w:eastAsia="Arial" w:hAnsi="Arial"/>
                <w:sz w:val="10"/>
                <w:szCs w:val="10"/>
                <w:b w:val="1"/>
                <w:bCs w:val="1"/>
                <w:color w:val="auto"/>
              </w:rPr>
              <w:t>segment</w:t>
            </w:r>
          </w:p>
        </w:tc>
        <w:tc>
          <w:tcPr>
            <w:tcW w:w="320" w:type="dxa"/>
            <w:vAlign w:val="bottom"/>
            <w:tcBorders>
              <w:bottom w:val="single" w:sz="8" w:color="CFF0FC"/>
            </w:tcBorders>
          </w:tcPr>
          <w:p>
            <w:pPr>
              <w:spacing w:after="0"/>
              <w:rPr>
                <w:sz w:val="9"/>
                <w:szCs w:val="9"/>
                <w:color w:val="auto"/>
              </w:rPr>
            </w:pPr>
          </w:p>
        </w:tc>
        <w:tc>
          <w:tcPr>
            <w:tcW w:w="1100" w:type="dxa"/>
            <w:vAlign w:val="bottom"/>
            <w:tcBorders>
              <w:bottom w:val="single" w:sz="8" w:color="auto"/>
            </w:tcBorders>
          </w:tcPr>
          <w:p>
            <w:pPr>
              <w:jc w:val="right"/>
              <w:ind w:right="41"/>
              <w:spacing w:after="0" w:line="114" w:lineRule="exact"/>
              <w:rPr>
                <w:sz w:val="20"/>
                <w:szCs w:val="20"/>
                <w:color w:val="auto"/>
              </w:rPr>
            </w:pPr>
            <w:r>
              <w:rPr>
                <w:rFonts w:ascii="Arial" w:cs="Arial" w:eastAsia="Arial" w:hAnsi="Arial"/>
                <w:sz w:val="10"/>
                <w:szCs w:val="10"/>
                <w:b w:val="1"/>
                <w:bCs w:val="1"/>
                <w:color w:val="auto"/>
                <w:w w:val="86"/>
              </w:rPr>
              <w:t>Fluid Handling segment</w:t>
            </w:r>
          </w:p>
        </w:tc>
        <w:tc>
          <w:tcPr>
            <w:tcW w:w="24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01"/>
              <w:spacing w:after="0" w:line="114" w:lineRule="exact"/>
              <w:rPr>
                <w:sz w:val="20"/>
                <w:szCs w:val="20"/>
                <w:color w:val="auto"/>
              </w:rPr>
            </w:pPr>
            <w:r>
              <w:rPr>
                <w:rFonts w:ascii="Arial" w:cs="Arial" w:eastAsia="Arial" w:hAnsi="Arial"/>
                <w:sz w:val="10"/>
                <w:szCs w:val="10"/>
                <w:b w:val="1"/>
                <w:bCs w:val="1"/>
                <w:color w:val="auto"/>
              </w:rPr>
              <w:t>Totals</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Balance of goodwill at December 31, 2016</w:t>
            </w:r>
          </w:p>
        </w:tc>
        <w:tc>
          <w:tcPr>
            <w:tcW w:w="2120" w:type="dxa"/>
            <w:vAlign w:val="bottom"/>
            <w:gridSpan w:val="2"/>
            <w:shd w:val="clear" w:color="auto" w:fill="CFF0FC"/>
          </w:tcPr>
          <w:p>
            <w:pPr>
              <w:jc w:val="right"/>
              <w:ind w:right="5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101,610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22,419</w:t>
            </w:r>
          </w:p>
        </w:tc>
        <w:tc>
          <w:tcPr>
            <w:tcW w:w="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46,124</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170,153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Impairment charge</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(4,443)</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(4,443)</w:t>
            </w:r>
          </w:p>
        </w:tc>
        <w:tc>
          <w:tcPr>
            <w:tcW w:w="0" w:type="dxa"/>
            <w:vAlign w:val="bottom"/>
          </w:tcPr>
          <w:p>
            <w:pPr>
              <w:spacing w:after="0"/>
              <w:rPr>
                <w:sz w:val="1"/>
                <w:szCs w:val="1"/>
                <w:color w:val="auto"/>
              </w:rPr>
            </w:pPr>
          </w:p>
        </w:tc>
      </w:tr>
      <w:tr>
        <w:trPr>
          <w:trHeight w:val="153"/>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w:t>
            </w:r>
          </w:p>
        </w:tc>
        <w:tc>
          <w:tcPr>
            <w:tcW w:w="1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1,241</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right w:val="single" w:sz="8" w:color="CFF0FC"/>
            </w:tcBorders>
            <w:shd w:val="clear" w:color="auto" w:fill="CFF0FC"/>
          </w:tcPr>
          <w:p>
            <w:pPr>
              <w:spacing w:after="0"/>
              <w:rPr>
                <w:sz w:val="13"/>
                <w:szCs w:val="13"/>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Balance of goodwill at December 31, 2017</w:t>
            </w:r>
          </w:p>
        </w:tc>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98,408</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22,419</w:t>
            </w:r>
          </w:p>
        </w:tc>
        <w:tc>
          <w:tcPr>
            <w:tcW w:w="320" w:type="dxa"/>
            <w:vAlign w:val="bottom"/>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46,124</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166,951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Divestitures</w:t>
            </w:r>
          </w:p>
        </w:tc>
        <w:tc>
          <w:tcPr>
            <w:tcW w:w="1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right w:val="single" w:sz="8" w:color="CFF0FC"/>
            </w:tcBorders>
            <w:shd w:val="clear" w:color="auto" w:fill="CFF0FC"/>
          </w:tcPr>
          <w:p>
            <w:pPr>
              <w:spacing w:after="0"/>
              <w:rPr>
                <w:sz w:val="13"/>
                <w:szCs w:val="13"/>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(14,317)</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(14,317)</w:t>
            </w:r>
          </w:p>
        </w:tc>
        <w:tc>
          <w:tcPr>
            <w:tcW w:w="0" w:type="dxa"/>
            <w:vAlign w:val="bottom"/>
          </w:tcPr>
          <w:p>
            <w:pPr>
              <w:spacing w:after="0"/>
              <w:rPr>
                <w:sz w:val="1"/>
                <w:szCs w:val="1"/>
                <w:color w:val="auto"/>
              </w:rPr>
            </w:pP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Foreign currency translation</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(478)</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of goodwill at December 31, 2018</w:t>
            </w:r>
          </w:p>
        </w:tc>
        <w:tc>
          <w:tcPr>
            <w:tcW w:w="19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vMerge w:val="continue"/>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97,930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22,419</w:t>
            </w:r>
          </w:p>
        </w:tc>
        <w:tc>
          <w:tcPr>
            <w:tcW w:w="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31,807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152,156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0" w:type="dxa"/>
            <w:vAlign w:val="bottom"/>
            <w:shd w:val="clear" w:color="auto" w:fill="CFF0FC"/>
          </w:tcPr>
          <w:p>
            <w:pPr>
              <w:spacing w:after="0"/>
              <w:rPr>
                <w:sz w:val="2"/>
                <w:szCs w:val="2"/>
                <w:color w:val="auto"/>
              </w:rPr>
            </w:pPr>
          </w:p>
        </w:tc>
        <w:tc>
          <w:tcPr>
            <w:tcW w:w="19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CFF0F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8" w:right="280" w:firstLine="521"/>
        <w:spacing w:after="0" w:line="276" w:lineRule="auto"/>
        <w:rPr>
          <w:sz w:val="20"/>
          <w:szCs w:val="20"/>
          <w:color w:val="auto"/>
        </w:rPr>
      </w:pPr>
      <w:r>
        <w:rPr>
          <w:rFonts w:ascii="Arial" w:cs="Arial" w:eastAsia="Arial" w:hAnsi="Arial"/>
          <w:sz w:val="12"/>
          <w:szCs w:val="12"/>
          <w:color w:val="auto"/>
        </w:rPr>
        <w:t>As of December 31, 2018 and 2017, the Company has an aggregate amount of goodwill acquired of $212.8 million and $242.3 million, respectively, and an aggregate amount of impairment losses of $60.7 million and $75.3 million, respectively.</w:t>
      </w:r>
    </w:p>
    <w:p>
      <w:pPr>
        <w:spacing w:after="0" w:line="16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Company’s indefinite lived intangible assets as of December 31, 2018 and 2017 consisted of the following:</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52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43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Tradenames</w:t>
            </w:r>
          </w:p>
        </w:tc>
        <w:tc>
          <w:tcPr>
            <w:tcW w:w="1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520" w:type="dxa"/>
            <w:vAlign w:val="bottom"/>
            <w:tcBorders>
              <w:bottom w:val="single" w:sz="8" w:color="CFF0FC"/>
            </w:tcBorders>
            <w:vMerge w:val="continue"/>
          </w:tcPr>
          <w:p>
            <w:pPr>
              <w:spacing w:after="0"/>
              <w:rPr>
                <w:sz w:val="8"/>
                <w:szCs w:val="8"/>
                <w:color w:val="auto"/>
              </w:rPr>
            </w:pPr>
          </w:p>
        </w:tc>
        <w:tc>
          <w:tcPr>
            <w:tcW w:w="438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643"/>
              <w:spacing w:after="0" w:line="97" w:lineRule="exact"/>
              <w:rPr>
                <w:sz w:val="20"/>
                <w:szCs w:val="20"/>
                <w:color w:val="auto"/>
              </w:rPr>
            </w:pPr>
            <w:r>
              <w:rPr>
                <w:rFonts w:ascii="Arial" w:cs="Arial" w:eastAsia="Arial" w:hAnsi="Arial"/>
                <w:sz w:val="10"/>
                <w:szCs w:val="10"/>
                <w:b w:val="1"/>
                <w:bCs w:val="1"/>
                <w:color w:val="auto"/>
              </w:rPr>
              <w:t>2018</w:t>
            </w:r>
          </w:p>
        </w:tc>
        <w:tc>
          <w:tcPr>
            <w:tcW w:w="16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rPr>
                <w:sz w:val="20"/>
                <w:szCs w:val="20"/>
                <w:color w:val="auto"/>
              </w:rPr>
            </w:pPr>
            <w:r>
              <w:rPr>
                <w:rFonts w:ascii="Arial" w:cs="Arial" w:eastAsia="Arial" w:hAnsi="Arial"/>
                <w:sz w:val="12"/>
                <w:szCs w:val="12"/>
                <w:color w:val="auto"/>
              </w:rPr>
              <w:t>Balance beginning of year</w:t>
            </w:r>
          </w:p>
        </w:tc>
        <w:tc>
          <w:tcPr>
            <w:tcW w:w="47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19,691</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22,042</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Impairment charge</w:t>
            </w:r>
          </w:p>
        </w:tc>
        <w:tc>
          <w:tcPr>
            <w:tcW w:w="4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(2,725)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20" w:type="dxa"/>
            <w:vAlign w:val="bottom"/>
            <w:shd w:val="clear" w:color="auto" w:fill="CFF0FC"/>
          </w:tcPr>
          <w:p>
            <w:pPr>
              <w:spacing w:after="0"/>
              <w:rPr>
                <w:sz w:val="20"/>
                <w:szCs w:val="20"/>
                <w:color w:val="auto"/>
              </w:rPr>
            </w:pPr>
            <w:r>
              <w:rPr>
                <w:rFonts w:ascii="Arial" w:cs="Arial" w:eastAsia="Arial" w:hAnsi="Arial"/>
                <w:sz w:val="12"/>
                <w:szCs w:val="12"/>
                <w:color w:val="auto"/>
              </w:rPr>
              <w:t>Divestitures</w:t>
            </w:r>
          </w:p>
        </w:tc>
        <w:tc>
          <w:tcPr>
            <w:tcW w:w="43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(1,340)</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Foreign currency adjustments</w:t>
            </w:r>
          </w:p>
        </w:tc>
        <w:tc>
          <w:tcPr>
            <w:tcW w:w="4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(93)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end of year</w:t>
            </w:r>
          </w:p>
        </w:tc>
        <w:tc>
          <w:tcPr>
            <w:tcW w:w="43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20" w:type="dxa"/>
            <w:vAlign w:val="bottom"/>
            <w:vMerge w:val="continue"/>
            <w:shd w:val="clear" w:color="auto" w:fill="CFF0FC"/>
          </w:tcPr>
          <w:p>
            <w:pPr>
              <w:spacing w:after="0"/>
              <w:rPr>
                <w:sz w:val="12"/>
                <w:szCs w:val="12"/>
                <w:color w:val="auto"/>
              </w:rPr>
            </w:pPr>
          </w:p>
        </w:tc>
        <w:tc>
          <w:tcPr>
            <w:tcW w:w="47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18,258</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19,691</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520" w:type="dxa"/>
            <w:vAlign w:val="bottom"/>
            <w:tcBorders>
              <w:top w:val="single" w:sz="8" w:color="CFF0FC"/>
            </w:tcBorders>
          </w:tcPr>
          <w:p>
            <w:pPr>
              <w:spacing w:after="0"/>
              <w:rPr>
                <w:sz w:val="24"/>
                <w:szCs w:val="24"/>
                <w:color w:val="auto"/>
              </w:rPr>
            </w:pPr>
          </w:p>
        </w:tc>
        <w:tc>
          <w:tcPr>
            <w:tcW w:w="4380" w:type="dxa"/>
            <w:vAlign w:val="bottom"/>
            <w:tcBorders>
              <w:top w:val="single" w:sz="8" w:color="CFF0FC"/>
            </w:tcBorders>
          </w:tcPr>
          <w:p>
            <w:pPr>
              <w:ind w:left="2100"/>
              <w:spacing w:after="0"/>
              <w:rPr>
                <w:sz w:val="20"/>
                <w:szCs w:val="20"/>
                <w:color w:val="auto"/>
              </w:rPr>
            </w:pPr>
            <w:r>
              <w:rPr>
                <w:rFonts w:ascii="Arial" w:cs="Arial" w:eastAsia="Arial" w:hAnsi="Arial"/>
                <w:sz w:val="12"/>
                <w:szCs w:val="12"/>
                <w:color w:val="auto"/>
              </w:rPr>
              <w:t>F-17</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520" w:type="dxa"/>
            <w:vAlign w:val="bottom"/>
            <w:tcBorders>
              <w:bottom w:val="single" w:sz="8" w:color="9A9A9A"/>
            </w:tcBorders>
          </w:tcPr>
          <w:p>
            <w:pPr>
              <w:spacing w:after="0"/>
              <w:rPr>
                <w:sz w:val="6"/>
                <w:szCs w:val="6"/>
                <w:color w:val="auto"/>
              </w:rPr>
            </w:pPr>
          </w:p>
        </w:tc>
        <w:tc>
          <w:tcPr>
            <w:tcW w:w="43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271" w:right="179" w:bottom="1440" w:gutter="0" w:footer="0" w:header="0"/>
        </w:sectPr>
      </w:pPr>
    </w:p>
    <w:bookmarkStart w:id="67" w:name="page68"/>
    <w:bookmarkEnd w:id="67"/>
    <w:p>
      <w:pPr>
        <w:ind w:left="460"/>
        <w:spacing w:after="0"/>
        <w:rPr>
          <w:sz w:val="20"/>
          <w:szCs w:val="20"/>
          <w:color w:val="auto"/>
        </w:rPr>
      </w:pPr>
      <w:r>
        <w:rPr>
          <w:rFonts w:ascii="Arial" w:cs="Arial" w:eastAsia="Arial" w:hAnsi="Arial"/>
          <w:sz w:val="12"/>
          <w:szCs w:val="12"/>
          <w:color w:val="auto"/>
        </w:rPr>
        <w:t>The Company completes an annual (or more often if circumstances require) impairment assessment of its goodwill and indefinite life intangible assets on October 1 at the reporting unit level.</w:t>
      </w:r>
    </w:p>
    <w:p>
      <w:pPr>
        <w:spacing w:after="0" w:line="150" w:lineRule="exact"/>
        <w:rPr>
          <w:sz w:val="20"/>
          <w:szCs w:val="20"/>
          <w:color w:val="auto"/>
        </w:rPr>
      </w:pPr>
    </w:p>
    <w:p>
      <w:pPr>
        <w:ind w:right="40" w:firstLine="521"/>
        <w:spacing w:after="0" w:line="286" w:lineRule="auto"/>
        <w:rPr>
          <w:sz w:val="20"/>
          <w:szCs w:val="20"/>
          <w:color w:val="auto"/>
        </w:rPr>
      </w:pPr>
      <w:r>
        <w:rPr>
          <w:rFonts w:ascii="Arial" w:cs="Arial" w:eastAsia="Arial" w:hAnsi="Arial"/>
          <w:sz w:val="11"/>
          <w:szCs w:val="11"/>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and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w:t>
      </w:r>
    </w:p>
    <w:p>
      <w:pPr>
        <w:spacing w:after="0" w:line="111" w:lineRule="exact"/>
        <w:rPr>
          <w:sz w:val="20"/>
          <w:szCs w:val="20"/>
          <w:color w:val="auto"/>
        </w:rPr>
      </w:pPr>
    </w:p>
    <w:p>
      <w:pPr>
        <w:ind w:right="280" w:firstLine="574"/>
        <w:spacing w:after="0" w:line="263" w:lineRule="auto"/>
        <w:rPr>
          <w:sz w:val="20"/>
          <w:szCs w:val="20"/>
          <w:color w:val="auto"/>
        </w:rPr>
      </w:pPr>
      <w:r>
        <w:rPr>
          <w:rFonts w:ascii="Arial" w:cs="Arial" w:eastAsia="Arial" w:hAnsi="Arial"/>
          <w:sz w:val="12"/>
          <w:szCs w:val="12"/>
          <w:color w:val="auto"/>
        </w:rPr>
        <w:t>In 2018, because of changes in management and the subsequent changes to the Company’s reporting and operating structure, the number of our reporting units was aggregated to three reporting units from 11 prior to the change. Prior to the adoption of the new reporting structure we tested our goodwill impairment under the old reporting unit structure. Based on this analysis, the estimated fair value of all of our reporting units exceeded their carrying value as of October 1, 2018.</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There was no goodwill impairment in 2018. There was goodwill impairment of $4.4 million and $53.8 in 2017 and 2016, respectively.</w:t>
      </w:r>
    </w:p>
    <w:p>
      <w:pPr>
        <w:spacing w:after="0" w:line="150" w:lineRule="exact"/>
        <w:rPr>
          <w:sz w:val="20"/>
          <w:szCs w:val="20"/>
          <w:color w:val="auto"/>
        </w:rPr>
      </w:pPr>
    </w:p>
    <w:p>
      <w:pPr>
        <w:ind w:right="20" w:firstLine="521"/>
        <w:spacing w:after="0" w:line="286" w:lineRule="auto"/>
        <w:rPr>
          <w:sz w:val="20"/>
          <w:szCs w:val="20"/>
          <w:color w:val="auto"/>
        </w:rPr>
      </w:pPr>
      <w:r>
        <w:rPr>
          <w:rFonts w:ascii="Arial" w:cs="Arial" w:eastAsia="Arial" w:hAnsi="Arial"/>
          <w:sz w:val="11"/>
          <w:szCs w:val="11"/>
          <w:color w:val="auto"/>
        </w:rPr>
        <w:t>The Company also performed an impairment analysis for all reporting units with indefinite life intangible assets as of October 1, 2018. The Company based its measurement of the fair value of the indefinite life intangible assets utilizing the relief from royalty method. The significant assumptions used under the relief from royalty method are projected revenue, royalty rates, terminal 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estimated fair value of the indefinite life intangible assets exceeded their carrying value for all reporting units as of the testing date.</w:t>
      </w:r>
    </w:p>
    <w:p>
      <w:pPr>
        <w:spacing w:after="0" w:line="111" w:lineRule="exact"/>
        <w:rPr>
          <w:sz w:val="20"/>
          <w:szCs w:val="20"/>
          <w:color w:val="auto"/>
        </w:rPr>
      </w:pPr>
    </w:p>
    <w:p>
      <w:pPr>
        <w:ind w:right="40" w:firstLine="521"/>
        <w:spacing w:after="0" w:line="276" w:lineRule="auto"/>
        <w:rPr>
          <w:sz w:val="20"/>
          <w:szCs w:val="20"/>
          <w:color w:val="auto"/>
        </w:rPr>
      </w:pPr>
      <w:r>
        <w:rPr>
          <w:rFonts w:ascii="Arial" w:cs="Arial" w:eastAsia="Arial" w:hAnsi="Arial"/>
          <w:sz w:val="12"/>
          <w:szCs w:val="12"/>
          <w:color w:val="auto"/>
        </w:rPr>
        <w:t>During the annual impairment test of indefinite life intangible assets in 2017 and 2016, the carrying values of four reporting units’ indefinite life intangible assets exceeded their fair values. The Company recorded a $2.7 million and $4.2 million impairment charge in 2017 and 2016, respectively.</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As described above, the fair value measurement methods used in the Company’s goodwill and indefinite life intangible assets impairment analyses utilizes a number of significant unobservable inputs or Level 3 assumptions.</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These assumptions include, among others, projections of our future operating results, the implied fair value of these assets using an income approach by preparing a discounted cash flow analysis and other subjective assumptions.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Company’s finite lived intangible assets as of December 31, 2018 and 2017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21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82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jc w:val="right"/>
              <w:ind w:right="384"/>
              <w:spacing w:after="0" w:line="83" w:lineRule="exact"/>
              <w:rPr>
                <w:sz w:val="20"/>
                <w:szCs w:val="20"/>
                <w:color w:val="auto"/>
              </w:rPr>
            </w:pPr>
            <w:r>
              <w:rPr>
                <w:rFonts w:ascii="Arial" w:cs="Arial" w:eastAsia="Arial" w:hAnsi="Arial"/>
                <w:sz w:val="8"/>
                <w:szCs w:val="8"/>
                <w:b w:val="1"/>
                <w:bCs w:val="1"/>
                <w:color w:val="auto"/>
              </w:rPr>
              <w:t>Accum.</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jc w:val="right"/>
              <w:ind w:right="384"/>
              <w:spacing w:after="0" w:line="83" w:lineRule="exact"/>
              <w:rPr>
                <w:sz w:val="20"/>
                <w:szCs w:val="20"/>
                <w:color w:val="auto"/>
              </w:rPr>
            </w:pPr>
            <w:r>
              <w:rPr>
                <w:rFonts w:ascii="Arial" w:cs="Arial" w:eastAsia="Arial" w:hAnsi="Arial"/>
                <w:sz w:val="8"/>
                <w:szCs w:val="8"/>
                <w:b w:val="1"/>
                <w:bCs w:val="1"/>
                <w:color w:val="auto"/>
              </w:rPr>
              <w:t>Accum.</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82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b w:val="1"/>
                <w:bCs w:val="1"/>
                <w:color w:val="auto"/>
              </w:rPr>
              <w:t>Intangible assets – finite life</w:t>
            </w:r>
          </w:p>
        </w:tc>
        <w:tc>
          <w:tcPr>
            <w:tcW w:w="214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43"/>
              <w:spacing w:after="0" w:line="114" w:lineRule="exact"/>
              <w:rPr>
                <w:sz w:val="20"/>
                <w:szCs w:val="20"/>
                <w:color w:val="auto"/>
              </w:rPr>
            </w:pPr>
            <w:r>
              <w:rPr>
                <w:rFonts w:ascii="Arial" w:cs="Arial" w:eastAsia="Arial" w:hAnsi="Arial"/>
                <w:sz w:val="10"/>
                <w:szCs w:val="10"/>
                <w:b w:val="1"/>
                <w:bCs w:val="1"/>
                <w:color w:val="auto"/>
              </w:rPr>
              <w:t>Cost</w:t>
            </w:r>
          </w:p>
        </w:tc>
        <w:tc>
          <w:tcPr>
            <w:tcW w:w="24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404"/>
              <w:spacing w:after="0" w:line="114" w:lineRule="exact"/>
              <w:rPr>
                <w:sz w:val="20"/>
                <w:szCs w:val="20"/>
                <w:color w:val="auto"/>
              </w:rPr>
            </w:pPr>
            <w:r>
              <w:rPr>
                <w:rFonts w:ascii="Arial" w:cs="Arial" w:eastAsia="Arial" w:hAnsi="Arial"/>
                <w:sz w:val="10"/>
                <w:szCs w:val="10"/>
                <w:b w:val="1"/>
                <w:bCs w:val="1"/>
                <w:color w:val="auto"/>
              </w:rPr>
              <w:t>Amort.</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43"/>
              <w:spacing w:after="0" w:line="114" w:lineRule="exact"/>
              <w:rPr>
                <w:sz w:val="20"/>
                <w:szCs w:val="20"/>
                <w:color w:val="auto"/>
              </w:rPr>
            </w:pPr>
            <w:r>
              <w:rPr>
                <w:rFonts w:ascii="Arial" w:cs="Arial" w:eastAsia="Arial" w:hAnsi="Arial"/>
                <w:sz w:val="10"/>
                <w:szCs w:val="10"/>
                <w:b w:val="1"/>
                <w:bCs w:val="1"/>
                <w:color w:val="auto"/>
              </w:rPr>
              <w:t>Cost</w:t>
            </w:r>
          </w:p>
        </w:tc>
        <w:tc>
          <w:tcPr>
            <w:tcW w:w="24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84"/>
              <w:spacing w:after="0" w:line="114" w:lineRule="exact"/>
              <w:rPr>
                <w:sz w:val="20"/>
                <w:szCs w:val="20"/>
                <w:color w:val="auto"/>
              </w:rPr>
            </w:pPr>
            <w:r>
              <w:rPr>
                <w:rFonts w:ascii="Arial" w:cs="Arial" w:eastAsia="Arial" w:hAnsi="Arial"/>
                <w:sz w:val="10"/>
                <w:szCs w:val="10"/>
                <w:b w:val="1"/>
                <w:bCs w:val="1"/>
                <w:color w:val="auto"/>
              </w:rPr>
              <w:t>Amort.</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Technology</w:t>
            </w:r>
          </w:p>
        </w:tc>
        <w:tc>
          <w:tcPr>
            <w:tcW w:w="24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14,457</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9,414</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15,867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rPr>
                <w:sz w:val="20"/>
                <w:szCs w:val="20"/>
                <w:color w:val="auto"/>
              </w:rPr>
            </w:pPr>
            <w:r>
              <w:rPr>
                <w:rFonts w:ascii="Arial" w:cs="Arial" w:eastAsia="Arial" w:hAnsi="Arial"/>
                <w:sz w:val="12"/>
                <w:szCs w:val="12"/>
                <w:color w:val="auto"/>
              </w:rPr>
              <w:t>Customer lists</w:t>
            </w: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68,943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37,873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77,497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Noncompetition agreements</w:t>
            </w:r>
          </w:p>
        </w:tc>
        <w:tc>
          <w:tcPr>
            <w:tcW w:w="2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910</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1,118</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rPr>
                <w:sz w:val="20"/>
                <w:szCs w:val="20"/>
                <w:color w:val="auto"/>
              </w:rPr>
            </w:pPr>
            <w:r>
              <w:rPr>
                <w:rFonts w:ascii="Arial" w:cs="Arial" w:eastAsia="Arial" w:hAnsi="Arial"/>
                <w:sz w:val="12"/>
                <w:szCs w:val="12"/>
                <w:color w:val="auto"/>
              </w:rPr>
              <w:t>Tradename</w:t>
            </w: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1,390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1,390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adjustments</w:t>
            </w:r>
          </w:p>
        </w:tc>
        <w:tc>
          <w:tcPr>
            <w:tcW w:w="2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(1,520)</w:t>
            </w:r>
          </w:p>
        </w:tc>
        <w:tc>
          <w:tcPr>
            <w:tcW w:w="2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(407)</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(1,214)</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60"/>
              <w:spacing w:after="0"/>
              <w:rPr>
                <w:sz w:val="20"/>
                <w:szCs w:val="20"/>
                <w:color w:val="auto"/>
              </w:rPr>
            </w:pPr>
            <w:r>
              <w:rPr>
                <w:rFonts w:ascii="Arial" w:cs="Arial" w:eastAsia="Arial" w:hAnsi="Arial"/>
                <w:sz w:val="12"/>
                <w:szCs w:val="12"/>
                <w:color w:val="auto"/>
              </w:rPr>
              <w:t>Total finite life intangible assets</w:t>
            </w:r>
          </w:p>
        </w:tc>
        <w:tc>
          <w:tcPr>
            <w:tcW w:w="2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2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84,180</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48,221</w:t>
            </w:r>
          </w:p>
        </w:tc>
        <w:tc>
          <w:tcPr>
            <w:tcW w:w="1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94,658</w:t>
            </w:r>
          </w:p>
        </w:tc>
        <w:tc>
          <w:tcPr>
            <w:tcW w:w="2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44,702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right="20" w:firstLine="521"/>
        <w:spacing w:after="0" w:line="276" w:lineRule="auto"/>
        <w:rPr>
          <w:sz w:val="20"/>
          <w:szCs w:val="20"/>
          <w:color w:val="auto"/>
        </w:rPr>
      </w:pPr>
      <w:r>
        <w:rPr>
          <w:rFonts w:ascii="Arial" w:cs="Arial" w:eastAsia="Arial" w:hAnsi="Arial"/>
          <w:sz w:val="12"/>
          <w:szCs w:val="12"/>
          <w:color w:val="auto"/>
        </w:rPr>
        <w:t>Amortization expense of finite life intangible assets was $9.6 million, $11.5 million and $13.9 million for 2018, 2017 and 2016, respectively. Amortization over the next five years for finite life intangibles is $8.1 million in 2019, $6.5 million in 2020, $5.3 million in 2021, $4.5 million in 2022, and $3.6 million in 2023.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8" w:name="page69"/>
    <w:bookmarkEnd w:id="68"/>
    <w:tbl>
      <w:tblPr>
        <w:tblLayout w:type="fixed"/>
        <w:tblInd w:w="8"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2"/>
                <w:szCs w:val="12"/>
                <w:b w:val="1"/>
                <w:bCs w:val="1"/>
                <w:color w:val="auto"/>
              </w:rPr>
              <w:t>8.</w:t>
            </w:r>
          </w:p>
        </w:tc>
        <w:tc>
          <w:tcPr>
            <w:tcW w:w="7420" w:type="dxa"/>
            <w:vAlign w:val="bottom"/>
          </w:tcPr>
          <w:p>
            <w:pPr>
              <w:ind w:left="20"/>
              <w:spacing w:after="0"/>
              <w:rPr>
                <w:sz w:val="20"/>
                <w:szCs w:val="20"/>
                <w:color w:val="auto"/>
              </w:rPr>
            </w:pPr>
            <w:r>
              <w:rPr>
                <w:rFonts w:ascii="Arial" w:cs="Arial" w:eastAsia="Arial" w:hAnsi="Arial"/>
                <w:sz w:val="12"/>
                <w:szCs w:val="12"/>
                <w:b w:val="1"/>
                <w:bCs w:val="1"/>
                <w:color w:val="auto"/>
              </w:rPr>
              <w:t>Accounts Payable and Accrued Expenses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900" w:type="dxa"/>
            <w:vAlign w:val="bottom"/>
            <w:gridSpan w:val="2"/>
          </w:tcPr>
          <w:p>
            <w:pPr>
              <w:spacing w:after="0"/>
              <w:rPr>
                <w:sz w:val="20"/>
                <w:szCs w:val="20"/>
                <w:color w:val="auto"/>
              </w:rPr>
            </w:pPr>
            <w:r>
              <w:rPr>
                <w:rFonts w:ascii="Arial" w:cs="Arial" w:eastAsia="Arial" w:hAnsi="Arial"/>
                <w:sz w:val="12"/>
                <w:szCs w:val="12"/>
                <w:color w:val="auto"/>
              </w:rPr>
              <w:t>Accounts payable and accrued expense consisted of the following:</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900" w:type="dxa"/>
            <w:vAlign w:val="bottom"/>
            <w:gridSpan w:val="2"/>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00" w:type="dxa"/>
            <w:vAlign w:val="bottom"/>
            <w:gridSpan w:val="2"/>
          </w:tcPr>
          <w:p>
            <w:pPr>
              <w:spacing w:after="0"/>
              <w:rPr>
                <w:sz w:val="20"/>
                <w:szCs w:val="20"/>
                <w:color w:val="auto"/>
              </w:rPr>
            </w:pPr>
            <w:r>
              <w:rPr>
                <w:rFonts w:ascii="Arial" w:cs="Arial" w:eastAsia="Arial" w:hAnsi="Arial"/>
                <w:sz w:val="12"/>
                <w:szCs w:val="12"/>
                <w:color w:val="auto"/>
              </w:rPr>
              <w:t>Trade accounts payable, including amounts due to subcontractors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51,984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31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45,409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Compensation and related benefits</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7,578</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5,246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Current portion of earnout liability</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Accrued warranty</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3,384</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Contract liability</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6,541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74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10,742</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00" w:type="dxa"/>
            <w:vAlign w:val="bottom"/>
            <w:gridSpan w:val="2"/>
          </w:tcPr>
          <w:p>
            <w:pPr>
              <w:ind w:left="160"/>
              <w:spacing w:after="0"/>
              <w:rPr>
                <w:sz w:val="20"/>
                <w:szCs w:val="20"/>
                <w:color w:val="auto"/>
              </w:rPr>
            </w:pPr>
            <w:r>
              <w:rPr>
                <w:rFonts w:ascii="Arial" w:cs="Arial" w:eastAsia="Arial" w:hAnsi="Arial"/>
                <w:sz w:val="12"/>
                <w:szCs w:val="12"/>
                <w:color w:val="auto"/>
              </w:rPr>
              <w:t>Total accounts payable and accrued expenses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80,229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31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70,786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7420" w:type="dxa"/>
            <w:vAlign w:val="bottom"/>
          </w:tcPr>
          <w:p>
            <w:pPr>
              <w:ind w:left="40"/>
              <w:spacing w:after="0"/>
              <w:rPr>
                <w:sz w:val="20"/>
                <w:szCs w:val="20"/>
                <w:color w:val="auto"/>
              </w:rPr>
            </w:pPr>
            <w:r>
              <w:rPr>
                <w:rFonts w:ascii="Arial" w:cs="Arial" w:eastAsia="Arial" w:hAnsi="Arial"/>
                <w:sz w:val="12"/>
                <w:szCs w:val="12"/>
                <w:color w:val="auto"/>
              </w:rPr>
              <w:t>The activity in the Company’s earnout liability was as follows for the years ended December 31, 2018 and 2017:</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900" w:type="dxa"/>
            <w:vAlign w:val="bottom"/>
            <w:tcBorders>
              <w:bottom w:val="single" w:sz="8" w:color="CFF0FC"/>
            </w:tcBorders>
            <w:gridSpan w:val="2"/>
          </w:tcPr>
          <w:p>
            <w:pPr>
              <w:spacing w:after="0"/>
              <w:rPr>
                <w:sz w:val="20"/>
                <w:szCs w:val="20"/>
                <w:color w:val="auto"/>
              </w:rPr>
            </w:pPr>
            <w:r>
              <w:rPr>
                <w:rFonts w:ascii="Arial" w:cs="Arial" w:eastAsia="Arial" w:hAnsi="Arial"/>
                <w:sz w:val="10"/>
                <w:szCs w:val="10"/>
                <w:b w:val="1"/>
                <w:bCs w:val="1"/>
                <w:color w:val="auto"/>
              </w:rPr>
              <w:t>(Table only in thousands)</w:t>
            </w:r>
          </w:p>
        </w:tc>
        <w:tc>
          <w:tcPr>
            <w:tcW w:w="8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2018</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Earnout accrued at beginning of year</w:t>
            </w:r>
          </w:p>
        </w:tc>
        <w:tc>
          <w:tcPr>
            <w:tcW w:w="420" w:type="dxa"/>
            <w:vAlign w:val="bottom"/>
            <w:gridSpan w:val="2"/>
            <w:shd w:val="clear" w:color="auto" w:fill="CFF0FC"/>
          </w:tcPr>
          <w:p>
            <w:pPr>
              <w:jc w:val="right"/>
              <w:ind w:right="23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4,475</w:t>
            </w:r>
          </w:p>
        </w:tc>
        <w:tc>
          <w:tcPr>
            <w:tcW w:w="14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ind w:right="27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Fair value adjustment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(6,610)</w:t>
            </w:r>
          </w:p>
        </w:tc>
        <w:tc>
          <w:tcPr>
            <w:tcW w:w="0" w:type="dxa"/>
            <w:vAlign w:val="bottom"/>
          </w:tcPr>
          <w:p>
            <w:pPr>
              <w:spacing w:after="0"/>
              <w:rPr>
                <w:sz w:val="1"/>
                <w:szCs w:val="1"/>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Compensation expense adjustment</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Foreign currency translation adjustment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 w:type="dxa"/>
            <w:vAlign w:val="bottom"/>
            <w:shd w:val="clear" w:color="auto" w:fill="CFF0FC"/>
          </w:tcPr>
          <w:p>
            <w:pPr>
              <w:spacing w:after="0"/>
              <w:rPr>
                <w:sz w:val="20"/>
                <w:szCs w:val="20"/>
                <w:color w:val="auto"/>
              </w:rPr>
            </w:pPr>
            <w:r>
              <w:rPr>
                <w:rFonts w:ascii="Arial" w:cs="Arial" w:eastAsia="Arial" w:hAnsi="Arial"/>
                <w:sz w:val="12"/>
                <w:szCs w:val="12"/>
                <w:color w:val="auto"/>
                <w:w w:val="86"/>
              </w:rPr>
              <w:t>Payments</w:t>
            </w:r>
          </w:p>
        </w:tc>
        <w:tc>
          <w:tcPr>
            <w:tcW w:w="7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(2,862)</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(15,193)</w:t>
            </w:r>
          </w:p>
        </w:tc>
        <w:tc>
          <w:tcPr>
            <w:tcW w:w="0" w:type="dxa"/>
            <w:vAlign w:val="bottom"/>
          </w:tcPr>
          <w:p>
            <w:pPr>
              <w:spacing w:after="0"/>
              <w:rPr>
                <w:sz w:val="1"/>
                <w:szCs w:val="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Other reclassifications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2"/>
                <w:szCs w:val="12"/>
                <w:color w:val="auto"/>
              </w:rPr>
              <w:t>(1,440)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7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Earnout accrued at end of year</w:t>
            </w:r>
          </w:p>
        </w:tc>
        <w:tc>
          <w:tcPr>
            <w:tcW w:w="8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4,475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Less: current portion of earnout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(2,989)</w:t>
            </w:r>
          </w:p>
        </w:tc>
        <w:tc>
          <w:tcPr>
            <w:tcW w:w="0" w:type="dxa"/>
            <w:vAlign w:val="bottom"/>
          </w:tcPr>
          <w:p>
            <w:pPr>
              <w:spacing w:after="0"/>
              <w:rPr>
                <w:sz w:val="1"/>
                <w:szCs w:val="1"/>
                <w:color w:val="auto"/>
              </w:rPr>
            </w:pPr>
          </w:p>
        </w:tc>
      </w:tr>
      <w:tr>
        <w:trPr>
          <w:trHeight w:val="149"/>
        </w:trPr>
        <w:tc>
          <w:tcPr>
            <w:tcW w:w="7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Balance of long-term portion of earnout recorded in other liabilities</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008"/>
        <w:spacing w:after="0"/>
        <w:rPr>
          <w:sz w:val="20"/>
          <w:szCs w:val="20"/>
          <w:color w:val="auto"/>
        </w:rPr>
      </w:pPr>
      <w:r>
        <w:rPr>
          <w:rFonts w:ascii="Arial" w:cs="Arial" w:eastAsia="Arial" w:hAnsi="Arial"/>
          <w:sz w:val="11"/>
          <w:szCs w:val="11"/>
          <w:color w:val="auto"/>
        </w:rPr>
        <w:t>The earnout liability is only associated with the Energy Solutions segment</w:t>
      </w:r>
    </w:p>
    <w:p>
      <w:pPr>
        <w:spacing w:after="0" w:line="271" w:lineRule="exact"/>
        <w:rPr>
          <w:sz w:val="20"/>
          <w:szCs w:val="20"/>
          <w:color w:val="auto"/>
        </w:rPr>
      </w:pPr>
    </w:p>
    <w:p>
      <w:pPr>
        <w:ind w:left="508" w:hanging="508"/>
        <w:spacing w:after="0"/>
        <w:tabs>
          <w:tab w:leader="none" w:pos="508"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Senior debt</w:t>
      </w:r>
    </w:p>
    <w:p>
      <w:pPr>
        <w:spacing w:after="0" w:line="82" w:lineRule="exact"/>
        <w:rPr>
          <w:rFonts w:ascii="Arial" w:cs="Arial" w:eastAsia="Arial" w:hAnsi="Arial"/>
          <w:sz w:val="12"/>
          <w:szCs w:val="12"/>
          <w:b w:val="1"/>
          <w:bCs w:val="1"/>
          <w:color w:val="auto"/>
        </w:rPr>
      </w:pPr>
    </w:p>
    <w:p>
      <w:pPr>
        <w:ind w:left="528"/>
        <w:spacing w:after="0"/>
        <w:rPr>
          <w:rFonts w:ascii="Arial" w:cs="Arial" w:eastAsia="Arial" w:hAnsi="Arial"/>
          <w:sz w:val="12"/>
          <w:szCs w:val="12"/>
          <w:b w:val="1"/>
          <w:bCs w:val="1"/>
          <w:color w:val="auto"/>
        </w:rPr>
      </w:pPr>
      <w:r>
        <w:rPr>
          <w:rFonts w:ascii="Arial" w:cs="Arial" w:eastAsia="Arial" w:hAnsi="Arial"/>
          <w:sz w:val="12"/>
          <w:szCs w:val="12"/>
          <w:color w:val="auto"/>
        </w:rPr>
        <w:t>Debt consisted of the following at December 31, 2018 and 2017:</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0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3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900" w:type="dxa"/>
            <w:vAlign w:val="bottom"/>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2018</w:t>
            </w: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Outstanding borrowings under Credit Facility (defined below).</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80"/>
              <w:spacing w:after="0"/>
              <w:rPr>
                <w:sz w:val="20"/>
                <w:szCs w:val="20"/>
                <w:color w:val="auto"/>
              </w:rPr>
            </w:pPr>
            <w:r>
              <w:rPr>
                <w:rFonts w:ascii="Arial" w:cs="Arial" w:eastAsia="Arial" w:hAnsi="Arial"/>
                <w:sz w:val="12"/>
                <w:szCs w:val="12"/>
                <w:color w:val="auto"/>
              </w:rPr>
              <w:t>Term loan balance due upon maturity in September 2020.</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Term loan</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76,147</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113,903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 U.S. Dollar revolving loans</w:t>
            </w:r>
          </w:p>
        </w:tc>
        <w:tc>
          <w:tcPr>
            <w:tcW w:w="360" w:type="dxa"/>
            <w:vAlign w:val="bottom"/>
          </w:tcPr>
          <w:p>
            <w:pPr>
              <w:spacing w:after="0"/>
              <w:rPr>
                <w:sz w:val="13"/>
                <w:szCs w:val="13"/>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Unamortized debt discount</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(1,691)</w:t>
            </w:r>
          </w:p>
        </w:tc>
        <w:tc>
          <w:tcPr>
            <w:tcW w:w="4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(2,834)</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20"/>
                <w:szCs w:val="20"/>
                <w:color w:val="auto"/>
              </w:rPr>
            </w:pPr>
            <w:r>
              <w:rPr>
                <w:rFonts w:ascii="Arial" w:cs="Arial" w:eastAsia="Arial" w:hAnsi="Arial"/>
                <w:sz w:val="12"/>
                <w:szCs w:val="12"/>
                <w:color w:val="auto"/>
              </w:rPr>
              <w:t>Total outstanding borrowings under Credit Facility</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74,456</w:t>
            </w:r>
          </w:p>
        </w:tc>
        <w:tc>
          <w:tcPr>
            <w:tcW w:w="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112,069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Outstanding borrowings (U.S. dollar equivalent) under</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80"/>
              <w:spacing w:after="0"/>
              <w:rPr>
                <w:sz w:val="20"/>
                <w:szCs w:val="20"/>
                <w:color w:val="auto"/>
              </w:rPr>
            </w:pPr>
            <w:r>
              <w:rPr>
                <w:rFonts w:ascii="Arial" w:cs="Arial" w:eastAsia="Arial" w:hAnsi="Arial"/>
                <w:sz w:val="12"/>
                <w:szCs w:val="12"/>
                <w:color w:val="auto"/>
              </w:rPr>
              <w:t>Foreign Debt</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20"/>
                <w:szCs w:val="20"/>
                <w:color w:val="auto"/>
              </w:rPr>
            </w:pPr>
            <w:r>
              <w:rPr>
                <w:rFonts w:ascii="Arial" w:cs="Arial" w:eastAsia="Arial" w:hAnsi="Arial"/>
                <w:sz w:val="12"/>
                <w:szCs w:val="12"/>
                <w:color w:val="auto"/>
              </w:rPr>
              <w:t>Total outstanding borrowings</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74,456</w:t>
            </w:r>
          </w:p>
        </w:tc>
        <w:tc>
          <w:tcPr>
            <w:tcW w:w="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114,833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Less: current portion</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11,296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20"/>
                <w:szCs w:val="20"/>
                <w:color w:val="auto"/>
              </w:rPr>
            </w:pPr>
            <w:r>
              <w:rPr>
                <w:rFonts w:ascii="Arial" w:cs="Arial" w:eastAsia="Arial" w:hAnsi="Arial"/>
                <w:sz w:val="12"/>
                <w:szCs w:val="12"/>
                <w:color w:val="auto"/>
              </w:rPr>
              <w:t>Total debt, less current portion</w:t>
            </w: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74,456</w:t>
            </w:r>
          </w:p>
        </w:tc>
        <w:tc>
          <w:tcPr>
            <w:tcW w:w="2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103,537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28"/>
        <w:spacing w:after="0"/>
        <w:rPr>
          <w:sz w:val="20"/>
          <w:szCs w:val="20"/>
          <w:color w:val="auto"/>
        </w:rPr>
      </w:pPr>
      <w:r>
        <w:rPr>
          <w:rFonts w:ascii="Arial" w:cs="Arial" w:eastAsia="Arial" w:hAnsi="Arial"/>
          <w:sz w:val="11"/>
          <w:szCs w:val="11"/>
          <w:color w:val="auto"/>
        </w:rPr>
        <w:t>In 2018, the Company made prepayments of $36.2 million on the term loan. Due to the prepayments made in 2018, there are no additional payments due on the term loan until the final payment of $76.1 million in September</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2020.</w:t>
      </w:r>
    </w:p>
    <w:p>
      <w:pPr>
        <w:spacing w:after="0" w:line="87" w:lineRule="exact"/>
        <w:rPr>
          <w:sz w:val="20"/>
          <w:szCs w:val="20"/>
          <w:color w:val="auto"/>
        </w:rPr>
      </w:pPr>
    </w:p>
    <w:p>
      <w:pPr>
        <w:ind w:left="528"/>
        <w:spacing w:after="0"/>
        <w:rPr>
          <w:sz w:val="20"/>
          <w:szCs w:val="20"/>
          <w:color w:val="auto"/>
        </w:rPr>
      </w:pPr>
      <w:r>
        <w:rPr>
          <w:rFonts w:ascii="Arial" w:cs="Arial" w:eastAsia="Arial" w:hAnsi="Arial"/>
          <w:sz w:val="12"/>
          <w:szCs w:val="12"/>
          <w:u w:val="single" w:color="auto"/>
          <w:color w:val="auto"/>
        </w:rPr>
        <w:t>Credit Facility</w:t>
      </w:r>
    </w:p>
    <w:p>
      <w:pPr>
        <w:spacing w:after="0" w:line="204" w:lineRule="exact"/>
        <w:rPr>
          <w:sz w:val="20"/>
          <w:szCs w:val="20"/>
          <w:color w:val="auto"/>
        </w:rPr>
      </w:pPr>
    </w:p>
    <w:p>
      <w:pPr>
        <w:ind w:left="8" w:right="280" w:firstLine="521"/>
        <w:spacing w:after="0" w:line="276" w:lineRule="auto"/>
        <w:rPr>
          <w:sz w:val="20"/>
          <w:szCs w:val="20"/>
          <w:color w:val="auto"/>
        </w:rPr>
      </w:pPr>
      <w:r>
        <w:rPr>
          <w:rFonts w:ascii="Arial" w:cs="Arial" w:eastAsia="Arial" w:hAnsi="Arial"/>
          <w:sz w:val="12"/>
          <w:szCs w:val="12"/>
          <w:color w:val="auto"/>
        </w:rPr>
        <w:t>The Company has entered into a credit agreement (the “Credit Agreement”) with various lenders (the “Lenders”) and letter of credit issuers (each, an “L/C Issuer”), and Bank of America, N.A., as Administrative Agent (the “Agent”), swing line lender and an L/C Issuer, providing for various senior secured credit facilities (collectively, the “Credit Facility”).</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69" w:name="page70"/>
    <w:bookmarkEnd w:id="69"/>
    <w:p>
      <w:pPr>
        <w:ind w:right="160" w:firstLine="521"/>
        <w:spacing w:after="0" w:line="276" w:lineRule="auto"/>
        <w:rPr>
          <w:sz w:val="20"/>
          <w:szCs w:val="20"/>
          <w:color w:val="auto"/>
        </w:rPr>
      </w:pPr>
      <w:r>
        <w:rPr>
          <w:rFonts w:ascii="Arial" w:cs="Arial" w:eastAsia="Arial" w:hAnsi="Arial"/>
          <w:sz w:val="12"/>
          <w:szCs w:val="12"/>
          <w:color w:val="auto"/>
        </w:rPr>
        <w:t>Pursuant to the amended and restated Credit Agreement, the Lenders currently provided a term loan in an aggregate principal amount of $170.0 million and a U.S. dollar revolving credit commitment in the aggregate principal amount of $60.5 million. The agreement includes a $19.5 million senior secured multi-currency revolving credit facility for U.S. dollar and specific foreign currency loans.</w:t>
      </w:r>
    </w:p>
    <w:p>
      <w:pPr>
        <w:spacing w:after="0" w:line="169" w:lineRule="exact"/>
        <w:rPr>
          <w:sz w:val="20"/>
          <w:szCs w:val="20"/>
          <w:color w:val="auto"/>
        </w:rPr>
      </w:pPr>
    </w:p>
    <w:p>
      <w:pPr>
        <w:ind w:right="140" w:firstLine="520"/>
        <w:spacing w:after="0" w:line="323" w:lineRule="auto"/>
        <w:rPr>
          <w:sz w:val="20"/>
          <w:szCs w:val="20"/>
          <w:color w:val="auto"/>
        </w:rPr>
      </w:pPr>
      <w:r>
        <w:rPr>
          <w:rFonts w:ascii="Arial" w:cs="Arial" w:eastAsia="Arial" w:hAnsi="Arial"/>
          <w:sz w:val="11"/>
          <w:szCs w:val="11"/>
          <w:color w:val="auto"/>
        </w:rPr>
        <w:t>Under the terms of the Credit Facility, the Company is required to maintain certain financial and other covenants including the maintenance of a Consolidated Leverage Ratio as defined in the Credit Agreement. The Company must maintain a Consolidated Leverage Ratio of 3.75 through March 31, 2019, decreasing to 3.50 through September 30, 2019. The ratio will then decrease to 3.25 until the termination of the Credit Facility.</w:t>
      </w:r>
    </w:p>
    <w:p>
      <w:pPr>
        <w:spacing w:after="0" w:line="137" w:lineRule="exact"/>
        <w:rPr>
          <w:sz w:val="20"/>
          <w:szCs w:val="20"/>
          <w:color w:val="auto"/>
        </w:rPr>
      </w:pPr>
    </w:p>
    <w:p>
      <w:pPr>
        <w:ind w:right="660" w:firstLine="520"/>
        <w:spacing w:after="0" w:line="299" w:lineRule="auto"/>
        <w:rPr>
          <w:sz w:val="20"/>
          <w:szCs w:val="20"/>
          <w:color w:val="auto"/>
        </w:rPr>
      </w:pPr>
      <w:r>
        <w:rPr>
          <w:rFonts w:ascii="Arial" w:cs="Arial" w:eastAsia="Arial" w:hAnsi="Arial"/>
          <w:sz w:val="11"/>
          <w:szCs w:val="11"/>
          <w:color w:val="auto"/>
        </w:rPr>
        <w:t>As of December 31, 2018 and 2017, $29.3 million and $24.4 million of letters of credit were outstanding, respectively. Total unused credit availability under the Credit Facility was $50.7 million and $54.6 million at December 31, 2018 and 2017, respectively. Revolving loans may be borrowed, repaid and reborrowed until September 3, 2020, at which time all amounts borrowed pursuant to the Credit Facility must be repaid.</w:t>
      </w:r>
    </w:p>
    <w:p>
      <w:pPr>
        <w:ind w:right="80" w:firstLine="520"/>
        <w:spacing w:after="0" w:line="263" w:lineRule="auto"/>
        <w:rPr>
          <w:sz w:val="20"/>
          <w:szCs w:val="20"/>
          <w:color w:val="auto"/>
        </w:rPr>
      </w:pPr>
      <w:r>
        <w:rPr>
          <w:rFonts w:ascii="Arial" w:cs="Arial" w:eastAsia="Arial" w:hAnsi="Arial"/>
          <w:sz w:val="12"/>
          <w:szCs w:val="12"/>
          <w:color w:val="auto"/>
        </w:rPr>
        <w:t>At the Company’s option, revolving loans and the term loans accrue interest at a per annum rate based on either the highest of (a) the federal funds rate plus 0.5%, (b) the Agent’s prime lending rate, (c) one-month LIBOR plus 1.00%, plus a margin ranging from 1.0% to 2.0% depending on the Company’s Consolidated Leverage Ratio (“Base Rate”), or (d) a Eurocurrency Rate (as defined in the Credit Agreement) plus 1.0% to 2.0% depending on the Company’s Consolidated Leverage Ratio. Interest on swing line loans is the Base Rate.</w:t>
      </w:r>
    </w:p>
    <w:p>
      <w:pPr>
        <w:spacing w:after="0" w:line="168" w:lineRule="exact"/>
        <w:rPr>
          <w:sz w:val="20"/>
          <w:szCs w:val="20"/>
          <w:color w:val="auto"/>
        </w:rPr>
      </w:pPr>
    </w:p>
    <w:p>
      <w:pPr>
        <w:ind w:right="160" w:firstLine="520"/>
        <w:spacing w:after="0" w:line="323" w:lineRule="auto"/>
        <w:rPr>
          <w:sz w:val="20"/>
          <w:szCs w:val="20"/>
          <w:color w:val="auto"/>
        </w:rPr>
      </w:pPr>
      <w:r>
        <w:rPr>
          <w:rFonts w:ascii="Arial" w:cs="Arial" w:eastAsia="Arial" w:hAnsi="Arial"/>
          <w:sz w:val="11"/>
          <w:szCs w:val="11"/>
          <w:color w:val="auto"/>
        </w:rPr>
        <w:t>Interest on Base Rate loans is payable quarterly in arrears on the last day of each calendar quarter and at maturity. Interest on Eurocurrency Rate loans is payable on the last date of each applicable Interest Period (as defined in the agreement), but in no event less than once every three months and at maturity. The weighted average interest rate on outstanding borrowings was 5.27% and 4.08% at December 31, 2018 and 2017, respectively.</w:t>
      </w:r>
    </w:p>
    <w:p>
      <w:pPr>
        <w:spacing w:after="0" w:line="137" w:lineRule="exact"/>
        <w:rPr>
          <w:sz w:val="20"/>
          <w:szCs w:val="20"/>
          <w:color w:val="auto"/>
        </w:rPr>
      </w:pPr>
    </w:p>
    <w:p>
      <w:pPr>
        <w:ind w:right="140" w:firstLine="520"/>
        <w:spacing w:after="0" w:line="263" w:lineRule="auto"/>
        <w:rPr>
          <w:sz w:val="20"/>
          <w:szCs w:val="20"/>
          <w:color w:val="auto"/>
        </w:rPr>
      </w:pPr>
      <w:r>
        <w:rPr>
          <w:rFonts w:ascii="Arial" w:cs="Arial" w:eastAsia="Arial" w:hAnsi="Arial"/>
          <w:sz w:val="12"/>
          <w:szCs w:val="12"/>
          <w:color w:val="auto"/>
        </w:rPr>
        <w:t>The Company has granted a security interest in substantially all of its assets to secure its obligations pursuant to the Credit Agreement. The Company’s obligations under the Credit Agreement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of December 31, 2018 and 2017, the Company was in compliance with all related financial and other restrictive covenants under the Credit Facility.</w:t>
      </w:r>
    </w:p>
    <w:p>
      <w:pPr>
        <w:spacing w:after="0" w:line="195" w:lineRule="exact"/>
        <w:rPr>
          <w:sz w:val="20"/>
          <w:szCs w:val="20"/>
          <w:color w:val="auto"/>
        </w:rPr>
      </w:pPr>
    </w:p>
    <w:p>
      <w:pPr>
        <w:ind w:firstLine="520"/>
        <w:spacing w:after="0" w:line="257" w:lineRule="auto"/>
        <w:rPr>
          <w:sz w:val="20"/>
          <w:szCs w:val="20"/>
          <w:color w:val="auto"/>
        </w:rPr>
      </w:pPr>
      <w:r>
        <w:rPr>
          <w:rFonts w:ascii="Arial" w:cs="Arial" w:eastAsia="Arial" w:hAnsi="Arial"/>
          <w:sz w:val="12"/>
          <w:szCs w:val="12"/>
          <w:color w:val="auto"/>
        </w:rPr>
        <w:t>In accordance with the Credit Facility terms, the Company entered into an interest rate swap on December 30, 2015 to hedge against interest rate exposure related to approximately one-third of the outstanding debt as of the date of the agreement indexed to LIBOR market rates. The fair value of the interest rate swap was an asset of $0.5 million and $0.3 million at December 31, 2018, and 2017, respectively, which is recorded in “Deferred charges and other assets” on the Consolidated Balance Sheets. The Company did not designate the interest rate swap as an effective hedge until the first quarter of 2016. The change in the fair value of the hedge prior to being designated as an effective hedge during the year ended December 31, 2016 of $0.5 million, was recorded in earnings in “Other income (expense), net” in the Consolidated Statements of Operations. From the date of designation, all changes to the fair value of the interest rate swap are recorded in other comprehensive income (loss) as long as the hedge is deemed effective.</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Foreign Debt</w:t>
      </w:r>
    </w:p>
    <w:p>
      <w:pPr>
        <w:spacing w:after="0" w:line="33" w:lineRule="exact"/>
        <w:rPr>
          <w:sz w:val="20"/>
          <w:szCs w:val="20"/>
          <w:color w:val="auto"/>
        </w:rPr>
      </w:pPr>
    </w:p>
    <w:p>
      <w:pPr>
        <w:ind w:right="140" w:firstLine="520"/>
        <w:spacing w:after="0" w:line="266" w:lineRule="auto"/>
        <w:rPr>
          <w:sz w:val="20"/>
          <w:szCs w:val="20"/>
          <w:color w:val="auto"/>
        </w:rPr>
      </w:pPr>
      <w:r>
        <w:rPr>
          <w:rFonts w:ascii="Arial" w:cs="Arial" w:eastAsia="Arial" w:hAnsi="Arial"/>
          <w:sz w:val="12"/>
          <w:szCs w:val="12"/>
          <w:color w:val="auto"/>
        </w:rPr>
        <w:t>The Company has a number of facilities and bilateral agreements in various countries currently supported by letters of credit issued by the Credit Facility or cash. As of December 31, 2018, the borrowers of these facilities and agreements were in compliance with all related financial and other restrictive covenants.</w:t>
      </w:r>
    </w:p>
    <w:p>
      <w:pPr>
        <w:ind w:right="440" w:firstLine="520"/>
        <w:spacing w:after="0" w:line="276" w:lineRule="auto"/>
        <w:rPr>
          <w:sz w:val="20"/>
          <w:szCs w:val="20"/>
          <w:color w:val="auto"/>
        </w:rPr>
      </w:pPr>
      <w:r>
        <w:rPr>
          <w:rFonts w:ascii="Arial" w:cs="Arial" w:eastAsia="Arial" w:hAnsi="Arial"/>
          <w:sz w:val="12"/>
          <w:szCs w:val="12"/>
          <w:color w:val="auto"/>
        </w:rPr>
        <w:t>A subsidiary of the Company located in the Netherlands has a Euro-denominated facilities agreement which as of December 31, 2018 had no outstanding borrowings. The Company settled the outstanding amount of the overdraft facility in 2018. The Company plans to exit this facility and consolidate it with the Credit Facility.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64" w:right="199" w:bottom="1440" w:gutter="0" w:footer="0" w:header="0"/>
        </w:sectPr>
      </w:pPr>
    </w:p>
    <w:bookmarkStart w:id="70" w:name="page71"/>
    <w:bookmarkEnd w:id="70"/>
    <w:p>
      <w:pPr>
        <w:ind w:left="508" w:hanging="508"/>
        <w:spacing w:after="0"/>
        <w:tabs>
          <w:tab w:leader="none" w:pos="508"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Shareholders’ Equity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Dividends</w:t>
      </w:r>
    </w:p>
    <w:p>
      <w:pPr>
        <w:spacing w:after="0" w:line="82" w:lineRule="exact"/>
        <w:rPr>
          <w:sz w:val="20"/>
          <w:szCs w:val="20"/>
          <w:color w:val="auto"/>
        </w:rPr>
      </w:pPr>
    </w:p>
    <w:p>
      <w:pPr>
        <w:ind w:left="8" w:right="80" w:firstLine="521"/>
        <w:spacing w:after="0" w:line="298" w:lineRule="auto"/>
        <w:rPr>
          <w:sz w:val="20"/>
          <w:szCs w:val="20"/>
          <w:color w:val="auto"/>
        </w:rPr>
      </w:pPr>
      <w:r>
        <w:rPr>
          <w:rFonts w:ascii="Arial" w:cs="Arial" w:eastAsia="Arial" w:hAnsi="Arial"/>
          <w:sz w:val="11"/>
          <w:szCs w:val="11"/>
          <w:color w:val="auto"/>
        </w:rPr>
        <w:t>Our dividend policy and the payment of cash dividends under that policy are subject to the Board of Director’s continuing determination that the dividend policy and the declaration of dividends are in the best interest of the Company’s shareholders. Future dividends and the dividend policy may be changed at the Company’s discretion at any time. Payment of dividends is also subject to the continuing compliance with our financial covenants under our Credit Facility. On November 6, 2017, the Board of Directors reviewed the Company’s dividend policy and determined that it would be in the best interest of the shareholders to suspend dividend payments.</w:t>
      </w:r>
    </w:p>
    <w:p>
      <w:pPr>
        <w:spacing w:after="0" w:line="33" w:lineRule="exact"/>
        <w:rPr>
          <w:sz w:val="20"/>
          <w:szCs w:val="20"/>
          <w:color w:val="auto"/>
        </w:rPr>
      </w:pPr>
    </w:p>
    <w:p>
      <w:pPr>
        <w:ind w:left="528"/>
        <w:spacing w:after="0"/>
        <w:rPr>
          <w:sz w:val="20"/>
          <w:szCs w:val="20"/>
          <w:color w:val="auto"/>
        </w:rPr>
      </w:pPr>
      <w:r>
        <w:rPr>
          <w:rFonts w:ascii="Arial" w:cs="Arial" w:eastAsia="Arial" w:hAnsi="Arial"/>
          <w:sz w:val="12"/>
          <w:szCs w:val="12"/>
          <w:color w:val="auto"/>
        </w:rPr>
        <w:t>During 2017 and 2016, our Board declared the following quarterly cash dividends on our common stock:</w:t>
      </w:r>
    </w:p>
    <w:tbl>
      <w:tblPr>
        <w:tblLayout w:type="fixed"/>
        <w:tblInd w:w="8" w:type="dxa"/>
        <w:tblCellMar>
          <w:top w:w="0" w:type="dxa"/>
          <w:left w:w="0" w:type="dxa"/>
          <w:bottom w:w="0" w:type="dxa"/>
          <w:right w:w="0" w:type="dxa"/>
        </w:tblCellMar>
      </w:tblPr>
      <w:tr>
        <w:trPr>
          <w:trHeight w:val="109"/>
        </w:trPr>
        <w:tc>
          <w:tcPr>
            <w:tcW w:w="776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Dividend</w:t>
            </w: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114"/>
        </w:trPr>
        <w:tc>
          <w:tcPr>
            <w:tcW w:w="75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Per Share</w:t>
            </w:r>
          </w:p>
        </w:tc>
        <w:tc>
          <w:tcPr>
            <w:tcW w:w="180" w:type="dxa"/>
            <w:vAlign w:val="bottom"/>
            <w:tcBorders>
              <w:bottom w:val="single" w:sz="8" w:color="CFF0FC"/>
            </w:tcBorders>
          </w:tcPr>
          <w:p>
            <w:pPr>
              <w:spacing w:after="0"/>
              <w:rPr>
                <w:sz w:val="9"/>
                <w:szCs w:val="9"/>
                <w:color w:val="auto"/>
              </w:rPr>
            </w:pPr>
          </w:p>
        </w:tc>
        <w:tc>
          <w:tcPr>
            <w:tcW w:w="1760" w:type="dxa"/>
            <w:vAlign w:val="bottom"/>
            <w:tcBorders>
              <w:bottom w:val="single" w:sz="8" w:color="auto"/>
            </w:tcBorders>
          </w:tcPr>
          <w:p>
            <w:pPr>
              <w:jc w:val="right"/>
              <w:ind w:right="561"/>
              <w:spacing w:after="0" w:line="114" w:lineRule="exact"/>
              <w:rPr>
                <w:sz w:val="20"/>
                <w:szCs w:val="20"/>
                <w:color w:val="auto"/>
              </w:rPr>
            </w:pPr>
            <w:r>
              <w:rPr>
                <w:rFonts w:ascii="Arial" w:cs="Arial" w:eastAsia="Arial" w:hAnsi="Arial"/>
                <w:sz w:val="10"/>
                <w:szCs w:val="10"/>
                <w:b w:val="1"/>
                <w:bCs w:val="1"/>
                <w:color w:val="auto"/>
              </w:rPr>
              <w:t>Record Date</w:t>
            </w:r>
          </w:p>
        </w:tc>
        <w:tc>
          <w:tcPr>
            <w:tcW w:w="180" w:type="dxa"/>
            <w:vAlign w:val="bottom"/>
            <w:tcBorders>
              <w:bottom w:val="single" w:sz="8" w:color="CFF0FC"/>
            </w:tcBorders>
          </w:tcPr>
          <w:p>
            <w:pPr>
              <w:spacing w:after="0"/>
              <w:rPr>
                <w:sz w:val="9"/>
                <w:szCs w:val="9"/>
                <w:color w:val="auto"/>
              </w:rPr>
            </w:pPr>
          </w:p>
        </w:tc>
        <w:tc>
          <w:tcPr>
            <w:tcW w:w="1780" w:type="dxa"/>
            <w:vAlign w:val="bottom"/>
            <w:tcBorders>
              <w:bottom w:val="single" w:sz="8" w:color="auto"/>
            </w:tcBorders>
          </w:tcPr>
          <w:p>
            <w:pPr>
              <w:jc w:val="right"/>
              <w:ind w:right="541"/>
              <w:spacing w:after="0" w:line="114" w:lineRule="exact"/>
              <w:rPr>
                <w:sz w:val="20"/>
                <w:szCs w:val="20"/>
                <w:color w:val="auto"/>
              </w:rPr>
            </w:pPr>
            <w:r>
              <w:rPr>
                <w:rFonts w:ascii="Arial" w:cs="Arial" w:eastAsia="Arial" w:hAnsi="Arial"/>
                <w:sz w:val="10"/>
                <w:szCs w:val="10"/>
                <w:b w:val="1"/>
                <w:bCs w:val="1"/>
                <w:color w:val="auto"/>
              </w:rPr>
              <w:t>Payment Date</w:t>
            </w:r>
          </w:p>
        </w:tc>
      </w:tr>
      <w:tr>
        <w:trPr>
          <w:trHeight w:val="142"/>
        </w:trPr>
        <w:tc>
          <w:tcPr>
            <w:tcW w:w="7580" w:type="dxa"/>
            <w:vAlign w:val="bottom"/>
            <w:shd w:val="clear" w:color="auto" w:fill="CFF0FC"/>
          </w:tcPr>
          <w:p>
            <w:pPr>
              <w:spacing w:after="0"/>
              <w:rPr>
                <w:sz w:val="20"/>
                <w:szCs w:val="20"/>
                <w:color w:val="auto"/>
              </w:rPr>
            </w:pPr>
            <w:r>
              <w:rPr>
                <w:rFonts w:ascii="Arial" w:cs="Arial" w:eastAsia="Arial" w:hAnsi="Arial"/>
                <w:sz w:val="12"/>
                <w:szCs w:val="12"/>
                <w:color w:val="auto"/>
              </w:rPr>
              <w:t>$0.075</w:t>
            </w:r>
          </w:p>
        </w:tc>
        <w:tc>
          <w:tcPr>
            <w:tcW w:w="180" w:type="dxa"/>
            <w:vAlign w:val="bottom"/>
            <w:shd w:val="clear" w:color="auto" w:fill="CFF0FC"/>
          </w:tcPr>
          <w:p>
            <w:pPr>
              <w:spacing w:after="0"/>
              <w:rPr>
                <w:sz w:val="12"/>
                <w:szCs w:val="12"/>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August 7, 2017</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29, 2017</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$0.075</w:t>
            </w:r>
          </w:p>
        </w:tc>
        <w:tc>
          <w:tcPr>
            <w:tcW w:w="180" w:type="dxa"/>
            <w:vAlign w:val="bottom"/>
          </w:tcPr>
          <w:p>
            <w:pPr>
              <w:spacing w:after="0"/>
              <w:rPr>
                <w:sz w:val="13"/>
                <w:szCs w:val="1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2"/>
                <w:szCs w:val="12"/>
                <w:color w:val="auto"/>
              </w:rPr>
              <w:t>May 10, 2017</w:t>
            </w:r>
          </w:p>
        </w:tc>
        <w:tc>
          <w:tcPr>
            <w:tcW w:w="1780" w:type="dxa"/>
            <w:vAlign w:val="bottom"/>
          </w:tcPr>
          <w:p>
            <w:pPr>
              <w:jc w:val="right"/>
              <w:spacing w:after="0"/>
              <w:rPr>
                <w:sz w:val="20"/>
                <w:szCs w:val="20"/>
                <w:color w:val="auto"/>
              </w:rPr>
            </w:pPr>
            <w:r>
              <w:rPr>
                <w:rFonts w:ascii="Arial" w:cs="Arial" w:eastAsia="Arial" w:hAnsi="Arial"/>
                <w:sz w:val="12"/>
                <w:szCs w:val="12"/>
                <w:color w:val="auto"/>
              </w:rPr>
              <w:t>June 30, 2017</w:t>
            </w:r>
          </w:p>
        </w:tc>
      </w:tr>
      <w:tr>
        <w:trPr>
          <w:trHeight w:val="153"/>
        </w:trPr>
        <w:tc>
          <w:tcPr>
            <w:tcW w:w="7580" w:type="dxa"/>
            <w:vAlign w:val="bottom"/>
            <w:shd w:val="clear" w:color="auto" w:fill="CFF0FC"/>
          </w:tcPr>
          <w:p>
            <w:pPr>
              <w:spacing w:after="0"/>
              <w:rPr>
                <w:sz w:val="20"/>
                <w:szCs w:val="20"/>
                <w:color w:val="auto"/>
              </w:rPr>
            </w:pPr>
            <w:r>
              <w:rPr>
                <w:rFonts w:ascii="Arial" w:cs="Arial" w:eastAsia="Arial" w:hAnsi="Arial"/>
                <w:sz w:val="12"/>
                <w:szCs w:val="12"/>
                <w:color w:val="auto"/>
              </w:rPr>
              <w:t>$0.075</w:t>
            </w:r>
          </w:p>
        </w:tc>
        <w:tc>
          <w:tcPr>
            <w:tcW w:w="18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March 6, 2017</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2017</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$0.066</w:t>
            </w:r>
          </w:p>
        </w:tc>
        <w:tc>
          <w:tcPr>
            <w:tcW w:w="180" w:type="dxa"/>
            <w:vAlign w:val="bottom"/>
          </w:tcPr>
          <w:p>
            <w:pPr>
              <w:spacing w:after="0"/>
              <w:rPr>
                <w:sz w:val="13"/>
                <w:szCs w:val="1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2"/>
                <w:szCs w:val="12"/>
                <w:color w:val="auto"/>
              </w:rPr>
              <w:t>December 16, 2016</w:t>
            </w:r>
          </w:p>
        </w:tc>
        <w:tc>
          <w:tcPr>
            <w:tcW w:w="1780" w:type="dxa"/>
            <w:vAlign w:val="bottom"/>
          </w:tcPr>
          <w:p>
            <w:pPr>
              <w:jc w:val="right"/>
              <w:spacing w:after="0"/>
              <w:rPr>
                <w:sz w:val="20"/>
                <w:szCs w:val="20"/>
                <w:color w:val="auto"/>
              </w:rPr>
            </w:pPr>
            <w:r>
              <w:rPr>
                <w:rFonts w:ascii="Arial" w:cs="Arial" w:eastAsia="Arial" w:hAnsi="Arial"/>
                <w:sz w:val="12"/>
                <w:szCs w:val="12"/>
                <w:color w:val="auto"/>
              </w:rPr>
              <w:t>December 30, 2016</w:t>
            </w:r>
          </w:p>
        </w:tc>
      </w:tr>
      <w:tr>
        <w:trPr>
          <w:trHeight w:val="153"/>
        </w:trPr>
        <w:tc>
          <w:tcPr>
            <w:tcW w:w="758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18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September 16, 2016</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30, 2016</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$0.066</w:t>
            </w:r>
          </w:p>
        </w:tc>
        <w:tc>
          <w:tcPr>
            <w:tcW w:w="180" w:type="dxa"/>
            <w:vAlign w:val="bottom"/>
          </w:tcPr>
          <w:p>
            <w:pPr>
              <w:spacing w:after="0"/>
              <w:rPr>
                <w:sz w:val="13"/>
                <w:szCs w:val="1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2"/>
                <w:szCs w:val="12"/>
                <w:color w:val="auto"/>
              </w:rPr>
              <w:t>June 18, 2016</w:t>
            </w:r>
          </w:p>
        </w:tc>
        <w:tc>
          <w:tcPr>
            <w:tcW w:w="1780" w:type="dxa"/>
            <w:vAlign w:val="bottom"/>
          </w:tcPr>
          <w:p>
            <w:pPr>
              <w:jc w:val="right"/>
              <w:spacing w:after="0"/>
              <w:rPr>
                <w:sz w:val="20"/>
                <w:szCs w:val="20"/>
                <w:color w:val="auto"/>
              </w:rPr>
            </w:pPr>
            <w:r>
              <w:rPr>
                <w:rFonts w:ascii="Arial" w:cs="Arial" w:eastAsia="Arial" w:hAnsi="Arial"/>
                <w:sz w:val="12"/>
                <w:szCs w:val="12"/>
                <w:color w:val="auto"/>
              </w:rPr>
              <w:t>June 30, 2016</w:t>
            </w:r>
          </w:p>
        </w:tc>
      </w:tr>
      <w:tr>
        <w:trPr>
          <w:trHeight w:val="153"/>
        </w:trPr>
        <w:tc>
          <w:tcPr>
            <w:tcW w:w="758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18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March 18, 2016</w:t>
            </w:r>
          </w:p>
        </w:tc>
        <w:tc>
          <w:tcPr>
            <w:tcW w:w="1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2016</w:t>
            </w:r>
          </w:p>
        </w:tc>
      </w:tr>
    </w:tbl>
    <w:p>
      <w:pPr>
        <w:spacing w:after="0" w:line="279" w:lineRule="exact"/>
        <w:rPr>
          <w:sz w:val="20"/>
          <w:szCs w:val="20"/>
          <w:color w:val="auto"/>
        </w:rPr>
      </w:pPr>
    </w:p>
    <w:p>
      <w:pPr>
        <w:ind w:left="8" w:right="360" w:firstLine="766"/>
        <w:spacing w:after="0" w:line="276" w:lineRule="auto"/>
        <w:rPr>
          <w:sz w:val="20"/>
          <w:szCs w:val="20"/>
          <w:color w:val="auto"/>
        </w:rPr>
      </w:pPr>
      <w:r>
        <w:rPr>
          <w:rFonts w:ascii="Arial" w:cs="Arial" w:eastAsia="Arial" w:hAnsi="Arial"/>
          <w:sz w:val="12"/>
          <w:szCs w:val="12"/>
          <w:color w:val="auto"/>
        </w:rPr>
        <w:t>Effective August 13, 2012, the Company implemented a Dividend Reinvestment Plan (the “Plan”), under which the Company may issue up to 750,000 shares of common stock. The Plan provides a way for interested shareholders to increase their holdings in our common stock. Participation in the Plan is strictly voluntary and is open only to existing shareholders. The Plan has had limited participation.</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Share-Based Compensation</w:t>
      </w:r>
    </w:p>
    <w:p>
      <w:pPr>
        <w:spacing w:after="0" w:line="82" w:lineRule="exact"/>
        <w:rPr>
          <w:sz w:val="20"/>
          <w:szCs w:val="20"/>
          <w:color w:val="auto"/>
        </w:rPr>
      </w:pPr>
    </w:p>
    <w:p>
      <w:pPr>
        <w:ind w:left="8" w:right="40" w:firstLine="521"/>
        <w:spacing w:after="0" w:line="286" w:lineRule="auto"/>
        <w:rPr>
          <w:sz w:val="20"/>
          <w:szCs w:val="20"/>
          <w:color w:val="auto"/>
        </w:rPr>
      </w:pPr>
      <w:r>
        <w:rPr>
          <w:rFonts w:ascii="Arial" w:cs="Arial" w:eastAsia="Arial" w:hAnsi="Arial"/>
          <w:sz w:val="11"/>
          <w:szCs w:val="11"/>
          <w:color w:val="auto"/>
        </w:rPr>
        <w:t>The Company’s 2017 Equity and Incentive Compensation Plan (the “2017 Plan”) was approved by the Company’s stockholders on May 16, 2017 which replaced the 2007 Equity Incentive Plan (the “2007 Plan”). No further grants will be made under the 2007 Plan, but outstanding awards under the 2007 Plan will continue to be unaffected in accordance with their terms. The 2017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1.9 million shares of common stock were authorized for issuance. As of December 31, 2018, 1.3 million shares remain available for future issuance. Stock options granted to employees generally vest equally over a period of four years from the date of the grant. Stock awards granted to employees generally vest over a period of three to four years from the date of the grant.</w:t>
      </w:r>
    </w:p>
    <w:p>
      <w:pPr>
        <w:spacing w:after="0" w:line="39" w:lineRule="exact"/>
        <w:rPr>
          <w:sz w:val="20"/>
          <w:szCs w:val="20"/>
          <w:color w:val="auto"/>
        </w:rPr>
      </w:pPr>
    </w:p>
    <w:p>
      <w:pPr>
        <w:ind w:left="8" w:right="120" w:firstLine="521"/>
        <w:spacing w:after="0" w:line="259" w:lineRule="auto"/>
        <w:rPr>
          <w:sz w:val="20"/>
          <w:szCs w:val="20"/>
          <w:color w:val="auto"/>
        </w:rPr>
      </w:pPr>
      <w:r>
        <w:rPr>
          <w:rFonts w:ascii="Arial" w:cs="Arial" w:eastAsia="Arial" w:hAnsi="Arial"/>
          <w:sz w:val="12"/>
          <w:szCs w:val="12"/>
          <w:color w:val="auto"/>
        </w:rPr>
        <w:t>On June 10, 2017, the Company granted 700,000 performance units to our Chief Executive Officer with a fair value of $175,000 and are being expensed over the vesting period of three years. The maximum shares of common stock that the participant could receive upon vesting is 77,778 shares. The performance units are earned based upon the Company’s stock price during 30 consecutive trading days within a specified date range of approximately two years. The performance units are settled in the Company’s common stock subsequent to this specified date range. The estimated grant date fair value and compensation expense of each performance share was determined on the date of grant by using the Monte Carlo valuation model.</w:t>
      </w:r>
    </w:p>
    <w:p>
      <w:pPr>
        <w:spacing w:after="0" w:line="125" w:lineRule="exact"/>
        <w:rPr>
          <w:sz w:val="20"/>
          <w:szCs w:val="20"/>
          <w:color w:val="auto"/>
        </w:rPr>
      </w:pPr>
    </w:p>
    <w:p>
      <w:pPr>
        <w:ind w:left="8" w:right="240" w:firstLine="521"/>
        <w:spacing w:after="0" w:line="276" w:lineRule="auto"/>
        <w:rPr>
          <w:sz w:val="20"/>
          <w:szCs w:val="20"/>
          <w:color w:val="auto"/>
        </w:rPr>
      </w:pPr>
      <w:r>
        <w:rPr>
          <w:rFonts w:ascii="Arial" w:cs="Arial" w:eastAsia="Arial" w:hAnsi="Arial"/>
          <w:sz w:val="12"/>
          <w:szCs w:val="12"/>
          <w:color w:val="auto"/>
        </w:rPr>
        <w:t>Share-based compensation expense for stock options and restricted stock awards under these plans was $3.1 million, $1.7 million and $2.2 million for 2018, 2017 and 2016, respectively. The tax benefit related to share based compensation expense was $0.5 million, zero and $0.2 million in 2018, 2017 and 2016, respectively.</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Employee Stock Purchase Plan</w:t>
      </w:r>
    </w:p>
    <w:p>
      <w:pPr>
        <w:spacing w:after="0" w:line="154" w:lineRule="exact"/>
        <w:rPr>
          <w:sz w:val="20"/>
          <w:szCs w:val="20"/>
          <w:color w:val="auto"/>
        </w:rPr>
      </w:pPr>
    </w:p>
    <w:p>
      <w:pPr>
        <w:ind w:left="8" w:right="280" w:firstLine="521"/>
        <w:spacing w:after="0" w:line="323" w:lineRule="auto"/>
        <w:rPr>
          <w:sz w:val="20"/>
          <w:szCs w:val="20"/>
          <w:color w:val="auto"/>
        </w:rPr>
      </w:pPr>
      <w:r>
        <w:rPr>
          <w:rFonts w:ascii="Arial" w:cs="Arial" w:eastAsia="Arial" w:hAnsi="Arial"/>
          <w:sz w:val="11"/>
          <w:szCs w:val="11"/>
          <w:color w:val="auto"/>
        </w:rPr>
        <w:t>The 2009 Employee Stock Purchase Plan (“ESPP”) was approved by shareholders on May 21, 2009.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71" w:name="page72"/>
    <w:bookmarkEnd w:id="71"/>
    <w:p>
      <w:pPr>
        <w:ind w:right="20" w:firstLine="521"/>
        <w:spacing w:after="0" w:line="323" w:lineRule="auto"/>
        <w:rPr>
          <w:sz w:val="20"/>
          <w:szCs w:val="20"/>
          <w:color w:val="auto"/>
        </w:rPr>
      </w:pPr>
      <w:r>
        <w:rPr>
          <w:rFonts w:ascii="Arial" w:cs="Arial" w:eastAsia="Arial" w:hAnsi="Arial"/>
          <w:sz w:val="11"/>
          <w:szCs w:val="11"/>
          <w:color w:val="auto"/>
        </w:rPr>
        <w:t>The aggregate maximum number of shares of the Company’s common stock that may be granted under the ESPP is 1,500,000 shares over the ten-year term of the ESPP, subject to adjustment in the event there is a reorganization, merger, consolidation, recapitalization, reclassification, stock split-up, or similar transaction with respect to the common stock. As of December 31, 2018, 1.3 million shares remain available for future issuance.</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recognized employee stock purchase plan expense of $90,000, $83,000 and $71,000 in 2018, 2017 and 2016,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Options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estimated weighted-average fair value of stock options granted during 2017 and 2016, was $2.68 and $2.07 per option, respectively, using the Black-Scholes option-pricing model based on the following assumptions:</w:t>
      </w:r>
    </w:p>
    <w:p>
      <w:pPr>
        <w:spacing w:after="0" w:line="162" w:lineRule="exact"/>
        <w:rPr>
          <w:sz w:val="20"/>
          <w:szCs w:val="20"/>
          <w:color w:val="auto"/>
        </w:rPr>
      </w:pPr>
    </w:p>
    <w:p>
      <w:pPr>
        <w:ind w:left="520" w:right="200" w:firstLine="498"/>
        <w:spacing w:after="0" w:line="276" w:lineRule="auto"/>
        <w:rPr>
          <w:sz w:val="20"/>
          <w:szCs w:val="20"/>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 The Company utilizes a volatility factor based on the Company’s historical stock prices for a period of time equal to the expected term of the stock option utilizing weekly price observations. For</w:t>
      </w:r>
      <w:r>
        <w:rPr>
          <w:rFonts w:ascii="Arial" w:cs="Arial" w:eastAsia="Arial" w:hAnsi="Arial"/>
          <w:sz w:val="12"/>
          <w:szCs w:val="12"/>
          <w:i w:val="1"/>
          <w:iCs w:val="1"/>
          <w:color w:val="auto"/>
        </w:rPr>
        <w:t xml:space="preserve"> </w:t>
      </w:r>
      <w:r>
        <w:rPr>
          <w:rFonts w:ascii="Arial" w:cs="Arial" w:eastAsia="Arial" w:hAnsi="Arial"/>
          <w:sz w:val="12"/>
          <w:szCs w:val="12"/>
          <w:color w:val="auto"/>
        </w:rPr>
        <w:t>2017 and 2016, the Company utilized weighted-average volatility factors of 39%.</w:t>
      </w:r>
    </w:p>
    <w:p>
      <w:pPr>
        <w:spacing w:after="0" w:line="115" w:lineRule="exact"/>
        <w:rPr>
          <w:sz w:val="20"/>
          <w:szCs w:val="20"/>
          <w:color w:val="auto"/>
        </w:rPr>
      </w:pPr>
    </w:p>
    <w:p>
      <w:pPr>
        <w:ind w:left="520" w:right="120" w:firstLine="498"/>
        <w:spacing w:after="0" w:line="276" w:lineRule="auto"/>
        <w:rPr>
          <w:sz w:val="20"/>
          <w:szCs w:val="20"/>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 Due to limited historical exercise data, the Company utilizes the simplified method of determining the expected term based on the vesting schedules and terms of the stock options. For 2017 and 2016,</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utilized weighted-average expected term factors of 6.3 years and 6.5 years, respectively.</w:t>
      </w:r>
    </w:p>
    <w:p>
      <w:pPr>
        <w:spacing w:after="0" w:line="115" w:lineRule="exact"/>
        <w:rPr>
          <w:sz w:val="20"/>
          <w:szCs w:val="20"/>
          <w:color w:val="auto"/>
        </w:rPr>
      </w:pPr>
    </w:p>
    <w:p>
      <w:pPr>
        <w:ind w:left="520" w:right="300" w:firstLine="498"/>
        <w:spacing w:after="0" w:line="276" w:lineRule="auto"/>
        <w:rPr>
          <w:sz w:val="20"/>
          <w:szCs w:val="20"/>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 The risk-free interest rate factor utilized is based upon the implied yields currently available on U.S. Treasury zero-coupon issues over the expected term of the stock options. For 2017 and</w:t>
      </w:r>
      <w:r>
        <w:rPr>
          <w:rFonts w:ascii="Arial" w:cs="Arial" w:eastAsia="Arial" w:hAnsi="Arial"/>
          <w:sz w:val="12"/>
          <w:szCs w:val="12"/>
          <w:i w:val="1"/>
          <w:iCs w:val="1"/>
          <w:color w:val="auto"/>
        </w:rPr>
        <w:t xml:space="preserve"> </w:t>
      </w:r>
      <w:r>
        <w:rPr>
          <w:rFonts w:ascii="Arial" w:cs="Arial" w:eastAsia="Arial" w:hAnsi="Arial"/>
          <w:sz w:val="12"/>
          <w:szCs w:val="12"/>
          <w:color w:val="auto"/>
        </w:rPr>
        <w:t>2016, the Company utilized a weighted-average risk-free interest rate factor of 2.2% and 2.1%, respectively.</w:t>
      </w:r>
    </w:p>
    <w:p>
      <w:pPr>
        <w:spacing w:after="0" w:line="115" w:lineRule="exact"/>
        <w:rPr>
          <w:sz w:val="20"/>
          <w:szCs w:val="20"/>
          <w:color w:val="auto"/>
        </w:rPr>
      </w:pPr>
    </w:p>
    <w:p>
      <w:pPr>
        <w:ind w:left="1020"/>
        <w:spacing w:after="0"/>
        <w:rPr>
          <w:sz w:val="20"/>
          <w:szCs w:val="20"/>
          <w:color w:val="auto"/>
        </w:rPr>
      </w:pPr>
      <w:r>
        <w:rPr>
          <w:rFonts w:ascii="Arial" w:cs="Arial" w:eastAsia="Arial" w:hAnsi="Arial"/>
          <w:sz w:val="12"/>
          <w:szCs w:val="12"/>
          <w:i w:val="1"/>
          <w:iCs w:val="1"/>
          <w:color w:val="auto"/>
        </w:rPr>
        <w:t>Expected Dividends</w:t>
      </w:r>
      <w:r>
        <w:rPr>
          <w:rFonts w:ascii="Arial" w:cs="Arial" w:eastAsia="Arial" w:hAnsi="Arial"/>
          <w:sz w:val="12"/>
          <w:szCs w:val="12"/>
          <w:color w:val="auto"/>
        </w:rPr>
        <w:t>: The Company utilized a weighted average expected dividend rate of 3.3% and 3.6% to value options granted during 2017 and 2016, respectively.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Information related to all stock options under the 2017 Plan and 2007 Plan for 2018, 2017 and 2016 is shown in the tables below:</w:t>
      </w:r>
    </w:p>
    <w:tbl>
      <w:tblPr>
        <w:tblLayout w:type="fixed"/>
        <w:tblInd w:w="0" w:type="dxa"/>
        <w:tblCellMar>
          <w:top w:w="0" w:type="dxa"/>
          <w:left w:w="0" w:type="dxa"/>
          <w:bottom w:w="0" w:type="dxa"/>
          <w:right w:w="0" w:type="dxa"/>
        </w:tblCellMar>
      </w:tblPr>
      <w:tr>
        <w:trPr>
          <w:trHeight w:val="109"/>
        </w:trPr>
        <w:tc>
          <w:tcPr>
            <w:tcW w:w="3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gridSpan w:val="2"/>
          </w:tcPr>
          <w:p>
            <w:pPr>
              <w:jc w:val="center"/>
              <w:ind w:right="140"/>
              <w:spacing w:after="0" w:line="109" w:lineRule="exact"/>
              <w:rPr>
                <w:sz w:val="20"/>
                <w:szCs w:val="20"/>
                <w:color w:val="auto"/>
              </w:rPr>
            </w:pPr>
            <w:r>
              <w:rPr>
                <w:rFonts w:ascii="Arial" w:cs="Arial" w:eastAsia="Arial" w:hAnsi="Arial"/>
                <w:sz w:val="10"/>
                <w:szCs w:val="10"/>
                <w:b w:val="1"/>
                <w:bCs w:val="1"/>
                <w:color w:val="auto"/>
                <w:w w:val="88"/>
              </w:rPr>
              <w:t>Weighted</w:t>
            </w: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9"/>
        </w:trPr>
        <w:tc>
          <w:tcPr>
            <w:tcW w:w="3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left="272"/>
              <w:spacing w:after="0" w:line="99" w:lineRule="exact"/>
              <w:rPr>
                <w:sz w:val="20"/>
                <w:szCs w:val="20"/>
                <w:color w:val="auto"/>
              </w:rPr>
            </w:pPr>
            <w:r>
              <w:rPr>
                <w:rFonts w:ascii="Arial" w:cs="Arial" w:eastAsia="Arial" w:hAnsi="Arial"/>
                <w:sz w:val="10"/>
                <w:szCs w:val="10"/>
                <w:b w:val="1"/>
                <w:bCs w:val="1"/>
                <w:color w:val="auto"/>
                <w:w w:val="84"/>
              </w:rPr>
              <w:t>Weighted</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6"/>
              </w:rPr>
              <w:t>Average</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Aggregate</w:t>
            </w:r>
          </w:p>
        </w:tc>
        <w:tc>
          <w:tcPr>
            <w:tcW w:w="20" w:type="dxa"/>
            <w:vAlign w:val="bottom"/>
          </w:tcPr>
          <w:p>
            <w:pPr>
              <w:spacing w:after="0"/>
              <w:rPr>
                <w:sz w:val="8"/>
                <w:szCs w:val="8"/>
                <w:color w:val="auto"/>
              </w:rPr>
            </w:pPr>
          </w:p>
        </w:tc>
      </w:tr>
      <w:tr>
        <w:trPr>
          <w:trHeight w:val="99"/>
        </w:trPr>
        <w:tc>
          <w:tcPr>
            <w:tcW w:w="3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left="272"/>
              <w:spacing w:after="0" w:line="99" w:lineRule="exact"/>
              <w:rPr>
                <w:sz w:val="20"/>
                <w:szCs w:val="20"/>
                <w:color w:val="auto"/>
              </w:rPr>
            </w:pPr>
            <w:r>
              <w:rPr>
                <w:rFonts w:ascii="Arial" w:cs="Arial" w:eastAsia="Arial" w:hAnsi="Arial"/>
                <w:sz w:val="10"/>
                <w:szCs w:val="10"/>
                <w:b w:val="1"/>
                <w:bCs w:val="1"/>
                <w:color w:val="auto"/>
                <w:w w:val="86"/>
              </w:rPr>
              <w:t>Average</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Remaining</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Intrinsic</w:t>
            </w:r>
          </w:p>
        </w:tc>
        <w:tc>
          <w:tcPr>
            <w:tcW w:w="20" w:type="dxa"/>
            <w:vAlign w:val="bottom"/>
          </w:tcPr>
          <w:p>
            <w:pPr>
              <w:spacing w:after="0"/>
              <w:rPr>
                <w:sz w:val="8"/>
                <w:szCs w:val="8"/>
                <w:color w:val="auto"/>
              </w:rPr>
            </w:pPr>
          </w:p>
        </w:tc>
      </w:tr>
      <w:tr>
        <w:trPr>
          <w:trHeight w:val="99"/>
        </w:trPr>
        <w:tc>
          <w:tcPr>
            <w:tcW w:w="3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left="272"/>
              <w:spacing w:after="0" w:line="99" w:lineRule="exact"/>
              <w:rPr>
                <w:sz w:val="20"/>
                <w:szCs w:val="20"/>
                <w:color w:val="auto"/>
              </w:rPr>
            </w:pPr>
            <w:r>
              <w:rPr>
                <w:rFonts w:ascii="Arial" w:cs="Arial" w:eastAsia="Arial" w:hAnsi="Arial"/>
                <w:sz w:val="10"/>
                <w:szCs w:val="10"/>
                <w:b w:val="1"/>
                <w:bCs w:val="1"/>
                <w:color w:val="auto"/>
                <w:w w:val="82"/>
              </w:rPr>
              <w:t>Exercise</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9"/>
              </w:rPr>
              <w:t>Contractual</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2"/>
              </w:rPr>
              <w:t>Value</w:t>
            </w:r>
          </w:p>
        </w:tc>
        <w:tc>
          <w:tcPr>
            <w:tcW w:w="20" w:type="dxa"/>
            <w:vAlign w:val="bottom"/>
          </w:tcPr>
          <w:p>
            <w:pPr>
              <w:spacing w:after="0"/>
              <w:rPr>
                <w:sz w:val="8"/>
                <w:szCs w:val="8"/>
                <w:color w:val="auto"/>
              </w:rPr>
            </w:pPr>
          </w:p>
        </w:tc>
      </w:tr>
      <w:tr>
        <w:trPr>
          <w:trHeight w:val="114"/>
        </w:trPr>
        <w:tc>
          <w:tcPr>
            <w:tcW w:w="36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(Shares in thousands)</w:t>
            </w:r>
          </w:p>
        </w:tc>
        <w:tc>
          <w:tcPr>
            <w:tcW w:w="218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160" w:type="dxa"/>
            <w:vAlign w:val="bottom"/>
            <w:tcBorders>
              <w:bottom w:val="single" w:sz="8" w:color="auto"/>
            </w:tcBorders>
          </w:tcPr>
          <w:p>
            <w:pPr>
              <w:jc w:val="right"/>
              <w:ind w:right="383"/>
              <w:spacing w:after="0" w:line="114" w:lineRule="exact"/>
              <w:rPr>
                <w:sz w:val="20"/>
                <w:szCs w:val="20"/>
                <w:color w:val="auto"/>
              </w:rPr>
            </w:pPr>
            <w:r>
              <w:rPr>
                <w:rFonts w:ascii="Arial" w:cs="Arial" w:eastAsia="Arial" w:hAnsi="Arial"/>
                <w:sz w:val="10"/>
                <w:szCs w:val="10"/>
                <w:b w:val="1"/>
                <w:bCs w:val="1"/>
                <w:color w:val="auto"/>
              </w:rPr>
              <w:t>Shares</w:t>
            </w:r>
          </w:p>
        </w:tc>
        <w:tc>
          <w:tcPr>
            <w:tcW w:w="26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jc w:val="center"/>
              <w:ind w:left="272"/>
              <w:spacing w:after="0" w:line="114" w:lineRule="exact"/>
              <w:rPr>
                <w:sz w:val="20"/>
                <w:szCs w:val="20"/>
                <w:color w:val="auto"/>
              </w:rPr>
            </w:pPr>
            <w:r>
              <w:rPr>
                <w:rFonts w:ascii="Arial" w:cs="Arial" w:eastAsia="Arial" w:hAnsi="Arial"/>
                <w:sz w:val="10"/>
                <w:szCs w:val="10"/>
                <w:b w:val="1"/>
                <w:bCs w:val="1"/>
                <w:color w:val="auto"/>
                <w:w w:val="89"/>
              </w:rPr>
              <w:t>Price</w:t>
            </w: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13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Term</w:t>
            </w:r>
          </w:p>
        </w:tc>
        <w:tc>
          <w:tcPr>
            <w:tcW w:w="1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center"/>
              <w:ind w:right="168"/>
              <w:spacing w:after="0" w:line="114" w:lineRule="exact"/>
              <w:rPr>
                <w:sz w:val="20"/>
                <w:szCs w:val="20"/>
                <w:color w:val="auto"/>
              </w:rPr>
            </w:pPr>
            <w:r>
              <w:rPr>
                <w:rFonts w:ascii="Arial" w:cs="Arial" w:eastAsia="Arial" w:hAnsi="Arial"/>
                <w:sz w:val="10"/>
                <w:szCs w:val="10"/>
                <w:b w:val="1"/>
                <w:bCs w:val="1"/>
                <w:color w:val="auto"/>
                <w:w w:val="89"/>
              </w:rPr>
              <w:t>($000)</w:t>
            </w: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December 31, 2017</w:t>
            </w:r>
          </w:p>
        </w:tc>
        <w:tc>
          <w:tcPr>
            <w:tcW w:w="34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655</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1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10.53</w:t>
            </w:r>
          </w:p>
        </w:tc>
        <w:tc>
          <w:tcPr>
            <w:tcW w:w="24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ind w:left="860"/>
              <w:spacing w:after="0"/>
              <w:rPr>
                <w:sz w:val="20"/>
                <w:szCs w:val="20"/>
                <w:color w:val="auto"/>
              </w:rPr>
            </w:pPr>
            <w:r>
              <w:rPr>
                <w:rFonts w:ascii="Arial" w:cs="Arial" w:eastAsia="Arial" w:hAnsi="Arial"/>
                <w:sz w:val="12"/>
                <w:szCs w:val="12"/>
                <w:color w:val="auto"/>
              </w:rPr>
              <w:t>6.0 years</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640" w:type="dxa"/>
            <w:vAlign w:val="bottom"/>
          </w:tcPr>
          <w:p>
            <w:pPr>
              <w:spacing w:after="0"/>
              <w:rPr>
                <w:sz w:val="20"/>
                <w:szCs w:val="20"/>
                <w:color w:val="auto"/>
              </w:rPr>
            </w:pPr>
            <w:r>
              <w:rPr>
                <w:rFonts w:ascii="Arial" w:cs="Arial" w:eastAsia="Arial" w:hAnsi="Arial"/>
                <w:sz w:val="12"/>
                <w:szCs w:val="12"/>
                <w:color w:val="auto"/>
              </w:rPr>
              <w:t>Forfeitures</w:t>
            </w:r>
          </w:p>
        </w:tc>
        <w:tc>
          <w:tcPr>
            <w:tcW w:w="3720" w:type="dxa"/>
            <w:vAlign w:val="bottom"/>
            <w:gridSpan w:val="4"/>
          </w:tcPr>
          <w:p>
            <w:pPr>
              <w:jc w:val="right"/>
              <w:ind w:right="220"/>
              <w:spacing w:after="0"/>
              <w:rPr>
                <w:sz w:val="20"/>
                <w:szCs w:val="20"/>
                <w:color w:val="auto"/>
              </w:rPr>
            </w:pPr>
            <w:r>
              <w:rPr>
                <w:rFonts w:ascii="Arial" w:cs="Arial" w:eastAsia="Arial" w:hAnsi="Arial"/>
                <w:sz w:val="12"/>
                <w:szCs w:val="12"/>
                <w:color w:val="auto"/>
              </w:rPr>
              <w:t>(132)</w:t>
            </w: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11.53</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Exercised</w:t>
            </w:r>
          </w:p>
        </w:tc>
        <w:tc>
          <w:tcPr>
            <w:tcW w:w="2300" w:type="dxa"/>
            <w:vAlign w:val="bottom"/>
            <w:gridSpan w:val="2"/>
            <w:shd w:val="clear" w:color="auto" w:fill="CFF0FC"/>
          </w:tcPr>
          <w:p>
            <w:pPr>
              <w:spacing w:after="0"/>
              <w:rPr>
                <w:sz w:val="13"/>
                <w:szCs w:val="13"/>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(16)</w:t>
            </w: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5.55</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6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Outstanding at December 31, 2018</w:t>
            </w:r>
          </w:p>
        </w:tc>
        <w:tc>
          <w:tcPr>
            <w:tcW w:w="2300" w:type="dxa"/>
            <w:vAlign w:val="bottom"/>
            <w:tcBorders>
              <w:bottom w:val="single" w:sz="8" w:color="CFF0FC"/>
            </w:tcBorders>
            <w:gridSpan w:val="2"/>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507</w:t>
            </w:r>
          </w:p>
        </w:tc>
        <w:tc>
          <w:tcPr>
            <w:tcW w:w="2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34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10.43</w:t>
            </w:r>
          </w:p>
        </w:tc>
        <w:tc>
          <w:tcPr>
            <w:tcW w:w="24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gridSpan w:val="2"/>
          </w:tcPr>
          <w:p>
            <w:pPr>
              <w:ind w:left="860"/>
              <w:spacing w:after="0"/>
              <w:rPr>
                <w:sz w:val="20"/>
                <w:szCs w:val="20"/>
                <w:color w:val="auto"/>
              </w:rPr>
            </w:pPr>
            <w:r>
              <w:rPr>
                <w:rFonts w:ascii="Arial" w:cs="Arial" w:eastAsia="Arial" w:hAnsi="Arial"/>
                <w:sz w:val="12"/>
                <w:szCs w:val="12"/>
                <w:color w:val="auto"/>
              </w:rPr>
              <w:t>5.2 years</w:t>
            </w:r>
          </w:p>
        </w:tc>
        <w:tc>
          <w:tcPr>
            <w:tcW w:w="220" w:type="dxa"/>
            <w:vAlign w:val="bottom"/>
            <w:tcBorders>
              <w:bottom w:val="single" w:sz="8" w:color="CFF0FC"/>
            </w:tcBorders>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186</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Exercisable at December 31, 2018</w:t>
            </w:r>
          </w:p>
        </w:tc>
        <w:tc>
          <w:tcPr>
            <w:tcW w:w="34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402</w:t>
            </w: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10.52</w:t>
            </w:r>
          </w:p>
        </w:tc>
        <w:tc>
          <w:tcPr>
            <w:tcW w:w="2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ind w:left="860"/>
              <w:spacing w:after="0"/>
              <w:rPr>
                <w:sz w:val="20"/>
                <w:szCs w:val="20"/>
                <w:color w:val="auto"/>
              </w:rPr>
            </w:pPr>
            <w:r>
              <w:rPr>
                <w:rFonts w:ascii="Arial" w:cs="Arial" w:eastAsia="Arial" w:hAnsi="Arial"/>
                <w:sz w:val="12"/>
                <w:szCs w:val="12"/>
                <w:color w:val="auto"/>
              </w:rPr>
              <w:t>4.6 years</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25"/>
        </w:trPr>
        <w:tc>
          <w:tcPr>
            <w:tcW w:w="3640" w:type="dxa"/>
            <w:vAlign w:val="bottom"/>
            <w:tcBorders>
              <w:top w:val="single" w:sz="8" w:color="CFF0FC"/>
            </w:tcBorders>
          </w:tcPr>
          <w:p>
            <w:pPr>
              <w:spacing w:after="0"/>
              <w:rPr>
                <w:sz w:val="19"/>
                <w:szCs w:val="19"/>
                <w:color w:val="auto"/>
              </w:rPr>
            </w:pPr>
          </w:p>
        </w:tc>
        <w:tc>
          <w:tcPr>
            <w:tcW w:w="21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82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20" w:type="dxa"/>
            <w:vAlign w:val="bottom"/>
            <w:tcBorders>
              <w:top w:val="single" w:sz="8" w:color="CFF0FC"/>
            </w:tcBorders>
            <w:gridSpan w:val="2"/>
          </w:tcPr>
          <w:p>
            <w:pPr>
              <w:jc w:val="center"/>
              <w:ind w:right="140"/>
              <w:spacing w:after="0"/>
              <w:rPr>
                <w:sz w:val="20"/>
                <w:szCs w:val="20"/>
                <w:color w:val="auto"/>
              </w:rPr>
            </w:pPr>
            <w:r>
              <w:rPr>
                <w:rFonts w:ascii="Arial" w:cs="Arial" w:eastAsia="Arial" w:hAnsi="Arial"/>
                <w:sz w:val="10"/>
                <w:szCs w:val="10"/>
                <w:b w:val="1"/>
                <w:bCs w:val="1"/>
                <w:color w:val="auto"/>
                <w:w w:val="88"/>
              </w:rPr>
              <w:t>Weighted</w:t>
            </w:r>
          </w:p>
        </w:tc>
        <w:tc>
          <w:tcPr>
            <w:tcW w:w="22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99"/>
        </w:trPr>
        <w:tc>
          <w:tcPr>
            <w:tcW w:w="3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left="272"/>
              <w:spacing w:after="0" w:line="99" w:lineRule="exact"/>
              <w:rPr>
                <w:sz w:val="20"/>
                <w:szCs w:val="20"/>
                <w:color w:val="auto"/>
              </w:rPr>
            </w:pPr>
            <w:r>
              <w:rPr>
                <w:rFonts w:ascii="Arial" w:cs="Arial" w:eastAsia="Arial" w:hAnsi="Arial"/>
                <w:sz w:val="10"/>
                <w:szCs w:val="10"/>
                <w:b w:val="1"/>
                <w:bCs w:val="1"/>
                <w:color w:val="auto"/>
                <w:w w:val="84"/>
              </w:rPr>
              <w:t>Weighted</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6"/>
              </w:rPr>
              <w:t>Average</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Aggregate</w:t>
            </w:r>
          </w:p>
        </w:tc>
        <w:tc>
          <w:tcPr>
            <w:tcW w:w="20" w:type="dxa"/>
            <w:vAlign w:val="bottom"/>
          </w:tcPr>
          <w:p>
            <w:pPr>
              <w:spacing w:after="0"/>
              <w:rPr>
                <w:sz w:val="8"/>
                <w:szCs w:val="8"/>
                <w:color w:val="auto"/>
              </w:rPr>
            </w:pPr>
          </w:p>
        </w:tc>
      </w:tr>
      <w:tr>
        <w:trPr>
          <w:trHeight w:val="99"/>
        </w:trPr>
        <w:tc>
          <w:tcPr>
            <w:tcW w:w="3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left="272"/>
              <w:spacing w:after="0" w:line="99" w:lineRule="exact"/>
              <w:rPr>
                <w:sz w:val="20"/>
                <w:szCs w:val="20"/>
                <w:color w:val="auto"/>
              </w:rPr>
            </w:pPr>
            <w:r>
              <w:rPr>
                <w:rFonts w:ascii="Arial" w:cs="Arial" w:eastAsia="Arial" w:hAnsi="Arial"/>
                <w:sz w:val="10"/>
                <w:szCs w:val="10"/>
                <w:b w:val="1"/>
                <w:bCs w:val="1"/>
                <w:color w:val="auto"/>
                <w:w w:val="86"/>
              </w:rPr>
              <w:t>Average</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Remaining</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Intrinsic</w:t>
            </w:r>
          </w:p>
        </w:tc>
        <w:tc>
          <w:tcPr>
            <w:tcW w:w="20" w:type="dxa"/>
            <w:vAlign w:val="bottom"/>
          </w:tcPr>
          <w:p>
            <w:pPr>
              <w:spacing w:after="0"/>
              <w:rPr>
                <w:sz w:val="8"/>
                <w:szCs w:val="8"/>
                <w:color w:val="auto"/>
              </w:rPr>
            </w:pPr>
          </w:p>
        </w:tc>
      </w:tr>
      <w:tr>
        <w:trPr>
          <w:trHeight w:val="99"/>
        </w:trPr>
        <w:tc>
          <w:tcPr>
            <w:tcW w:w="3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left="272"/>
              <w:spacing w:after="0" w:line="99" w:lineRule="exact"/>
              <w:rPr>
                <w:sz w:val="20"/>
                <w:szCs w:val="20"/>
                <w:color w:val="auto"/>
              </w:rPr>
            </w:pPr>
            <w:r>
              <w:rPr>
                <w:rFonts w:ascii="Arial" w:cs="Arial" w:eastAsia="Arial" w:hAnsi="Arial"/>
                <w:sz w:val="10"/>
                <w:szCs w:val="10"/>
                <w:b w:val="1"/>
                <w:bCs w:val="1"/>
                <w:color w:val="auto"/>
                <w:w w:val="82"/>
              </w:rPr>
              <w:t>Exercise</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9"/>
              </w:rPr>
              <w:t>Contractual</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2"/>
              </w:rPr>
              <w:t>Value</w:t>
            </w:r>
          </w:p>
        </w:tc>
        <w:tc>
          <w:tcPr>
            <w:tcW w:w="20" w:type="dxa"/>
            <w:vAlign w:val="bottom"/>
          </w:tcPr>
          <w:p>
            <w:pPr>
              <w:spacing w:after="0"/>
              <w:rPr>
                <w:sz w:val="8"/>
                <w:szCs w:val="8"/>
                <w:color w:val="auto"/>
              </w:rPr>
            </w:pPr>
          </w:p>
        </w:tc>
      </w:tr>
      <w:tr>
        <w:trPr>
          <w:trHeight w:val="114"/>
        </w:trPr>
        <w:tc>
          <w:tcPr>
            <w:tcW w:w="36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(Shares in thousands)</w:t>
            </w:r>
          </w:p>
        </w:tc>
        <w:tc>
          <w:tcPr>
            <w:tcW w:w="218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160" w:type="dxa"/>
            <w:vAlign w:val="bottom"/>
            <w:tcBorders>
              <w:bottom w:val="single" w:sz="8" w:color="auto"/>
            </w:tcBorders>
          </w:tcPr>
          <w:p>
            <w:pPr>
              <w:jc w:val="right"/>
              <w:ind w:right="383"/>
              <w:spacing w:after="0" w:line="114" w:lineRule="exact"/>
              <w:rPr>
                <w:sz w:val="20"/>
                <w:szCs w:val="20"/>
                <w:color w:val="auto"/>
              </w:rPr>
            </w:pPr>
            <w:r>
              <w:rPr>
                <w:rFonts w:ascii="Arial" w:cs="Arial" w:eastAsia="Arial" w:hAnsi="Arial"/>
                <w:sz w:val="10"/>
                <w:szCs w:val="10"/>
                <w:b w:val="1"/>
                <w:bCs w:val="1"/>
                <w:color w:val="auto"/>
              </w:rPr>
              <w:t>Shares</w:t>
            </w:r>
          </w:p>
        </w:tc>
        <w:tc>
          <w:tcPr>
            <w:tcW w:w="26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jc w:val="center"/>
              <w:ind w:left="272"/>
              <w:spacing w:after="0" w:line="114" w:lineRule="exact"/>
              <w:rPr>
                <w:sz w:val="20"/>
                <w:szCs w:val="20"/>
                <w:color w:val="auto"/>
              </w:rPr>
            </w:pPr>
            <w:r>
              <w:rPr>
                <w:rFonts w:ascii="Arial" w:cs="Arial" w:eastAsia="Arial" w:hAnsi="Arial"/>
                <w:sz w:val="10"/>
                <w:szCs w:val="10"/>
                <w:b w:val="1"/>
                <w:bCs w:val="1"/>
                <w:color w:val="auto"/>
                <w:w w:val="89"/>
              </w:rPr>
              <w:t>Price</w:t>
            </w: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13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Term</w:t>
            </w:r>
          </w:p>
        </w:tc>
        <w:tc>
          <w:tcPr>
            <w:tcW w:w="1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center"/>
              <w:ind w:right="168"/>
              <w:spacing w:after="0" w:line="114" w:lineRule="exact"/>
              <w:rPr>
                <w:sz w:val="20"/>
                <w:szCs w:val="20"/>
                <w:color w:val="auto"/>
              </w:rPr>
            </w:pPr>
            <w:r>
              <w:rPr>
                <w:rFonts w:ascii="Arial" w:cs="Arial" w:eastAsia="Arial" w:hAnsi="Arial"/>
                <w:sz w:val="10"/>
                <w:szCs w:val="10"/>
                <w:b w:val="1"/>
                <w:bCs w:val="1"/>
                <w:color w:val="auto"/>
                <w:w w:val="89"/>
              </w:rPr>
              <w:t>($000)</w:t>
            </w: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December 31, 2016</w:t>
            </w:r>
          </w:p>
        </w:tc>
        <w:tc>
          <w:tcPr>
            <w:tcW w:w="34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1,519</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1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10.25</w:t>
            </w:r>
          </w:p>
        </w:tc>
        <w:tc>
          <w:tcPr>
            <w:tcW w:w="24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ind w:left="860"/>
              <w:spacing w:after="0"/>
              <w:rPr>
                <w:sz w:val="20"/>
                <w:szCs w:val="20"/>
                <w:color w:val="auto"/>
              </w:rPr>
            </w:pPr>
            <w:r>
              <w:rPr>
                <w:rFonts w:ascii="Arial" w:cs="Arial" w:eastAsia="Arial" w:hAnsi="Arial"/>
                <w:sz w:val="12"/>
                <w:szCs w:val="12"/>
                <w:color w:val="auto"/>
              </w:rPr>
              <w:t>6.1 years</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640" w:type="dxa"/>
            <w:vAlign w:val="bottom"/>
          </w:tcPr>
          <w:p>
            <w:pPr>
              <w:spacing w:after="0"/>
              <w:rPr>
                <w:sz w:val="20"/>
                <w:szCs w:val="20"/>
                <w:color w:val="auto"/>
              </w:rPr>
            </w:pPr>
            <w:r>
              <w:rPr>
                <w:rFonts w:ascii="Arial" w:cs="Arial" w:eastAsia="Arial" w:hAnsi="Arial"/>
                <w:sz w:val="12"/>
                <w:szCs w:val="12"/>
                <w:color w:val="auto"/>
              </w:rPr>
              <w:t>Granted</w:t>
            </w:r>
          </w:p>
        </w:tc>
        <w:tc>
          <w:tcPr>
            <w:tcW w:w="3460" w:type="dxa"/>
            <w:vAlign w:val="bottom"/>
            <w:gridSpan w:val="3"/>
          </w:tcPr>
          <w:p>
            <w:pPr>
              <w:jc w:val="right"/>
              <w:spacing w:after="0"/>
              <w:rPr>
                <w:sz w:val="20"/>
                <w:szCs w:val="20"/>
                <w:color w:val="auto"/>
              </w:rPr>
            </w:pPr>
            <w:r>
              <w:rPr>
                <w:rFonts w:ascii="Arial" w:cs="Arial" w:eastAsia="Arial" w:hAnsi="Arial"/>
                <w:sz w:val="12"/>
                <w:szCs w:val="12"/>
                <w:color w:val="auto"/>
              </w:rPr>
              <w:t>128</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9.24</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640" w:type="dxa"/>
            <w:vAlign w:val="bottom"/>
            <w:shd w:val="clear" w:color="auto" w:fill="CFF0FC"/>
          </w:tcPr>
          <w:p>
            <w:pPr>
              <w:spacing w:after="0"/>
              <w:rPr>
                <w:sz w:val="20"/>
                <w:szCs w:val="20"/>
                <w:color w:val="auto"/>
              </w:rPr>
            </w:pPr>
            <w:r>
              <w:rPr>
                <w:rFonts w:ascii="Arial" w:cs="Arial" w:eastAsia="Arial" w:hAnsi="Arial"/>
                <w:sz w:val="12"/>
                <w:szCs w:val="12"/>
                <w:color w:val="auto"/>
              </w:rPr>
              <w:t>Forfeitures</w:t>
            </w:r>
          </w:p>
        </w:tc>
        <w:tc>
          <w:tcPr>
            <w:tcW w:w="3720" w:type="dxa"/>
            <w:vAlign w:val="bottom"/>
            <w:gridSpan w:val="4"/>
            <w:shd w:val="clear" w:color="auto" w:fill="CFF0FC"/>
          </w:tcPr>
          <w:p>
            <w:pPr>
              <w:jc w:val="right"/>
              <w:ind w:right="220"/>
              <w:spacing w:after="0"/>
              <w:rPr>
                <w:sz w:val="20"/>
                <w:szCs w:val="20"/>
                <w:color w:val="auto"/>
              </w:rPr>
            </w:pPr>
            <w:r>
              <w:rPr>
                <w:rFonts w:ascii="Arial" w:cs="Arial" w:eastAsia="Arial" w:hAnsi="Arial"/>
                <w:sz w:val="12"/>
                <w:szCs w:val="12"/>
                <w:color w:val="auto"/>
              </w:rPr>
              <w:t>(700)</w:t>
            </w: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12.44</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640" w:type="dxa"/>
            <w:vAlign w:val="bottom"/>
          </w:tcPr>
          <w:p>
            <w:pPr>
              <w:spacing w:after="0"/>
              <w:rPr>
                <w:sz w:val="20"/>
                <w:szCs w:val="20"/>
                <w:color w:val="auto"/>
              </w:rPr>
            </w:pPr>
            <w:r>
              <w:rPr>
                <w:rFonts w:ascii="Arial" w:cs="Arial" w:eastAsia="Arial" w:hAnsi="Arial"/>
                <w:sz w:val="12"/>
                <w:szCs w:val="12"/>
                <w:color w:val="auto"/>
              </w:rPr>
              <w:t>Exercised</w:t>
            </w:r>
          </w:p>
        </w:tc>
        <w:tc>
          <w:tcPr>
            <w:tcW w:w="2300" w:type="dxa"/>
            <w:vAlign w:val="bottom"/>
            <w:gridSpan w:val="2"/>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(292)</w:t>
            </w: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3.92</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Outstanding at December 31, 2017</w:t>
            </w:r>
          </w:p>
        </w:tc>
        <w:tc>
          <w:tcPr>
            <w:tcW w:w="2300" w:type="dxa"/>
            <w:vAlign w:val="bottom"/>
            <w:tcBorders>
              <w:top w:val="single" w:sz="8" w:color="CFF0FC"/>
            </w:tcBorders>
            <w:gridSpan w:val="2"/>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655</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10.53</w:t>
            </w:r>
          </w:p>
        </w:tc>
        <w:tc>
          <w:tcPr>
            <w:tcW w:w="240" w:type="dxa"/>
            <w:vAlign w:val="bottom"/>
            <w:tcBorders>
              <w:top w:val="single" w:sz="8" w:color="CFF0FC"/>
            </w:tcBorders>
            <w:shd w:val="clear" w:color="auto" w:fill="CFF0FC"/>
          </w:tcPr>
          <w:p>
            <w:pPr>
              <w:spacing w:after="0"/>
              <w:rPr>
                <w:sz w:val="12"/>
                <w:szCs w:val="12"/>
                <w:color w:val="auto"/>
              </w:rPr>
            </w:pPr>
          </w:p>
        </w:tc>
        <w:tc>
          <w:tcPr>
            <w:tcW w:w="1420" w:type="dxa"/>
            <w:vAlign w:val="bottom"/>
            <w:tcBorders>
              <w:top w:val="single" w:sz="8" w:color="CFF0FC"/>
            </w:tcBorders>
            <w:gridSpan w:val="2"/>
            <w:shd w:val="clear" w:color="auto" w:fill="CFF0FC"/>
          </w:tcPr>
          <w:p>
            <w:pPr>
              <w:ind w:left="860"/>
              <w:spacing w:after="0"/>
              <w:rPr>
                <w:sz w:val="20"/>
                <w:szCs w:val="20"/>
                <w:color w:val="auto"/>
              </w:rPr>
            </w:pPr>
            <w:r>
              <w:rPr>
                <w:rFonts w:ascii="Arial" w:cs="Arial" w:eastAsia="Arial" w:hAnsi="Arial"/>
                <w:sz w:val="12"/>
                <w:szCs w:val="12"/>
                <w:color w:val="auto"/>
              </w:rPr>
              <w:t>6.0 years</w:t>
            </w:r>
          </w:p>
        </w:tc>
        <w:tc>
          <w:tcPr>
            <w:tcW w:w="22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3640" w:type="dxa"/>
            <w:vAlign w:val="bottom"/>
          </w:tcPr>
          <w:p>
            <w:pPr>
              <w:spacing w:after="0"/>
              <w:rPr>
                <w:sz w:val="20"/>
                <w:szCs w:val="20"/>
                <w:color w:val="auto"/>
              </w:rPr>
            </w:pPr>
            <w:r>
              <w:rPr>
                <w:rFonts w:ascii="Arial" w:cs="Arial" w:eastAsia="Arial" w:hAnsi="Arial"/>
                <w:sz w:val="12"/>
                <w:szCs w:val="12"/>
                <w:color w:val="auto"/>
              </w:rPr>
              <w:t>Exercisable at December 31, 2017</w:t>
            </w:r>
          </w:p>
        </w:tc>
        <w:tc>
          <w:tcPr>
            <w:tcW w:w="2300" w:type="dxa"/>
            <w:vAlign w:val="bottom"/>
            <w:gridSpan w:val="2"/>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10.49</w:t>
            </w:r>
          </w:p>
        </w:tc>
        <w:tc>
          <w:tcPr>
            <w:tcW w:w="240" w:type="dxa"/>
            <w:vAlign w:val="bottom"/>
          </w:tcPr>
          <w:p>
            <w:pPr>
              <w:spacing w:after="0"/>
              <w:rPr>
                <w:sz w:val="13"/>
                <w:szCs w:val="13"/>
                <w:color w:val="auto"/>
              </w:rPr>
            </w:pPr>
          </w:p>
        </w:tc>
        <w:tc>
          <w:tcPr>
            <w:tcW w:w="1420" w:type="dxa"/>
            <w:vAlign w:val="bottom"/>
            <w:gridSpan w:val="2"/>
          </w:tcPr>
          <w:p>
            <w:pPr>
              <w:ind w:left="860"/>
              <w:spacing w:after="0"/>
              <w:rPr>
                <w:sz w:val="20"/>
                <w:szCs w:val="20"/>
                <w:color w:val="auto"/>
              </w:rPr>
            </w:pPr>
            <w:r>
              <w:rPr>
                <w:rFonts w:ascii="Arial" w:cs="Arial" w:eastAsia="Arial" w:hAnsi="Arial"/>
                <w:sz w:val="12"/>
                <w:szCs w:val="12"/>
                <w:color w:val="auto"/>
              </w:rPr>
              <w:t>5.2 years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6"/>
        </w:trPr>
        <w:tc>
          <w:tcPr>
            <w:tcW w:w="3640" w:type="dxa"/>
            <w:vAlign w:val="bottom"/>
          </w:tcPr>
          <w:p>
            <w:pPr>
              <w:spacing w:after="0"/>
              <w:rPr>
                <w:sz w:val="24"/>
                <w:szCs w:val="24"/>
                <w:color w:val="auto"/>
              </w:rPr>
            </w:pPr>
          </w:p>
        </w:tc>
        <w:tc>
          <w:tcPr>
            <w:tcW w:w="3720" w:type="dxa"/>
            <w:vAlign w:val="bottom"/>
            <w:gridSpan w:val="4"/>
          </w:tcPr>
          <w:p>
            <w:pPr>
              <w:jc w:val="right"/>
              <w:ind w:right="1520"/>
              <w:spacing w:after="0"/>
              <w:rPr>
                <w:sz w:val="20"/>
                <w:szCs w:val="20"/>
                <w:color w:val="auto"/>
              </w:rPr>
            </w:pPr>
            <w:r>
              <w:rPr>
                <w:rFonts w:ascii="Arial" w:cs="Arial" w:eastAsia="Arial" w:hAnsi="Arial"/>
                <w:sz w:val="12"/>
                <w:szCs w:val="12"/>
                <w:color w:val="auto"/>
              </w:rPr>
              <w:t>F-22</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64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19" w:right="1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Weighted</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5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4"/>
              </w:rPr>
              <w:t>Weighted</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0"/>
              </w:rPr>
              <w:t>Average</w:t>
            </w:r>
          </w:p>
        </w:tc>
        <w:tc>
          <w:tcPr>
            <w:tcW w:w="220" w:type="dxa"/>
            <w:vAlign w:val="bottom"/>
          </w:tcPr>
          <w:p>
            <w:pPr>
              <w:spacing w:after="0"/>
              <w:rPr>
                <w:sz w:val="8"/>
                <w:szCs w:val="8"/>
                <w:color w:val="auto"/>
              </w:rPr>
            </w:pPr>
          </w:p>
        </w:tc>
        <w:tc>
          <w:tcPr>
            <w:tcW w:w="106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99"/>
        </w:trPr>
        <w:tc>
          <w:tcPr>
            <w:tcW w:w="5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6"/>
              </w:rPr>
              <w:t>Average</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Remaining</w:t>
            </w:r>
          </w:p>
        </w:tc>
        <w:tc>
          <w:tcPr>
            <w:tcW w:w="22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2"/>
              </w:rPr>
              <w:t>Intrinsic</w:t>
            </w:r>
          </w:p>
        </w:tc>
      </w:tr>
      <w:tr>
        <w:trPr>
          <w:trHeight w:val="99"/>
        </w:trPr>
        <w:tc>
          <w:tcPr>
            <w:tcW w:w="5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2"/>
              </w:rPr>
              <w:t>Exercise</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Contractual</w:t>
            </w:r>
          </w:p>
        </w:tc>
        <w:tc>
          <w:tcPr>
            <w:tcW w:w="22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9"/>
              </w:rPr>
              <w:t>Value</w:t>
            </w:r>
          </w:p>
        </w:tc>
      </w:tr>
      <w:tr>
        <w:trPr>
          <w:trHeight w:val="114"/>
        </w:trPr>
        <w:tc>
          <w:tcPr>
            <w:tcW w:w="57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(Shares in thousands)</w:t>
            </w:r>
          </w:p>
        </w:tc>
        <w:tc>
          <w:tcPr>
            <w:tcW w:w="140" w:type="dxa"/>
            <w:vAlign w:val="bottom"/>
            <w:tcBorders>
              <w:bottom w:val="single" w:sz="8" w:color="CFF0FC"/>
            </w:tcBorders>
          </w:tcPr>
          <w:p>
            <w:pPr>
              <w:spacing w:after="0"/>
              <w:rPr>
                <w:sz w:val="9"/>
                <w:szCs w:val="9"/>
                <w:color w:val="auto"/>
              </w:rPr>
            </w:pPr>
          </w:p>
        </w:tc>
        <w:tc>
          <w:tcPr>
            <w:tcW w:w="1180" w:type="dxa"/>
            <w:vAlign w:val="bottom"/>
            <w:tcBorders>
              <w:bottom w:val="single" w:sz="8" w:color="auto"/>
            </w:tcBorders>
          </w:tcPr>
          <w:p>
            <w:pPr>
              <w:jc w:val="right"/>
              <w:ind w:right="382"/>
              <w:spacing w:after="0" w:line="114" w:lineRule="exact"/>
              <w:rPr>
                <w:sz w:val="20"/>
                <w:szCs w:val="20"/>
                <w:color w:val="auto"/>
              </w:rPr>
            </w:pPr>
            <w:r>
              <w:rPr>
                <w:rFonts w:ascii="Arial" w:cs="Arial" w:eastAsia="Arial" w:hAnsi="Arial"/>
                <w:sz w:val="10"/>
                <w:szCs w:val="10"/>
                <w:b w:val="1"/>
                <w:bCs w:val="1"/>
                <w:color w:val="auto"/>
              </w:rPr>
              <w:t>Shares</w:t>
            </w:r>
          </w:p>
        </w:tc>
        <w:tc>
          <w:tcPr>
            <w:tcW w:w="26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center"/>
              <w:ind w:left="292"/>
              <w:spacing w:after="0" w:line="114" w:lineRule="exact"/>
              <w:rPr>
                <w:sz w:val="20"/>
                <w:szCs w:val="20"/>
                <w:color w:val="auto"/>
              </w:rPr>
            </w:pPr>
            <w:r>
              <w:rPr>
                <w:rFonts w:ascii="Arial" w:cs="Arial" w:eastAsia="Arial" w:hAnsi="Arial"/>
                <w:sz w:val="10"/>
                <w:szCs w:val="10"/>
                <w:b w:val="1"/>
                <w:bCs w:val="1"/>
                <w:color w:val="auto"/>
                <w:w w:val="89"/>
              </w:rPr>
              <w:t>Price</w:t>
            </w: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12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Term</w:t>
            </w:r>
          </w:p>
        </w:tc>
        <w:tc>
          <w:tcPr>
            <w:tcW w:w="14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168"/>
              <w:spacing w:after="0" w:line="114" w:lineRule="exact"/>
              <w:rPr>
                <w:sz w:val="20"/>
                <w:szCs w:val="20"/>
                <w:color w:val="auto"/>
              </w:rPr>
            </w:pPr>
            <w:r>
              <w:rPr>
                <w:rFonts w:ascii="Arial" w:cs="Arial" w:eastAsia="Arial" w:hAnsi="Arial"/>
                <w:sz w:val="10"/>
                <w:szCs w:val="10"/>
                <w:b w:val="1"/>
                <w:bCs w:val="1"/>
                <w:color w:val="auto"/>
                <w:w w:val="82"/>
              </w:rPr>
              <w:t>($000)</w:t>
            </w:r>
          </w:p>
        </w:tc>
        <w:tc>
          <w:tcPr>
            <w:tcW w:w="120" w:type="dxa"/>
            <w:vAlign w:val="bottom"/>
            <w:tcBorders>
              <w:bottom w:val="single" w:sz="8" w:color="CFF0FC"/>
            </w:tcBorders>
          </w:tcPr>
          <w:p>
            <w:pPr>
              <w:spacing w:after="0"/>
              <w:rPr>
                <w:sz w:val="9"/>
                <w:szCs w:val="9"/>
                <w:color w:val="auto"/>
              </w:rPr>
            </w:pPr>
          </w:p>
        </w:tc>
      </w:tr>
      <w:tr>
        <w:trPr>
          <w:trHeight w:val="142"/>
        </w:trPr>
        <w:tc>
          <w:tcPr>
            <w:tcW w:w="5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Outstanding at December 31, 2015</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1,877</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73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10.30</w:t>
            </w:r>
          </w:p>
        </w:tc>
        <w:tc>
          <w:tcPr>
            <w:tcW w:w="24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ind w:left="840"/>
              <w:spacing w:after="0"/>
              <w:rPr>
                <w:sz w:val="20"/>
                <w:szCs w:val="20"/>
                <w:color w:val="auto"/>
              </w:rPr>
            </w:pPr>
            <w:r>
              <w:rPr>
                <w:rFonts w:ascii="Arial" w:cs="Arial" w:eastAsia="Arial" w:hAnsi="Arial"/>
                <w:sz w:val="12"/>
                <w:szCs w:val="12"/>
                <w:color w:val="auto"/>
              </w:rPr>
              <w:t>6.8 years</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92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1180" w:type="dxa"/>
            <w:vAlign w:val="bottom"/>
          </w:tcPr>
          <w:p>
            <w:pPr>
              <w:jc w:val="right"/>
              <w:spacing w:after="0"/>
              <w:rPr>
                <w:sz w:val="20"/>
                <w:szCs w:val="20"/>
                <w:color w:val="auto"/>
              </w:rPr>
            </w:pPr>
            <w:r>
              <w:rPr>
                <w:rFonts w:ascii="Arial" w:cs="Arial" w:eastAsia="Arial" w:hAnsi="Arial"/>
                <w:sz w:val="12"/>
                <w:szCs w:val="12"/>
                <w:color w:val="auto"/>
              </w:rPr>
              <w:t>105</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7.36</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Forfeitures</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(268)</w:t>
            </w:r>
          </w:p>
        </w:tc>
        <w:tc>
          <w:tcPr>
            <w:tcW w:w="84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11.91</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920" w:type="dxa"/>
            <w:vAlign w:val="bottom"/>
            <w:gridSpan w:val="2"/>
          </w:tcPr>
          <w:p>
            <w:pPr>
              <w:spacing w:after="0"/>
              <w:rPr>
                <w:sz w:val="20"/>
                <w:szCs w:val="20"/>
                <w:color w:val="auto"/>
              </w:rPr>
            </w:pPr>
            <w:r>
              <w:rPr>
                <w:rFonts w:ascii="Arial" w:cs="Arial" w:eastAsia="Arial" w:hAnsi="Arial"/>
                <w:sz w:val="12"/>
                <w:szCs w:val="12"/>
                <w:color w:val="auto"/>
              </w:rPr>
              <w:t>Exercised</w:t>
            </w:r>
          </w:p>
        </w:tc>
        <w:tc>
          <w:tcPr>
            <w:tcW w:w="1440" w:type="dxa"/>
            <w:vAlign w:val="bottom"/>
            <w:gridSpan w:val="2"/>
          </w:tcPr>
          <w:p>
            <w:pPr>
              <w:jc w:val="right"/>
              <w:ind w:right="220"/>
              <w:spacing w:after="0"/>
              <w:rPr>
                <w:sz w:val="20"/>
                <w:szCs w:val="20"/>
                <w:color w:val="auto"/>
              </w:rPr>
            </w:pPr>
            <w:r>
              <w:rPr>
                <w:rFonts w:ascii="Arial" w:cs="Arial" w:eastAsia="Arial" w:hAnsi="Arial"/>
                <w:sz w:val="12"/>
                <w:szCs w:val="12"/>
                <w:color w:val="auto"/>
              </w:rPr>
              <w:t>(195)</w:t>
            </w:r>
          </w:p>
        </w:tc>
        <w:tc>
          <w:tcPr>
            <w:tcW w:w="8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6.90</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Outstanding at December 31, 2016</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1,519</w:t>
            </w:r>
          </w:p>
        </w:tc>
        <w:tc>
          <w:tcPr>
            <w:tcW w:w="2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10.25</w:t>
            </w:r>
          </w:p>
        </w:tc>
        <w:tc>
          <w:tcPr>
            <w:tcW w:w="240" w:type="dxa"/>
            <w:vAlign w:val="bottom"/>
            <w:tcBorders>
              <w:top w:val="single" w:sz="8" w:color="CFF0FC"/>
            </w:tcBorders>
            <w:shd w:val="clear" w:color="auto" w:fill="CFF0FC"/>
          </w:tcPr>
          <w:p>
            <w:pPr>
              <w:spacing w:after="0"/>
              <w:rPr>
                <w:sz w:val="12"/>
                <w:szCs w:val="12"/>
                <w:color w:val="auto"/>
              </w:rPr>
            </w:pPr>
          </w:p>
        </w:tc>
        <w:tc>
          <w:tcPr>
            <w:tcW w:w="1420" w:type="dxa"/>
            <w:vAlign w:val="bottom"/>
            <w:tcBorders>
              <w:top w:val="single" w:sz="8" w:color="CFF0FC"/>
            </w:tcBorders>
            <w:gridSpan w:val="2"/>
            <w:shd w:val="clear" w:color="auto" w:fill="CFF0FC"/>
          </w:tcPr>
          <w:p>
            <w:pPr>
              <w:ind w:left="840"/>
              <w:spacing w:after="0"/>
              <w:rPr>
                <w:sz w:val="20"/>
                <w:szCs w:val="20"/>
                <w:color w:val="auto"/>
              </w:rPr>
            </w:pPr>
            <w:r>
              <w:rPr>
                <w:rFonts w:ascii="Arial" w:cs="Arial" w:eastAsia="Arial" w:hAnsi="Arial"/>
                <w:sz w:val="12"/>
                <w:szCs w:val="12"/>
                <w:color w:val="auto"/>
              </w:rPr>
              <w:t>6.1 years</w:t>
            </w:r>
          </w:p>
        </w:tc>
        <w:tc>
          <w:tcPr>
            <w:tcW w:w="22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5,816</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5920" w:type="dxa"/>
            <w:vAlign w:val="bottom"/>
            <w:gridSpan w:val="2"/>
          </w:tcPr>
          <w:p>
            <w:pPr>
              <w:spacing w:after="0"/>
              <w:rPr>
                <w:sz w:val="20"/>
                <w:szCs w:val="20"/>
                <w:color w:val="auto"/>
              </w:rPr>
            </w:pPr>
            <w:r>
              <w:rPr>
                <w:rFonts w:ascii="Arial" w:cs="Arial" w:eastAsia="Arial" w:hAnsi="Arial"/>
                <w:sz w:val="12"/>
                <w:szCs w:val="12"/>
                <w:color w:val="auto"/>
              </w:rPr>
              <w:t>Exercisable at December 31, 2016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959</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9.23</w:t>
            </w:r>
          </w:p>
        </w:tc>
        <w:tc>
          <w:tcPr>
            <w:tcW w:w="240" w:type="dxa"/>
            <w:vAlign w:val="bottom"/>
          </w:tcPr>
          <w:p>
            <w:pPr>
              <w:spacing w:after="0"/>
              <w:rPr>
                <w:sz w:val="12"/>
                <w:szCs w:val="12"/>
                <w:color w:val="auto"/>
              </w:rPr>
            </w:pPr>
          </w:p>
        </w:tc>
        <w:tc>
          <w:tcPr>
            <w:tcW w:w="1420" w:type="dxa"/>
            <w:vAlign w:val="bottom"/>
            <w:gridSpan w:val="2"/>
          </w:tcPr>
          <w:p>
            <w:pPr>
              <w:ind w:left="840"/>
              <w:spacing w:after="0"/>
              <w:rPr>
                <w:sz w:val="20"/>
                <w:szCs w:val="20"/>
                <w:color w:val="auto"/>
              </w:rPr>
            </w:pPr>
            <w:r>
              <w:rPr>
                <w:rFonts w:ascii="Arial" w:cs="Arial" w:eastAsia="Arial" w:hAnsi="Arial"/>
                <w:sz w:val="12"/>
                <w:szCs w:val="12"/>
                <w:color w:val="auto"/>
              </w:rPr>
              <w:t>5.3 years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4,608</w:t>
            </w:r>
          </w:p>
        </w:tc>
        <w:tc>
          <w:tcPr>
            <w:tcW w:w="120" w:type="dxa"/>
            <w:vAlign w:val="bottom"/>
          </w:tcPr>
          <w:p>
            <w:pPr>
              <w:spacing w:after="0"/>
              <w:rPr>
                <w:sz w:val="12"/>
                <w:szCs w:val="12"/>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Awards</w:t>
      </w:r>
    </w:p>
    <w:p>
      <w:pPr>
        <w:spacing w:after="0" w:line="199" w:lineRule="exact"/>
        <w:rPr>
          <w:sz w:val="20"/>
          <w:szCs w:val="20"/>
          <w:color w:val="auto"/>
        </w:rPr>
      </w:pPr>
    </w:p>
    <w:p>
      <w:pPr>
        <w:jc w:val="both"/>
        <w:ind w:firstLine="521"/>
        <w:spacing w:after="0" w:line="323" w:lineRule="auto"/>
        <w:rPr>
          <w:sz w:val="20"/>
          <w:szCs w:val="20"/>
          <w:color w:val="auto"/>
        </w:rPr>
      </w:pPr>
      <w:r>
        <w:rPr>
          <w:rFonts w:ascii="Arial" w:cs="Arial" w:eastAsia="Arial" w:hAnsi="Arial"/>
          <w:sz w:val="11"/>
          <w:szCs w:val="11"/>
          <w:color w:val="auto"/>
        </w:rPr>
        <w:t>Information related to restricted stock awards under the 2017 Plan and 2007 Plan for 2018, 2017 and 2016 is shown in the table below. The fair value of restricted stock awards is based on the price of the stock in the open market on the date of the grant. The fair value of the restricted stock awards is recorded as compensation expense on a straight-line basis over the vesting periods of the awards and we account for forfeitures when they occur.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Weighted</w:t>
            </w:r>
          </w:p>
        </w:tc>
      </w:tr>
      <w:tr>
        <w:trPr>
          <w:trHeight w:val="99"/>
        </w:trPr>
        <w:tc>
          <w:tcPr>
            <w:tcW w:w="7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99"/>
        </w:trPr>
        <w:tc>
          <w:tcPr>
            <w:tcW w:w="7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93"/>
              </w:rPr>
              <w:t>Grant Date</w:t>
            </w:r>
          </w:p>
        </w:tc>
      </w:tr>
      <w:tr>
        <w:trPr>
          <w:trHeight w:val="114"/>
        </w:trPr>
        <w:tc>
          <w:tcPr>
            <w:tcW w:w="77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(Shares in thousands)</w:t>
            </w:r>
          </w:p>
        </w:tc>
        <w:tc>
          <w:tcPr>
            <w:tcW w:w="180" w:type="dxa"/>
            <w:vAlign w:val="bottom"/>
            <w:tcBorders>
              <w:bottom w:val="single" w:sz="8" w:color="CFF0FC"/>
            </w:tcBorders>
          </w:tcPr>
          <w:p>
            <w:pPr>
              <w:spacing w:after="0"/>
              <w:rPr>
                <w:sz w:val="9"/>
                <w:szCs w:val="9"/>
                <w:color w:val="auto"/>
              </w:rPr>
            </w:pPr>
          </w:p>
        </w:tc>
        <w:tc>
          <w:tcPr>
            <w:tcW w:w="1580" w:type="dxa"/>
            <w:vAlign w:val="bottom"/>
            <w:tcBorders>
              <w:bottom w:val="single" w:sz="8" w:color="auto"/>
            </w:tcBorders>
          </w:tcPr>
          <w:p>
            <w:pPr>
              <w:jc w:val="right"/>
              <w:ind w:right="601"/>
              <w:spacing w:after="0" w:line="114" w:lineRule="exact"/>
              <w:rPr>
                <w:sz w:val="20"/>
                <w:szCs w:val="20"/>
                <w:color w:val="auto"/>
              </w:rPr>
            </w:pPr>
            <w:r>
              <w:rPr>
                <w:rFonts w:ascii="Arial" w:cs="Arial" w:eastAsia="Arial" w:hAnsi="Arial"/>
                <w:sz w:val="10"/>
                <w:szCs w:val="10"/>
                <w:b w:val="1"/>
                <w:bCs w:val="1"/>
                <w:color w:val="auto"/>
              </w:rPr>
              <w:t>Shares</w:t>
            </w:r>
          </w:p>
        </w:tc>
        <w:tc>
          <w:tcPr>
            <w:tcW w:w="16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jc w:val="center"/>
              <w:ind w:right="263"/>
              <w:spacing w:after="0" w:line="114" w:lineRule="exact"/>
              <w:rPr>
                <w:sz w:val="20"/>
                <w:szCs w:val="20"/>
                <w:color w:val="auto"/>
              </w:rPr>
            </w:pPr>
            <w:r>
              <w:rPr>
                <w:rFonts w:ascii="Arial" w:cs="Arial" w:eastAsia="Arial" w:hAnsi="Arial"/>
                <w:sz w:val="10"/>
                <w:szCs w:val="10"/>
                <w:b w:val="1"/>
                <w:bCs w:val="1"/>
                <w:color w:val="auto"/>
                <w:w w:val="91"/>
              </w:rPr>
              <w:t>Fair Value</w:t>
            </w:r>
          </w:p>
        </w:tc>
        <w:tc>
          <w:tcPr>
            <w:tcW w:w="120" w:type="dxa"/>
            <w:vAlign w:val="bottom"/>
            <w:tcBorders>
              <w:bottom w:val="single" w:sz="8" w:color="CFF0FC"/>
            </w:tcBorders>
          </w:tcPr>
          <w:p>
            <w:pPr>
              <w:spacing w:after="0"/>
              <w:rPr>
                <w:sz w:val="9"/>
                <w:szCs w:val="9"/>
                <w:color w:val="auto"/>
              </w:rPr>
            </w:pPr>
          </w:p>
        </w:tc>
      </w:tr>
      <w:tr>
        <w:trPr>
          <w:trHeight w:val="142"/>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Nonvested at December 31, 2015</w:t>
            </w:r>
          </w:p>
        </w:tc>
        <w:tc>
          <w:tcPr>
            <w:tcW w:w="1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321</w:t>
            </w:r>
          </w:p>
        </w:tc>
        <w:tc>
          <w:tcPr>
            <w:tcW w:w="1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9.55</w:t>
            </w:r>
          </w:p>
        </w:tc>
        <w:tc>
          <w:tcPr>
            <w:tcW w:w="120" w:type="dxa"/>
            <w:vAlign w:val="bottom"/>
            <w:shd w:val="clear" w:color="auto" w:fill="CFF0FC"/>
          </w:tcPr>
          <w:p>
            <w:pPr>
              <w:spacing w:after="0"/>
              <w:rPr>
                <w:sz w:val="12"/>
                <w:szCs w:val="12"/>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1580" w:type="dxa"/>
            <w:vAlign w:val="bottom"/>
          </w:tcPr>
          <w:p>
            <w:pPr>
              <w:jc w:val="right"/>
              <w:spacing w:after="0"/>
              <w:rPr>
                <w:sz w:val="20"/>
                <w:szCs w:val="20"/>
                <w:color w:val="auto"/>
              </w:rPr>
            </w:pPr>
            <w:r>
              <w:rPr>
                <w:rFonts w:ascii="Arial" w:cs="Arial" w:eastAsia="Arial" w:hAnsi="Arial"/>
                <w:sz w:val="12"/>
                <w:szCs w:val="12"/>
                <w:color w:val="auto"/>
              </w:rPr>
              <w:t>267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9.76</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Vested</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10.24</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9.64</w:t>
            </w:r>
          </w:p>
        </w:tc>
        <w:tc>
          <w:tcPr>
            <w:tcW w:w="120" w:type="dxa"/>
            <w:vAlign w:val="bottom"/>
          </w:tcPr>
          <w:p>
            <w:pPr>
              <w:spacing w:after="0"/>
              <w:rPr>
                <w:sz w:val="13"/>
                <w:szCs w:val="13"/>
                <w:color w:val="auto"/>
              </w:rPr>
            </w:pPr>
          </w:p>
        </w:tc>
      </w:tr>
      <w:tr>
        <w:trPr>
          <w:trHeight w:val="142"/>
        </w:trPr>
        <w:tc>
          <w:tcPr>
            <w:tcW w:w="7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Nonvested at December 31, 2016</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509</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1580" w:type="dxa"/>
            <w:vAlign w:val="bottom"/>
          </w:tcPr>
          <w:p>
            <w:pPr>
              <w:jc w:val="right"/>
              <w:spacing w:after="0"/>
              <w:rPr>
                <w:sz w:val="20"/>
                <w:szCs w:val="20"/>
                <w:color w:val="auto"/>
              </w:rPr>
            </w:pPr>
            <w:r>
              <w:rPr>
                <w:rFonts w:ascii="Arial" w:cs="Arial" w:eastAsia="Arial" w:hAnsi="Arial"/>
                <w:sz w:val="12"/>
                <w:szCs w:val="12"/>
                <w:color w:val="auto"/>
              </w:rPr>
              <w:t>405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9.88</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Vested</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(92)</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9.78</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2"/>
                <w:szCs w:val="12"/>
                <w:color w:val="auto"/>
              </w:rPr>
              <w:t>(268)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9.70</w:t>
            </w:r>
          </w:p>
        </w:tc>
        <w:tc>
          <w:tcPr>
            <w:tcW w:w="120" w:type="dxa"/>
            <w:vAlign w:val="bottom"/>
          </w:tcPr>
          <w:p>
            <w:pPr>
              <w:spacing w:after="0"/>
              <w:rPr>
                <w:sz w:val="13"/>
                <w:szCs w:val="13"/>
                <w:color w:val="auto"/>
              </w:rPr>
            </w:pPr>
          </w:p>
        </w:tc>
      </w:tr>
      <w:tr>
        <w:trPr>
          <w:trHeight w:val="142"/>
        </w:trPr>
        <w:tc>
          <w:tcPr>
            <w:tcW w:w="7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Nonvested at December 31, 2017</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554</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9.75</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1580" w:type="dxa"/>
            <w:vAlign w:val="bottom"/>
          </w:tcPr>
          <w:p>
            <w:pPr>
              <w:jc w:val="right"/>
              <w:spacing w:after="0"/>
              <w:rPr>
                <w:sz w:val="20"/>
                <w:szCs w:val="20"/>
                <w:color w:val="auto"/>
              </w:rPr>
            </w:pPr>
            <w:r>
              <w:rPr>
                <w:rFonts w:ascii="Arial" w:cs="Arial" w:eastAsia="Arial" w:hAnsi="Arial"/>
                <w:sz w:val="12"/>
                <w:szCs w:val="12"/>
                <w:color w:val="auto"/>
              </w:rPr>
              <w:t>963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5.21</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Vested</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(217)</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9.50</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9.80</w:t>
            </w:r>
          </w:p>
        </w:tc>
        <w:tc>
          <w:tcPr>
            <w:tcW w:w="120" w:type="dxa"/>
            <w:vAlign w:val="bottom"/>
          </w:tcPr>
          <w:p>
            <w:pPr>
              <w:spacing w:after="0"/>
              <w:rPr>
                <w:sz w:val="13"/>
                <w:szCs w:val="13"/>
                <w:color w:val="auto"/>
              </w:rPr>
            </w:pPr>
          </w:p>
        </w:tc>
      </w:tr>
      <w:tr>
        <w:trPr>
          <w:trHeight w:val="149"/>
        </w:trPr>
        <w:tc>
          <w:tcPr>
            <w:tcW w:w="7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Nonvested at December 31,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1,251</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6.30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Company received $0.1 million, $1.1 million and $1.3 million of cash from employees exercising options in 2018, 2017 and 2016, respectively. The intrinsic value of options exercised during 2018, 2017 and 2016 was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$24,000, $2.6 million and $1.0 million, respectively. Unrecognized compensation expense related to nonvested shares of stock options, restricted stock and performance units was $6.3 million at December 31, 2018 and will be recognized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over a weighted average vesting period of 2.3 years.</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 to Purchase Common Stock</w:t>
      </w:r>
    </w:p>
    <w:p>
      <w:pPr>
        <w:spacing w:after="0" w:line="154" w:lineRule="exact"/>
        <w:rPr>
          <w:sz w:val="20"/>
          <w:szCs w:val="20"/>
          <w:color w:val="auto"/>
        </w:rPr>
      </w:pPr>
    </w:p>
    <w:p>
      <w:pPr>
        <w:ind w:right="120" w:firstLine="521"/>
        <w:spacing w:after="0" w:line="298" w:lineRule="auto"/>
        <w:rPr>
          <w:sz w:val="20"/>
          <w:szCs w:val="20"/>
          <w:color w:val="auto"/>
        </w:rPr>
      </w:pPr>
      <w:r>
        <w:rPr>
          <w:rFonts w:ascii="Arial" w:cs="Arial" w:eastAsia="Arial" w:hAnsi="Arial"/>
          <w:sz w:val="11"/>
          <w:szCs w:val="11"/>
          <w:color w:val="auto"/>
        </w:rPr>
        <w:t>On December 28, 2006, the Company issued warrants to purchase 250,000 shares to Icarus Investment Corp. (“Icarus”), a related party, at an exercise price of $9.07 and an expiration date of December 26, 2016. On December 7, 2016, the Company and Icarus entered into an amendment to the warrant agreement pursuant to which the warrants were amended to provide for the cashless exercise of the warrants. In 2016, all of the outstanding warrants were exercised and the Company issued 89,640 shares of common stock through a cashless exercise at an effective price of $9.07 per share. There are no additional warrants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Purchase</w:t>
      </w:r>
    </w:p>
    <w:p>
      <w:pPr>
        <w:spacing w:after="0" w:line="154" w:lineRule="exact"/>
        <w:rPr>
          <w:sz w:val="20"/>
          <w:szCs w:val="20"/>
          <w:color w:val="auto"/>
        </w:rPr>
      </w:pPr>
    </w:p>
    <w:p>
      <w:pPr>
        <w:ind w:right="60" w:firstLine="766"/>
        <w:spacing w:after="0" w:line="263" w:lineRule="auto"/>
        <w:rPr>
          <w:sz w:val="20"/>
          <w:szCs w:val="20"/>
          <w:color w:val="auto"/>
        </w:rPr>
      </w:pPr>
      <w:r>
        <w:rPr>
          <w:rFonts w:ascii="Arial" w:cs="Arial" w:eastAsia="Arial" w:hAnsi="Arial"/>
          <w:sz w:val="12"/>
          <w:szCs w:val="12"/>
          <w:color w:val="auto"/>
        </w:rPr>
        <w:t>During 2016, the Company repurchased 30,000 shares of common stock from a former owner of a subsidiary acquired by the Company in 2014 for a total cost of $0.2 million. In December 2016, the Company entered into an agreement to repurchase 75,000 shares of common stock from a current segment president, who was a former owner of a subsidiary acquired by the Company in 2013, for a total cost of $1.1 million, which was paid in January 2017. The shares were immediately retired subsequent to their repurchase.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73" w:name="page74"/>
    <w:bookmarkEnd w:id="73"/>
    <w:p>
      <w:pPr>
        <w:ind w:left="508" w:hanging="508"/>
        <w:spacing w:after="0"/>
        <w:tabs>
          <w:tab w:leader="none" w:pos="508"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Pension and Employee Benefit Plans</w:t>
      </w:r>
    </w:p>
    <w:p>
      <w:pPr>
        <w:spacing w:after="0" w:line="82" w:lineRule="exact"/>
        <w:rPr>
          <w:sz w:val="20"/>
          <w:szCs w:val="20"/>
          <w:color w:val="auto"/>
        </w:rPr>
      </w:pPr>
    </w:p>
    <w:p>
      <w:pPr>
        <w:ind w:left="8" w:right="220" w:firstLine="521"/>
        <w:spacing w:after="0" w:line="276" w:lineRule="auto"/>
        <w:rPr>
          <w:sz w:val="20"/>
          <w:szCs w:val="20"/>
          <w:color w:val="auto"/>
        </w:rPr>
      </w:pPr>
      <w:r>
        <w:rPr>
          <w:rFonts w:ascii="Arial" w:cs="Arial" w:eastAsia="Arial" w:hAnsi="Arial"/>
          <w:sz w:val="12"/>
          <w:szCs w:val="12"/>
          <w:color w:val="auto"/>
        </w:rPr>
        <w:t>We sponsor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115" w:lineRule="exact"/>
        <w:rPr>
          <w:sz w:val="20"/>
          <w:szCs w:val="20"/>
          <w:color w:val="auto"/>
        </w:rPr>
      </w:pPr>
    </w:p>
    <w:p>
      <w:pPr>
        <w:ind w:left="8" w:right="200" w:firstLine="521"/>
        <w:spacing w:after="0" w:line="276" w:lineRule="auto"/>
        <w:rPr>
          <w:sz w:val="20"/>
          <w:szCs w:val="20"/>
          <w:color w:val="auto"/>
        </w:rPr>
      </w:pPr>
      <w:r>
        <w:rPr>
          <w:rFonts w:ascii="Arial" w:cs="Arial" w:eastAsia="Arial" w:hAnsi="Arial"/>
          <w:sz w:val="12"/>
          <w:szCs w:val="12"/>
          <w:color w:val="auto"/>
        </w:rPr>
        <w:t>The following tables set forth the plan changes in benefit obligations, plan assets and funded status on the measurement dates, December 31, 2018, 2017 and 2016, and amounts recognized in our Consolidated Balance Sheets within other long-term liabilities.</w:t>
      </w: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78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Change in projected benefit obligation:</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Projected benefit obligation at beginning of year</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36,327</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35,012</w:t>
            </w:r>
          </w:p>
        </w:tc>
        <w:tc>
          <w:tcPr>
            <w:tcW w:w="180" w:type="dxa"/>
            <w:vAlign w:val="bottom"/>
          </w:tcPr>
          <w:p>
            <w:pPr>
              <w:spacing w:after="0"/>
              <w:rPr>
                <w:sz w:val="13"/>
                <w:szCs w:val="13"/>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36,140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Service cost</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Interest cost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1,190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1,314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Actuarial (gain) / loss</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(2,629)</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1,787</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Administrative expenses</w:t>
            </w:r>
          </w:p>
        </w:tc>
        <w:tc>
          <w:tcPr>
            <w:tcW w:w="30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(402)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(606)</w:t>
            </w: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Benefits paid</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(1,890)</w:t>
            </w:r>
          </w:p>
        </w:tc>
        <w:tc>
          <w:tcPr>
            <w:tcW w:w="3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(1,799)</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(2,696)</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Projected benefit obligation at end of year</w:t>
            </w: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32,998</w:t>
            </w:r>
          </w:p>
        </w:tc>
        <w:tc>
          <w:tcPr>
            <w:tcW w:w="26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36,327</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35,012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Change in plan assets: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Fair value of plan assets at beginning of year</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26,836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24,063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25,296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Actual (loss) return on plan assets</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(1,388)</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3,152</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Employer contribution</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639</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1,822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Administrative expenses</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(402)</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(606)</w:t>
            </w:r>
          </w:p>
        </w:tc>
        <w:tc>
          <w:tcPr>
            <w:tcW w:w="0" w:type="dxa"/>
            <w:vAlign w:val="bottom"/>
          </w:tcPr>
          <w:p>
            <w:pPr>
              <w:spacing w:after="0"/>
              <w:rPr>
                <w:sz w:val="1"/>
                <w:szCs w:val="1"/>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Benefits paid</w:t>
            </w: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(1,890)</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(1,799)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(2,696)</w:t>
            </w:r>
          </w:p>
        </w:tc>
        <w:tc>
          <w:tcPr>
            <w:tcW w:w="0" w:type="dxa"/>
            <w:vAlign w:val="bottom"/>
          </w:tcPr>
          <w:p>
            <w:pPr>
              <w:spacing w:after="0"/>
              <w:rPr>
                <w:sz w:val="1"/>
                <w:szCs w:val="1"/>
                <w:color w:val="auto"/>
              </w:rPr>
            </w:pPr>
          </w:p>
        </w:tc>
      </w:tr>
      <w:tr>
        <w:trPr>
          <w:trHeight w:val="142"/>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Fair value of plan assets at end of year</w:t>
            </w: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24,197</w:t>
            </w:r>
          </w:p>
        </w:tc>
        <w:tc>
          <w:tcPr>
            <w:tcW w:w="2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26,836</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24,063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20"/>
                <w:szCs w:val="20"/>
                <w:color w:val="auto"/>
              </w:rPr>
            </w:pPr>
            <w:r>
              <w:rPr>
                <w:rFonts w:ascii="Arial" w:cs="Arial" w:eastAsia="Arial" w:hAnsi="Arial"/>
                <w:sz w:val="12"/>
                <w:szCs w:val="12"/>
                <w:color w:val="auto"/>
              </w:rPr>
              <w:t>Unfunded status</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(8,801)</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(9,491)</w:t>
            </w:r>
          </w:p>
        </w:tc>
        <w:tc>
          <w:tcPr>
            <w:tcW w:w="400" w:type="dxa"/>
            <w:vAlign w:val="bottom"/>
            <w:gridSpan w:val="2"/>
          </w:tcPr>
          <w:p>
            <w:pPr>
              <w:jc w:val="right"/>
              <w:ind w:right="21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(10,949)</w:t>
            </w:r>
          </w:p>
        </w:tc>
        <w:tc>
          <w:tcPr>
            <w:tcW w:w="0" w:type="dxa"/>
            <w:vAlign w:val="bottom"/>
          </w:tcPr>
          <w:p>
            <w:pPr>
              <w:spacing w:after="0"/>
              <w:rPr>
                <w:sz w:val="1"/>
                <w:szCs w:val="1"/>
                <w:color w:val="auto"/>
              </w:rPr>
            </w:pPr>
          </w:p>
        </w:tc>
      </w:tr>
      <w:tr>
        <w:trPr>
          <w:trHeight w:val="27"/>
        </w:trPr>
        <w:tc>
          <w:tcPr>
            <w:tcW w:w="67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Defined benefit liability included in other liabilities</w:t>
            </w: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78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(8,801)</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(9,491)</w:t>
            </w:r>
          </w:p>
        </w:tc>
        <w:tc>
          <w:tcPr>
            <w:tcW w:w="400" w:type="dxa"/>
            <w:vAlign w:val="bottom"/>
            <w:gridSpan w:val="2"/>
            <w:shd w:val="clear" w:color="auto" w:fill="CFF0FC"/>
          </w:tcPr>
          <w:p>
            <w:pPr>
              <w:jc w:val="right"/>
              <w:ind w:right="21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(10,949)</w:t>
            </w:r>
          </w:p>
        </w:tc>
        <w:tc>
          <w:tcPr>
            <w:tcW w:w="0" w:type="dxa"/>
            <w:vAlign w:val="bottom"/>
          </w:tcPr>
          <w:p>
            <w:pPr>
              <w:spacing w:after="0"/>
              <w:rPr>
                <w:sz w:val="1"/>
                <w:szCs w:val="1"/>
                <w:color w:val="auto"/>
              </w:rPr>
            </w:pPr>
          </w:p>
        </w:tc>
      </w:tr>
      <w:tr>
        <w:trPr>
          <w:trHeight w:val="153"/>
        </w:trPr>
        <w:tc>
          <w:tcPr>
            <w:tcW w:w="6780" w:type="dxa"/>
            <w:vAlign w:val="bottom"/>
          </w:tcPr>
          <w:p>
            <w:pPr>
              <w:spacing w:after="0"/>
              <w:rPr>
                <w:sz w:val="20"/>
                <w:szCs w:val="20"/>
                <w:color w:val="auto"/>
              </w:rPr>
            </w:pPr>
            <w:r>
              <w:rPr>
                <w:rFonts w:ascii="Arial" w:cs="Arial" w:eastAsia="Arial" w:hAnsi="Arial"/>
                <w:sz w:val="12"/>
                <w:szCs w:val="12"/>
                <w:color w:val="auto"/>
              </w:rPr>
              <w:t>Deferred tax benefit associated with accumulated other comprehensive loss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2,116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3,153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loss, net of tax</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6,224</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5,154</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spacing w:after="0"/>
              <w:rPr>
                <w:sz w:val="20"/>
                <w:szCs w:val="20"/>
                <w:color w:val="auto"/>
              </w:rPr>
            </w:pPr>
            <w:r>
              <w:rPr>
                <w:rFonts w:ascii="Arial" w:cs="Arial" w:eastAsia="Arial" w:hAnsi="Arial"/>
                <w:sz w:val="12"/>
                <w:szCs w:val="12"/>
                <w:color w:val="auto"/>
              </w:rPr>
              <w:t>Other comprehensive (loss) income: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 (gain)</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271</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358</w:t>
            </w:r>
          </w:p>
        </w:tc>
        <w:tc>
          <w:tcPr>
            <w:tcW w:w="18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1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Amortization of net actuarial gain</w:t>
            </w: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(238)</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(227)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 recognized in other comprehensive (loss) income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31"/>
        </w:trPr>
        <w:tc>
          <w:tcPr>
            <w:tcW w:w="678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Amount recognized in accumulated other</w:t>
            </w: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780" w:type="dxa"/>
            <w:vAlign w:val="bottom"/>
          </w:tcPr>
          <w:p>
            <w:pPr>
              <w:ind w:left="80"/>
              <w:spacing w:after="0"/>
              <w:rPr>
                <w:sz w:val="20"/>
                <w:szCs w:val="20"/>
                <w:color w:val="auto"/>
              </w:rPr>
            </w:pPr>
            <w:r>
              <w:rPr>
                <w:rFonts w:ascii="Arial" w:cs="Arial" w:eastAsia="Arial" w:hAnsi="Arial"/>
                <w:sz w:val="12"/>
                <w:szCs w:val="12"/>
                <w:color w:val="auto"/>
              </w:rPr>
              <w:t>comprehensive (loss) income - Prior service cost</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8,340</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8,307</w:t>
            </w:r>
          </w:p>
        </w:tc>
        <w:tc>
          <w:tcPr>
            <w:tcW w:w="180" w:type="dxa"/>
            <w:vAlign w:val="bottom"/>
          </w:tcPr>
          <w:p>
            <w:pPr>
              <w:spacing w:after="0"/>
              <w:rPr>
                <w:sz w:val="13"/>
                <w:szCs w:val="13"/>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8,181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Weighted-average assumptions used to determine</w:t>
            </w: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benefit obligations for the year ended December 31:</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spacing w:after="0"/>
              <w:rPr>
                <w:sz w:val="20"/>
                <w:szCs w:val="20"/>
                <w:color w:val="auto"/>
              </w:rPr>
            </w:pPr>
            <w:r>
              <w:rPr>
                <w:rFonts w:ascii="Arial" w:cs="Arial" w:eastAsia="Arial" w:hAnsi="Arial"/>
                <w:sz w:val="12"/>
                <w:szCs w:val="12"/>
                <w:color w:val="auto"/>
              </w:rPr>
              <w:t>Discount rate</w:t>
            </w:r>
          </w:p>
        </w:tc>
        <w:tc>
          <w:tcPr>
            <w:tcW w:w="30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4.05%</w:t>
            </w:r>
          </w:p>
        </w:tc>
        <w:tc>
          <w:tcPr>
            <w:tcW w:w="32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3.35%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3.85%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Benefits under the plan is not based on wages and, therefore, future wage adjustments have no effect on the projected benefit obligation.</w:t>
      </w:r>
    </w:p>
    <w:p>
      <w:pPr>
        <w:spacing w:after="0" w:line="150" w:lineRule="exact"/>
        <w:rPr>
          <w:sz w:val="20"/>
          <w:szCs w:val="20"/>
          <w:color w:val="auto"/>
        </w:rPr>
      </w:pPr>
    </w:p>
    <w:p>
      <w:pPr>
        <w:ind w:left="8" w:right="620" w:firstLine="521"/>
        <w:spacing w:after="0" w:line="276" w:lineRule="auto"/>
        <w:rPr>
          <w:sz w:val="20"/>
          <w:szCs w:val="20"/>
          <w:color w:val="auto"/>
        </w:rPr>
      </w:pPr>
      <w:r>
        <w:rPr>
          <w:rFonts w:ascii="Arial" w:cs="Arial" w:eastAsia="Arial" w:hAnsi="Arial"/>
          <w:sz w:val="12"/>
          <w:szCs w:val="12"/>
          <w:color w:val="auto"/>
        </w:rPr>
        <w:t>During 2018, 2017 and 2016, the Company updated the mortality tables (RP-2017 Total Mortality Table, RP-2016 Total Mortality Table, and RP-2015 Total Mortality Table for each respective year) in the underlying assumptions used to determine the benefit obligation.</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59" w:right="199" w:bottom="1440" w:gutter="0" w:footer="0" w:header="0"/>
        </w:sectPr>
      </w:pPr>
    </w:p>
    <w:bookmarkStart w:id="74" w:name="page75"/>
    <w:bookmarkEnd w:id="74"/>
    <w:p>
      <w:pPr>
        <w:ind w:left="520"/>
        <w:spacing w:after="0"/>
        <w:rPr>
          <w:sz w:val="20"/>
          <w:szCs w:val="20"/>
          <w:color w:val="auto"/>
        </w:rPr>
      </w:pPr>
      <w:r>
        <w:rPr>
          <w:rFonts w:ascii="Arial" w:cs="Arial" w:eastAsia="Arial" w:hAnsi="Arial"/>
          <w:sz w:val="12"/>
          <w:szCs w:val="12"/>
          <w:color w:val="auto"/>
        </w:rPr>
        <w:t>The details of net periodic benefit cost for pension benefits included in the accompanying Consolidated Statements of Operations for the years ended December 31, 2018, 2017 and 2016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2018</w:t>
            </w: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2017</w:t>
            </w: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r>
      <w:tr>
        <w:trPr>
          <w:trHeight w:val="142"/>
        </w:trPr>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Service cost</w:t>
            </w:r>
          </w:p>
        </w:tc>
        <w:tc>
          <w:tcPr>
            <w:tcW w:w="880" w:type="dxa"/>
            <w:vAlign w:val="bottom"/>
            <w:shd w:val="clear" w:color="auto" w:fill="CFF0FC"/>
          </w:tcPr>
          <w:p>
            <w:pPr>
              <w:jc w:val="right"/>
              <w:ind w:right="77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ind w:right="79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w:t>
            </w:r>
          </w:p>
        </w:tc>
        <w:tc>
          <w:tcPr>
            <w:tcW w:w="18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447</w:t>
            </w:r>
          </w:p>
        </w:tc>
        <w:tc>
          <w:tcPr>
            <w:tcW w:w="120" w:type="dxa"/>
            <w:vAlign w:val="bottom"/>
            <w:shd w:val="clear" w:color="auto" w:fill="CFF0FC"/>
          </w:tcPr>
          <w:p>
            <w:pPr>
              <w:spacing w:after="0"/>
              <w:rPr>
                <w:sz w:val="12"/>
                <w:szCs w:val="12"/>
                <w:color w:val="auto"/>
              </w:rPr>
            </w:pPr>
          </w:p>
        </w:tc>
      </w:tr>
      <w:tr>
        <w:trPr>
          <w:trHeight w:val="153"/>
        </w:trPr>
        <w:tc>
          <w:tcPr>
            <w:tcW w:w="6780" w:type="dxa"/>
            <w:vAlign w:val="bottom"/>
          </w:tcPr>
          <w:p>
            <w:pPr>
              <w:spacing w:after="0"/>
              <w:rPr>
                <w:sz w:val="20"/>
                <w:szCs w:val="20"/>
                <w:color w:val="auto"/>
              </w:rPr>
            </w:pPr>
            <w:r>
              <w:rPr>
                <w:rFonts w:ascii="Arial" w:cs="Arial" w:eastAsia="Arial" w:hAnsi="Arial"/>
                <w:sz w:val="12"/>
                <w:szCs w:val="12"/>
                <w:color w:val="auto"/>
              </w:rPr>
              <w:t>Interest cost</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1,190</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1,314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1,426</w:t>
            </w:r>
          </w:p>
        </w:tc>
        <w:tc>
          <w:tcPr>
            <w:tcW w:w="120" w:type="dxa"/>
            <w:vAlign w:val="bottom"/>
          </w:tcPr>
          <w:p>
            <w:pPr>
              <w:spacing w:after="0"/>
              <w:rPr>
                <w:sz w:val="13"/>
                <w:szCs w:val="13"/>
                <w:color w:val="auto"/>
              </w:rPr>
            </w:pPr>
          </w:p>
        </w:tc>
      </w:tr>
      <w:tr>
        <w:trPr>
          <w:trHeight w:val="153"/>
        </w:trPr>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Expected return on plan assets</w:t>
            </w:r>
          </w:p>
        </w:tc>
        <w:tc>
          <w:tcPr>
            <w:tcW w:w="8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(1,511)</w:t>
            </w:r>
          </w:p>
        </w:tc>
        <w:tc>
          <w:tcPr>
            <w:tcW w:w="9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(1,723)</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(1,829)</w:t>
            </w:r>
          </w:p>
        </w:tc>
      </w:tr>
      <w:tr>
        <w:trPr>
          <w:trHeight w:val="153"/>
        </w:trPr>
        <w:tc>
          <w:tcPr>
            <w:tcW w:w="6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Net amortization and deferral</w:t>
            </w: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w:t>
            </w:r>
          </w:p>
        </w:tc>
        <w:tc>
          <w:tcPr>
            <w:tcW w:w="2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w:t>
            </w:r>
          </w:p>
        </w:tc>
        <w:tc>
          <w:tcPr>
            <w:tcW w:w="120" w:type="dxa"/>
            <w:vAlign w:val="bottom"/>
            <w:tcBorders>
              <w:bottom w:val="single" w:sz="8" w:color="CFF0FC"/>
            </w:tcBorders>
          </w:tcPr>
          <w:p>
            <w:pPr>
              <w:spacing w:after="0"/>
              <w:rPr>
                <w:sz w:val="13"/>
                <w:szCs w:val="13"/>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Net periodic benefit cost (income)</w:t>
            </w:r>
          </w:p>
        </w:tc>
        <w:tc>
          <w:tcPr>
            <w:tcW w:w="880" w:type="dxa"/>
            <w:vAlign w:val="bottom"/>
            <w:shd w:val="clear" w:color="auto" w:fill="CFF0FC"/>
          </w:tcPr>
          <w:p>
            <w:pPr>
              <w:jc w:val="right"/>
              <w:ind w:right="77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(83)</w:t>
            </w:r>
          </w:p>
        </w:tc>
        <w:tc>
          <w:tcPr>
            <w:tcW w:w="900" w:type="dxa"/>
            <w:vAlign w:val="bottom"/>
            <w:shd w:val="clear" w:color="auto" w:fill="CFF0FC"/>
          </w:tcPr>
          <w:p>
            <w:pPr>
              <w:jc w:val="right"/>
              <w:ind w:right="79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w:t>
            </w:r>
          </w:p>
        </w:tc>
        <w:tc>
          <w:tcPr>
            <w:tcW w:w="1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w:t>
            </w:r>
          </w:p>
        </w:tc>
        <w:tc>
          <w:tcPr>
            <w:tcW w:w="120" w:type="dxa"/>
            <w:vAlign w:val="bottom"/>
            <w:shd w:val="clear" w:color="auto" w:fill="CFF0FC"/>
          </w:tcPr>
          <w:p>
            <w:pPr>
              <w:spacing w:after="0"/>
              <w:rPr>
                <w:sz w:val="14"/>
                <w:szCs w:val="14"/>
                <w:color w:val="auto"/>
              </w:rPr>
            </w:pPr>
          </w:p>
        </w:tc>
      </w:tr>
      <w:tr>
        <w:trPr>
          <w:trHeight w:val="131"/>
        </w:trPr>
        <w:tc>
          <w:tcPr>
            <w:tcW w:w="678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Weighted-average assumptions used to determine net</w:t>
            </w:r>
          </w:p>
        </w:tc>
        <w:tc>
          <w:tcPr>
            <w:tcW w:w="8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53"/>
        </w:trPr>
        <w:tc>
          <w:tcPr>
            <w:tcW w:w="6780" w:type="dxa"/>
            <w:vAlign w:val="bottom"/>
          </w:tcPr>
          <w:p>
            <w:pPr>
              <w:ind w:left="80"/>
              <w:spacing w:after="0"/>
              <w:rPr>
                <w:sz w:val="20"/>
                <w:szCs w:val="20"/>
                <w:color w:val="auto"/>
              </w:rPr>
            </w:pPr>
            <w:r>
              <w:rPr>
                <w:rFonts w:ascii="Arial" w:cs="Arial" w:eastAsia="Arial" w:hAnsi="Arial"/>
                <w:sz w:val="12"/>
                <w:szCs w:val="12"/>
                <w:color w:val="auto"/>
              </w:rPr>
              <w:t>periodic benefit costs for the years ended December 31:</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Discount rate</w:t>
            </w:r>
          </w:p>
        </w:tc>
        <w:tc>
          <w:tcPr>
            <w:tcW w:w="8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3.35%</w:t>
            </w:r>
          </w:p>
        </w:tc>
        <w:tc>
          <w:tcPr>
            <w:tcW w:w="9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3.85%</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4.00%</w:t>
            </w:r>
          </w:p>
        </w:tc>
      </w:tr>
      <w:tr>
        <w:trPr>
          <w:trHeight w:val="153"/>
        </w:trPr>
        <w:tc>
          <w:tcPr>
            <w:tcW w:w="6780" w:type="dxa"/>
            <w:vAlign w:val="bottom"/>
          </w:tcPr>
          <w:p>
            <w:pPr>
              <w:spacing w:after="0"/>
              <w:rPr>
                <w:sz w:val="20"/>
                <w:szCs w:val="20"/>
                <w:color w:val="auto"/>
              </w:rPr>
            </w:pPr>
            <w:r>
              <w:rPr>
                <w:rFonts w:ascii="Arial" w:cs="Arial" w:eastAsia="Arial" w:hAnsi="Arial"/>
                <w:sz w:val="12"/>
                <w:szCs w:val="12"/>
                <w:color w:val="auto"/>
              </w:rPr>
              <w:t>Expected return on assets</w:t>
            </w:r>
          </w:p>
        </w:tc>
        <w:tc>
          <w:tcPr>
            <w:tcW w:w="8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5.75%</w:t>
            </w:r>
          </w:p>
        </w:tc>
        <w:tc>
          <w:tcPr>
            <w:tcW w:w="9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7.25%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7.50%</w:t>
            </w:r>
          </w:p>
        </w:tc>
      </w:tr>
    </w:tbl>
    <w:p>
      <w:pPr>
        <w:spacing w:after="0" w:line="180" w:lineRule="exact"/>
        <w:rPr>
          <w:sz w:val="20"/>
          <w:szCs w:val="20"/>
          <w:color w:val="auto"/>
        </w:rPr>
      </w:pPr>
    </w:p>
    <w:p>
      <w:pPr>
        <w:ind w:right="160" w:firstLine="521"/>
        <w:spacing w:after="0" w:line="340" w:lineRule="auto"/>
        <w:rPr>
          <w:sz w:val="20"/>
          <w:szCs w:val="20"/>
          <w:color w:val="auto"/>
        </w:rPr>
      </w:pPr>
      <w:r>
        <w:rPr>
          <w:rFonts w:ascii="Arial" w:cs="Arial" w:eastAsia="Arial" w:hAnsi="Arial"/>
          <w:sz w:val="10"/>
          <w:szCs w:val="10"/>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 future long range projections of investment returns for each asset category. The long-term rate of return also considers administrative expenses of the plan.</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net loss and prior service cost for the defined benefit pension plan that will be amortized from accumulated other comprehensive loss into net periodic benefit cost during 2019 are $0.2 million and zero, respectively.</w:t>
      </w:r>
    </w:p>
    <w:p>
      <w:pPr>
        <w:spacing w:after="0" w:line="162" w:lineRule="exact"/>
        <w:rPr>
          <w:sz w:val="20"/>
          <w:szCs w:val="20"/>
          <w:color w:val="auto"/>
        </w:rPr>
      </w:pPr>
    </w:p>
    <w:p>
      <w:pPr>
        <w:jc w:val="both"/>
        <w:ind w:right="120" w:firstLine="521"/>
        <w:spacing w:after="0" w:line="263" w:lineRule="auto"/>
        <w:rPr>
          <w:sz w:val="20"/>
          <w:szCs w:val="20"/>
          <w:color w:val="auto"/>
        </w:rPr>
      </w:pPr>
      <w:r>
        <w:rPr>
          <w:rFonts w:ascii="Arial" w:cs="Arial" w:eastAsia="Arial" w:hAnsi="Arial"/>
          <w:sz w:val="12"/>
          <w:szCs w:val="12"/>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 Our defined benefit pension plan asset allocation by asset category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tcPr>
          <w:p>
            <w:pPr>
              <w:spacing w:after="0"/>
              <w:rPr>
                <w:sz w:val="10"/>
                <w:szCs w:val="10"/>
                <w:color w:val="auto"/>
              </w:rPr>
            </w:pPr>
          </w:p>
        </w:tc>
        <w:tc>
          <w:tcPr>
            <w:tcW w:w="1000" w:type="dxa"/>
            <w:vAlign w:val="bottom"/>
          </w:tcPr>
          <w:p>
            <w:pPr>
              <w:jc w:val="center"/>
              <w:ind w:left="272"/>
              <w:spacing w:after="0"/>
              <w:rPr>
                <w:sz w:val="20"/>
                <w:szCs w:val="20"/>
                <w:color w:val="auto"/>
              </w:rPr>
            </w:pPr>
            <w:r>
              <w:rPr>
                <w:rFonts w:ascii="Arial" w:cs="Arial" w:eastAsia="Arial" w:hAnsi="Arial"/>
                <w:sz w:val="10"/>
                <w:szCs w:val="10"/>
                <w:b w:val="1"/>
                <w:bCs w:val="1"/>
                <w:color w:val="auto"/>
                <w:w w:val="91"/>
              </w:rPr>
              <w:t>Target</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80" w:type="dxa"/>
            <w:vAlign w:val="bottom"/>
            <w:gridSpan w:val="3"/>
          </w:tcPr>
          <w:p>
            <w:pPr>
              <w:jc w:val="center"/>
              <w:ind w:left="945"/>
              <w:spacing w:after="0"/>
              <w:rPr>
                <w:sz w:val="20"/>
                <w:szCs w:val="20"/>
                <w:color w:val="auto"/>
              </w:rPr>
            </w:pPr>
            <w:r>
              <w:rPr>
                <w:rFonts w:ascii="Arial" w:cs="Arial" w:eastAsia="Arial" w:hAnsi="Arial"/>
                <w:sz w:val="10"/>
                <w:szCs w:val="10"/>
                <w:b w:val="1"/>
                <w:bCs w:val="1"/>
                <w:color w:val="auto"/>
                <w:w w:val="81"/>
              </w:rPr>
              <w:t>Percentage of</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6780" w:type="dxa"/>
            <w:vAlign w:val="bottom"/>
          </w:tcPr>
          <w:p>
            <w:pPr>
              <w:spacing w:after="0"/>
              <w:rPr>
                <w:sz w:val="9"/>
                <w:szCs w:val="9"/>
                <w:color w:val="auto"/>
              </w:rPr>
            </w:pPr>
          </w:p>
        </w:tc>
        <w:tc>
          <w:tcPr>
            <w:tcW w:w="1000" w:type="dxa"/>
            <w:vAlign w:val="bottom"/>
          </w:tcPr>
          <w:p>
            <w:pPr>
              <w:jc w:val="center"/>
              <w:ind w:left="292"/>
              <w:spacing w:after="0" w:line="114" w:lineRule="exact"/>
              <w:rPr>
                <w:sz w:val="20"/>
                <w:szCs w:val="20"/>
                <w:color w:val="auto"/>
              </w:rPr>
            </w:pPr>
            <w:r>
              <w:rPr>
                <w:rFonts w:ascii="Arial" w:cs="Arial" w:eastAsia="Arial" w:hAnsi="Arial"/>
                <w:sz w:val="10"/>
                <w:szCs w:val="10"/>
                <w:b w:val="1"/>
                <w:bCs w:val="1"/>
                <w:color w:val="auto"/>
                <w:w w:val="86"/>
              </w:rPr>
              <w:t>Allocation</w:t>
            </w: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tcBorders>
              <w:bottom w:val="single" w:sz="8" w:color="auto"/>
            </w:tcBorders>
            <w:gridSpan w:val="3"/>
          </w:tcPr>
          <w:p>
            <w:pPr>
              <w:jc w:val="center"/>
              <w:ind w:left="945"/>
              <w:spacing w:after="0" w:line="114" w:lineRule="exact"/>
              <w:rPr>
                <w:sz w:val="20"/>
                <w:szCs w:val="20"/>
                <w:color w:val="auto"/>
              </w:rPr>
            </w:pPr>
            <w:r>
              <w:rPr>
                <w:rFonts w:ascii="Arial" w:cs="Arial" w:eastAsia="Arial" w:hAnsi="Arial"/>
                <w:sz w:val="10"/>
                <w:szCs w:val="10"/>
                <w:b w:val="1"/>
                <w:bCs w:val="1"/>
                <w:color w:val="auto"/>
                <w:w w:val="81"/>
              </w:rPr>
              <w:t>Plan Assets</w:t>
            </w: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7"/>
        </w:trPr>
        <w:tc>
          <w:tcPr>
            <w:tcW w:w="6780" w:type="dxa"/>
            <w:vAlign w:val="bottom"/>
            <w:tcBorders>
              <w:bottom w:val="single" w:sz="8" w:color="CFF0FC"/>
            </w:tcBorders>
          </w:tcPr>
          <w:p>
            <w:pPr>
              <w:spacing w:after="0"/>
              <w:rPr>
                <w:sz w:val="8"/>
                <w:szCs w:val="8"/>
                <w:color w:val="auto"/>
              </w:rPr>
            </w:pPr>
          </w:p>
        </w:tc>
        <w:tc>
          <w:tcPr>
            <w:tcW w:w="1000" w:type="dxa"/>
            <w:vAlign w:val="bottom"/>
            <w:tcBorders>
              <w:bottom w:val="single" w:sz="8" w:color="auto"/>
            </w:tcBorders>
          </w:tcPr>
          <w:p>
            <w:pPr>
              <w:jc w:val="center"/>
              <w:ind w:left="272"/>
              <w:spacing w:after="0" w:line="97" w:lineRule="exact"/>
              <w:rPr>
                <w:sz w:val="20"/>
                <w:szCs w:val="20"/>
                <w:color w:val="auto"/>
              </w:rPr>
            </w:pPr>
            <w:r>
              <w:rPr>
                <w:rFonts w:ascii="Arial" w:cs="Arial" w:eastAsia="Arial" w:hAnsi="Arial"/>
                <w:sz w:val="10"/>
                <w:szCs w:val="10"/>
                <w:b w:val="1"/>
                <w:bCs w:val="1"/>
                <w:color w:val="auto"/>
                <w:w w:val="89"/>
              </w:rPr>
              <w:t>2018</w:t>
            </w: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1360" w:type="dxa"/>
            <w:vAlign w:val="bottom"/>
            <w:tcBorders>
              <w:bottom w:val="single" w:sz="8" w:color="auto"/>
            </w:tcBorders>
          </w:tcPr>
          <w:p>
            <w:pPr>
              <w:jc w:val="right"/>
              <w:ind w:right="525"/>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52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r>
      <w:tr>
        <w:trPr>
          <w:trHeight w:val="142"/>
        </w:trPr>
        <w:tc>
          <w:tcPr>
            <w:tcW w:w="7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Asset Category:</w:t>
            </w: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78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0%</w:t>
            </w:r>
          </w:p>
        </w:tc>
        <w:tc>
          <w:tcPr>
            <w:tcW w:w="1620" w:type="dxa"/>
            <w:vAlign w:val="bottom"/>
            <w:gridSpan w:val="2"/>
          </w:tcPr>
          <w:p>
            <w:pPr>
              <w:jc w:val="right"/>
              <w:ind w:right="160"/>
              <w:spacing w:after="0"/>
              <w:rPr>
                <w:sz w:val="20"/>
                <w:szCs w:val="20"/>
                <w:color w:val="auto"/>
              </w:rPr>
            </w:pPr>
            <w:r>
              <w:rPr>
                <w:rFonts w:ascii="Arial" w:cs="Arial" w:eastAsia="Arial" w:hAnsi="Arial"/>
                <w:sz w:val="12"/>
                <w:szCs w:val="12"/>
                <w:color w:val="auto"/>
              </w:rPr>
              <w:t>3%</w:t>
            </w:r>
          </w:p>
        </w:tc>
        <w:tc>
          <w:tcPr>
            <w:tcW w:w="36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2"/>
                <w:szCs w:val="12"/>
                <w:color w:val="auto"/>
              </w:rPr>
              <w:t>4%</w:t>
            </w:r>
          </w:p>
        </w:tc>
      </w:tr>
      <w:tr>
        <w:trPr>
          <w:trHeight w:val="153"/>
        </w:trPr>
        <w:tc>
          <w:tcPr>
            <w:tcW w:w="7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Equity securities</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70%</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70%</w:t>
            </w:r>
          </w:p>
        </w:tc>
        <w:tc>
          <w:tcPr>
            <w:tcW w:w="3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70%</w:t>
            </w:r>
          </w:p>
        </w:tc>
      </w:tr>
      <w:tr>
        <w:trPr>
          <w:trHeight w:val="153"/>
        </w:trPr>
        <w:tc>
          <w:tcPr>
            <w:tcW w:w="6780" w:type="dxa"/>
            <w:vAlign w:val="bottom"/>
          </w:tcPr>
          <w:p>
            <w:pPr>
              <w:spacing w:after="0"/>
              <w:rPr>
                <w:sz w:val="20"/>
                <w:szCs w:val="20"/>
                <w:color w:val="auto"/>
              </w:rPr>
            </w:pPr>
            <w:r>
              <w:rPr>
                <w:rFonts w:ascii="Arial" w:cs="Arial" w:eastAsia="Arial" w:hAnsi="Arial"/>
                <w:sz w:val="12"/>
                <w:szCs w:val="12"/>
                <w:color w:val="auto"/>
              </w:rPr>
              <w:t>Debt securities</w:t>
            </w:r>
          </w:p>
        </w:tc>
        <w:tc>
          <w:tcPr>
            <w:tcW w:w="10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30%</w:t>
            </w:r>
          </w:p>
        </w:tc>
        <w:tc>
          <w:tcPr>
            <w:tcW w:w="1620" w:type="dxa"/>
            <w:vAlign w:val="bottom"/>
            <w:gridSpan w:val="2"/>
          </w:tcPr>
          <w:p>
            <w:pPr>
              <w:jc w:val="right"/>
              <w:ind w:right="160"/>
              <w:spacing w:after="0"/>
              <w:rPr>
                <w:sz w:val="20"/>
                <w:szCs w:val="20"/>
                <w:color w:val="auto"/>
              </w:rPr>
            </w:pPr>
            <w:r>
              <w:rPr>
                <w:rFonts w:ascii="Arial" w:cs="Arial" w:eastAsia="Arial" w:hAnsi="Arial"/>
                <w:sz w:val="12"/>
                <w:szCs w:val="12"/>
                <w:color w:val="auto"/>
              </w:rPr>
              <w:t>27%</w:t>
            </w:r>
          </w:p>
        </w:tc>
        <w:tc>
          <w:tcPr>
            <w:tcW w:w="36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2"/>
                <w:szCs w:val="12"/>
                <w:color w:val="auto"/>
              </w:rPr>
              <w:t>26%</w:t>
            </w:r>
          </w:p>
        </w:tc>
      </w:tr>
      <w:tr>
        <w:trPr>
          <w:trHeight w:val="20"/>
        </w:trPr>
        <w:tc>
          <w:tcPr>
            <w:tcW w:w="67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678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10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100%</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100%</w:t>
            </w:r>
          </w:p>
        </w:tc>
        <w:tc>
          <w:tcPr>
            <w:tcW w:w="3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r>
      <w:tr>
        <w:trPr>
          <w:trHeight w:val="27"/>
        </w:trPr>
        <w:tc>
          <w:tcPr>
            <w:tcW w:w="678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Estimated pension plan cash obligations are $2.1 million, $2.1 million, $2.1 million, $2.1 million, and $2.1 million for 2019 through 2023, respectively, and a total of $10.5 million for the years 2024 through 2028.</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Fair Value Measurements of Pension Plan Assets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Following is a description of the valuation methodologies used for pension assets measured at fair value:</w:t>
      </w:r>
    </w:p>
    <w:p>
      <w:pPr>
        <w:spacing w:after="0" w:line="78" w:lineRule="exact"/>
        <w:rPr>
          <w:sz w:val="20"/>
          <w:szCs w:val="20"/>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Cash and cash equivalents: Cash and cash equivalents consist primarily of cash on deposit in money market funds. Cash and cash equivalents are stated at cost, which approximates fair value.</w:t>
      </w:r>
    </w:p>
    <w:p>
      <w:pPr>
        <w:spacing w:after="0" w:line="78" w:lineRule="exact"/>
        <w:rPr>
          <w:rFonts w:ascii="Arial" w:cs="Arial" w:eastAsia="Arial" w:hAnsi="Arial"/>
          <w:sz w:val="12"/>
          <w:szCs w:val="12"/>
          <w:color w:val="auto"/>
        </w:rPr>
      </w:pPr>
    </w:p>
    <w:p>
      <w:pPr>
        <w:ind w:left="1020" w:right="20" w:hanging="515"/>
        <w:spacing w:after="0" w:line="276" w:lineRule="auto"/>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Equity securities: Equity securities consist of various managed funds that invest primarily in common stocks. These securities are valued at the net asset value of shares held by the plans at year end. The net asset value is calculated based on the underlying shares and investments held by the funds.</w:t>
      </w:r>
    </w:p>
    <w:p>
      <w:pPr>
        <w:spacing w:after="0" w:line="42" w:lineRule="exact"/>
        <w:rPr>
          <w:rFonts w:ascii="Arial" w:cs="Arial" w:eastAsia="Arial" w:hAnsi="Arial"/>
          <w:sz w:val="12"/>
          <w:szCs w:val="12"/>
          <w:color w:val="auto"/>
        </w:rPr>
      </w:pPr>
    </w:p>
    <w:p>
      <w:pPr>
        <w:ind w:left="1020" w:right="60" w:hanging="515"/>
        <w:spacing w:after="0" w:line="290" w:lineRule="auto"/>
        <w:tabs>
          <w:tab w:leader="none" w:pos="10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Debt securities: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plans at year end. The net asset value is calculated based on the underlying investments held by the fund.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75" w:name="page76"/>
    <w:bookmarkEnd w:id="75"/>
    <w:p>
      <w:pPr>
        <w:ind w:right="60" w:firstLine="521"/>
        <w:spacing w:after="0" w:line="380" w:lineRule="auto"/>
        <w:rPr>
          <w:sz w:val="20"/>
          <w:szCs w:val="20"/>
          <w:color w:val="auto"/>
        </w:rPr>
      </w:pPr>
      <w:r>
        <w:rPr>
          <w:rFonts w:ascii="Arial" w:cs="Arial" w:eastAsia="Arial" w:hAnsi="Arial"/>
          <w:sz w:val="10"/>
          <w:szCs w:val="10"/>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68" w:lineRule="exact"/>
        <w:rPr>
          <w:sz w:val="20"/>
          <w:szCs w:val="20"/>
          <w:color w:val="auto"/>
        </w:rPr>
      </w:pPr>
    </w:p>
    <w:p>
      <w:pPr>
        <w:ind w:right="100" w:firstLine="521"/>
        <w:spacing w:after="0" w:line="276" w:lineRule="auto"/>
        <w:rPr>
          <w:sz w:val="20"/>
          <w:szCs w:val="20"/>
          <w:color w:val="auto"/>
        </w:rPr>
      </w:pPr>
      <w:r>
        <w:rPr>
          <w:rFonts w:ascii="Arial" w:cs="Arial" w:eastAsia="Arial" w:hAnsi="Arial"/>
          <w:sz w:val="12"/>
          <w:szCs w:val="12"/>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levels assigned to the defined benefit plan assets as of December 31, 2018, are summarized in the tables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(Table only in thousands)</w:t>
            </w:r>
          </w:p>
        </w:tc>
        <w:tc>
          <w:tcPr>
            <w:tcW w:w="2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ind w:left="140"/>
              <w:spacing w:after="0"/>
              <w:rPr>
                <w:sz w:val="20"/>
                <w:szCs w:val="20"/>
                <w:color w:val="auto"/>
              </w:rPr>
            </w:pPr>
            <w:r>
              <w:rPr>
                <w:rFonts w:ascii="Arial" w:cs="Arial" w:eastAsia="Arial" w:hAnsi="Arial"/>
                <w:sz w:val="10"/>
                <w:szCs w:val="10"/>
                <w:b w:val="1"/>
                <w:bCs w:val="1"/>
                <w:color w:val="auto"/>
              </w:rPr>
              <w:t>Level 1</w:t>
            </w:r>
          </w:p>
        </w:tc>
        <w:tc>
          <w:tcPr>
            <w:tcW w:w="880" w:type="dxa"/>
            <w:vAlign w:val="bottom"/>
          </w:tcPr>
          <w:p>
            <w:pPr>
              <w:jc w:val="right"/>
              <w:ind w:right="111"/>
              <w:spacing w:after="0"/>
              <w:rPr>
                <w:sz w:val="20"/>
                <w:szCs w:val="20"/>
                <w:color w:val="auto"/>
              </w:rPr>
            </w:pPr>
            <w:r>
              <w:rPr>
                <w:rFonts w:ascii="Arial" w:cs="Arial" w:eastAsia="Arial" w:hAnsi="Arial"/>
                <w:sz w:val="10"/>
                <w:szCs w:val="10"/>
                <w:b w:val="1"/>
                <w:bCs w:val="1"/>
                <w:color w:val="auto"/>
              </w:rPr>
              <w:t>Level 2</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112"/>
              <w:spacing w:after="0"/>
              <w:rPr>
                <w:sz w:val="20"/>
                <w:szCs w:val="20"/>
                <w:color w:val="auto"/>
              </w:rPr>
            </w:pPr>
            <w:r>
              <w:rPr>
                <w:rFonts w:ascii="Arial" w:cs="Arial" w:eastAsia="Arial" w:hAnsi="Arial"/>
                <w:sz w:val="10"/>
                <w:szCs w:val="10"/>
                <w:b w:val="1"/>
                <w:bCs w:val="1"/>
                <w:color w:val="auto"/>
              </w:rPr>
              <w:t>Level 3</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ind w:left="200"/>
              <w:spacing w:after="0"/>
              <w:rPr>
                <w:sz w:val="20"/>
                <w:szCs w:val="20"/>
                <w:color w:val="auto"/>
              </w:rPr>
            </w:pPr>
            <w:r>
              <w:rPr>
                <w:rFonts w:ascii="Arial" w:cs="Arial" w:eastAsia="Arial" w:hAnsi="Arial"/>
                <w:sz w:val="10"/>
                <w:szCs w:val="10"/>
                <w:b w:val="1"/>
                <w:bCs w:val="1"/>
                <w:color w:val="auto"/>
              </w:rPr>
              <w:t>Total</w:t>
            </w:r>
          </w:p>
        </w:tc>
      </w:tr>
      <w:tr>
        <w:trPr>
          <w:trHeight w:val="142"/>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Pension assets, at fair value:</w:t>
            </w:r>
          </w:p>
        </w:tc>
        <w:tc>
          <w:tcPr>
            <w:tcW w:w="22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3680" w:type="dxa"/>
            <w:vAlign w:val="bottom"/>
          </w:tcPr>
          <w:p>
            <w:pPr>
              <w:ind w:left="160"/>
              <w:spacing w:after="0"/>
              <w:rPr>
                <w:sz w:val="20"/>
                <w:szCs w:val="20"/>
                <w:color w:val="auto"/>
              </w:rPr>
            </w:pPr>
            <w:r>
              <w:rPr>
                <w:rFonts w:ascii="Arial" w:cs="Arial" w:eastAsia="Arial" w:hAnsi="Arial"/>
                <w:sz w:val="12"/>
                <w:szCs w:val="12"/>
                <w:color w:val="auto"/>
              </w:rPr>
              <w:t>Cash and cash equivalents</w:t>
            </w:r>
          </w:p>
        </w:tc>
        <w:tc>
          <w:tcPr>
            <w:tcW w:w="2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685</w:t>
            </w:r>
          </w:p>
        </w:tc>
        <w:tc>
          <w:tcPr>
            <w:tcW w:w="240" w:type="dxa"/>
            <w:vAlign w:val="bottom"/>
          </w:tcPr>
          <w:p>
            <w:pPr>
              <w:spacing w:after="0"/>
              <w:rPr>
                <w:sz w:val="13"/>
                <w:szCs w:val="13"/>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300" w:type="dxa"/>
            <w:vAlign w:val="bottom"/>
          </w:tcPr>
          <w:p>
            <w:pPr>
              <w:ind w:left="160"/>
              <w:spacing w:after="0"/>
              <w:rPr>
                <w:sz w:val="20"/>
                <w:szCs w:val="20"/>
                <w:color w:val="auto"/>
              </w:rPr>
            </w:pPr>
            <w:r>
              <w:rPr>
                <w:rFonts w:ascii="Arial" w:cs="Arial" w:eastAsia="Arial" w:hAnsi="Arial"/>
                <w:sz w:val="12"/>
                <w:szCs w:val="12"/>
                <w:color w:val="auto"/>
                <w:w w:val="99"/>
              </w:rPr>
              <w:t>—</w:t>
            </w:r>
          </w:p>
        </w:tc>
        <w:tc>
          <w:tcPr>
            <w:tcW w:w="1120" w:type="dxa"/>
            <w:vAlign w:val="bottom"/>
            <w:gridSpan w:val="2"/>
          </w:tcPr>
          <w:p>
            <w:pPr>
              <w:jc w:val="right"/>
              <w:ind w:right="772"/>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685</w:t>
            </w:r>
          </w:p>
        </w:tc>
        <w:tc>
          <w:tcPr>
            <w:tcW w:w="120" w:type="dxa"/>
            <w:vAlign w:val="bottom"/>
          </w:tcPr>
          <w:p>
            <w:pPr>
              <w:spacing w:after="0"/>
              <w:rPr>
                <w:sz w:val="13"/>
                <w:szCs w:val="13"/>
                <w:color w:val="auto"/>
              </w:rPr>
            </w:pPr>
          </w:p>
        </w:tc>
      </w:tr>
      <w:tr>
        <w:trPr>
          <w:trHeight w:val="153"/>
        </w:trPr>
        <w:tc>
          <w:tcPr>
            <w:tcW w:w="3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Equity securities</w:t>
            </w:r>
          </w:p>
        </w:tc>
        <w:tc>
          <w:tcPr>
            <w:tcW w:w="2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16,994</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16,994</w:t>
            </w:r>
          </w:p>
        </w:tc>
        <w:tc>
          <w:tcPr>
            <w:tcW w:w="120" w:type="dxa"/>
            <w:vAlign w:val="bottom"/>
            <w:shd w:val="clear" w:color="auto" w:fill="CFF0FC"/>
          </w:tcPr>
          <w:p>
            <w:pPr>
              <w:spacing w:after="0"/>
              <w:rPr>
                <w:sz w:val="13"/>
                <w:szCs w:val="13"/>
                <w:color w:val="auto"/>
              </w:rPr>
            </w:pPr>
          </w:p>
        </w:tc>
      </w:tr>
      <w:tr>
        <w:trPr>
          <w:trHeight w:val="153"/>
        </w:trPr>
        <w:tc>
          <w:tcPr>
            <w:tcW w:w="36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Debt securities</w:t>
            </w:r>
          </w:p>
        </w:tc>
        <w:tc>
          <w:tcPr>
            <w:tcW w:w="2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6,518</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99"/>
              </w:rPr>
              <w:t>—</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82"/>
              </w:rPr>
              <w:t>—</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6,518</w:t>
            </w:r>
          </w:p>
        </w:tc>
        <w:tc>
          <w:tcPr>
            <w:tcW w:w="120" w:type="dxa"/>
            <w:vAlign w:val="bottom"/>
            <w:tcBorders>
              <w:bottom w:val="single" w:sz="8" w:color="CFF0FC"/>
            </w:tcBorders>
          </w:tcPr>
          <w:p>
            <w:pPr>
              <w:spacing w:after="0"/>
              <w:rPr>
                <w:sz w:val="13"/>
                <w:szCs w:val="13"/>
                <w:color w:val="auto"/>
              </w:rPr>
            </w:pPr>
          </w:p>
        </w:tc>
      </w:tr>
      <w:tr>
        <w:trPr>
          <w:trHeight w:val="142"/>
        </w:trPr>
        <w:tc>
          <w:tcPr>
            <w:tcW w:w="36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assets</w:t>
            </w:r>
          </w:p>
        </w:tc>
        <w:tc>
          <w:tcPr>
            <w:tcW w:w="2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24,197</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71"/>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9"/>
              </w:rPr>
              <w:t>—</w:t>
            </w:r>
          </w:p>
        </w:tc>
        <w:tc>
          <w:tcPr>
            <w:tcW w:w="1120" w:type="dxa"/>
            <w:vAlign w:val="bottom"/>
            <w:gridSpan w:val="2"/>
            <w:shd w:val="clear" w:color="auto" w:fill="CFF0FC"/>
          </w:tcPr>
          <w:p>
            <w:pPr>
              <w:jc w:val="right"/>
              <w:ind w:right="772"/>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24,197</w:t>
            </w:r>
          </w:p>
        </w:tc>
        <w:tc>
          <w:tcPr>
            <w:tcW w:w="120" w:type="dxa"/>
            <w:vAlign w:val="bottom"/>
            <w:shd w:val="clear" w:color="auto" w:fill="CFF0FC"/>
          </w:tcPr>
          <w:p>
            <w:pPr>
              <w:spacing w:after="0"/>
              <w:rPr>
                <w:sz w:val="12"/>
                <w:szCs w:val="12"/>
                <w:color w:val="auto"/>
              </w:rPr>
            </w:pPr>
          </w:p>
        </w:tc>
      </w:tr>
      <w:tr>
        <w:trPr>
          <w:trHeight w:val="27"/>
        </w:trPr>
        <w:tc>
          <w:tcPr>
            <w:tcW w:w="5960" w:type="dxa"/>
            <w:vAlign w:val="bottom"/>
            <w:gridSpan w:val="2"/>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459"/>
        </w:trPr>
        <w:tc>
          <w:tcPr>
            <w:tcW w:w="6240" w:type="dxa"/>
            <w:vAlign w:val="bottom"/>
            <w:gridSpan w:val="3"/>
          </w:tcPr>
          <w:p>
            <w:pPr>
              <w:ind w:left="520"/>
              <w:spacing w:after="0"/>
              <w:rPr>
                <w:sz w:val="20"/>
                <w:szCs w:val="20"/>
                <w:color w:val="auto"/>
              </w:rPr>
            </w:pPr>
            <w:r>
              <w:rPr>
                <w:rFonts w:ascii="Arial" w:cs="Arial" w:eastAsia="Arial" w:hAnsi="Arial"/>
                <w:sz w:val="12"/>
                <w:szCs w:val="12"/>
                <w:color w:val="auto"/>
                <w:w w:val="91"/>
              </w:rPr>
              <w:t>The levels assigned to the defined benefit plan assets as of December 31, 2017, are summarized in the tables below:</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2"/>
        </w:trPr>
        <w:tc>
          <w:tcPr>
            <w:tcW w:w="3680" w:type="dxa"/>
            <w:vAlign w:val="bottom"/>
          </w:tcPr>
          <w:p>
            <w:pPr>
              <w:spacing w:after="0"/>
              <w:rPr>
                <w:sz w:val="20"/>
                <w:szCs w:val="20"/>
                <w:color w:val="auto"/>
              </w:rPr>
            </w:pPr>
            <w:r>
              <w:rPr>
                <w:rFonts w:ascii="Arial" w:cs="Arial" w:eastAsia="Arial" w:hAnsi="Arial"/>
                <w:sz w:val="10"/>
                <w:szCs w:val="10"/>
                <w:b w:val="1"/>
                <w:bCs w:val="1"/>
                <w:color w:val="auto"/>
              </w:rPr>
              <w:t>(Table only in thousands)</w:t>
            </w:r>
          </w:p>
        </w:tc>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0"/>
                <w:szCs w:val="10"/>
                <w:b w:val="1"/>
                <w:bCs w:val="1"/>
                <w:color w:val="auto"/>
              </w:rPr>
              <w:t>Level 1</w:t>
            </w:r>
          </w:p>
        </w:tc>
        <w:tc>
          <w:tcPr>
            <w:tcW w:w="880" w:type="dxa"/>
            <w:vAlign w:val="bottom"/>
          </w:tcPr>
          <w:p>
            <w:pPr>
              <w:jc w:val="right"/>
              <w:ind w:right="111"/>
              <w:spacing w:after="0"/>
              <w:rPr>
                <w:sz w:val="20"/>
                <w:szCs w:val="20"/>
                <w:color w:val="auto"/>
              </w:rPr>
            </w:pPr>
            <w:r>
              <w:rPr>
                <w:rFonts w:ascii="Arial" w:cs="Arial" w:eastAsia="Arial" w:hAnsi="Arial"/>
                <w:sz w:val="10"/>
                <w:szCs w:val="10"/>
                <w:b w:val="1"/>
                <w:bCs w:val="1"/>
                <w:color w:val="auto"/>
              </w:rPr>
              <w:t>Level 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0"/>
                <w:szCs w:val="10"/>
                <w:b w:val="1"/>
                <w:bCs w:val="1"/>
                <w:color w:val="auto"/>
              </w:rPr>
              <w:t>Level 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ind w:left="200"/>
              <w:spacing w:after="0"/>
              <w:rPr>
                <w:sz w:val="20"/>
                <w:szCs w:val="20"/>
                <w:color w:val="auto"/>
              </w:rPr>
            </w:pPr>
            <w:r>
              <w:rPr>
                <w:rFonts w:ascii="Arial" w:cs="Arial" w:eastAsia="Arial" w:hAnsi="Arial"/>
                <w:sz w:val="10"/>
                <w:szCs w:val="10"/>
                <w:b w:val="1"/>
                <w:bCs w:val="1"/>
                <w:color w:val="auto"/>
              </w:rPr>
              <w:t>Total</w:t>
            </w:r>
          </w:p>
        </w:tc>
      </w:tr>
      <w:tr>
        <w:trPr>
          <w:trHeight w:val="142"/>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Pension assets, at fair value:</w:t>
            </w:r>
          </w:p>
        </w:tc>
        <w:tc>
          <w:tcPr>
            <w:tcW w:w="22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3680" w:type="dxa"/>
            <w:vAlign w:val="bottom"/>
          </w:tcPr>
          <w:p>
            <w:pPr>
              <w:ind w:left="160"/>
              <w:spacing w:after="0"/>
              <w:rPr>
                <w:sz w:val="20"/>
                <w:szCs w:val="20"/>
                <w:color w:val="auto"/>
              </w:rPr>
            </w:pPr>
            <w:r>
              <w:rPr>
                <w:rFonts w:ascii="Arial" w:cs="Arial" w:eastAsia="Arial" w:hAnsi="Arial"/>
                <w:sz w:val="12"/>
                <w:szCs w:val="12"/>
                <w:color w:val="auto"/>
              </w:rPr>
              <w:t>Cash and cash equivalents</w:t>
            </w:r>
          </w:p>
        </w:tc>
        <w:tc>
          <w:tcPr>
            <w:tcW w:w="2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1,147</w:t>
            </w:r>
          </w:p>
        </w:tc>
        <w:tc>
          <w:tcPr>
            <w:tcW w:w="240" w:type="dxa"/>
            <w:vAlign w:val="bottom"/>
          </w:tcPr>
          <w:p>
            <w:pPr>
              <w:spacing w:after="0"/>
              <w:rPr>
                <w:sz w:val="13"/>
                <w:szCs w:val="13"/>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300" w:type="dxa"/>
            <w:vAlign w:val="bottom"/>
          </w:tcPr>
          <w:p>
            <w:pPr>
              <w:ind w:left="160"/>
              <w:spacing w:after="0"/>
              <w:rPr>
                <w:sz w:val="20"/>
                <w:szCs w:val="20"/>
                <w:color w:val="auto"/>
              </w:rPr>
            </w:pPr>
            <w:r>
              <w:rPr>
                <w:rFonts w:ascii="Arial" w:cs="Arial" w:eastAsia="Arial" w:hAnsi="Arial"/>
                <w:sz w:val="12"/>
                <w:szCs w:val="12"/>
                <w:color w:val="auto"/>
                <w:w w:val="99"/>
              </w:rPr>
              <w:t>—</w:t>
            </w:r>
          </w:p>
        </w:tc>
        <w:tc>
          <w:tcPr>
            <w:tcW w:w="1120" w:type="dxa"/>
            <w:vAlign w:val="bottom"/>
            <w:gridSpan w:val="2"/>
          </w:tcPr>
          <w:p>
            <w:pPr>
              <w:jc w:val="right"/>
              <w:ind w:right="772"/>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1,147</w:t>
            </w:r>
          </w:p>
        </w:tc>
        <w:tc>
          <w:tcPr>
            <w:tcW w:w="120" w:type="dxa"/>
            <w:vAlign w:val="bottom"/>
          </w:tcPr>
          <w:p>
            <w:pPr>
              <w:spacing w:after="0"/>
              <w:rPr>
                <w:sz w:val="13"/>
                <w:szCs w:val="13"/>
                <w:color w:val="auto"/>
              </w:rPr>
            </w:pPr>
          </w:p>
        </w:tc>
      </w:tr>
      <w:tr>
        <w:trPr>
          <w:trHeight w:val="153"/>
        </w:trPr>
        <w:tc>
          <w:tcPr>
            <w:tcW w:w="3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Equity securities</w:t>
            </w:r>
          </w:p>
        </w:tc>
        <w:tc>
          <w:tcPr>
            <w:tcW w:w="2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18,722</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18,722</w:t>
            </w:r>
          </w:p>
        </w:tc>
        <w:tc>
          <w:tcPr>
            <w:tcW w:w="120" w:type="dxa"/>
            <w:vAlign w:val="bottom"/>
            <w:shd w:val="clear" w:color="auto" w:fill="CFF0FC"/>
          </w:tcPr>
          <w:p>
            <w:pPr>
              <w:spacing w:after="0"/>
              <w:rPr>
                <w:sz w:val="13"/>
                <w:szCs w:val="13"/>
                <w:color w:val="auto"/>
              </w:rPr>
            </w:pPr>
          </w:p>
        </w:tc>
      </w:tr>
      <w:tr>
        <w:trPr>
          <w:trHeight w:val="153"/>
        </w:trPr>
        <w:tc>
          <w:tcPr>
            <w:tcW w:w="36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Debt securities</w:t>
            </w:r>
          </w:p>
        </w:tc>
        <w:tc>
          <w:tcPr>
            <w:tcW w:w="2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6,967</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99"/>
              </w:rPr>
              <w:t>—</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82"/>
              </w:rPr>
              <w:t>—</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6,967</w:t>
            </w:r>
          </w:p>
        </w:tc>
        <w:tc>
          <w:tcPr>
            <w:tcW w:w="120" w:type="dxa"/>
            <w:vAlign w:val="bottom"/>
            <w:tcBorders>
              <w:bottom w:val="single" w:sz="8" w:color="CFF0FC"/>
            </w:tcBorders>
          </w:tcPr>
          <w:p>
            <w:pPr>
              <w:spacing w:after="0"/>
              <w:rPr>
                <w:sz w:val="13"/>
                <w:szCs w:val="13"/>
                <w:color w:val="auto"/>
              </w:rPr>
            </w:pPr>
          </w:p>
        </w:tc>
      </w:tr>
      <w:tr>
        <w:trPr>
          <w:trHeight w:val="142"/>
        </w:trPr>
        <w:tc>
          <w:tcPr>
            <w:tcW w:w="36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assets</w:t>
            </w:r>
          </w:p>
        </w:tc>
        <w:tc>
          <w:tcPr>
            <w:tcW w:w="2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26,836</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71"/>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9"/>
              </w:rPr>
              <w:t>—</w:t>
            </w:r>
          </w:p>
        </w:tc>
        <w:tc>
          <w:tcPr>
            <w:tcW w:w="1120" w:type="dxa"/>
            <w:vAlign w:val="bottom"/>
            <w:gridSpan w:val="2"/>
            <w:shd w:val="clear" w:color="auto" w:fill="CFF0FC"/>
          </w:tcPr>
          <w:p>
            <w:pPr>
              <w:jc w:val="right"/>
              <w:ind w:right="772"/>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26,836</w:t>
            </w:r>
          </w:p>
        </w:tc>
        <w:tc>
          <w:tcPr>
            <w:tcW w:w="120" w:type="dxa"/>
            <w:vAlign w:val="bottom"/>
            <w:shd w:val="clear" w:color="auto" w:fill="CFF0FC"/>
          </w:tcPr>
          <w:p>
            <w:pPr>
              <w:spacing w:after="0"/>
              <w:rPr>
                <w:sz w:val="12"/>
                <w:szCs w:val="12"/>
                <w:color w:val="auto"/>
              </w:rPr>
            </w:pPr>
          </w:p>
        </w:tc>
      </w:tr>
      <w:tr>
        <w:trPr>
          <w:trHeight w:val="27"/>
        </w:trPr>
        <w:tc>
          <w:tcPr>
            <w:tcW w:w="368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97" w:lineRule="exact"/>
        <w:rPr>
          <w:sz w:val="20"/>
          <w:szCs w:val="20"/>
          <w:color w:val="auto"/>
        </w:rPr>
      </w:pPr>
    </w:p>
    <w:p>
      <w:pPr>
        <w:ind w:right="520" w:firstLine="521"/>
        <w:spacing w:after="0" w:line="276" w:lineRule="auto"/>
        <w:rPr>
          <w:sz w:val="20"/>
          <w:szCs w:val="20"/>
          <w:color w:val="auto"/>
        </w:rPr>
      </w:pPr>
      <w:r>
        <w:rPr>
          <w:rFonts w:ascii="Arial" w:cs="Arial" w:eastAsia="Arial" w:hAnsi="Arial"/>
          <w:sz w:val="12"/>
          <w:szCs w:val="12"/>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43" w:lineRule="exact"/>
        <w:rPr>
          <w:sz w:val="20"/>
          <w:szCs w:val="20"/>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Assets contributed to the multiemployer plan by one employer may be used to provide benefits to employees of other participating employers.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If a participating employer stops contributing to the plan, the unfunded obligations of the plan may be borne by the remaining participating employers.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If the Company chooses to stop participating in some of its multiemployer plans, CECO may be required to pay those plans an amount based on the underfunded status of the plan, referred to as a withdrawal liability.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76" w:name="page77"/>
    <w:bookmarkEnd w:id="76"/>
    <w:p>
      <w:pPr>
        <w:ind w:right="80" w:firstLine="521"/>
        <w:spacing w:after="0" w:line="257" w:lineRule="auto"/>
        <w:rPr>
          <w:sz w:val="20"/>
          <w:szCs w:val="20"/>
          <w:color w:val="auto"/>
        </w:rPr>
      </w:pPr>
      <w:r>
        <w:rPr>
          <w:rFonts w:ascii="Arial" w:cs="Arial" w:eastAsia="Arial" w:hAnsi="Arial"/>
          <w:sz w:val="12"/>
          <w:szCs w:val="12"/>
          <w:color w:val="auto"/>
        </w:rPr>
        <w:t>The Company participation in these plans for the year ended December 31, 2018, is outlined in the table below. The “EIN/Pension Plan Number” column provides the Employer Identification Number and the three-digit plan number, if applicable. Unless otherwise noted, the most recent Pension Protection Act zone status available in 2018 is for the plan’s year-end at December 31, 2017.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82"/>
              </w:rPr>
              <w:t>Pension</w:t>
            </w: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89"/>
              </w:rPr>
              <w:t>Expiration</w:t>
            </w:r>
          </w:p>
        </w:tc>
      </w:tr>
      <w:tr>
        <w:trPr>
          <w:trHeight w:val="99"/>
        </w:trPr>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Protection</w:t>
            </w:r>
          </w:p>
        </w:tc>
        <w:tc>
          <w:tcPr>
            <w:tcW w:w="1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of Collective</w:t>
            </w:r>
          </w:p>
        </w:tc>
      </w:tr>
      <w:tr>
        <w:trPr>
          <w:trHeight w:val="99"/>
        </w:trPr>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2"/>
          </w:tcPr>
          <w:p>
            <w:pPr>
              <w:ind w:left="600"/>
              <w:spacing w:after="0" w:line="99" w:lineRule="exact"/>
              <w:rPr>
                <w:sz w:val="20"/>
                <w:szCs w:val="20"/>
                <w:color w:val="auto"/>
              </w:rPr>
            </w:pPr>
            <w:r>
              <w:rPr>
                <w:rFonts w:ascii="Arial" w:cs="Arial" w:eastAsia="Arial" w:hAnsi="Arial"/>
                <w:sz w:val="10"/>
                <w:szCs w:val="10"/>
                <w:b w:val="1"/>
                <w:bCs w:val="1"/>
                <w:color w:val="auto"/>
              </w:rPr>
              <w:t>EIN/Pension</w:t>
            </w:r>
          </w:p>
        </w:tc>
        <w:tc>
          <w:tcPr>
            <w:tcW w:w="9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8"/>
              </w:rPr>
              <w:t>Act Zone</w:t>
            </w:r>
          </w:p>
        </w:tc>
        <w:tc>
          <w:tcPr>
            <w:tcW w:w="100" w:type="dxa"/>
            <w:vAlign w:val="bottom"/>
          </w:tcPr>
          <w:p>
            <w:pPr>
              <w:spacing w:after="0"/>
              <w:rPr>
                <w:sz w:val="8"/>
                <w:szCs w:val="8"/>
                <w:color w:val="auto"/>
              </w:rPr>
            </w:pPr>
          </w:p>
        </w:tc>
        <w:tc>
          <w:tcPr>
            <w:tcW w:w="35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8"/>
              </w:rPr>
              <w:t>FIP/RP Status Pending/</w:t>
            </w:r>
          </w:p>
        </w:tc>
        <w:tc>
          <w:tcPr>
            <w:tcW w:w="10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4"/>
              </w:rPr>
              <w:t>Surcharge</w:t>
            </w:r>
          </w:p>
        </w:tc>
        <w:tc>
          <w:tcPr>
            <w:tcW w:w="9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Bargaining</w:t>
            </w:r>
          </w:p>
        </w:tc>
      </w:tr>
      <w:tr>
        <w:trPr>
          <w:trHeight w:val="114"/>
        </w:trPr>
        <w:tc>
          <w:tcPr>
            <w:tcW w:w="29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Pension Fund</w:t>
            </w:r>
          </w:p>
        </w:tc>
        <w:tc>
          <w:tcPr>
            <w:tcW w:w="120" w:type="dxa"/>
            <w:vAlign w:val="bottom"/>
            <w:tcBorders>
              <w:bottom w:val="single" w:sz="8" w:color="CFF0FC"/>
            </w:tcBorders>
          </w:tcPr>
          <w:p>
            <w:pPr>
              <w:spacing w:after="0"/>
              <w:rPr>
                <w:sz w:val="9"/>
                <w:szCs w:val="9"/>
                <w:color w:val="auto"/>
              </w:rPr>
            </w:pPr>
          </w:p>
        </w:tc>
        <w:tc>
          <w:tcPr>
            <w:tcW w:w="1720" w:type="dxa"/>
            <w:vAlign w:val="bottom"/>
            <w:tcBorders>
              <w:bottom w:val="single" w:sz="8" w:color="auto"/>
            </w:tcBorders>
          </w:tcPr>
          <w:p>
            <w:pPr>
              <w:jc w:val="right"/>
              <w:ind w:right="524"/>
              <w:spacing w:after="0" w:line="114" w:lineRule="exact"/>
              <w:rPr>
                <w:sz w:val="20"/>
                <w:szCs w:val="20"/>
                <w:color w:val="auto"/>
              </w:rPr>
            </w:pPr>
            <w:r>
              <w:rPr>
                <w:rFonts w:ascii="Arial" w:cs="Arial" w:eastAsia="Arial" w:hAnsi="Arial"/>
                <w:sz w:val="10"/>
                <w:szCs w:val="10"/>
                <w:b w:val="1"/>
                <w:bCs w:val="1"/>
                <w:color w:val="auto"/>
              </w:rPr>
              <w:t>Plan Number</w:t>
            </w:r>
          </w:p>
        </w:tc>
        <w:tc>
          <w:tcPr>
            <w:tcW w:w="1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Status</w:t>
            </w:r>
          </w:p>
        </w:tc>
        <w:tc>
          <w:tcPr>
            <w:tcW w:w="100" w:type="dxa"/>
            <w:vAlign w:val="bottom"/>
            <w:tcBorders>
              <w:bottom w:val="single" w:sz="8" w:color="CFF0FC"/>
            </w:tcBorders>
          </w:tcPr>
          <w:p>
            <w:pPr>
              <w:spacing w:after="0"/>
              <w:rPr>
                <w:sz w:val="9"/>
                <w:szCs w:val="9"/>
                <w:color w:val="auto"/>
              </w:rPr>
            </w:pPr>
          </w:p>
        </w:tc>
        <w:tc>
          <w:tcPr>
            <w:tcW w:w="34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Implemented</w:t>
            </w:r>
          </w:p>
        </w:tc>
        <w:tc>
          <w:tcPr>
            <w:tcW w:w="1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Imposed</w:t>
            </w:r>
          </w:p>
        </w:tc>
        <w:tc>
          <w:tcPr>
            <w:tcW w:w="120" w:type="dxa"/>
            <w:vAlign w:val="bottom"/>
            <w:tcBorders>
              <w:bottom w:val="single" w:sz="8" w:color="CFF0FC"/>
            </w:tcBorders>
          </w:tcPr>
          <w:p>
            <w:pPr>
              <w:spacing w:after="0"/>
              <w:rPr>
                <w:sz w:val="9"/>
                <w:szCs w:val="9"/>
                <w:color w:val="auto"/>
              </w:rPr>
            </w:pPr>
          </w:p>
        </w:tc>
        <w:tc>
          <w:tcPr>
            <w:tcW w:w="9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Agreement</w:t>
            </w:r>
          </w:p>
        </w:tc>
      </w:tr>
      <w:tr>
        <w:trPr>
          <w:trHeight w:val="142"/>
        </w:trPr>
        <w:tc>
          <w:tcPr>
            <w:tcW w:w="3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Sheet Metal Workers’ National Pension Fund</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52-6112463/001</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Yellow</w:t>
            </w:r>
          </w:p>
        </w:tc>
        <w:tc>
          <w:tcPr>
            <w:tcW w:w="3660" w:type="dxa"/>
            <w:vAlign w:val="bottom"/>
            <w:gridSpan w:val="3"/>
            <w:shd w:val="clear" w:color="auto" w:fill="CFF0FC"/>
          </w:tcPr>
          <w:p>
            <w:pPr>
              <w:ind w:left="100"/>
              <w:spacing w:after="0"/>
              <w:rPr>
                <w:sz w:val="20"/>
                <w:szCs w:val="20"/>
                <w:color w:val="auto"/>
              </w:rPr>
            </w:pPr>
            <w:r>
              <w:rPr>
                <w:rFonts w:ascii="Arial" w:cs="Arial" w:eastAsia="Arial" w:hAnsi="Arial"/>
                <w:sz w:val="12"/>
                <w:szCs w:val="12"/>
                <w:color w:val="auto"/>
              </w:rPr>
              <w:t>FIP: Yes - Implemented RP: Yes - Implemented</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No</w:t>
            </w:r>
          </w:p>
        </w:tc>
        <w:tc>
          <w:tcPr>
            <w:tcW w:w="9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various</w:t>
            </w:r>
          </w:p>
        </w:tc>
      </w:tr>
      <w:tr>
        <w:trPr>
          <w:trHeight w:val="153"/>
        </w:trPr>
        <w:tc>
          <w:tcPr>
            <w:tcW w:w="3100" w:type="dxa"/>
            <w:vAlign w:val="bottom"/>
            <w:gridSpan w:val="2"/>
          </w:tcPr>
          <w:p>
            <w:pPr>
              <w:spacing w:after="0"/>
              <w:rPr>
                <w:sz w:val="20"/>
                <w:szCs w:val="20"/>
                <w:color w:val="auto"/>
              </w:rPr>
            </w:pPr>
            <w:r>
              <w:rPr>
                <w:rFonts w:ascii="Arial" w:cs="Arial" w:eastAsia="Arial" w:hAnsi="Arial"/>
                <w:sz w:val="12"/>
                <w:szCs w:val="12"/>
                <w:color w:val="auto"/>
              </w:rPr>
              <w:t>Sheet Metal Workers Local 224 Pension Plan</w:t>
            </w:r>
          </w:p>
        </w:tc>
        <w:tc>
          <w:tcPr>
            <w:tcW w:w="1720" w:type="dxa"/>
            <w:vAlign w:val="bottom"/>
          </w:tcPr>
          <w:p>
            <w:pPr>
              <w:jc w:val="right"/>
              <w:spacing w:after="0"/>
              <w:rPr>
                <w:sz w:val="20"/>
                <w:szCs w:val="20"/>
                <w:color w:val="auto"/>
              </w:rPr>
            </w:pPr>
            <w:r>
              <w:rPr>
                <w:rFonts w:ascii="Arial" w:cs="Arial" w:eastAsia="Arial" w:hAnsi="Arial"/>
                <w:sz w:val="12"/>
                <w:szCs w:val="12"/>
                <w:color w:val="auto"/>
              </w:rPr>
              <w:t>31-6171353/001</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96"/>
              </w:rPr>
              <w:t>Yellow</w:t>
            </w:r>
          </w:p>
        </w:tc>
        <w:tc>
          <w:tcPr>
            <w:tcW w:w="3660" w:type="dxa"/>
            <w:vAlign w:val="bottom"/>
            <w:gridSpan w:val="3"/>
          </w:tcPr>
          <w:p>
            <w:pPr>
              <w:ind w:left="100"/>
              <w:spacing w:after="0"/>
              <w:rPr>
                <w:sz w:val="20"/>
                <w:szCs w:val="20"/>
                <w:color w:val="auto"/>
              </w:rPr>
            </w:pPr>
            <w:r>
              <w:rPr>
                <w:rFonts w:ascii="Arial" w:cs="Arial" w:eastAsia="Arial" w:hAnsi="Arial"/>
                <w:sz w:val="12"/>
                <w:szCs w:val="12"/>
                <w:color w:val="auto"/>
              </w:rPr>
              <w:t>FIP: Yes - Implemented</w:t>
            </w: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No</w:t>
            </w:r>
          </w:p>
        </w:tc>
        <w:tc>
          <w:tcPr>
            <w:tcW w:w="920" w:type="dxa"/>
            <w:vAlign w:val="bottom"/>
          </w:tcPr>
          <w:p>
            <w:pPr>
              <w:jc w:val="center"/>
              <w:spacing w:after="0"/>
              <w:rPr>
                <w:sz w:val="20"/>
                <w:szCs w:val="20"/>
                <w:color w:val="auto"/>
              </w:rPr>
            </w:pPr>
            <w:r>
              <w:rPr>
                <w:rFonts w:ascii="Arial" w:cs="Arial" w:eastAsia="Arial" w:hAnsi="Arial"/>
                <w:sz w:val="12"/>
                <w:szCs w:val="12"/>
                <w:color w:val="auto"/>
                <w:w w:val="90"/>
              </w:rPr>
              <w:t>May 31, 2022</w:t>
            </w:r>
          </w:p>
        </w:tc>
      </w:tr>
      <w:tr>
        <w:trPr>
          <w:trHeight w:val="144"/>
        </w:trPr>
        <w:tc>
          <w:tcPr>
            <w:tcW w:w="3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Sheet Metal Workers Local No. 20, Indianapolis Area</w:t>
            </w:r>
          </w:p>
        </w:tc>
        <w:tc>
          <w:tcPr>
            <w:tcW w:w="1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r>
      <w:tr>
        <w:trPr>
          <w:trHeight w:val="153"/>
        </w:trPr>
        <w:tc>
          <w:tcPr>
            <w:tcW w:w="31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Pension fund</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51-0168516/001</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Green</w:t>
            </w:r>
          </w:p>
        </w:tc>
        <w:tc>
          <w:tcPr>
            <w:tcW w:w="3660" w:type="dxa"/>
            <w:vAlign w:val="bottom"/>
            <w:gridSpan w:val="3"/>
            <w:shd w:val="clear" w:color="auto" w:fill="CFF0FC"/>
          </w:tcPr>
          <w:p>
            <w:pPr>
              <w:ind w:left="100"/>
              <w:spacing w:after="0"/>
              <w:rPr>
                <w:sz w:val="20"/>
                <w:szCs w:val="20"/>
                <w:color w:val="auto"/>
              </w:rPr>
            </w:pPr>
            <w:r>
              <w:rPr>
                <w:rFonts w:ascii="Arial" w:cs="Arial" w:eastAsia="Arial" w:hAnsi="Arial"/>
                <w:sz w:val="12"/>
                <w:szCs w:val="12"/>
                <w:color w:val="auto"/>
              </w:rPr>
              <w:t>Is not subject</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No</w:t>
            </w:r>
          </w:p>
        </w:tc>
        <w:tc>
          <w:tcPr>
            <w:tcW w:w="9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May 31, 2020</w:t>
            </w:r>
          </w:p>
        </w:tc>
      </w:tr>
      <w:tr>
        <w:trPr>
          <w:trHeight w:val="153"/>
        </w:trPr>
        <w:tc>
          <w:tcPr>
            <w:tcW w:w="3100" w:type="dxa"/>
            <w:vAlign w:val="bottom"/>
            <w:gridSpan w:val="2"/>
          </w:tcPr>
          <w:p>
            <w:pPr>
              <w:spacing w:after="0"/>
              <w:rPr>
                <w:sz w:val="20"/>
                <w:szCs w:val="20"/>
                <w:color w:val="auto"/>
              </w:rPr>
            </w:pPr>
            <w:r>
              <w:rPr>
                <w:rFonts w:ascii="Arial" w:cs="Arial" w:eastAsia="Arial" w:hAnsi="Arial"/>
                <w:sz w:val="12"/>
                <w:szCs w:val="12"/>
                <w:color w:val="auto"/>
              </w:rPr>
              <w:t>Sheet Metal Workers Local No. 177 Pension Fund</w:t>
            </w:r>
          </w:p>
        </w:tc>
        <w:tc>
          <w:tcPr>
            <w:tcW w:w="1720" w:type="dxa"/>
            <w:vAlign w:val="bottom"/>
          </w:tcPr>
          <w:p>
            <w:pPr>
              <w:jc w:val="right"/>
              <w:spacing w:after="0"/>
              <w:rPr>
                <w:sz w:val="20"/>
                <w:szCs w:val="20"/>
                <w:color w:val="auto"/>
              </w:rPr>
            </w:pPr>
            <w:r>
              <w:rPr>
                <w:rFonts w:ascii="Arial" w:cs="Arial" w:eastAsia="Arial" w:hAnsi="Arial"/>
                <w:sz w:val="12"/>
                <w:szCs w:val="12"/>
                <w:color w:val="auto"/>
              </w:rPr>
              <w:t>62-6093256/001</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3660" w:type="dxa"/>
            <w:vAlign w:val="bottom"/>
            <w:gridSpan w:val="3"/>
          </w:tcPr>
          <w:p>
            <w:pPr>
              <w:ind w:left="100"/>
              <w:spacing w:after="0"/>
              <w:rPr>
                <w:sz w:val="20"/>
                <w:szCs w:val="20"/>
                <w:color w:val="auto"/>
              </w:rPr>
            </w:pPr>
            <w:r>
              <w:rPr>
                <w:rFonts w:ascii="Arial" w:cs="Arial" w:eastAsia="Arial" w:hAnsi="Arial"/>
                <w:sz w:val="12"/>
                <w:szCs w:val="12"/>
                <w:color w:val="auto"/>
              </w:rPr>
              <w:t>Is not subject</w:t>
            </w: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No</w:t>
            </w: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May 1, 2019</w:t>
            </w:r>
          </w:p>
        </w:tc>
      </w:tr>
    </w:tbl>
    <w:p>
      <w:pPr>
        <w:spacing w:after="0" w:line="162" w:lineRule="exact"/>
        <w:rPr>
          <w:sz w:val="20"/>
          <w:szCs w:val="20"/>
          <w:color w:val="auto"/>
        </w:rPr>
      </w:pPr>
    </w:p>
    <w:p>
      <w:pPr>
        <w:ind w:right="140" w:firstLine="521"/>
        <w:spacing w:after="0" w:line="263" w:lineRule="auto"/>
        <w:rPr>
          <w:sz w:val="20"/>
          <w:szCs w:val="20"/>
          <w:color w:val="auto"/>
        </w:rPr>
      </w:pPr>
      <w:r>
        <w:rPr>
          <w:rFonts w:ascii="Arial" w:cs="Arial" w:eastAsia="Arial" w:hAnsi="Arial"/>
          <w:sz w:val="12"/>
          <w:szCs w:val="12"/>
          <w:color w:val="auto"/>
        </w:rPr>
        <w:t>Kirk and Blum was listed in the Sheet Metal Workers Local No. 177 Pension Fund’s Form 5500 as providing more than five percent of total contributions for the year ended December 31, 2017. The Company was not listed in any of the other plans’ Forms 5500 as providing more than five percent of the total contributions for the plans and plan years. At the date the financial statements were issued, Forms 5500 were not available for the plan years ended December 31, 2018.</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have no current intention of withdrawing from any plan and, therefore, no liability has been provided in the accompanying consolidated financial statements.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Amounts charged to pension expense under the above plans including the multi-employer plans totaled $1.4 million, $2.0 million and $2.1 million in 2018, 2017 and 2016, respectively.</w:t>
      </w:r>
    </w:p>
    <w:p>
      <w:pPr>
        <w:spacing w:after="0" w:line="150"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We have a profit sharing and 401(k) savings retirement plan for employees of certain of our subsidiaries. The plan covers substantially all employees who have 30 days of service, and who have attained 18 years of age. The plan allows us to make discretionary contributions and provides for employee salary deferrals of up to 100%. We made aggregate matching contributions and discretionary contributions of $1.7 million, $1.6 million, and $1.5 million during 2018, 2017 and 2016,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77" w:name="page78"/>
    <w:bookmarkEnd w:id="77"/>
    <w:p>
      <w:pPr>
        <w:ind w:left="508" w:hanging="508"/>
        <w:spacing w:after="0"/>
        <w:tabs>
          <w:tab w:leader="none" w:pos="508"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Sale-leaseback Transactions</w:t>
      </w:r>
    </w:p>
    <w:p>
      <w:pPr>
        <w:spacing w:after="0" w:line="154" w:lineRule="exact"/>
        <w:rPr>
          <w:sz w:val="20"/>
          <w:szCs w:val="20"/>
          <w:color w:val="auto"/>
        </w:rPr>
      </w:pPr>
    </w:p>
    <w:p>
      <w:pPr>
        <w:ind w:left="748"/>
        <w:spacing w:after="0"/>
        <w:rPr>
          <w:sz w:val="20"/>
          <w:szCs w:val="20"/>
          <w:color w:val="auto"/>
        </w:rPr>
      </w:pPr>
      <w:r>
        <w:rPr>
          <w:rFonts w:ascii="Arial" w:cs="Arial" w:eastAsia="Arial" w:hAnsi="Arial"/>
          <w:sz w:val="12"/>
          <w:szCs w:val="12"/>
          <w:i w:val="1"/>
          <w:iCs w:val="1"/>
          <w:color w:val="auto"/>
        </w:rPr>
        <w:t>Financing Transaction</w:t>
      </w:r>
    </w:p>
    <w:p>
      <w:pPr>
        <w:spacing w:after="0" w:line="195" w:lineRule="exact"/>
        <w:rPr>
          <w:sz w:val="20"/>
          <w:szCs w:val="20"/>
          <w:color w:val="auto"/>
        </w:rPr>
      </w:pPr>
    </w:p>
    <w:p>
      <w:pPr>
        <w:ind w:left="8" w:right="40" w:firstLine="521"/>
        <w:spacing w:after="0" w:line="298" w:lineRule="auto"/>
        <w:rPr>
          <w:sz w:val="20"/>
          <w:szCs w:val="20"/>
          <w:color w:val="auto"/>
        </w:rPr>
      </w:pPr>
      <w:r>
        <w:rPr>
          <w:rFonts w:ascii="Arial" w:cs="Arial" w:eastAsia="Arial" w:hAnsi="Arial"/>
          <w:sz w:val="11"/>
          <w:szCs w:val="11"/>
          <w:color w:val="auto"/>
        </w:rPr>
        <w:t>In 2016, the Company entered into an agreement to sell one of its manufacturing facilities for gross proceeds of $5.0 million, less costs associated with the transaction of $0.3 million, or net proceeds of $4.7 million. As a part of the transaction, the Company entered into a lease for the property from the purchaser for an initial period of 13 years. In June 2017, the agreement was amended extending the term through June 2031. This sale-leaseback has been accounted for as a financing transaction with a current effective interest rate of 4.53%. Payments made by the Company are allocated between interest expense and a reduction to the sale-leaseback financing liability.</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9100" w:type="dxa"/>
            <w:vAlign w:val="bottom"/>
          </w:tcPr>
          <w:p>
            <w:pPr>
              <w:ind w:left="520"/>
              <w:spacing w:after="0"/>
              <w:rPr>
                <w:sz w:val="20"/>
                <w:szCs w:val="20"/>
                <w:color w:val="auto"/>
              </w:rPr>
            </w:pPr>
            <w:r>
              <w:rPr>
                <w:rFonts w:ascii="Arial" w:cs="Arial" w:eastAsia="Arial" w:hAnsi="Arial"/>
                <w:sz w:val="12"/>
                <w:szCs w:val="12"/>
                <w:color w:val="auto"/>
              </w:rPr>
              <w:t>As of December 31, 2018, future payments on the sale-leaseback financing liability are as follows (in thousands):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1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Years</w:t>
            </w:r>
          </w:p>
        </w:tc>
        <w:tc>
          <w:tcPr>
            <w:tcW w:w="220" w:type="dxa"/>
            <w:vAlign w:val="bottom"/>
            <w:tcBorders>
              <w:bottom w:val="single" w:sz="8" w:color="CFF0FC"/>
            </w:tcBorders>
          </w:tcPr>
          <w:p>
            <w:pPr>
              <w:spacing w:after="0"/>
              <w:rPr>
                <w:sz w:val="9"/>
                <w:szCs w:val="9"/>
                <w:color w:val="auto"/>
              </w:rPr>
            </w:pPr>
          </w:p>
        </w:tc>
        <w:tc>
          <w:tcPr>
            <w:tcW w:w="780" w:type="dxa"/>
            <w:vAlign w:val="bottom"/>
            <w:tcBorders>
              <w:bottom w:val="single" w:sz="8" w:color="CFF0FC"/>
            </w:tcBorders>
          </w:tcPr>
          <w:p>
            <w:pPr>
              <w:spacing w:after="0"/>
              <w:rPr>
                <w:sz w:val="9"/>
                <w:szCs w:val="9"/>
                <w:color w:val="auto"/>
              </w:rPr>
            </w:pPr>
          </w:p>
        </w:tc>
        <w:tc>
          <w:tcPr>
            <w:tcW w:w="1060" w:type="dxa"/>
            <w:vAlign w:val="bottom"/>
            <w:tcBorders>
              <w:bottom w:val="single" w:sz="8" w:color="CFF0FC"/>
            </w:tcBorders>
          </w:tcPr>
          <w:p>
            <w:pPr>
              <w:spacing w:after="0"/>
              <w:rPr>
                <w:sz w:val="9"/>
                <w:szCs w:val="9"/>
                <w:color w:val="auto"/>
              </w:rPr>
            </w:pPr>
          </w:p>
        </w:tc>
        <w:tc>
          <w:tcPr>
            <w:tcW w:w="3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910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1000" w:type="dxa"/>
            <w:vAlign w:val="bottom"/>
            <w:gridSpan w:val="2"/>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100" w:type="dxa"/>
            <w:vAlign w:val="bottom"/>
          </w:tcPr>
          <w:p>
            <w:pPr>
              <w:spacing w:after="0"/>
              <w:rPr>
                <w:sz w:val="20"/>
                <w:szCs w:val="20"/>
                <w:color w:val="auto"/>
              </w:rPr>
            </w:pPr>
            <w:r>
              <w:rPr>
                <w:rFonts w:ascii="Arial" w:cs="Arial" w:eastAsia="Arial" w:hAnsi="Arial"/>
                <w:sz w:val="12"/>
                <w:szCs w:val="12"/>
                <w:color w:val="auto"/>
              </w:rPr>
              <w:t>2020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422</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10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431</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100" w:type="dxa"/>
            <w:vAlign w:val="bottom"/>
          </w:tcPr>
          <w:p>
            <w:pPr>
              <w:spacing w:after="0"/>
              <w:rPr>
                <w:sz w:val="20"/>
                <w:szCs w:val="20"/>
                <w:color w:val="auto"/>
              </w:rPr>
            </w:pPr>
            <w:r>
              <w:rPr>
                <w:rFonts w:ascii="Arial" w:cs="Arial" w:eastAsia="Arial" w:hAnsi="Arial"/>
                <w:sz w:val="12"/>
                <w:szCs w:val="12"/>
                <w:color w:val="auto"/>
              </w:rPr>
              <w:t>2022</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439</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10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3,658</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100" w:type="dxa"/>
            <w:vAlign w:val="bottom"/>
            <w:shd w:val="clear" w:color="auto" w:fill="CFF0FC"/>
          </w:tcPr>
          <w:p>
            <w:pPr>
              <w:spacing w:after="0"/>
              <w:rPr>
                <w:sz w:val="20"/>
                <w:szCs w:val="20"/>
                <w:color w:val="auto"/>
              </w:rPr>
            </w:pPr>
            <w:r>
              <w:rPr>
                <w:rFonts w:ascii="Arial" w:cs="Arial" w:eastAsia="Arial" w:hAnsi="Arial"/>
                <w:sz w:val="12"/>
                <w:szCs w:val="12"/>
                <w:color w:val="auto"/>
              </w:rPr>
              <w:t>Total payments</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5,812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100" w:type="dxa"/>
            <w:vAlign w:val="bottom"/>
          </w:tcPr>
          <w:p>
            <w:pPr>
              <w:ind w:left="140"/>
              <w:spacing w:after="0"/>
              <w:rPr>
                <w:sz w:val="20"/>
                <w:szCs w:val="20"/>
                <w:color w:val="auto"/>
              </w:rPr>
            </w:pPr>
            <w:r>
              <w:rPr>
                <w:rFonts w:ascii="Arial" w:cs="Arial" w:eastAsia="Arial" w:hAnsi="Arial"/>
                <w:sz w:val="12"/>
                <w:szCs w:val="12"/>
                <w:color w:val="auto"/>
              </w:rPr>
              <w:t>Less amount representing interest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(1,431)</w:t>
            </w:r>
          </w:p>
        </w:tc>
        <w:tc>
          <w:tcPr>
            <w:tcW w:w="0" w:type="dxa"/>
            <w:vAlign w:val="bottom"/>
          </w:tcPr>
          <w:p>
            <w:pPr>
              <w:spacing w:after="0"/>
              <w:rPr>
                <w:sz w:val="1"/>
                <w:szCs w:val="1"/>
                <w:color w:val="auto"/>
              </w:rPr>
            </w:pPr>
          </w:p>
        </w:tc>
      </w:tr>
      <w:tr>
        <w:trPr>
          <w:trHeight w:val="142"/>
        </w:trPr>
        <w:tc>
          <w:tcPr>
            <w:tcW w:w="9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liability</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4,381</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100" w:type="dxa"/>
            <w:vAlign w:val="bottom"/>
          </w:tcPr>
          <w:p>
            <w:pPr>
              <w:ind w:left="140"/>
              <w:spacing w:after="0"/>
              <w:rPr>
                <w:sz w:val="20"/>
                <w:szCs w:val="20"/>
                <w:color w:val="auto"/>
              </w:rPr>
            </w:pPr>
            <w:r>
              <w:rPr>
                <w:rFonts w:ascii="Arial" w:cs="Arial" w:eastAsia="Arial" w:hAnsi="Arial"/>
                <w:sz w:val="12"/>
                <w:szCs w:val="12"/>
                <w:color w:val="auto"/>
              </w:rPr>
              <w:t>Less current portion, included in accounts payable and accrued expenses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20"/>
        </w:trPr>
        <w:tc>
          <w:tcPr>
            <w:tcW w:w="91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Long-term portion included, in other liabilities</w:t>
            </w: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100" w:type="dxa"/>
            <w:vAlign w:val="bottom"/>
            <w:vMerge w:val="continue"/>
            <w:shd w:val="clear" w:color="auto" w:fill="CFF0FC"/>
          </w:tcPr>
          <w:p>
            <w:pPr>
              <w:spacing w:after="0"/>
              <w:rPr>
                <w:sz w:val="12"/>
                <w:szCs w:val="12"/>
                <w:color w:val="auto"/>
              </w:rPr>
            </w:pPr>
          </w:p>
        </w:tc>
        <w:tc>
          <w:tcPr>
            <w:tcW w:w="1000" w:type="dxa"/>
            <w:vAlign w:val="bottom"/>
            <w:gridSpan w:val="2"/>
            <w:shd w:val="clear" w:color="auto" w:fill="CFF0FC"/>
          </w:tcPr>
          <w:p>
            <w:pPr>
              <w:jc w:val="right"/>
              <w:ind w:right="7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4,161</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1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 w:right="500" w:firstLine="766"/>
        <w:spacing w:after="0" w:line="276" w:lineRule="auto"/>
        <w:rPr>
          <w:sz w:val="20"/>
          <w:szCs w:val="20"/>
          <w:color w:val="auto"/>
        </w:rPr>
      </w:pPr>
      <w:r>
        <w:rPr>
          <w:rFonts w:ascii="Arial" w:cs="Arial" w:eastAsia="Arial" w:hAnsi="Arial"/>
          <w:sz w:val="12"/>
          <w:szCs w:val="12"/>
          <w:color w:val="auto"/>
        </w:rPr>
        <w:t>As of December 31, 2018 and 2017, the net carrying value of the facility assets that are included in property, plant, and equipment on our Consolidated Balance Sheets amounted to $10.2 million and $11.0 million, respectively, which are depreciated over the remaining term of the lease.</w:t>
      </w:r>
    </w:p>
    <w:p>
      <w:pPr>
        <w:spacing w:after="0" w:line="115" w:lineRule="exact"/>
        <w:rPr>
          <w:sz w:val="20"/>
          <w:szCs w:val="20"/>
          <w:color w:val="auto"/>
        </w:rPr>
      </w:pPr>
    </w:p>
    <w:p>
      <w:pPr>
        <w:ind w:left="768"/>
        <w:spacing w:after="0"/>
        <w:rPr>
          <w:sz w:val="20"/>
          <w:szCs w:val="20"/>
          <w:color w:val="auto"/>
        </w:rPr>
      </w:pPr>
      <w:r>
        <w:rPr>
          <w:rFonts w:ascii="Arial" w:cs="Arial" w:eastAsia="Arial" w:hAnsi="Arial"/>
          <w:sz w:val="12"/>
          <w:szCs w:val="12"/>
          <w:i w:val="1"/>
          <w:iCs w:val="1"/>
          <w:color w:val="auto"/>
        </w:rPr>
        <w:t>Capital Leases</w:t>
      </w:r>
    </w:p>
    <w:p>
      <w:pPr>
        <w:spacing w:after="0" w:line="168" w:lineRule="exact"/>
        <w:rPr>
          <w:sz w:val="20"/>
          <w:szCs w:val="20"/>
          <w:color w:val="auto"/>
        </w:rPr>
      </w:pPr>
    </w:p>
    <w:p>
      <w:pPr>
        <w:ind w:left="8" w:right="20" w:firstLine="766"/>
        <w:spacing w:after="0" w:line="276" w:lineRule="auto"/>
        <w:rPr>
          <w:sz w:val="20"/>
          <w:szCs w:val="20"/>
          <w:color w:val="auto"/>
        </w:rPr>
      </w:pPr>
      <w:r>
        <w:rPr>
          <w:rFonts w:ascii="Arial" w:cs="Arial" w:eastAsia="Arial" w:hAnsi="Arial"/>
          <w:sz w:val="12"/>
          <w:szCs w:val="12"/>
          <w:color w:val="auto"/>
        </w:rPr>
        <w:t>In 2016, the Company entered into agreements to sell two of its manufacturing facilities for gross proceeds of $9.3 million, less costs associated with the transaction of $0.5 million, or net proceeds of $8.8 million. As a part of the transactions, the Company entered into 13-year leases for the properties from the purchasers. In June 2018, the leases were amended extending the expiration date through August 2030.</w:t>
      </w:r>
    </w:p>
    <w:p>
      <w:pPr>
        <w:spacing w:after="0" w:line="169" w:lineRule="exact"/>
        <w:rPr>
          <w:sz w:val="20"/>
          <w:szCs w:val="20"/>
          <w:color w:val="auto"/>
        </w:rPr>
      </w:pPr>
    </w:p>
    <w:p>
      <w:pPr>
        <w:ind w:left="8" w:right="80" w:firstLine="766"/>
        <w:spacing w:after="0" w:line="323" w:lineRule="auto"/>
        <w:rPr>
          <w:sz w:val="20"/>
          <w:szCs w:val="20"/>
          <w:color w:val="auto"/>
        </w:rPr>
      </w:pPr>
      <w:r>
        <w:rPr>
          <w:rFonts w:ascii="Arial" w:cs="Arial" w:eastAsia="Arial" w:hAnsi="Arial"/>
          <w:sz w:val="11"/>
          <w:szCs w:val="11"/>
          <w:color w:val="auto"/>
        </w:rPr>
        <w:t>The Company recorded a $4.4 million deferred gain on the sale of these facilities which is recorded in the Consolidated Balance Sheets as a reduction to property, plant, and equipment. The deferred gain is recognized over the remainder of the lease term. As a result of these transactions, the Company recorded a capital lease obligation of $8.7 million. The current weighted-average effective interest rates of the capital leases are 4.26% to 4.67%.</w:t>
      </w:r>
    </w:p>
    <w:p>
      <w:pPr>
        <w:spacing w:after="0" w:line="200" w:lineRule="exact"/>
        <w:rPr>
          <w:sz w:val="20"/>
          <w:szCs w:val="20"/>
          <w:color w:val="auto"/>
        </w:rPr>
      </w:pPr>
    </w:p>
    <w:p>
      <w:pPr>
        <w:spacing w:after="0" w:line="2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53"/>
        </w:trPr>
        <w:tc>
          <w:tcPr>
            <w:tcW w:w="6600" w:type="dxa"/>
            <w:vAlign w:val="bottom"/>
          </w:tcPr>
          <w:p>
            <w:pPr>
              <w:ind w:left="520"/>
              <w:spacing w:after="0"/>
              <w:rPr>
                <w:sz w:val="20"/>
                <w:szCs w:val="20"/>
                <w:color w:val="auto"/>
              </w:rPr>
            </w:pPr>
            <w:r>
              <w:rPr>
                <w:rFonts w:ascii="Arial" w:cs="Arial" w:eastAsia="Arial" w:hAnsi="Arial"/>
                <w:sz w:val="12"/>
                <w:szCs w:val="12"/>
                <w:color w:val="auto"/>
                <w:w w:val="91"/>
              </w:rPr>
              <w:t>The future minimum payments for the aforementioned capital leases as of December 31, 2018, are as follows (in thousands):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Fiscal Years</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0" w:type="dxa"/>
            <w:vAlign w:val="bottom"/>
          </w:tcPr>
          <w:p>
            <w:pPr>
              <w:spacing w:after="0"/>
              <w:rPr>
                <w:sz w:val="20"/>
                <w:szCs w:val="20"/>
                <w:color w:val="auto"/>
              </w:rPr>
            </w:pPr>
            <w:r>
              <w:rPr>
                <w:rFonts w:ascii="Arial" w:cs="Arial" w:eastAsia="Arial" w:hAnsi="Arial"/>
                <w:sz w:val="12"/>
                <w:szCs w:val="12"/>
                <w:color w:val="auto"/>
              </w:rPr>
              <w:t>2020</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855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spacing w:after="0"/>
              <w:rPr>
                <w:sz w:val="20"/>
                <w:szCs w:val="20"/>
                <w:color w:val="auto"/>
              </w:rPr>
            </w:pPr>
            <w:r>
              <w:rPr>
                <w:rFonts w:ascii="Arial" w:cs="Arial" w:eastAsia="Arial" w:hAnsi="Arial"/>
                <w:sz w:val="12"/>
                <w:szCs w:val="12"/>
                <w:color w:val="auto"/>
              </w:rPr>
              <w:t>2022</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889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12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6,407</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spacing w:after="0"/>
              <w:rPr>
                <w:sz w:val="20"/>
                <w:szCs w:val="20"/>
                <w:color w:val="auto"/>
              </w:rPr>
            </w:pPr>
            <w:r>
              <w:rPr>
                <w:rFonts w:ascii="Arial" w:cs="Arial" w:eastAsia="Arial" w:hAnsi="Arial"/>
                <w:sz w:val="12"/>
                <w:szCs w:val="12"/>
                <w:color w:val="auto"/>
              </w:rPr>
              <w:t>Total payments</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10,768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40"/>
              <w:spacing w:after="0"/>
              <w:rPr>
                <w:sz w:val="20"/>
                <w:szCs w:val="20"/>
                <w:color w:val="auto"/>
              </w:rPr>
            </w:pPr>
            <w:r>
              <w:rPr>
                <w:rFonts w:ascii="Arial" w:cs="Arial" w:eastAsia="Arial" w:hAnsi="Arial"/>
                <w:sz w:val="12"/>
                <w:szCs w:val="12"/>
                <w:color w:val="auto"/>
              </w:rPr>
              <w:t>Less amount representing interest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2"/>
                <w:szCs w:val="12"/>
                <w:color w:val="auto"/>
              </w:rPr>
              <w:t>(2,433)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Present value of future minimum lease payments</w:t>
            </w:r>
          </w:p>
        </w:tc>
        <w:tc>
          <w:tcPr>
            <w:tcW w:w="1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8,335</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40"/>
              <w:spacing w:after="0"/>
              <w:rPr>
                <w:sz w:val="20"/>
                <w:szCs w:val="20"/>
                <w:color w:val="auto"/>
              </w:rPr>
            </w:pPr>
            <w:r>
              <w:rPr>
                <w:rFonts w:ascii="Arial" w:cs="Arial" w:eastAsia="Arial" w:hAnsi="Arial"/>
                <w:sz w:val="12"/>
                <w:szCs w:val="12"/>
                <w:color w:val="auto"/>
              </w:rPr>
              <w:t>Less current portion, included in accounts payable and accrued expenses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2"/>
                <w:szCs w:val="12"/>
                <w:color w:val="auto"/>
              </w:rPr>
              <w:t>(478)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Long-term portion, included in other liabilities</w:t>
            </w: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7,857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9100" w:type="dxa"/>
            <w:vAlign w:val="bottom"/>
            <w:tcBorders>
              <w:top w:val="single" w:sz="8" w:color="CFF0FC"/>
            </w:tcBorders>
            <w:gridSpan w:val="7"/>
          </w:tcPr>
          <w:p>
            <w:pPr>
              <w:ind w:left="760"/>
              <w:spacing w:after="0"/>
              <w:rPr>
                <w:sz w:val="20"/>
                <w:szCs w:val="20"/>
                <w:color w:val="auto"/>
              </w:rPr>
            </w:pPr>
            <w:r>
              <w:rPr>
                <w:rFonts w:ascii="Arial" w:cs="Arial" w:eastAsia="Arial" w:hAnsi="Arial"/>
                <w:sz w:val="12"/>
                <w:szCs w:val="12"/>
                <w:color w:val="auto"/>
                <w:w w:val="90"/>
              </w:rPr>
              <w:t>Capital lease assets included in the Consolidated Balance Sheets as part of property, plant, and equipment as of December 31, 2018 and 2017, are as follows (in thousands):</w:t>
            </w:r>
          </w:p>
        </w:tc>
        <w:tc>
          <w:tcPr>
            <w:tcW w:w="220" w:type="dxa"/>
            <w:vAlign w:val="bottom"/>
            <w:tcBorders>
              <w:top w:val="single" w:sz="8" w:color="CFF0FC"/>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2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6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2018</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ind w:left="280"/>
              <w:spacing w:after="0"/>
              <w:rPr>
                <w:sz w:val="20"/>
                <w:szCs w:val="20"/>
                <w:color w:val="auto"/>
              </w:rPr>
            </w:pPr>
            <w:r>
              <w:rPr>
                <w:rFonts w:ascii="Arial" w:cs="Arial" w:eastAsia="Arial" w:hAnsi="Arial"/>
                <w:sz w:val="10"/>
                <w:szCs w:val="10"/>
                <w:color w:val="auto"/>
              </w:rPr>
              <w:t>Depreciable Life (Years)</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spacing w:after="0"/>
              <w:rPr>
                <w:sz w:val="20"/>
                <w:szCs w:val="20"/>
                <w:color w:val="auto"/>
              </w:rPr>
            </w:pPr>
            <w:r>
              <w:rPr>
                <w:rFonts w:ascii="Arial" w:cs="Arial" w:eastAsia="Arial" w:hAnsi="Arial"/>
                <w:sz w:val="12"/>
                <w:szCs w:val="12"/>
                <w:color w:val="auto"/>
              </w:rPr>
              <w:t>Building and improvements, net of deferred gain</w:t>
            </w:r>
          </w:p>
        </w:tc>
        <w:tc>
          <w:tcPr>
            <w:tcW w:w="1020" w:type="dxa"/>
            <w:vAlign w:val="bottom"/>
            <w:gridSpan w:val="2"/>
            <w:shd w:val="clear" w:color="auto" w:fill="CFF0FC"/>
          </w:tcPr>
          <w:p>
            <w:pPr>
              <w:jc w:val="right"/>
              <w:ind w:righ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4,385</w:t>
            </w: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7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4,385</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81"/>
              <w:spacing w:after="0"/>
              <w:rPr>
                <w:sz w:val="20"/>
                <w:szCs w:val="20"/>
                <w:color w:val="auto"/>
              </w:rPr>
            </w:pPr>
            <w:r>
              <w:rPr>
                <w:rFonts w:ascii="Arial" w:cs="Arial" w:eastAsia="Arial" w:hAnsi="Arial"/>
                <w:sz w:val="12"/>
                <w:szCs w:val="12"/>
                <w:color w:val="auto"/>
              </w:rPr>
              <w:t>13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spacing w:after="0"/>
              <w:rPr>
                <w:sz w:val="20"/>
                <w:szCs w:val="20"/>
                <w:color w:val="auto"/>
              </w:rPr>
            </w:pPr>
            <w:r>
              <w:rPr>
                <w:rFonts w:ascii="Arial" w:cs="Arial" w:eastAsia="Arial" w:hAnsi="Arial"/>
                <w:sz w:val="12"/>
                <w:szCs w:val="12"/>
                <w:color w:val="auto"/>
              </w:rPr>
              <w:t>Less: Accumulated depreciation</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(850)</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2"/>
                <w:szCs w:val="12"/>
                <w:color w:val="auto"/>
              </w:rPr>
              <w:t>(534)</w:t>
            </w: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600" w:type="dxa"/>
            <w:vAlign w:val="bottom"/>
            <w:vMerge w:val="continue"/>
            <w:shd w:val="clear" w:color="auto" w:fill="CFF0FC"/>
          </w:tcPr>
          <w:p>
            <w:pPr>
              <w:spacing w:after="0"/>
              <w:rPr>
                <w:sz w:val="14"/>
                <w:szCs w:val="14"/>
                <w:color w:val="auto"/>
              </w:rPr>
            </w:pPr>
          </w:p>
        </w:tc>
        <w:tc>
          <w:tcPr>
            <w:tcW w:w="1020" w:type="dxa"/>
            <w:vAlign w:val="bottom"/>
            <w:gridSpan w:val="2"/>
            <w:shd w:val="clear" w:color="auto" w:fill="CFF0FC"/>
          </w:tcPr>
          <w:p>
            <w:pPr>
              <w:jc w:val="right"/>
              <w:ind w:right="8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3,535</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7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3,851</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6600" w:type="dxa"/>
            <w:vAlign w:val="bottom"/>
            <w:tcBorders>
              <w:top w:val="single" w:sz="8" w:color="CFF0FC"/>
            </w:tcBorders>
          </w:tcPr>
          <w:p>
            <w:pPr>
              <w:ind w:left="520"/>
              <w:spacing w:after="0"/>
              <w:rPr>
                <w:sz w:val="20"/>
                <w:szCs w:val="20"/>
                <w:color w:val="auto"/>
              </w:rPr>
            </w:pPr>
            <w:r>
              <w:rPr>
                <w:rFonts w:ascii="Arial" w:cs="Arial" w:eastAsia="Arial" w:hAnsi="Arial"/>
                <w:sz w:val="12"/>
                <w:szCs w:val="12"/>
                <w:b w:val="1"/>
                <w:bCs w:val="1"/>
                <w:color w:val="auto"/>
              </w:rPr>
              <w:t>Rent</w:t>
            </w:r>
          </w:p>
        </w:tc>
        <w:tc>
          <w:tcPr>
            <w:tcW w:w="1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gridSpan w:val="5"/>
          </w:tcPr>
          <w:p>
            <w:pPr>
              <w:ind w:left="520"/>
              <w:spacing w:after="0"/>
              <w:rPr>
                <w:sz w:val="20"/>
                <w:szCs w:val="20"/>
                <w:color w:val="auto"/>
              </w:rPr>
            </w:pPr>
            <w:r>
              <w:rPr>
                <w:rFonts w:ascii="Arial" w:cs="Arial" w:eastAsia="Arial" w:hAnsi="Arial"/>
                <w:sz w:val="12"/>
                <w:szCs w:val="12"/>
                <w:color w:val="auto"/>
                <w:w w:val="90"/>
              </w:rPr>
              <w:t>We lease certain facilities on a year-to-year basis. We also have future annual minimum rental commitments under noncancelable operating leases as follows: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(Table only in thousands)</w:t>
      </w:r>
    </w:p>
    <w:p>
      <w:pPr>
        <w:spacing w:after="0" w:line="216" w:lineRule="auto"/>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w w:val="82"/>
              </w:rPr>
              <w:t>2019</w:t>
            </w:r>
          </w:p>
        </w:tc>
        <w:tc>
          <w:tcPr>
            <w:tcW w:w="92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CFF0FC"/>
            </w:tcBorders>
            <w:gridSpan w:val="2"/>
            <w:shd w:val="clear" w:color="auto" w:fill="CFF0FC"/>
          </w:tcPr>
          <w:p>
            <w:pPr>
              <w:jc w:val="right"/>
              <w:ind w:right="61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2,745</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240" w:type="dxa"/>
            <w:vAlign w:val="bottom"/>
          </w:tcPr>
          <w:p>
            <w:pPr>
              <w:spacing w:after="0"/>
              <w:rPr>
                <w:sz w:val="20"/>
                <w:szCs w:val="20"/>
                <w:color w:val="auto"/>
              </w:rPr>
            </w:pPr>
            <w:r>
              <w:rPr>
                <w:rFonts w:ascii="Arial" w:cs="Arial" w:eastAsia="Arial" w:hAnsi="Arial"/>
                <w:sz w:val="12"/>
                <w:szCs w:val="12"/>
                <w:color w:val="auto"/>
                <w:w w:val="82"/>
              </w:rPr>
              <w:t>2020</w:t>
            </w:r>
          </w:p>
        </w:tc>
        <w:tc>
          <w:tcPr>
            <w:tcW w:w="9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1,880</w:t>
            </w:r>
          </w:p>
        </w:tc>
        <w:tc>
          <w:tcPr>
            <w:tcW w:w="120" w:type="dxa"/>
            <w:vAlign w:val="bottom"/>
          </w:tcPr>
          <w:p>
            <w:pPr>
              <w:spacing w:after="0"/>
              <w:rPr>
                <w:sz w:val="13"/>
                <w:szCs w:val="13"/>
                <w:color w:val="auto"/>
              </w:rPr>
            </w:pPr>
          </w:p>
        </w:tc>
      </w:tr>
      <w:tr>
        <w:trPr>
          <w:trHeight w:val="153"/>
        </w:trPr>
        <w:tc>
          <w:tcPr>
            <w:tcW w:w="240" w:type="dxa"/>
            <w:vAlign w:val="bottom"/>
            <w:shd w:val="clear" w:color="auto" w:fill="CFF0FC"/>
          </w:tcPr>
          <w:p>
            <w:pPr>
              <w:spacing w:after="0"/>
              <w:rPr>
                <w:sz w:val="20"/>
                <w:szCs w:val="20"/>
                <w:color w:val="auto"/>
              </w:rPr>
            </w:pPr>
            <w:r>
              <w:rPr>
                <w:rFonts w:ascii="Arial" w:cs="Arial" w:eastAsia="Arial" w:hAnsi="Arial"/>
                <w:sz w:val="12"/>
                <w:szCs w:val="12"/>
                <w:color w:val="auto"/>
                <w:w w:val="82"/>
              </w:rPr>
              <w:t>2021</w:t>
            </w:r>
          </w:p>
        </w:tc>
        <w:tc>
          <w:tcPr>
            <w:tcW w:w="9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1,454</w:t>
            </w:r>
          </w:p>
        </w:tc>
        <w:tc>
          <w:tcPr>
            <w:tcW w:w="120" w:type="dxa"/>
            <w:vAlign w:val="bottom"/>
            <w:shd w:val="clear" w:color="auto" w:fill="CFF0FC"/>
          </w:tcPr>
          <w:p>
            <w:pPr>
              <w:spacing w:after="0"/>
              <w:rPr>
                <w:sz w:val="13"/>
                <w:szCs w:val="13"/>
                <w:color w:val="auto"/>
              </w:rPr>
            </w:pPr>
          </w:p>
        </w:tc>
      </w:tr>
      <w:tr>
        <w:trPr>
          <w:trHeight w:val="153"/>
        </w:trPr>
        <w:tc>
          <w:tcPr>
            <w:tcW w:w="240" w:type="dxa"/>
            <w:vAlign w:val="bottom"/>
          </w:tcPr>
          <w:p>
            <w:pPr>
              <w:spacing w:after="0"/>
              <w:rPr>
                <w:sz w:val="20"/>
                <w:szCs w:val="20"/>
                <w:color w:val="auto"/>
              </w:rPr>
            </w:pPr>
            <w:r>
              <w:rPr>
                <w:rFonts w:ascii="Arial" w:cs="Arial" w:eastAsia="Arial" w:hAnsi="Arial"/>
                <w:sz w:val="12"/>
                <w:szCs w:val="12"/>
                <w:color w:val="auto"/>
                <w:w w:val="82"/>
              </w:rPr>
              <w:t>2022</w:t>
            </w:r>
          </w:p>
        </w:tc>
        <w:tc>
          <w:tcPr>
            <w:tcW w:w="9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931</w:t>
            </w:r>
          </w:p>
        </w:tc>
        <w:tc>
          <w:tcPr>
            <w:tcW w:w="120" w:type="dxa"/>
            <w:vAlign w:val="bottom"/>
          </w:tcPr>
          <w:p>
            <w:pPr>
              <w:spacing w:after="0"/>
              <w:rPr>
                <w:sz w:val="13"/>
                <w:szCs w:val="13"/>
                <w:color w:val="auto"/>
              </w:rPr>
            </w:pPr>
          </w:p>
        </w:tc>
      </w:tr>
      <w:tr>
        <w:trPr>
          <w:trHeight w:val="153"/>
        </w:trPr>
        <w:tc>
          <w:tcPr>
            <w:tcW w:w="240" w:type="dxa"/>
            <w:vAlign w:val="bottom"/>
            <w:shd w:val="clear" w:color="auto" w:fill="CFF0FC"/>
          </w:tcPr>
          <w:p>
            <w:pPr>
              <w:spacing w:after="0"/>
              <w:rPr>
                <w:sz w:val="20"/>
                <w:szCs w:val="20"/>
                <w:color w:val="auto"/>
              </w:rPr>
            </w:pPr>
            <w:r>
              <w:rPr>
                <w:rFonts w:ascii="Arial" w:cs="Arial" w:eastAsia="Arial" w:hAnsi="Arial"/>
                <w:sz w:val="12"/>
                <w:szCs w:val="12"/>
                <w:color w:val="auto"/>
                <w:w w:val="82"/>
              </w:rPr>
              <w:t>2023</w:t>
            </w:r>
          </w:p>
        </w:tc>
        <w:tc>
          <w:tcPr>
            <w:tcW w:w="9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851</w:t>
            </w:r>
          </w:p>
        </w:tc>
        <w:tc>
          <w:tcPr>
            <w:tcW w:w="120" w:type="dxa"/>
            <w:vAlign w:val="bottom"/>
            <w:shd w:val="clear" w:color="auto" w:fill="CFF0FC"/>
          </w:tcPr>
          <w:p>
            <w:pPr>
              <w:spacing w:after="0"/>
              <w:rPr>
                <w:sz w:val="13"/>
                <w:szCs w:val="13"/>
                <w:color w:val="auto"/>
              </w:rPr>
            </w:pPr>
          </w:p>
        </w:tc>
      </w:tr>
      <w:tr>
        <w:trPr>
          <w:trHeight w:val="153"/>
        </w:trPr>
        <w:tc>
          <w:tcPr>
            <w:tcW w:w="9660" w:type="dxa"/>
            <w:vAlign w:val="bottom"/>
            <w:tcBorders>
              <w:bottom w:val="single" w:sz="8" w:color="CFF0FC"/>
            </w:tcBorders>
            <w:gridSpan w:val="3"/>
          </w:tcPr>
          <w:p>
            <w:pPr>
              <w:spacing w:after="0"/>
              <w:rPr>
                <w:sz w:val="20"/>
                <w:szCs w:val="20"/>
                <w:color w:val="auto"/>
              </w:rPr>
            </w:pPr>
            <w:r>
              <w:rPr>
                <w:rFonts w:ascii="Arial" w:cs="Arial" w:eastAsia="Arial" w:hAnsi="Arial"/>
                <w:sz w:val="12"/>
                <w:szCs w:val="12"/>
                <w:color w:val="auto"/>
              </w:rPr>
              <w:t>2024 and thereafter</w:t>
            </w: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2,278</w:t>
            </w:r>
          </w:p>
        </w:tc>
        <w:tc>
          <w:tcPr>
            <w:tcW w:w="120" w:type="dxa"/>
            <w:vAlign w:val="bottom"/>
            <w:tcBorders>
              <w:bottom w:val="single" w:sz="8" w:color="CFF0FC"/>
            </w:tcBorders>
          </w:tcPr>
          <w:p>
            <w:pPr>
              <w:spacing w:after="0"/>
              <w:rPr>
                <w:sz w:val="13"/>
                <w:szCs w:val="13"/>
                <w:color w:val="auto"/>
              </w:rPr>
            </w:pPr>
          </w:p>
        </w:tc>
      </w:tr>
      <w:tr>
        <w:trPr>
          <w:trHeight w:val="149"/>
        </w:trPr>
        <w:tc>
          <w:tcPr>
            <w:tcW w:w="240" w:type="dxa"/>
            <w:vAlign w:val="bottom"/>
            <w:tcBorders>
              <w:bottom w:val="single" w:sz="8" w:color="CFF0FC"/>
            </w:tcBorders>
            <w:shd w:val="clear" w:color="auto" w:fill="CFF0FC"/>
          </w:tcPr>
          <w:p>
            <w:pPr>
              <w:spacing w:after="0"/>
              <w:rPr>
                <w:sz w:val="12"/>
                <w:szCs w:val="12"/>
                <w:color w:val="auto"/>
              </w:rPr>
            </w:pPr>
          </w:p>
        </w:tc>
        <w:tc>
          <w:tcPr>
            <w:tcW w:w="9420" w:type="dxa"/>
            <w:vAlign w:val="bottom"/>
            <w:tcBorders>
              <w:bottom w:val="single" w:sz="8" w:color="CFF0FC"/>
            </w:tcBorders>
            <w:gridSpan w:val="2"/>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10,139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333"/>
        </w:trPr>
        <w:tc>
          <w:tcPr>
            <w:tcW w:w="240" w:type="dxa"/>
            <w:vAlign w:val="bottom"/>
          </w:tcPr>
          <w:p>
            <w:pPr>
              <w:spacing w:after="0"/>
              <w:rPr>
                <w:sz w:val="24"/>
                <w:szCs w:val="24"/>
                <w:color w:val="auto"/>
              </w:rPr>
            </w:pPr>
          </w:p>
        </w:tc>
        <w:tc>
          <w:tcPr>
            <w:tcW w:w="10140" w:type="dxa"/>
            <w:vAlign w:val="bottom"/>
            <w:gridSpan w:val="3"/>
          </w:tcPr>
          <w:p>
            <w:pPr>
              <w:jc w:val="right"/>
              <w:ind w:right="3510"/>
              <w:spacing w:after="0"/>
              <w:rPr>
                <w:sz w:val="20"/>
                <w:szCs w:val="20"/>
                <w:color w:val="auto"/>
              </w:rPr>
            </w:pPr>
            <w:r>
              <w:rPr>
                <w:rFonts w:ascii="Arial" w:cs="Arial" w:eastAsia="Arial" w:hAnsi="Arial"/>
                <w:sz w:val="12"/>
                <w:szCs w:val="12"/>
                <w:color w:val="auto"/>
                <w:w w:val="94"/>
              </w:rPr>
              <w:t>Total rent expense under all operating leases for 2018, 2017 and 2016 was $3.7 million, $4.2 million and $4.5 million, respectively.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240" w:type="dxa"/>
            <w:vAlign w:val="bottom"/>
          </w:tcPr>
          <w:p>
            <w:pPr>
              <w:spacing w:after="0"/>
              <w:rPr>
                <w:sz w:val="20"/>
                <w:szCs w:val="20"/>
                <w:color w:val="auto"/>
              </w:rPr>
            </w:pPr>
            <w:r>
              <w:rPr>
                <w:rFonts w:ascii="Arial" w:cs="Arial" w:eastAsia="Arial" w:hAnsi="Arial"/>
                <w:sz w:val="12"/>
                <w:szCs w:val="12"/>
                <w:b w:val="1"/>
                <w:bCs w:val="1"/>
                <w:color w:val="auto"/>
              </w:rPr>
              <w:t>13.</w:t>
            </w:r>
          </w:p>
        </w:tc>
        <w:tc>
          <w:tcPr>
            <w:tcW w:w="10140" w:type="dxa"/>
            <w:vAlign w:val="bottom"/>
            <w:gridSpan w:val="3"/>
          </w:tcPr>
          <w:p>
            <w:pPr>
              <w:jc w:val="right"/>
              <w:ind w:right="8130"/>
              <w:spacing w:after="0"/>
              <w:rPr>
                <w:sz w:val="20"/>
                <w:szCs w:val="20"/>
                <w:color w:val="auto"/>
              </w:rPr>
            </w:pPr>
            <w:r>
              <w:rPr>
                <w:rFonts w:ascii="Arial" w:cs="Arial" w:eastAsia="Arial" w:hAnsi="Arial"/>
                <w:sz w:val="12"/>
                <w:szCs w:val="12"/>
                <w:b w:val="1"/>
                <w:bCs w:val="1"/>
                <w:color w:val="auto"/>
              </w:rPr>
              <w:t>Commitments and Contingencies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0"/>
        </w:trPr>
        <w:tc>
          <w:tcPr>
            <w:tcW w:w="10380" w:type="dxa"/>
            <w:vAlign w:val="bottom"/>
            <w:gridSpan w:val="4"/>
          </w:tcPr>
          <w:p>
            <w:pPr>
              <w:spacing w:after="0"/>
              <w:rPr>
                <w:sz w:val="20"/>
                <w:szCs w:val="20"/>
                <w:color w:val="auto"/>
              </w:rPr>
            </w:pPr>
            <w:r>
              <w:rPr>
                <w:rFonts w:ascii="Arial" w:cs="Arial" w:eastAsia="Arial" w:hAnsi="Arial"/>
                <w:sz w:val="12"/>
                <w:szCs w:val="12"/>
                <w:b w:val="1"/>
                <w:bCs w:val="1"/>
                <w:color w:val="auto"/>
              </w:rPr>
              <w:t>Legal Proceedings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0140" w:type="dxa"/>
            <w:vAlign w:val="bottom"/>
            <w:gridSpan w:val="3"/>
          </w:tcPr>
          <w:p>
            <w:pPr>
              <w:jc w:val="right"/>
              <w:ind w:right="9370"/>
              <w:spacing w:after="0"/>
              <w:rPr>
                <w:sz w:val="20"/>
                <w:szCs w:val="20"/>
                <w:color w:val="auto"/>
              </w:rPr>
            </w:pPr>
            <w:r>
              <w:rPr>
                <w:rFonts w:ascii="Arial" w:cs="Arial" w:eastAsia="Arial" w:hAnsi="Arial"/>
                <w:sz w:val="12"/>
                <w:szCs w:val="12"/>
                <w:i w:val="1"/>
                <w:iCs w:val="1"/>
                <w:color w:val="auto"/>
                <w:w w:val="83"/>
              </w:rPr>
              <w:t>Asbestos cases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63" w:lineRule="exact"/>
        <w:rPr>
          <w:sz w:val="20"/>
          <w:szCs w:val="20"/>
          <w:color w:val="auto"/>
        </w:rPr>
      </w:pPr>
    </w:p>
    <w:p>
      <w:pPr>
        <w:ind w:right="140" w:firstLine="521"/>
        <w:spacing w:after="0" w:line="286" w:lineRule="auto"/>
        <w:rPr>
          <w:sz w:val="20"/>
          <w:szCs w:val="20"/>
          <w:color w:val="auto"/>
        </w:rPr>
      </w:pPr>
      <w:r>
        <w:rPr>
          <w:rFonts w:ascii="Arial" w:cs="Arial" w:eastAsia="Arial" w:hAnsi="Arial"/>
          <w:sz w:val="11"/>
          <w:szCs w:val="11"/>
          <w:color w:val="auto"/>
        </w:rPr>
        <w:t>Our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79" w:name="page80"/>
    <w:bookmarkEnd w:id="79"/>
    <w:p>
      <w:pPr>
        <w:ind w:left="8" w:right="120"/>
        <w:spacing w:after="0" w:line="323" w:lineRule="auto"/>
        <w:rPr>
          <w:sz w:val="20"/>
          <w:szCs w:val="20"/>
          <w:color w:val="auto"/>
        </w:rPr>
      </w:pPr>
      <w:r>
        <w:rPr>
          <w:rFonts w:ascii="Arial" w:cs="Arial" w:eastAsia="Arial" w:hAnsi="Arial"/>
          <w:sz w:val="11"/>
          <w:szCs w:val="11"/>
          <w:color w:val="auto"/>
        </w:rPr>
        <w:t>cause of death, injury or loss. The Company has been dismissed from or settled a large number of these cases. Cumulative settlement payments from 2002 through December 31, 2018 for cases involving asbestos-related claims were $2.9 million which together with all legal fees other than corporate counsel expenses; $2.7 million have been paid by the Company’s insurers. The average cost per settled claim, excluding legal fees, was approximately $36,000.</w:t>
      </w:r>
    </w:p>
    <w:p>
      <w:pPr>
        <w:spacing w:after="0" w:line="92" w:lineRule="exact"/>
        <w:rPr>
          <w:sz w:val="20"/>
          <w:szCs w:val="20"/>
          <w:color w:val="auto"/>
        </w:rPr>
      </w:pPr>
    </w:p>
    <w:p>
      <w:pPr>
        <w:ind w:left="8" w:right="60" w:firstLine="521"/>
        <w:spacing w:after="0" w:line="255" w:lineRule="auto"/>
        <w:rPr>
          <w:sz w:val="20"/>
          <w:szCs w:val="20"/>
          <w:color w:val="auto"/>
        </w:rPr>
      </w:pPr>
      <w:r>
        <w:rPr>
          <w:rFonts w:ascii="Arial" w:cs="Arial" w:eastAsia="Arial" w:hAnsi="Arial"/>
          <w:sz w:val="12"/>
          <w:szCs w:val="12"/>
          <w:color w:val="auto"/>
        </w:rPr>
        <w:t>Based upon the most recent information available to the Company regarding such claims, there were a total of 208 cases pending against the Company as of December 31, 2018 (with Illinois, New York, Pennsylvania and West Virginia having the largest number of cases), as compared with 218 cases that were pending as of December 31, 2017. During 2018, 96 new cases were filed against the Company, and the Company was dismissed from 63 cases and settled 43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01"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Other</w:t>
      </w:r>
    </w:p>
    <w:p>
      <w:pPr>
        <w:spacing w:after="0" w:line="15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Company is also a party to routine contract and employment-related litigation matters and routine audits of state and local tax returns arising in the ordinary course of its business.</w:t>
      </w:r>
    </w:p>
    <w:p>
      <w:pPr>
        <w:spacing w:after="0" w:line="150" w:lineRule="exact"/>
        <w:rPr>
          <w:sz w:val="20"/>
          <w:szCs w:val="20"/>
          <w:color w:val="auto"/>
        </w:rPr>
      </w:pPr>
    </w:p>
    <w:p>
      <w:pPr>
        <w:jc w:val="both"/>
        <w:ind w:left="8" w:right="120" w:firstLine="521"/>
        <w:spacing w:after="0" w:line="263" w:lineRule="auto"/>
        <w:rPr>
          <w:sz w:val="20"/>
          <w:szCs w:val="20"/>
          <w:color w:val="auto"/>
        </w:rPr>
      </w:pPr>
      <w:r>
        <w:rPr>
          <w:rFonts w:ascii="Arial" w:cs="Arial" w:eastAsia="Arial" w:hAnsi="Arial"/>
          <w:sz w:val="12"/>
          <w:szCs w:val="12"/>
          <w:color w:val="auto"/>
        </w:rPr>
        <w:t>The final outcome and impact of open matters, and related claims and investigations that may be brought in the future, are subject to many variables, and cannot be predicted. In accordance with ASC 450, “Contingencies,” and related guidance, we record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23" w:lineRule="exact"/>
        <w:rPr>
          <w:sz w:val="20"/>
          <w:szCs w:val="20"/>
          <w:color w:val="auto"/>
        </w:rPr>
      </w:pPr>
    </w:p>
    <w:p>
      <w:pPr>
        <w:ind w:left="528"/>
        <w:spacing w:after="0"/>
        <w:rPr>
          <w:sz w:val="20"/>
          <w:szCs w:val="20"/>
          <w:color w:val="auto"/>
        </w:rPr>
      </w:pPr>
      <w:r>
        <w:rPr>
          <w:rFonts w:ascii="Arial" w:cs="Arial" w:eastAsia="Arial" w:hAnsi="Arial"/>
          <w:sz w:val="12"/>
          <w:szCs w:val="12"/>
          <w:color w:val="auto"/>
        </w:rPr>
        <w:t>We are not aware of pending claims or assessments, other than as described above, which may have a material adverse impact on our liquidity, financial position, results of operations, or cash flows.</w:t>
      </w:r>
    </w:p>
    <w:p>
      <w:pPr>
        <w:spacing w:after="0" w:line="272" w:lineRule="exact"/>
        <w:rPr>
          <w:sz w:val="20"/>
          <w:szCs w:val="20"/>
          <w:color w:val="auto"/>
        </w:rPr>
      </w:pPr>
    </w:p>
    <w:p>
      <w:pPr>
        <w:ind w:left="508" w:hanging="508"/>
        <w:spacing w:after="0"/>
        <w:tabs>
          <w:tab w:leader="none" w:pos="508"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226" w:lineRule="exact"/>
        <w:rPr>
          <w:sz w:val="20"/>
          <w:szCs w:val="20"/>
          <w:color w:val="auto"/>
        </w:rPr>
      </w:pPr>
    </w:p>
    <w:p>
      <w:pPr>
        <w:ind w:left="8" w:right="60" w:firstLine="766"/>
        <w:spacing w:after="0" w:line="259" w:lineRule="auto"/>
        <w:rPr>
          <w:sz w:val="20"/>
          <w:szCs w:val="20"/>
          <w:color w:val="auto"/>
        </w:rPr>
      </w:pPr>
      <w:r>
        <w:rPr>
          <w:rFonts w:ascii="Arial" w:cs="Arial" w:eastAsia="Arial" w:hAnsi="Arial"/>
          <w:sz w:val="12"/>
          <w:szCs w:val="12"/>
          <w:color w:val="auto"/>
        </w:rPr>
        <w:t>On December 22, 2017, the Tax Act was signed into law making significant changes to the U.S. tax code. In conjunction with guidance set forth under SAB 118, the Company recorded provisional amounts at December 31, 2017 for, most significantly, the remeasurement of deferred tax assets and liabilities to reflect the new U.S. statutory rate of 21 percent, and to account for the one-time “transition” tax on unrepatriated foreign earnings. During the year ended December 31, 2018, the Company updated its SAB 118 provisional estimates and completed its accounting for the provisions made as of December 31, 2017, which resulted in a $1.7 million adjustment for deemed distributions on foreign earnings.</w:t>
      </w:r>
    </w:p>
    <w:p>
      <w:pPr>
        <w:spacing w:after="0" w:line="125" w:lineRule="exact"/>
        <w:rPr>
          <w:sz w:val="20"/>
          <w:szCs w:val="20"/>
          <w:color w:val="auto"/>
        </w:rPr>
      </w:pPr>
    </w:p>
    <w:p>
      <w:pPr>
        <w:ind w:left="8" w:right="80" w:firstLine="766"/>
        <w:spacing w:after="0" w:line="263" w:lineRule="auto"/>
        <w:rPr>
          <w:sz w:val="20"/>
          <w:szCs w:val="20"/>
          <w:color w:val="auto"/>
        </w:rPr>
      </w:pPr>
      <w:r>
        <w:rPr>
          <w:rFonts w:ascii="Arial" w:cs="Arial" w:eastAsia="Arial" w:hAnsi="Arial"/>
          <w:sz w:val="12"/>
          <w:szCs w:val="12"/>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$0.6 million has been recorded for the deferred taxes on such undistributed foreign earnings. The deferred taxes are attributable primarily to the foreign withholding taxes that would become payable should the Company repatriate cash held in its foreign operations.</w:t>
      </w:r>
    </w:p>
    <w:p>
      <w:pPr>
        <w:spacing w:after="0" w:line="195" w:lineRule="exact"/>
        <w:rPr>
          <w:sz w:val="20"/>
          <w:szCs w:val="20"/>
          <w:color w:val="auto"/>
        </w:rPr>
      </w:pPr>
    </w:p>
    <w:p>
      <w:pPr>
        <w:ind w:left="528"/>
        <w:spacing w:after="0"/>
        <w:rPr>
          <w:sz w:val="20"/>
          <w:szCs w:val="20"/>
          <w:color w:val="auto"/>
        </w:rPr>
      </w:pPr>
      <w:r>
        <w:rPr>
          <w:rFonts w:ascii="Arial" w:cs="Arial" w:eastAsia="Arial" w:hAnsi="Arial"/>
          <w:sz w:val="12"/>
          <w:szCs w:val="12"/>
          <w:color w:val="auto"/>
        </w:rPr>
        <w:t>Income (loss) before income taxes was generated in the United States and globally as follows: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32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348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10"/>
                <w:szCs w:val="1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2017</w:t>
            </w: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320" w:type="dxa"/>
            <w:vAlign w:val="bottom"/>
            <w:shd w:val="clear" w:color="auto" w:fill="CFF0FC"/>
          </w:tcPr>
          <w:p>
            <w:pPr>
              <w:spacing w:after="0"/>
              <w:rPr>
                <w:sz w:val="20"/>
                <w:szCs w:val="20"/>
                <w:color w:val="auto"/>
              </w:rPr>
            </w:pPr>
            <w:r>
              <w:rPr>
                <w:rFonts w:ascii="Arial" w:cs="Arial" w:eastAsia="Arial" w:hAnsi="Arial"/>
                <w:sz w:val="12"/>
                <w:szCs w:val="12"/>
                <w:color w:val="auto"/>
              </w:rPr>
              <w:t>Domestic</w:t>
            </w:r>
          </w:p>
        </w:tc>
        <w:tc>
          <w:tcPr>
            <w:tcW w:w="37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6,230</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9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3,891</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(39,623)</w:t>
            </w:r>
          </w:p>
        </w:tc>
        <w:tc>
          <w:tcPr>
            <w:tcW w:w="20" w:type="dxa"/>
            <w:vAlign w:val="bottom"/>
          </w:tcPr>
          <w:p>
            <w:pPr>
              <w:spacing w:after="0"/>
              <w:rPr>
                <w:sz w:val="12"/>
                <w:szCs w:val="12"/>
                <w:color w:val="auto"/>
              </w:rPr>
            </w:pPr>
          </w:p>
        </w:tc>
      </w:tr>
      <w:tr>
        <w:trPr>
          <w:trHeight w:val="153"/>
        </w:trPr>
        <w:tc>
          <w:tcPr>
            <w:tcW w:w="3320" w:type="dxa"/>
            <w:vAlign w:val="bottom"/>
          </w:tcPr>
          <w:p>
            <w:pPr>
              <w:spacing w:after="0"/>
              <w:rPr>
                <w:sz w:val="20"/>
                <w:szCs w:val="20"/>
                <w:color w:val="auto"/>
              </w:rPr>
            </w:pPr>
            <w:r>
              <w:rPr>
                <w:rFonts w:ascii="Arial" w:cs="Arial" w:eastAsia="Arial" w:hAnsi="Arial"/>
                <w:sz w:val="12"/>
                <w:szCs w:val="12"/>
                <w:color w:val="auto"/>
              </w:rPr>
              <w:t>Foreign</w:t>
            </w:r>
          </w:p>
        </w:tc>
        <w:tc>
          <w:tcPr>
            <w:tcW w:w="3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(3,733)</w:t>
            </w:r>
          </w:p>
        </w:tc>
        <w:tc>
          <w:tcPr>
            <w:tcW w:w="9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(2,482)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6,659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3320" w:type="dxa"/>
            <w:vAlign w:val="bottom"/>
            <w:shd w:val="clear" w:color="auto" w:fill="CFF0FC"/>
          </w:tcPr>
          <w:p>
            <w:pPr>
              <w:spacing w:after="0"/>
              <w:rPr>
                <w:sz w:val="12"/>
                <w:szCs w:val="12"/>
                <w:color w:val="auto"/>
              </w:rPr>
            </w:pPr>
          </w:p>
        </w:tc>
        <w:tc>
          <w:tcPr>
            <w:tcW w:w="37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2,497</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9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1,409</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(32,964)</w:t>
            </w:r>
          </w:p>
        </w:tc>
        <w:tc>
          <w:tcPr>
            <w:tcW w:w="20" w:type="dxa"/>
            <w:vAlign w:val="bottom"/>
          </w:tcPr>
          <w:p>
            <w:pPr>
              <w:spacing w:after="0"/>
              <w:rPr>
                <w:sz w:val="12"/>
                <w:szCs w:val="12"/>
                <w:color w:val="auto"/>
              </w:rPr>
            </w:pPr>
          </w:p>
        </w:tc>
      </w:tr>
      <w:tr>
        <w:trPr>
          <w:trHeight w:val="721"/>
        </w:trPr>
        <w:tc>
          <w:tcPr>
            <w:tcW w:w="3320" w:type="dxa"/>
            <w:vAlign w:val="bottom"/>
            <w:tcBorders>
              <w:top w:val="single" w:sz="8" w:color="CFF0FC"/>
            </w:tcBorders>
          </w:tcPr>
          <w:p>
            <w:pPr>
              <w:spacing w:after="0"/>
              <w:rPr>
                <w:sz w:val="24"/>
                <w:szCs w:val="24"/>
                <w:color w:val="auto"/>
              </w:rPr>
            </w:pPr>
          </w:p>
        </w:tc>
        <w:tc>
          <w:tcPr>
            <w:tcW w:w="3480" w:type="dxa"/>
            <w:vAlign w:val="bottom"/>
            <w:tcBorders>
              <w:top w:val="single" w:sz="8" w:color="CFF0FC"/>
            </w:tcBorders>
          </w:tcPr>
          <w:p>
            <w:pPr>
              <w:ind w:left="2300"/>
              <w:spacing w:after="0"/>
              <w:rPr>
                <w:sz w:val="20"/>
                <w:szCs w:val="20"/>
                <w:color w:val="auto"/>
              </w:rPr>
            </w:pPr>
            <w:r>
              <w:rPr>
                <w:rFonts w:ascii="Arial" w:cs="Arial" w:eastAsia="Arial" w:hAnsi="Arial"/>
                <w:sz w:val="12"/>
                <w:szCs w:val="12"/>
                <w:color w:val="auto"/>
              </w:rPr>
              <w:t>F-30</w:t>
            </w: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320" w:type="dxa"/>
            <w:vAlign w:val="bottom"/>
            <w:tcBorders>
              <w:bottom w:val="single" w:sz="8" w:color="9A9A9A"/>
            </w:tcBorders>
          </w:tcPr>
          <w:p>
            <w:pPr>
              <w:spacing w:after="0"/>
              <w:rPr>
                <w:sz w:val="6"/>
                <w:szCs w:val="6"/>
                <w:color w:val="auto"/>
              </w:rPr>
            </w:pPr>
          </w:p>
        </w:tc>
        <w:tc>
          <w:tcPr>
            <w:tcW w:w="34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347" w:right="179" w:bottom="1440" w:gutter="0" w:footer="0" w:header="0"/>
        </w:sectPr>
      </w:pPr>
    </w:p>
    <w:bookmarkStart w:id="80" w:name="page81"/>
    <w:bookmarkEnd w:id="80"/>
    <w:p>
      <w:pPr>
        <w:ind w:left="760"/>
        <w:spacing w:after="0"/>
        <w:rPr>
          <w:sz w:val="20"/>
          <w:szCs w:val="20"/>
          <w:color w:val="auto"/>
        </w:rPr>
      </w:pPr>
      <w:r>
        <w:rPr>
          <w:rFonts w:ascii="Arial" w:cs="Arial" w:eastAsia="Arial" w:hAnsi="Arial"/>
          <w:sz w:val="12"/>
          <w:szCs w:val="12"/>
          <w:color w:val="auto"/>
        </w:rPr>
        <w:t>Income tax provision consisted of the following for the years ended December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2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188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4920" w:type="dxa"/>
            <w:vAlign w:val="bottom"/>
            <w:shd w:val="clear" w:color="auto" w:fill="CFF0FC"/>
          </w:tcPr>
          <w:p>
            <w:pPr>
              <w:spacing w:after="0"/>
              <w:rPr>
                <w:sz w:val="20"/>
                <w:szCs w:val="20"/>
                <w:color w:val="auto"/>
              </w:rPr>
            </w:pPr>
            <w:r>
              <w:rPr>
                <w:rFonts w:ascii="Arial" w:cs="Arial" w:eastAsia="Arial" w:hAnsi="Arial"/>
                <w:sz w:val="12"/>
                <w:szCs w:val="12"/>
                <w:color w:val="auto"/>
              </w:rPr>
              <w:t>Current:</w:t>
            </w:r>
          </w:p>
        </w:tc>
        <w:tc>
          <w:tcPr>
            <w:tcW w:w="1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Federal</w:t>
            </w:r>
          </w:p>
        </w:tc>
        <w:tc>
          <w:tcPr>
            <w:tcW w:w="2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5,166</w:t>
            </w:r>
          </w:p>
        </w:tc>
        <w:tc>
          <w:tcPr>
            <w:tcW w:w="26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6,234</w:t>
            </w:r>
          </w:p>
        </w:tc>
        <w:tc>
          <w:tcPr>
            <w:tcW w:w="140" w:type="dxa"/>
            <w:vAlign w:val="bottom"/>
          </w:tcPr>
          <w:p>
            <w:pPr>
              <w:spacing w:after="0"/>
              <w:rPr>
                <w:sz w:val="13"/>
                <w:szCs w:val="13"/>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4,957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State</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1,660</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Foreign</w:t>
            </w:r>
          </w:p>
        </w:tc>
        <w:tc>
          <w:tcPr>
            <w:tcW w:w="18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2,834</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939</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3,191</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9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9,660</w:t>
            </w:r>
          </w:p>
        </w:tc>
        <w:tc>
          <w:tcPr>
            <w:tcW w:w="26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7,561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9,040</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920" w:type="dxa"/>
            <w:vAlign w:val="bottom"/>
          </w:tcPr>
          <w:p>
            <w:pPr>
              <w:spacing w:after="0"/>
              <w:rPr>
                <w:sz w:val="20"/>
                <w:szCs w:val="20"/>
                <w:color w:val="auto"/>
              </w:rPr>
            </w:pPr>
            <w:r>
              <w:rPr>
                <w:rFonts w:ascii="Arial" w:cs="Arial" w:eastAsia="Arial" w:hAnsi="Arial"/>
                <w:sz w:val="12"/>
                <w:szCs w:val="12"/>
                <w:color w:val="auto"/>
              </w:rPr>
              <w:t>Deferred:</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Federal</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(2,479)</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(2,794)</w:t>
            </w:r>
          </w:p>
        </w:tc>
        <w:tc>
          <w:tcPr>
            <w:tcW w:w="20" w:type="dxa"/>
            <w:vAlign w:val="bottom"/>
          </w:tcPr>
          <w:p>
            <w:pPr>
              <w:spacing w:after="0"/>
              <w:rPr>
                <w:sz w:val="13"/>
                <w:szCs w:val="13"/>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State</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(409)</w:t>
            </w: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(1,242)</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(758)</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(547)</w:t>
            </w:r>
          </w:p>
        </w:tc>
        <w:tc>
          <w:tcPr>
            <w:tcW w:w="20" w:type="dxa"/>
            <w:vAlign w:val="bottom"/>
          </w:tcPr>
          <w:p>
            <w:pPr>
              <w:spacing w:after="0"/>
              <w:rPr>
                <w:sz w:val="13"/>
                <w:szCs w:val="13"/>
                <w:color w:val="auto"/>
              </w:rPr>
            </w:pPr>
          </w:p>
        </w:tc>
      </w:tr>
      <w:tr>
        <w:trPr>
          <w:trHeight w:val="20"/>
        </w:trPr>
        <w:tc>
          <w:tcPr>
            <w:tcW w:w="4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(42)</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(3,123)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(3,750)</w:t>
            </w:r>
          </w:p>
        </w:tc>
        <w:tc>
          <w:tcPr>
            <w:tcW w:w="20" w:type="dxa"/>
            <w:vAlign w:val="bottom"/>
          </w:tcPr>
          <w:p>
            <w:pPr>
              <w:spacing w:after="0"/>
              <w:rPr>
                <w:sz w:val="12"/>
                <w:szCs w:val="12"/>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4920" w:type="dxa"/>
            <w:vAlign w:val="bottom"/>
            <w:shd w:val="clear" w:color="auto" w:fill="CFF0FC"/>
          </w:tcPr>
          <w:p>
            <w:pPr>
              <w:spacing w:after="0"/>
              <w:rPr>
                <w:sz w:val="14"/>
                <w:szCs w:val="14"/>
                <w:color w:val="auto"/>
              </w:rPr>
            </w:pPr>
          </w:p>
        </w:tc>
        <w:tc>
          <w:tcPr>
            <w:tcW w:w="2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9,618</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4,438</w:t>
            </w:r>
          </w:p>
        </w:tc>
        <w:tc>
          <w:tcPr>
            <w:tcW w:w="1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5,290</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302"/>
        </w:trPr>
        <w:tc>
          <w:tcPr>
            <w:tcW w:w="4920" w:type="dxa"/>
            <w:vAlign w:val="bottom"/>
            <w:tcBorders>
              <w:top w:val="single" w:sz="8" w:color="CFF0FC"/>
            </w:tcBorders>
          </w:tcPr>
          <w:p>
            <w:pPr>
              <w:ind w:left="520"/>
              <w:spacing w:after="0"/>
              <w:rPr>
                <w:sz w:val="20"/>
                <w:szCs w:val="20"/>
                <w:color w:val="auto"/>
              </w:rPr>
            </w:pPr>
            <w:r>
              <w:rPr>
                <w:rFonts w:ascii="Arial" w:cs="Arial" w:eastAsia="Arial" w:hAnsi="Arial"/>
                <w:sz w:val="12"/>
                <w:szCs w:val="12"/>
                <w:color w:val="auto"/>
              </w:rPr>
              <w:t>The income tax provision differs from the statutory rate due to the following:</w:t>
            </w:r>
          </w:p>
        </w:tc>
        <w:tc>
          <w:tcPr>
            <w:tcW w:w="18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492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18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4920" w:type="dxa"/>
            <w:vAlign w:val="bottom"/>
            <w:shd w:val="clear" w:color="auto" w:fill="CFF0FC"/>
          </w:tcPr>
          <w:p>
            <w:pPr>
              <w:spacing w:after="0"/>
              <w:rPr>
                <w:sz w:val="20"/>
                <w:szCs w:val="20"/>
                <w:color w:val="auto"/>
              </w:rPr>
            </w:pPr>
            <w:r>
              <w:rPr>
                <w:rFonts w:ascii="Arial" w:cs="Arial" w:eastAsia="Arial" w:hAnsi="Arial"/>
                <w:sz w:val="12"/>
                <w:szCs w:val="12"/>
                <w:color w:val="auto"/>
              </w:rPr>
              <w:t>Tax expense (benefit) at statutory rate</w:t>
            </w:r>
          </w:p>
        </w:tc>
        <w:tc>
          <w:tcPr>
            <w:tcW w:w="2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524</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494</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(11,525)</w:t>
            </w:r>
          </w:p>
        </w:tc>
        <w:tc>
          <w:tcPr>
            <w:tcW w:w="20" w:type="dxa"/>
            <w:vAlign w:val="bottom"/>
          </w:tcPr>
          <w:p>
            <w:pPr>
              <w:spacing w:after="0"/>
              <w:rPr>
                <w:sz w:val="12"/>
                <w:szCs w:val="12"/>
                <w:color w:val="auto"/>
              </w:rPr>
            </w:pP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auto"/>
              </w:rPr>
              <w:t>Increase (decrease) in tax resulting from:</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State income tax, net of federal benefit</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1,337</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Domestic production activities deduction</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(235)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(561)</w:t>
            </w: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Intangible asset and goodwill impairment</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17,859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Change in uncertain tax position reserves</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73</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465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(624)</w:t>
            </w: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Permanent differences related to divestitures</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7,048</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Permanent differences</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693</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1,026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Impact of rate differences and adjustments</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(1,655)</w:t>
            </w:r>
          </w:p>
        </w:tc>
        <w:tc>
          <w:tcPr>
            <w:tcW w:w="20" w:type="dxa"/>
            <w:vAlign w:val="bottom"/>
          </w:tcPr>
          <w:p>
            <w:pPr>
              <w:spacing w:after="0"/>
              <w:rPr>
                <w:sz w:val="13"/>
                <w:szCs w:val="13"/>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United States and foreign tax incentives</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(1,443)</w:t>
            </w:r>
          </w:p>
        </w:tc>
        <w:tc>
          <w:tcPr>
            <w:tcW w:w="32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(240)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(1,035)</w:t>
            </w: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Earnout (income) expense</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(69)</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(1,779)</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Change in valuation allowance</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1,521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1,044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Revaluation of deferred tax assets and liabilities</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(4,819)</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Net deemed distribution on repatriation of foreign earnings</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(1,713)</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6,426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4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withholding taxes on repatriation of foreign earnings</w:t>
            </w:r>
          </w:p>
        </w:tc>
        <w:tc>
          <w:tcPr>
            <w:tcW w:w="1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666</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4920" w:type="dxa"/>
            <w:vAlign w:val="bottom"/>
          </w:tcPr>
          <w:p>
            <w:pPr>
              <w:ind w:left="160"/>
              <w:spacing w:after="0"/>
              <w:rPr>
                <w:sz w:val="20"/>
                <w:szCs w:val="20"/>
                <w:color w:val="auto"/>
              </w:rPr>
            </w:pPr>
            <w:r>
              <w:rPr>
                <w:rFonts w:ascii="Arial" w:cs="Arial" w:eastAsia="Arial" w:hAnsi="Arial"/>
                <w:sz w:val="12"/>
                <w:szCs w:val="12"/>
                <w:color w:val="auto"/>
              </w:rPr>
              <w:t>Other</w:t>
            </w: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924</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(107)</w:t>
            </w:r>
          </w:p>
        </w:tc>
        <w:tc>
          <w:tcPr>
            <w:tcW w:w="20" w:type="dxa"/>
            <w:vAlign w:val="bottom"/>
          </w:tcPr>
          <w:p>
            <w:pPr>
              <w:spacing w:after="0"/>
              <w:rPr>
                <w:sz w:val="13"/>
                <w:szCs w:val="13"/>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4920" w:type="dxa"/>
            <w:vAlign w:val="bottom"/>
            <w:shd w:val="clear" w:color="auto" w:fill="CFF0FC"/>
          </w:tcPr>
          <w:p>
            <w:pPr>
              <w:spacing w:after="0"/>
              <w:rPr>
                <w:sz w:val="12"/>
                <w:szCs w:val="12"/>
                <w:color w:val="auto"/>
              </w:rPr>
            </w:pPr>
          </w:p>
        </w:tc>
        <w:tc>
          <w:tcPr>
            <w:tcW w:w="2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9,618</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4,438</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5,290</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288"/>
        </w:trPr>
        <w:tc>
          <w:tcPr>
            <w:tcW w:w="492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ind w:left="700"/>
              <w:spacing w:after="0"/>
              <w:rPr>
                <w:sz w:val="20"/>
                <w:szCs w:val="20"/>
                <w:color w:val="auto"/>
              </w:rPr>
            </w:pPr>
            <w:r>
              <w:rPr>
                <w:rFonts w:ascii="Arial" w:cs="Arial" w:eastAsia="Arial" w:hAnsi="Arial"/>
                <w:sz w:val="12"/>
                <w:szCs w:val="12"/>
                <w:color w:val="auto"/>
              </w:rPr>
              <w:t>F-31</w:t>
            </w: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92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5" w:right="179" w:bottom="1440" w:gutter="0" w:footer="0" w:header="0"/>
        </w:sectPr>
      </w:pPr>
    </w:p>
    <w:bookmarkStart w:id="81" w:name="page82"/>
    <w:bookmarkEnd w:id="81"/>
    <w:p>
      <w:pPr>
        <w:ind w:right="220" w:firstLine="521"/>
        <w:spacing w:after="0" w:line="276" w:lineRule="auto"/>
        <w:rPr>
          <w:sz w:val="20"/>
          <w:szCs w:val="20"/>
          <w:color w:val="auto"/>
        </w:rPr>
      </w:pPr>
      <w:r>
        <w:rPr>
          <w:rFonts w:ascii="Arial" w:cs="Arial" w:eastAsia="Arial" w:hAnsi="Arial"/>
          <w:sz w:val="12"/>
          <w:szCs w:val="12"/>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3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0"/>
                <w:szCs w:val="10"/>
                <w:b w:val="1"/>
                <w:bCs w:val="1"/>
                <w:color w:val="auto"/>
              </w:rPr>
              <w:t>December 31</w:t>
            </w: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900" w:type="dxa"/>
            <w:vAlign w:val="bottom"/>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2018</w:t>
            </w: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20"/>
                <w:szCs w:val="20"/>
                <w:color w:val="auto"/>
              </w:rPr>
            </w:pPr>
            <w:r>
              <w:rPr>
                <w:rFonts w:ascii="Arial" w:cs="Arial" w:eastAsia="Arial" w:hAnsi="Arial"/>
                <w:sz w:val="12"/>
                <w:szCs w:val="12"/>
                <w:color w:val="auto"/>
              </w:rPr>
              <w:t>Gross deferred tax assets: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Reserves on assets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1,276</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Share-based compensation awards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Minimum pension</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2,153</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2,318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operating loss carry-forwards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3,478</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Tax credit carry-forwards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2,352</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Valuation allowances</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(5,474)</w:t>
            </w:r>
          </w:p>
        </w:tc>
        <w:tc>
          <w:tcPr>
            <w:tcW w:w="4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(3,873)</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4,661</w:t>
            </w:r>
          </w:p>
        </w:tc>
        <w:tc>
          <w:tcPr>
            <w:tcW w:w="280" w:type="dxa"/>
            <w:vAlign w:val="bottom"/>
            <w:tcBorders>
              <w:bottom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6,272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Gross deferred tax liabilities: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Depreciation</w:t>
            </w:r>
          </w:p>
        </w:tc>
        <w:tc>
          <w:tcPr>
            <w:tcW w:w="360" w:type="dxa"/>
            <w:vAlign w:val="bottom"/>
          </w:tcPr>
          <w:p>
            <w:pPr>
              <w:spacing w:after="0"/>
              <w:rPr>
                <w:sz w:val="13"/>
                <w:szCs w:val="1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(646)</w:t>
            </w:r>
          </w:p>
        </w:tc>
        <w:tc>
          <w:tcPr>
            <w:tcW w:w="4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Goodwill and intangibles</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(10,907)</w:t>
            </w:r>
          </w:p>
        </w:tc>
        <w:tc>
          <w:tcPr>
            <w:tcW w:w="4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(13,588)</w:t>
            </w: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Prepaid expenses and inventory</w:t>
            </w:r>
          </w:p>
        </w:tc>
        <w:tc>
          <w:tcPr>
            <w:tcW w:w="360" w:type="dxa"/>
            <w:vAlign w:val="bottom"/>
          </w:tcPr>
          <w:p>
            <w:pPr>
              <w:spacing w:after="0"/>
              <w:rPr>
                <w:sz w:val="13"/>
                <w:szCs w:val="1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(798)</w:t>
            </w:r>
          </w:p>
        </w:tc>
        <w:tc>
          <w:tcPr>
            <w:tcW w:w="4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(585)</w:t>
            </w: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Withholding tax on unremitted foreign earnings</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(551)</w:t>
            </w:r>
          </w:p>
        </w:tc>
        <w:tc>
          <w:tcPr>
            <w:tcW w:w="4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Revenue recognition</w:t>
            </w:r>
          </w:p>
        </w:tc>
        <w:tc>
          <w:tcPr>
            <w:tcW w:w="360" w:type="dxa"/>
            <w:vAlign w:val="bottom"/>
          </w:tcPr>
          <w:p>
            <w:pPr>
              <w:spacing w:after="0"/>
              <w:rPr>
                <w:sz w:val="13"/>
                <w:szCs w:val="1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(514)</w:t>
            </w:r>
          </w:p>
        </w:tc>
        <w:tc>
          <w:tcPr>
            <w:tcW w:w="4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(1,861)</w:t>
            </w:r>
          </w:p>
        </w:tc>
        <w:tc>
          <w:tcPr>
            <w:tcW w:w="0" w:type="dxa"/>
            <w:vAlign w:val="bottom"/>
          </w:tcPr>
          <w:p>
            <w:pPr>
              <w:spacing w:after="0"/>
              <w:rPr>
                <w:sz w:val="1"/>
                <w:szCs w:val="1"/>
                <w:color w:val="auto"/>
              </w:rPr>
            </w:pPr>
          </w:p>
        </w:tc>
      </w:tr>
      <w:tr>
        <w:trPr>
          <w:trHeight w:val="20"/>
        </w:trPr>
        <w:tc>
          <w:tcPr>
            <w:tcW w:w="79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(13,416)</w:t>
            </w:r>
          </w:p>
        </w:tc>
        <w:tc>
          <w:tcPr>
            <w:tcW w:w="4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(16,482)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2"/>
                <w:szCs w:val="12"/>
                <w:color w:val="auto"/>
              </w:rPr>
              <w:t>Net deferred tax liabilities</w:t>
            </w: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(8,755)</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(10,210)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521"/>
        <w:spacing w:after="0" w:line="257" w:lineRule="auto"/>
        <w:rPr>
          <w:sz w:val="20"/>
          <w:szCs w:val="20"/>
          <w:color w:val="auto"/>
        </w:rPr>
      </w:pPr>
      <w:r>
        <w:rPr>
          <w:rFonts w:ascii="Arial" w:cs="Arial" w:eastAsia="Arial" w:hAnsi="Arial"/>
          <w:sz w:val="12"/>
          <w:szCs w:val="12"/>
          <w:color w:val="auto"/>
        </w:rPr>
        <w:t>As of December 31, 2018, the Company has utilized substantially all of its federal net operating loss carry forwards. State and local net operating loss carry forwards total $29.4 million, which expire from 2019 to 2038. The Company has recorded a valuation allowance on certain of these net operating loss carry forwards to reflect expected realization. A $1.1 million foreign tax credit carryforward was generated in 2017 and a full valuation allowance has been recorded against it. The Company also has net operating loss carry forwards in foreign jurisdictions totaling $11.5 million. A full valuation allowance has been established against substantially all of these losses in foreign jurisdictions. As of December 31, 2018 and 2017, the Company has recorded a valuation reserve in the amount of $5.5 million and $3.9 million, respectively. The changes in the valuation allowance resulted in additional income tax expense of $1.5 million, $1.0 million, and $0.2 million in 2018, 2017, and 2016, respectively.</w:t>
      </w:r>
    </w:p>
    <w:p>
      <w:pPr>
        <w:spacing w:after="0" w:line="126"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2018. The amount of the deferred tax assets considered realizable, however, could be reduced in the near term if estimates of future taxable income during the carryforward period are reduced.</w:t>
      </w:r>
    </w:p>
    <w:p>
      <w:pPr>
        <w:spacing w:after="0" w:line="126" w:lineRule="exact"/>
        <w:rPr>
          <w:sz w:val="20"/>
          <w:szCs w:val="20"/>
          <w:color w:val="auto"/>
        </w:rPr>
      </w:pPr>
    </w:p>
    <w:p>
      <w:pPr>
        <w:ind w:right="100" w:firstLine="521"/>
        <w:spacing w:after="0" w:line="259" w:lineRule="auto"/>
        <w:rPr>
          <w:sz w:val="20"/>
          <w:szCs w:val="20"/>
          <w:color w:val="auto"/>
        </w:rPr>
      </w:pPr>
      <w:r>
        <w:rPr>
          <w:rFonts w:ascii="Arial" w:cs="Arial" w:eastAsia="Arial" w:hAnsi="Arial"/>
          <w:sz w:val="12"/>
          <w:szCs w:val="12"/>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estimates that it may settle one or more foreign and domestic audits in the next twelve months that may result in a decrease in the amount of accrual for uncertain tax positions of up to $0.5 million. A reconciliation of the beginning and ending amount of uncertain tax position reserves included in other liabilities on the Consolidated Balance Sheets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4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396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2018</w:t>
            </w:r>
          </w:p>
        </w:tc>
        <w:tc>
          <w:tcPr>
            <w:tcW w:w="280" w:type="dxa"/>
            <w:vAlign w:val="bottom"/>
            <w:tcBorders>
              <w:bottom w:val="single" w:sz="8" w:color="CFF0FC"/>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color w:val="auto"/>
              </w:rPr>
              <w:t>Balance as of January 1,</w:t>
            </w:r>
          </w:p>
        </w:tc>
        <w:tc>
          <w:tcPr>
            <w:tcW w:w="43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866</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401</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940" w:type="dxa"/>
            <w:vAlign w:val="bottom"/>
          </w:tcPr>
          <w:p>
            <w:pPr>
              <w:spacing w:after="0"/>
              <w:rPr>
                <w:sz w:val="20"/>
                <w:szCs w:val="20"/>
                <w:color w:val="auto"/>
              </w:rPr>
            </w:pPr>
            <w:r>
              <w:rPr>
                <w:rFonts w:ascii="Arial" w:cs="Arial" w:eastAsia="Arial" w:hAnsi="Arial"/>
                <w:sz w:val="12"/>
                <w:szCs w:val="12"/>
                <w:color w:val="auto"/>
              </w:rPr>
              <w:t>Additions for tax positions taken in prior years</w:t>
            </w:r>
          </w:p>
        </w:tc>
        <w:tc>
          <w:tcPr>
            <w:tcW w:w="3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73</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940" w:type="dxa"/>
            <w:vAlign w:val="bottom"/>
            <w:shd w:val="clear" w:color="auto" w:fill="CFF0FC"/>
          </w:tcPr>
          <w:p>
            <w:pPr>
              <w:spacing w:after="0"/>
              <w:rPr>
                <w:sz w:val="20"/>
                <w:szCs w:val="20"/>
                <w:color w:val="auto"/>
              </w:rPr>
            </w:pPr>
            <w:r>
              <w:rPr>
                <w:rFonts w:ascii="Arial" w:cs="Arial" w:eastAsia="Arial" w:hAnsi="Arial"/>
                <w:sz w:val="12"/>
                <w:szCs w:val="12"/>
                <w:color w:val="auto"/>
              </w:rPr>
              <w:t>Statute expirations</w:t>
            </w:r>
          </w:p>
        </w:tc>
        <w:tc>
          <w:tcPr>
            <w:tcW w:w="3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39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Reductions of tax positions taken in prior years</w:t>
            </w:r>
          </w:p>
        </w:tc>
        <w:tc>
          <w:tcPr>
            <w:tcW w:w="39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940" w:type="dxa"/>
            <w:vAlign w:val="bottom"/>
            <w:shd w:val="clear" w:color="auto" w:fill="CFF0FC"/>
          </w:tcPr>
          <w:p>
            <w:pPr>
              <w:spacing w:after="0"/>
              <w:rPr>
                <w:sz w:val="20"/>
                <w:szCs w:val="20"/>
                <w:color w:val="auto"/>
              </w:rPr>
            </w:pPr>
            <w:r>
              <w:rPr>
                <w:rFonts w:ascii="Arial" w:cs="Arial" w:eastAsia="Arial" w:hAnsi="Arial"/>
                <w:sz w:val="12"/>
                <w:szCs w:val="12"/>
                <w:color w:val="auto"/>
              </w:rPr>
              <w:t>Balance as of December 31,</w:t>
            </w:r>
          </w:p>
        </w:tc>
        <w:tc>
          <w:tcPr>
            <w:tcW w:w="43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939</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866</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288"/>
        </w:trPr>
        <w:tc>
          <w:tcPr>
            <w:tcW w:w="3940" w:type="dxa"/>
            <w:vAlign w:val="bottom"/>
            <w:tcBorders>
              <w:top w:val="single" w:sz="8" w:color="CFF0FC"/>
            </w:tcBorders>
          </w:tcPr>
          <w:p>
            <w:pPr>
              <w:spacing w:after="0"/>
              <w:rPr>
                <w:sz w:val="24"/>
                <w:szCs w:val="24"/>
                <w:color w:val="auto"/>
              </w:rPr>
            </w:pPr>
          </w:p>
        </w:tc>
        <w:tc>
          <w:tcPr>
            <w:tcW w:w="3960" w:type="dxa"/>
            <w:vAlign w:val="bottom"/>
            <w:tcBorders>
              <w:top w:val="single" w:sz="8" w:color="CFF0FC"/>
            </w:tcBorders>
          </w:tcPr>
          <w:p>
            <w:pPr>
              <w:ind w:left="1680"/>
              <w:spacing w:after="0"/>
              <w:rPr>
                <w:sz w:val="20"/>
                <w:szCs w:val="20"/>
                <w:color w:val="auto"/>
              </w:rPr>
            </w:pPr>
            <w:r>
              <w:rPr>
                <w:rFonts w:ascii="Arial" w:cs="Arial" w:eastAsia="Arial" w:hAnsi="Arial"/>
                <w:sz w:val="12"/>
                <w:szCs w:val="12"/>
                <w:color w:val="auto"/>
              </w:rPr>
              <w:t>F-32</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940" w:type="dxa"/>
            <w:vAlign w:val="bottom"/>
            <w:tcBorders>
              <w:bottom w:val="single" w:sz="8" w:color="9A9A9A"/>
            </w:tcBorders>
          </w:tcPr>
          <w:p>
            <w:pPr>
              <w:spacing w:after="0"/>
              <w:rPr>
                <w:sz w:val="6"/>
                <w:szCs w:val="6"/>
                <w:color w:val="auto"/>
              </w:rPr>
            </w:pPr>
          </w:p>
        </w:tc>
        <w:tc>
          <w:tcPr>
            <w:tcW w:w="39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46" w:right="179" w:bottom="1440" w:gutter="0" w:footer="0" w:header="0"/>
        </w:sectPr>
      </w:pPr>
    </w:p>
    <w:bookmarkStart w:id="82" w:name="page83"/>
    <w:bookmarkEnd w:id="82"/>
    <w:p>
      <w:pPr>
        <w:ind w:left="8" w:right="60" w:firstLine="521"/>
        <w:spacing w:after="0" w:line="263" w:lineRule="auto"/>
        <w:rPr>
          <w:sz w:val="20"/>
          <w:szCs w:val="20"/>
          <w:color w:val="auto"/>
        </w:rPr>
      </w:pPr>
      <w:r>
        <w:rPr>
          <w:rFonts w:ascii="Arial" w:cs="Arial" w:eastAsia="Arial" w:hAnsi="Arial"/>
          <w:sz w:val="12"/>
          <w:szCs w:val="12"/>
          <w:color w:val="auto"/>
        </w:rPr>
        <w:t>The Company recognizes interest and penalties related to uncertain tax positions in income tax expense. The reserve for uncertain tax positions includes $0.3 million, $0.3 million and $0.2 million of interest and penalties as of December 31, 2018, 2017 and 2016, respectively. The favorable settlement of all uncertain tax positions would impact the Company’s effective income tax rate. Tax years going back to 2014 remain open for examination by Federal authorities, and back to 2013 remain open for all significant state and foreign authorities.</w:t>
      </w:r>
    </w:p>
    <w:p>
      <w:pPr>
        <w:spacing w:after="0" w:line="245" w:lineRule="exact"/>
        <w:rPr>
          <w:sz w:val="20"/>
          <w:szCs w:val="20"/>
          <w:color w:val="auto"/>
        </w:rPr>
      </w:pPr>
    </w:p>
    <w:p>
      <w:pPr>
        <w:ind w:left="508" w:hanging="508"/>
        <w:spacing w:after="0"/>
        <w:tabs>
          <w:tab w:leader="none" w:pos="508"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82" w:lineRule="exact"/>
        <w:rPr>
          <w:sz w:val="20"/>
          <w:szCs w:val="20"/>
          <w:color w:val="auto"/>
        </w:rPr>
      </w:pPr>
    </w:p>
    <w:p>
      <w:pPr>
        <w:ind w:left="8" w:right="80" w:firstLine="521"/>
        <w:spacing w:after="0" w:line="263" w:lineRule="auto"/>
        <w:rPr>
          <w:sz w:val="20"/>
          <w:szCs w:val="20"/>
          <w:color w:val="auto"/>
        </w:rPr>
      </w:pPr>
      <w:r>
        <w:rPr>
          <w:rFonts w:ascii="Arial" w:cs="Arial" w:eastAsia="Arial" w:hAnsi="Arial"/>
          <w:sz w:val="12"/>
          <w:szCs w:val="12"/>
          <w:color w:val="auto"/>
        </w:rPr>
        <w:t>During 2018, 2017 and 2016 we paid fees of $0.2 million, $0.3 million and $0.4 million, respectively, for consulting services to Icarus, through which Jason DeZwirek, our Chairman of our Board, provides services. During 2018, 2017 and 2016, we paid fees of $0.1 million in each year for consulting services to JMP Fam Holdings Inc., through which Jonathan Pollack, a member of the Board of Directors, provides services. All services described above are based on verbal agreements with the Company. The Board of Directors approves the above services on an annual basis.</w:t>
      </w:r>
    </w:p>
    <w:p>
      <w:pPr>
        <w:spacing w:after="0" w:line="51" w:lineRule="exact"/>
        <w:rPr>
          <w:sz w:val="20"/>
          <w:szCs w:val="20"/>
          <w:color w:val="auto"/>
        </w:rPr>
      </w:pPr>
    </w:p>
    <w:p>
      <w:pPr>
        <w:ind w:left="8" w:right="240" w:firstLine="521"/>
        <w:spacing w:after="0" w:line="276" w:lineRule="auto"/>
        <w:rPr>
          <w:sz w:val="20"/>
          <w:szCs w:val="20"/>
          <w:color w:val="auto"/>
        </w:rPr>
      </w:pPr>
      <w:r>
        <w:rPr>
          <w:rFonts w:ascii="Arial" w:cs="Arial" w:eastAsia="Arial" w:hAnsi="Arial"/>
          <w:sz w:val="12"/>
          <w:szCs w:val="12"/>
          <w:color w:val="auto"/>
        </w:rPr>
        <w:t>During the year ended December 31, 2016, the Company issued 89,640 shares of common stock to Icarus in connection with a cashless exercise of a warrant. In 2016, the Company entered into an agreement to repurchase 75,000 shares of common stock from a current employee. See Note 10 for further detail related to these transactions.</w:t>
      </w:r>
    </w:p>
    <w:p>
      <w:pPr>
        <w:spacing w:after="0" w:line="115" w:lineRule="exact"/>
        <w:rPr>
          <w:sz w:val="20"/>
          <w:szCs w:val="20"/>
          <w:color w:val="auto"/>
        </w:rPr>
      </w:pPr>
    </w:p>
    <w:p>
      <w:pPr>
        <w:ind w:left="8" w:firstLine="521"/>
        <w:spacing w:after="0" w:line="276" w:lineRule="auto"/>
        <w:rPr>
          <w:sz w:val="20"/>
          <w:szCs w:val="20"/>
          <w:color w:val="auto"/>
        </w:rPr>
      </w:pPr>
      <w:r>
        <w:rPr>
          <w:rFonts w:ascii="Arial" w:cs="Arial" w:eastAsia="Arial" w:hAnsi="Arial"/>
          <w:sz w:val="12"/>
          <w:szCs w:val="12"/>
          <w:color w:val="auto"/>
        </w:rPr>
        <w:t>During 2018, 2017, and 2016, we incurred rent expense of $0.6 million, $0.6 million, and $1.1 million, respectively, to lease facilities owned by the subsidiaries’ former owners at Adwest, Zhongli and Emtrol. Effective January 1, 2017, Adwest moved facilities and ended their lease with the former owner of the subsidiary, resulting in zero rent expense paid to the former owner.</w:t>
      </w:r>
    </w:p>
    <w:p>
      <w:pPr>
        <w:spacing w:after="0" w:line="115" w:lineRule="exact"/>
        <w:rPr>
          <w:sz w:val="20"/>
          <w:szCs w:val="20"/>
          <w:color w:val="auto"/>
        </w:rPr>
      </w:pPr>
    </w:p>
    <w:p>
      <w:pPr>
        <w:ind w:left="8" w:right="80" w:firstLine="521"/>
        <w:spacing w:after="0" w:line="276" w:lineRule="auto"/>
        <w:rPr>
          <w:sz w:val="20"/>
          <w:szCs w:val="20"/>
          <w:color w:val="auto"/>
        </w:rPr>
      </w:pPr>
      <w:r>
        <w:rPr>
          <w:rFonts w:ascii="Arial" w:cs="Arial" w:eastAsia="Arial" w:hAnsi="Arial"/>
          <w:sz w:val="12"/>
          <w:szCs w:val="12"/>
          <w:color w:val="auto"/>
        </w:rPr>
        <w:t>During 2018, 2017, and 2016, we purchased $0.3 million, $0.8 million and $0.8 million in inventory from companies owned by the former owner of the Zhongli subsidiary. During 2018, 2017, and 2016, we sold $0.1 million, $0.1 million and zero of inventory to the same companies. The Company employed the former owner in a managerial role at this subsidiary through December 31, 2017.</w:t>
      </w:r>
    </w:p>
    <w:p>
      <w:pPr>
        <w:spacing w:after="0" w:line="237" w:lineRule="exact"/>
        <w:rPr>
          <w:sz w:val="20"/>
          <w:szCs w:val="20"/>
          <w:color w:val="auto"/>
        </w:rPr>
      </w:pPr>
    </w:p>
    <w:p>
      <w:pPr>
        <w:ind w:left="588" w:hanging="588"/>
        <w:spacing w:after="0"/>
        <w:tabs>
          <w:tab w:leader="none" w:pos="588"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 of Noncontrolling Interest</w:t>
      </w:r>
    </w:p>
    <w:p>
      <w:pPr>
        <w:spacing w:after="0" w:line="154" w:lineRule="exact"/>
        <w:rPr>
          <w:sz w:val="20"/>
          <w:szCs w:val="20"/>
          <w:color w:val="auto"/>
        </w:rPr>
      </w:pPr>
    </w:p>
    <w:p>
      <w:pPr>
        <w:ind w:left="8" w:right="20" w:firstLine="521"/>
        <w:spacing w:after="0" w:line="294" w:lineRule="auto"/>
        <w:rPr>
          <w:sz w:val="20"/>
          <w:szCs w:val="20"/>
          <w:color w:val="auto"/>
        </w:rPr>
      </w:pPr>
      <w:r>
        <w:rPr>
          <w:rFonts w:ascii="Arial" w:cs="Arial" w:eastAsia="Arial" w:hAnsi="Arial"/>
          <w:sz w:val="11"/>
          <w:szCs w:val="11"/>
          <w:color w:val="auto"/>
        </w:rPr>
        <w:t>In connection with the 2015 Peerless Mfg. Co. acquisition, the Company acquired a 60% equity investment in Peerless Propulsys that entitled the Company to 80% of Peerless Propulsys’s earnings. On July 11, 2016, the Company entered into an agreement with the noncontrolling owner of Peerless Propulsys and issued a promissory note in the amount of $5.3 million due on July 11, 2019 in exchange for 100% ownership in the equity and earnings of Peerless Propulsys. The minority interest had a carrying value of $4.1 million on the transaction date, compared to the purchase price of $5.3 million. Since the Company already had control over the equity investment, the $1.2 million excess paid over the carrying value was recorded as a reduction to additional paid in capital. The interest rate on the note is 1.50%, which approximates the market rate given the short-term duration of the note. As of December 31, 2018, the outstanding balance of the note was $1.7 million and was paid off in January 2019. The note is classified as a current liability in the Consolidated Balance Sheets as of December 31, 2018.</w:t>
      </w:r>
    </w:p>
    <w:p>
      <w:pPr>
        <w:spacing w:after="0" w:line="104" w:lineRule="exact"/>
        <w:rPr>
          <w:sz w:val="20"/>
          <w:szCs w:val="20"/>
          <w:color w:val="auto"/>
        </w:rPr>
      </w:pPr>
    </w:p>
    <w:p>
      <w:pPr>
        <w:ind w:left="508" w:hanging="508"/>
        <w:spacing w:after="0"/>
        <w:tabs>
          <w:tab w:leader="none" w:pos="508"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Divestitures</w:t>
      </w:r>
    </w:p>
    <w:p>
      <w:pPr>
        <w:spacing w:after="0" w:line="154" w:lineRule="exact"/>
        <w:rPr>
          <w:rFonts w:ascii="Arial" w:cs="Arial" w:eastAsia="Arial" w:hAnsi="Arial"/>
          <w:sz w:val="12"/>
          <w:szCs w:val="12"/>
          <w:b w:val="1"/>
          <w:bCs w:val="1"/>
          <w:color w:val="auto"/>
        </w:rPr>
      </w:pPr>
    </w:p>
    <w:p>
      <w:pPr>
        <w:ind w:left="528"/>
        <w:spacing w:after="0"/>
        <w:rPr>
          <w:rFonts w:ascii="Arial" w:cs="Arial" w:eastAsia="Arial" w:hAnsi="Arial"/>
          <w:sz w:val="12"/>
          <w:szCs w:val="12"/>
          <w:b w:val="1"/>
          <w:bCs w:val="1"/>
          <w:color w:val="auto"/>
        </w:rPr>
      </w:pPr>
      <w:r>
        <w:rPr>
          <w:rFonts w:ascii="Arial" w:cs="Arial" w:eastAsia="Arial" w:hAnsi="Arial"/>
          <w:sz w:val="12"/>
          <w:szCs w:val="12"/>
          <w:i w:val="1"/>
          <w:iCs w:val="1"/>
          <w:color w:val="auto"/>
        </w:rPr>
        <w:t>Strobic Air Corporation</w:t>
      </w:r>
    </w:p>
    <w:p>
      <w:pPr>
        <w:spacing w:after="0" w:line="150" w:lineRule="exact"/>
        <w:rPr>
          <w:sz w:val="20"/>
          <w:szCs w:val="20"/>
          <w:color w:val="auto"/>
        </w:rPr>
      </w:pPr>
    </w:p>
    <w:p>
      <w:pPr>
        <w:ind w:left="8" w:right="40" w:firstLine="521"/>
        <w:spacing w:after="0" w:line="283" w:lineRule="auto"/>
        <w:rPr>
          <w:sz w:val="20"/>
          <w:szCs w:val="20"/>
          <w:color w:val="auto"/>
        </w:rPr>
      </w:pPr>
      <w:r>
        <w:rPr>
          <w:rFonts w:ascii="Arial" w:cs="Arial" w:eastAsia="Arial" w:hAnsi="Arial"/>
          <w:sz w:val="11"/>
          <w:szCs w:val="11"/>
          <w:color w:val="auto"/>
        </w:rPr>
        <w:t>On March 30, 2018, the Company completed the sale of Strobic Air Corporation (“Strobic”) as part of its strategic decision to exit brands that do not align with the CECO portfolio to increase focus on better serving the energy and industrial solutions and fluid handling markets. The sales price was $28.5 million, subject to post-closing purchase price adjustments. The disposition resulted in a gain of $6.9 million, comprised of $27.9 million of net proceeds received as consideration after post-closing purchase price adjustments less net assets disposed of $18.8 million and transaction costs of $2.2 million. The net assets disposed of are primarily comprised of $13.0 million of goodwill, $2.3 million of definite-lived intangible assets and $1.2 million of indefinite-lived intangible assets allocated to the Strobic business. In 2017, Strobic reported $17.7 million in net sales and $1.6 million in income from operations. Strobic results through the date of disposition are included within income before income taxes in the Consolidated Statement of Operations and are reported within the Fluid Handling Solutions segment. The sale of Strobic did not constitute a significant strategic shift that will have a material impact on the Company’s ongoing operations and financial results.</w:t>
      </w:r>
    </w:p>
    <w:p>
      <w:pPr>
        <w:spacing w:after="0" w:line="258"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8"/>
          </w:cols>
          <w:pgMar w:left="212" w:top="464" w:right="279" w:bottom="1440" w:gutter="0" w:footer="0" w:header="0"/>
        </w:sectPr>
      </w:pPr>
    </w:p>
    <w:bookmarkStart w:id="83" w:name="page84"/>
    <w:bookmarkEnd w:id="83"/>
    <w:p>
      <w:pPr>
        <w:ind w:left="528"/>
        <w:spacing w:after="0"/>
        <w:rPr>
          <w:sz w:val="20"/>
          <w:szCs w:val="20"/>
          <w:color w:val="auto"/>
        </w:rPr>
      </w:pPr>
      <w:r>
        <w:rPr>
          <w:rFonts w:ascii="Arial" w:cs="Arial" w:eastAsia="Arial" w:hAnsi="Arial"/>
          <w:sz w:val="12"/>
          <w:szCs w:val="12"/>
          <w:i w:val="1"/>
          <w:iCs w:val="1"/>
          <w:color w:val="auto"/>
        </w:rPr>
        <w:t>Keystone Filter</w:t>
      </w:r>
    </w:p>
    <w:p>
      <w:pPr>
        <w:spacing w:after="0" w:line="150" w:lineRule="exact"/>
        <w:rPr>
          <w:sz w:val="20"/>
          <w:szCs w:val="20"/>
          <w:color w:val="auto"/>
        </w:rPr>
      </w:pPr>
    </w:p>
    <w:p>
      <w:pPr>
        <w:ind w:left="8" w:right="120" w:firstLine="521"/>
        <w:spacing w:after="0" w:line="340" w:lineRule="auto"/>
        <w:rPr>
          <w:sz w:val="20"/>
          <w:szCs w:val="20"/>
          <w:color w:val="auto"/>
        </w:rPr>
      </w:pPr>
      <w:r>
        <w:rPr>
          <w:rFonts w:ascii="Arial" w:cs="Arial" w:eastAsia="Arial" w:hAnsi="Arial"/>
          <w:sz w:val="10"/>
          <w:szCs w:val="10"/>
          <w:color w:val="auto"/>
        </w:rPr>
        <w:t>On February 28, 2018, the Company completed the sale of the Keystone Filter brand (“Keystone”) as part of its strategic decision to exit brands that do not align with the CECO portfolio to increase focus on better serving energy and industrial solutions and fluid handling markets. The sales price was $7.5 million, subject to post-closing purchase price adjustments. The disposition resulted in a gain of $4.3 million, comprised of $7.2 million of net proceeds after post-closing purchase price adjustments less net assets disposed of $2.7 million and transaction costs of $0.2 million. Keystone results are reported within the Fluid Handling Solutions segment through the date of disposition.</w:t>
      </w:r>
    </w:p>
    <w:p>
      <w:pPr>
        <w:spacing w:after="0" w:line="88" w:lineRule="exact"/>
        <w:rPr>
          <w:sz w:val="20"/>
          <w:szCs w:val="20"/>
          <w:color w:val="auto"/>
        </w:rPr>
      </w:pPr>
    </w:p>
    <w:p>
      <w:pPr>
        <w:ind w:left="528"/>
        <w:spacing w:after="0"/>
        <w:rPr>
          <w:sz w:val="20"/>
          <w:szCs w:val="20"/>
          <w:color w:val="auto"/>
        </w:rPr>
      </w:pPr>
      <w:r>
        <w:rPr>
          <w:rFonts w:ascii="Arial" w:cs="Arial" w:eastAsia="Arial" w:hAnsi="Arial"/>
          <w:sz w:val="12"/>
          <w:szCs w:val="12"/>
          <w:i w:val="1"/>
          <w:iCs w:val="1"/>
          <w:color w:val="auto"/>
        </w:rPr>
        <w:t>Zhongli</w:t>
      </w:r>
    </w:p>
    <w:p>
      <w:pPr>
        <w:spacing w:after="0" w:line="150" w:lineRule="exact"/>
        <w:rPr>
          <w:sz w:val="20"/>
          <w:szCs w:val="20"/>
          <w:color w:val="auto"/>
        </w:rPr>
      </w:pPr>
    </w:p>
    <w:p>
      <w:pPr>
        <w:ind w:left="8" w:right="60" w:firstLine="521"/>
        <w:spacing w:after="0" w:line="259" w:lineRule="auto"/>
        <w:rPr>
          <w:sz w:val="20"/>
          <w:szCs w:val="20"/>
          <w:color w:val="auto"/>
        </w:rPr>
      </w:pPr>
      <w:r>
        <w:rPr>
          <w:rFonts w:ascii="Arial" w:cs="Arial" w:eastAsia="Arial" w:hAnsi="Arial"/>
          <w:sz w:val="12"/>
          <w:szCs w:val="12"/>
          <w:color w:val="auto"/>
        </w:rPr>
        <w:t>On November 27, 2018, the Company completed the sale of Jiangyin Zhongli Industrial Technology Co. Ltd (“Zhongli”), a business in our Energy Solutions segment operating in China for a price of $3.6 million. In the third quarter of 2018, we classified the assets and liabilities of Zhongli as held-for-sale. In connection with classifying this business as held-for-sale, GAAP required us to assess impairment by comparing the estimated selling price, less cost to sell to our carrying value in Zhongli. Based on this analysis, we recorded a $15.1 million estimated loss. The disposal of this business does not constitute a significant strategic shift that will have a material impact on the Company’s ongoing operations and financial results. Zhongli results are reported within the Energy Solutions segment through the date of disposition.</w:t>
      </w:r>
    </w:p>
    <w:p>
      <w:pPr>
        <w:spacing w:after="0" w:line="112" w:lineRule="exact"/>
        <w:rPr>
          <w:sz w:val="20"/>
          <w:szCs w:val="20"/>
          <w:color w:val="auto"/>
        </w:rPr>
      </w:pPr>
    </w:p>
    <w:p>
      <w:pPr>
        <w:ind w:left="508" w:hanging="508"/>
        <w:spacing w:after="0"/>
        <w:tabs>
          <w:tab w:leader="none" w:pos="508"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Business Segment Information</w:t>
      </w:r>
    </w:p>
    <w:p>
      <w:pPr>
        <w:spacing w:after="0" w:line="82" w:lineRule="exact"/>
        <w:rPr>
          <w:sz w:val="20"/>
          <w:szCs w:val="20"/>
          <w:color w:val="auto"/>
        </w:rPr>
      </w:pPr>
    </w:p>
    <w:p>
      <w:pPr>
        <w:ind w:left="8" w:right="40" w:firstLine="521"/>
        <w:spacing w:after="0" w:line="340" w:lineRule="auto"/>
        <w:rPr>
          <w:sz w:val="20"/>
          <w:szCs w:val="20"/>
          <w:color w:val="auto"/>
        </w:rPr>
      </w:pPr>
      <w:r>
        <w:rPr>
          <w:rFonts w:ascii="Arial" w:cs="Arial" w:eastAsia="Arial" w:hAnsi="Arial"/>
          <w:sz w:val="10"/>
          <w:szCs w:val="10"/>
          <w:color w:val="auto"/>
        </w:rPr>
        <w:t>The Company’s operations are organized and reviewed by management along its product lines or end market that the segment serves and are presented in three reportable segments. The results of the segments are reviewed through to the “Income (loss) from operations” line on the Consolidated Statements of Operations. The accounting policies of the segments are the same as those in the consolidated financial statements. Except for the information reported on a segment basis, the Company does not accumulate net sales information by product or service and therefore, the Company does not disclose net sales by product or service because to do so would be impractical.</w:t>
      </w:r>
    </w:p>
    <w:p>
      <w:pPr>
        <w:spacing w:after="0" w:line="16" w:lineRule="exact"/>
        <w:rPr>
          <w:sz w:val="20"/>
          <w:szCs w:val="20"/>
          <w:color w:val="auto"/>
        </w:rPr>
      </w:pPr>
    </w:p>
    <w:p>
      <w:pPr>
        <w:ind w:left="8" w:right="20" w:firstLine="581"/>
        <w:spacing w:after="0" w:line="340" w:lineRule="auto"/>
        <w:rPr>
          <w:sz w:val="20"/>
          <w:szCs w:val="20"/>
          <w:color w:val="auto"/>
        </w:rPr>
      </w:pPr>
      <w:r>
        <w:rPr>
          <w:rFonts w:ascii="Arial" w:cs="Arial" w:eastAsia="Arial" w:hAnsi="Arial"/>
          <w:sz w:val="10"/>
          <w:szCs w:val="10"/>
          <w:color w:val="auto"/>
        </w:rPr>
        <w:t>During the first quarter of 2018, the Company finalized an overall assessment and recalibration of its strategy. As a part of the changes to its strategy, management determined that a realignment of the Company’s segments was necessary to better reflect the technologies and solutions we provide, and the end markets we serve. As a result of this realignment, the reportable segments of the Company have been renamed and we reclassified the operating results of certain business units within the Energy Solutions and Industrial Solutions segments to have their reportable segment more closely align with our strategy. We have reclassified all prior year amounts to reflect the new segment structure.</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Company’s reportable segments are organized as groups of similar products and services, as described as follows:</w:t>
      </w:r>
    </w:p>
    <w:p>
      <w:pPr>
        <w:spacing w:after="0" w:line="146" w:lineRule="exact"/>
        <w:rPr>
          <w:sz w:val="20"/>
          <w:szCs w:val="20"/>
          <w:color w:val="auto"/>
        </w:rPr>
      </w:pPr>
    </w:p>
    <w:p>
      <w:pPr>
        <w:ind w:left="748" w:right="120" w:hanging="370"/>
        <w:spacing w:after="0" w:line="267" w:lineRule="auto"/>
        <w:tabs>
          <w:tab w:leader="none" w:pos="748"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Energy Solutions segment: </w:t>
      </w:r>
      <w:r>
        <w:rPr>
          <w:rFonts w:ascii="Arial" w:cs="Arial" w:eastAsia="Arial" w:hAnsi="Arial"/>
          <w:sz w:val="12"/>
          <w:szCs w:val="12"/>
          <w:color w:val="auto"/>
        </w:rPr>
        <w:t>Our Energy Solutions segment serves the Energy market, where we are a key part of helping meet the global demand for Clean Energy with products and services that support our customers</w:t>
      </w:r>
      <w:r>
        <w:rPr>
          <w:rFonts w:ascii="Arial" w:cs="Arial" w:eastAsia="Arial" w:hAnsi="Arial"/>
          <w:sz w:val="12"/>
          <w:szCs w:val="12"/>
          <w:b w:val="1"/>
          <w:bCs w:val="1"/>
          <w:color w:val="auto"/>
        </w:rPr>
        <w:t xml:space="preserve"> </w:t>
      </w:r>
      <w:r>
        <w:rPr>
          <w:rFonts w:ascii="Arial" w:cs="Arial" w:eastAsia="Arial" w:hAnsi="Arial"/>
          <w:sz w:val="12"/>
          <w:szCs w:val="12"/>
          <w:color w:val="auto"/>
        </w:rPr>
        <w:t>with efficient solutions and technologies to keep the world clean and safe. Our offerings improve air quality and solves fluid handling needs with market leading, highly engineered, and customized solutions for the power generation, oil &amp; gas, and petrochemical industries.</w:t>
      </w:r>
    </w:p>
    <w:p>
      <w:pPr>
        <w:spacing w:after="0" w:line="115" w:lineRule="exact"/>
        <w:rPr>
          <w:rFonts w:ascii="Arial" w:cs="Arial" w:eastAsia="Arial" w:hAnsi="Arial"/>
          <w:sz w:val="12"/>
          <w:szCs w:val="12"/>
          <w:color w:val="auto"/>
        </w:rPr>
      </w:pPr>
    </w:p>
    <w:p>
      <w:pPr>
        <w:jc w:val="both"/>
        <w:ind w:left="748" w:right="20" w:hanging="370"/>
        <w:spacing w:after="0" w:line="267" w:lineRule="auto"/>
        <w:tabs>
          <w:tab w:leader="none" w:pos="748"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Industrial Solutions segment: </w:t>
      </w:r>
      <w:r>
        <w:rPr>
          <w:rFonts w:ascii="Arial" w:cs="Arial" w:eastAsia="Arial" w:hAnsi="Arial"/>
          <w:sz w:val="12"/>
          <w:szCs w:val="12"/>
          <w:color w:val="auto"/>
        </w:rPr>
        <w:t>Our Industrial Solutions segment serves the Industrial Pollution Control market where our aim is to address the growing need to protect the air we breathe and help our customers’ desires for</w:t>
      </w:r>
      <w:r>
        <w:rPr>
          <w:rFonts w:ascii="Arial" w:cs="Arial" w:eastAsia="Arial" w:hAnsi="Arial"/>
          <w:sz w:val="12"/>
          <w:szCs w:val="12"/>
          <w:b w:val="1"/>
          <w:bCs w:val="1"/>
          <w:color w:val="auto"/>
        </w:rPr>
        <w:t xml:space="preserve"> </w:t>
      </w:r>
      <w:r>
        <w:rPr>
          <w:rFonts w:ascii="Arial" w:cs="Arial" w:eastAsia="Arial" w:hAnsi="Arial"/>
          <w:sz w:val="12"/>
          <w:szCs w:val="12"/>
          <w:color w:val="auto"/>
        </w:rPr>
        <w:t>sustainability upgrades beyond carbon footprint issues. Our offerings improve air quality with a compelling solution set of air pollution control technologies that enable our customers to reduce their carbon footprint, lower energy consumption, minimize waste and meet compliance targets for toxic emissions, fumes, volatile organic compounds, and industrial odors.</w:t>
      </w:r>
    </w:p>
    <w:p>
      <w:pPr>
        <w:spacing w:after="0" w:line="133" w:lineRule="exact"/>
        <w:rPr>
          <w:rFonts w:ascii="Arial" w:cs="Arial" w:eastAsia="Arial" w:hAnsi="Arial"/>
          <w:sz w:val="12"/>
          <w:szCs w:val="12"/>
          <w:color w:val="auto"/>
        </w:rPr>
      </w:pPr>
    </w:p>
    <w:p>
      <w:pPr>
        <w:ind w:left="748" w:hanging="370"/>
        <w:spacing w:after="0" w:line="267" w:lineRule="auto"/>
        <w:tabs>
          <w:tab w:leader="none" w:pos="748"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Fluid Handling Solutions segment: </w:t>
      </w:r>
      <w:r>
        <w:rPr>
          <w:rFonts w:ascii="Arial" w:cs="Arial" w:eastAsia="Arial" w:hAnsi="Arial"/>
          <w:sz w:val="12"/>
          <w:szCs w:val="12"/>
          <w:color w:val="auto"/>
        </w:rPr>
        <w:t>Our Fluid Handling Solutions segment offers unique pump and filtration solutions that maintain safe and clean operations in some of the most harsh and toxic environments. In this</w:t>
      </w:r>
      <w:r>
        <w:rPr>
          <w:rFonts w:ascii="Arial" w:cs="Arial" w:eastAsia="Arial" w:hAnsi="Arial"/>
          <w:sz w:val="12"/>
          <w:szCs w:val="12"/>
          <w:b w:val="1"/>
          <w:bCs w:val="1"/>
          <w:color w:val="auto"/>
        </w:rPr>
        <w:t xml:space="preserve"> </w:t>
      </w:r>
      <w:r>
        <w:rPr>
          <w:rFonts w:ascii="Arial" w:cs="Arial" w:eastAsia="Arial" w:hAnsi="Arial"/>
          <w:sz w:val="12"/>
          <w:szCs w:val="12"/>
          <w:color w:val="auto"/>
        </w:rPr>
        <w:t>market, we provide solutions for mission-critical applications to a wide variety of industries including, but not limited to, plating and metal finishing, food and beverage, chemical, petrochemical, pharmaceutical, wastewater treatment, desalination and the aquarium &amp; aquaculture markets.</w:t>
      </w:r>
    </w:p>
    <w:p>
      <w:pPr>
        <w:spacing w:after="0" w:line="16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419" w:right="219" w:bottom="1440" w:gutter="0" w:footer="0" w:header="0"/>
        </w:sectPr>
      </w:pPr>
    </w:p>
    <w:bookmarkStart w:id="84" w:name="page85"/>
    <w:bookmarkEnd w:id="84"/>
    <w:tbl>
      <w:tblPr>
        <w:tblLayout w:type="fixed"/>
        <w:tblInd w:w="8" w:type="dxa"/>
        <w:tblCellMar>
          <w:top w:w="0" w:type="dxa"/>
          <w:left w:w="0" w:type="dxa"/>
          <w:bottom w:w="0" w:type="dxa"/>
          <w:right w:w="0" w:type="dxa"/>
        </w:tblCellMar>
      </w:tblPr>
      <w:tr>
        <w:trPr>
          <w:trHeight w:val="115"/>
        </w:trPr>
        <w:tc>
          <w:tcPr>
            <w:tcW w:w="6780" w:type="dxa"/>
            <w:vAlign w:val="bottom"/>
            <w:tcBorders>
              <w:bottom w:val="single" w:sz="8" w:color="CFF0FC"/>
            </w:tcBorders>
          </w:tcPr>
          <w:p>
            <w:pPr>
              <w:spacing w:after="0"/>
              <w:rPr>
                <w:sz w:val="10"/>
                <w:szCs w:val="10"/>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2017</w:t>
            </w: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r>
      <w:tr>
        <w:trPr>
          <w:trHeight w:val="142"/>
        </w:trPr>
        <w:tc>
          <w:tcPr>
            <w:tcW w:w="6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Sales (less intra-, inter-segment sales)</w:t>
            </w: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Solutions segment</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211,185</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188,955</w:t>
            </w:r>
          </w:p>
        </w:tc>
        <w:tc>
          <w:tcPr>
            <w:tcW w:w="1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1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254,806</w:t>
            </w:r>
          </w:p>
        </w:tc>
        <w:tc>
          <w:tcPr>
            <w:tcW w:w="120" w:type="dxa"/>
            <w:vAlign w:val="bottom"/>
            <w:shd w:val="clear" w:color="auto" w:fill="CFF0FC"/>
          </w:tcPr>
          <w:p>
            <w:pPr>
              <w:spacing w:after="0"/>
              <w:rPr>
                <w:sz w:val="13"/>
                <w:szCs w:val="13"/>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Industrial Solutions segment</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75,414</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87,838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101,909</w:t>
            </w:r>
          </w:p>
        </w:tc>
        <w:tc>
          <w:tcPr>
            <w:tcW w:w="120" w:type="dxa"/>
            <w:vAlign w:val="bottom"/>
          </w:tcPr>
          <w:p>
            <w:pPr>
              <w:spacing w:after="0"/>
              <w:rPr>
                <w:sz w:val="13"/>
                <w:szCs w:val="13"/>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Solutions segment</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50,740</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69,159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61,788</w:t>
            </w:r>
          </w:p>
        </w:tc>
        <w:tc>
          <w:tcPr>
            <w:tcW w:w="120" w:type="dxa"/>
            <w:vAlign w:val="bottom"/>
            <w:shd w:val="clear" w:color="auto" w:fill="CFF0FC"/>
          </w:tcPr>
          <w:p>
            <w:pPr>
              <w:spacing w:after="0"/>
              <w:rPr>
                <w:sz w:val="13"/>
                <w:szCs w:val="13"/>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Corporate and Other (1)</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(901)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(1,492)</w:t>
            </w:r>
          </w:p>
        </w:tc>
      </w:tr>
      <w:tr>
        <w:trPr>
          <w:trHeight w:val="149"/>
        </w:trPr>
        <w:tc>
          <w:tcPr>
            <w:tcW w:w="6780" w:type="dxa"/>
            <w:vAlign w:val="bottom"/>
            <w:tcBorders>
              <w:top w:val="single" w:sz="8" w:color="CFF0FC"/>
              <w:bottom w:val="single" w:sz="8" w:color="CFF0FC"/>
            </w:tcBorders>
            <w:shd w:val="clear" w:color="auto" w:fill="CFF0FC"/>
          </w:tcPr>
          <w:p>
            <w:pPr>
              <w:ind w:left="320"/>
              <w:spacing w:after="0"/>
              <w:rPr>
                <w:sz w:val="20"/>
                <w:szCs w:val="20"/>
                <w:color w:val="auto"/>
              </w:rPr>
            </w:pPr>
            <w:r>
              <w:rPr>
                <w:rFonts w:ascii="Arial" w:cs="Arial" w:eastAsia="Arial" w:hAnsi="Arial"/>
                <w:sz w:val="12"/>
                <w:szCs w:val="12"/>
                <w:b w:val="1"/>
                <w:bCs w:val="1"/>
                <w:color w:val="auto"/>
              </w:rPr>
              <w:t>Net sales</w:t>
            </w:r>
          </w:p>
        </w:tc>
        <w:tc>
          <w:tcPr>
            <w:tcW w:w="86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337,339</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345,051</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80" w:lineRule="exact"/>
        <w:rPr>
          <w:sz w:val="20"/>
          <w:szCs w:val="20"/>
          <w:color w:val="auto"/>
        </w:rPr>
      </w:pPr>
    </w:p>
    <w:p>
      <w:pPr>
        <w:ind w:left="508" w:hanging="508"/>
        <w:spacing w:after="0"/>
        <w:tabs>
          <w:tab w:leader="none" w:pos="508"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Includes adjustment for revenue on intercompany jobs.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800" w:type="dxa"/>
            <w:vAlign w:val="bottom"/>
            <w:tcBorders>
              <w:bottom w:val="single" w:sz="8" w:color="CFF0FC"/>
            </w:tcBorders>
          </w:tcPr>
          <w:p>
            <w:pPr>
              <w:spacing w:after="0"/>
              <w:rPr>
                <w:sz w:val="10"/>
                <w:szCs w:val="10"/>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2017</w:t>
            </w: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Income (loss) from Operations</w:t>
            </w: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Solutions segment</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28,398</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14,565</w:t>
            </w:r>
          </w:p>
        </w:tc>
        <w:tc>
          <w:tcPr>
            <w:tcW w:w="14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30,582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Industrial Solutions segment</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5,635</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8,123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8,481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Solutions segment</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8,402</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14,736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(36,209)</w:t>
            </w:r>
          </w:p>
        </w:tc>
        <w:tc>
          <w:tcPr>
            <w:tcW w:w="0" w:type="dxa"/>
            <w:vAlign w:val="bottom"/>
          </w:tcPr>
          <w:p>
            <w:pPr>
              <w:spacing w:after="0"/>
              <w:rPr>
                <w:sz w:val="1"/>
                <w:szCs w:val="1"/>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Corporate and Other (2)</w:t>
            </w:r>
          </w:p>
        </w:tc>
        <w:tc>
          <w:tcPr>
            <w:tcW w:w="8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(32,433)</w:t>
            </w:r>
          </w:p>
        </w:tc>
        <w:tc>
          <w:tcPr>
            <w:tcW w:w="8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(26,649)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(26,817)</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Eliminations</w:t>
            </w: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(2,751)</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(1,599)</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Income (loss) from operations</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10,002</w:t>
            </w:r>
          </w:p>
        </w:tc>
        <w:tc>
          <w:tcPr>
            <w:tcW w:w="26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8,024</w:t>
            </w:r>
          </w:p>
        </w:tc>
        <w:tc>
          <w:tcPr>
            <w:tcW w:w="140" w:type="dxa"/>
            <w:vAlign w:val="bottom"/>
          </w:tcPr>
          <w:p>
            <w:pPr>
              <w:spacing w:after="0"/>
              <w:rPr>
                <w:sz w:val="12"/>
                <w:szCs w:val="1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(25,562)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0</wp:posOffset>
            </wp:positionV>
            <wp:extent cx="29057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2905760" cy="17145"/>
                    </a:xfrm>
                    <a:prstGeom prst="rect">
                      <a:avLst/>
                    </a:prstGeom>
                    <a:noFill/>
                  </pic:spPr>
                </pic:pic>
              </a:graphicData>
            </a:graphic>
          </wp:anchor>
        </w:drawing>
      </w:r>
    </w:p>
    <w:p>
      <w:pPr>
        <w:ind w:left="608" w:hanging="578"/>
        <w:spacing w:after="0"/>
        <w:tabs>
          <w:tab w:leader="none" w:pos="6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Includes corporate compensation, professional services, information technology, acquisition and integration expenses, and other general, administrative corporate expenses and loss on divestitures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780" w:type="dxa"/>
            <w:vAlign w:val="bottom"/>
            <w:tcBorders>
              <w:bottom w:val="single" w:sz="8" w:color="CFF0FC"/>
            </w:tcBorders>
          </w:tcPr>
          <w:p>
            <w:pPr>
              <w:spacing w:after="0"/>
              <w:rPr>
                <w:sz w:val="10"/>
                <w:szCs w:val="10"/>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2018</w:t>
            </w: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2017</w:t>
            </w: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r>
      <w:tr>
        <w:trPr>
          <w:trHeight w:val="142"/>
        </w:trPr>
        <w:tc>
          <w:tcPr>
            <w:tcW w:w="6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Property and Equipment Additions</w:t>
            </w:r>
          </w:p>
        </w:tc>
        <w:tc>
          <w:tcPr>
            <w:tcW w:w="9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Solutions segment</w:t>
            </w:r>
          </w:p>
        </w:tc>
        <w:tc>
          <w:tcPr>
            <w:tcW w:w="920" w:type="dxa"/>
            <w:vAlign w:val="bottom"/>
            <w:shd w:val="clear" w:color="auto" w:fill="CFF0FC"/>
          </w:tcPr>
          <w:p>
            <w:pPr>
              <w:jc w:val="right"/>
              <w:ind w:right="8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3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444</w:t>
            </w:r>
          </w:p>
        </w:tc>
        <w:tc>
          <w:tcPr>
            <w:tcW w:w="580" w:type="dxa"/>
            <w:vAlign w:val="bottom"/>
            <w:gridSpan w:val="2"/>
            <w:shd w:val="clear" w:color="auto" w:fill="CFF0FC"/>
          </w:tcPr>
          <w:p>
            <w:pPr>
              <w:jc w:val="right"/>
              <w:ind w:right="21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672</w:t>
            </w:r>
          </w:p>
        </w:tc>
        <w:tc>
          <w:tcPr>
            <w:tcW w:w="120" w:type="dxa"/>
            <w:vAlign w:val="bottom"/>
            <w:shd w:val="clear" w:color="auto" w:fill="CFF0FC"/>
          </w:tcPr>
          <w:p>
            <w:pPr>
              <w:spacing w:after="0"/>
              <w:rPr>
                <w:sz w:val="13"/>
                <w:szCs w:val="13"/>
                <w:color w:val="auto"/>
              </w:rPr>
            </w:pPr>
          </w:p>
        </w:tc>
      </w:tr>
      <w:tr>
        <w:trPr>
          <w:trHeight w:val="153"/>
        </w:trPr>
        <w:tc>
          <w:tcPr>
            <w:tcW w:w="6780" w:type="dxa"/>
            <w:vAlign w:val="bottom"/>
          </w:tcPr>
          <w:p>
            <w:pPr>
              <w:ind w:left="160"/>
              <w:spacing w:after="0"/>
              <w:rPr>
                <w:sz w:val="20"/>
                <w:szCs w:val="20"/>
                <w:color w:val="auto"/>
              </w:rPr>
            </w:pPr>
            <w:r>
              <w:rPr>
                <w:rFonts w:ascii="Arial" w:cs="Arial" w:eastAsia="Arial" w:hAnsi="Arial"/>
                <w:sz w:val="12"/>
                <w:szCs w:val="12"/>
                <w:color w:val="auto"/>
              </w:rPr>
              <w:t>Industrial Solutions segment</w:t>
            </w:r>
          </w:p>
        </w:tc>
        <w:tc>
          <w:tcPr>
            <w:tcW w:w="9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756</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301</w:t>
            </w:r>
          </w:p>
        </w:tc>
        <w:tc>
          <w:tcPr>
            <w:tcW w:w="120" w:type="dxa"/>
            <w:vAlign w:val="bottom"/>
          </w:tcPr>
          <w:p>
            <w:pPr>
              <w:spacing w:after="0"/>
              <w:rPr>
                <w:sz w:val="13"/>
                <w:szCs w:val="13"/>
                <w:color w:val="auto"/>
              </w:rPr>
            </w:pPr>
          </w:p>
        </w:tc>
      </w:tr>
      <w:tr>
        <w:trPr>
          <w:trHeight w:val="153"/>
        </w:trPr>
        <w:tc>
          <w:tcPr>
            <w:tcW w:w="6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Solutions segment (3)</w:t>
            </w:r>
          </w:p>
        </w:tc>
        <w:tc>
          <w:tcPr>
            <w:tcW w:w="9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1,226</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4,481</w:t>
            </w:r>
          </w:p>
        </w:tc>
        <w:tc>
          <w:tcPr>
            <w:tcW w:w="120" w:type="dxa"/>
            <w:vAlign w:val="bottom"/>
            <w:shd w:val="clear" w:color="auto" w:fill="CFF0FC"/>
          </w:tcPr>
          <w:p>
            <w:pPr>
              <w:spacing w:after="0"/>
              <w:rPr>
                <w:sz w:val="13"/>
                <w:szCs w:val="13"/>
                <w:color w:val="auto"/>
              </w:rPr>
            </w:pPr>
          </w:p>
        </w:tc>
      </w:tr>
      <w:tr>
        <w:trPr>
          <w:trHeight w:val="153"/>
        </w:trPr>
        <w:tc>
          <w:tcPr>
            <w:tcW w:w="67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Corporate and Other</w:t>
            </w:r>
          </w:p>
        </w:tc>
        <w:tc>
          <w:tcPr>
            <w:tcW w:w="9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w:t>
            </w:r>
          </w:p>
        </w:tc>
        <w:tc>
          <w:tcPr>
            <w:tcW w:w="2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FF0FC"/>
            </w:tcBorders>
          </w:tcPr>
          <w:p>
            <w:pPr>
              <w:spacing w:after="0"/>
              <w:rPr>
                <w:sz w:val="13"/>
                <w:szCs w:val="13"/>
                <w:color w:val="auto"/>
              </w:rPr>
            </w:pPr>
          </w:p>
        </w:tc>
      </w:tr>
      <w:tr>
        <w:trPr>
          <w:trHeight w:val="149"/>
        </w:trPr>
        <w:tc>
          <w:tcPr>
            <w:tcW w:w="6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2"/>
                <w:szCs w:val="12"/>
                <w:b w:val="1"/>
                <w:bCs w:val="1"/>
                <w:color w:val="auto"/>
              </w:rPr>
              <w:t>Property and equipment additions</w:t>
            </w:r>
          </w:p>
        </w:tc>
        <w:tc>
          <w:tcPr>
            <w:tcW w:w="920" w:type="dxa"/>
            <w:vAlign w:val="bottom"/>
            <w:tcBorders>
              <w:bottom w:val="single" w:sz="8" w:color="auto"/>
            </w:tcBorders>
            <w:shd w:val="clear" w:color="auto" w:fill="CFF0FC"/>
          </w:tcPr>
          <w:p>
            <w:pPr>
              <w:jc w:val="right"/>
              <w:ind w:right="81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3,090</w:t>
            </w:r>
          </w:p>
        </w:tc>
        <w:tc>
          <w:tcPr>
            <w:tcW w:w="2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83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1,028</w:t>
            </w:r>
          </w:p>
        </w:tc>
        <w:tc>
          <w:tcPr>
            <w:tcW w:w="2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5,461</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97" w:lineRule="exact"/>
        <w:rPr>
          <w:sz w:val="20"/>
          <w:szCs w:val="20"/>
          <w:color w:val="auto"/>
        </w:rPr>
      </w:pPr>
    </w:p>
    <w:p>
      <w:pPr>
        <w:ind w:left="768" w:hanging="768"/>
        <w:spacing w:after="0"/>
        <w:tabs>
          <w:tab w:leader="none" w:pos="768"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non-cash additions of $4,385 for property, plant, and equipment acquired under capital leases for 2016. See Note 12 for further detail.</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40" w:type="dxa"/>
            <w:vAlign w:val="bottom"/>
            <w:tcBorders>
              <w:bottom w:val="single" w:sz="8" w:color="CFF0FC"/>
            </w:tcBorders>
          </w:tcPr>
          <w:p>
            <w:pPr>
              <w:spacing w:after="0"/>
              <w:rPr>
                <w:sz w:val="10"/>
                <w:szCs w:val="10"/>
                <w:color w:val="auto"/>
              </w:rPr>
            </w:pPr>
          </w:p>
        </w:tc>
        <w:tc>
          <w:tcPr>
            <w:tcW w:w="4660" w:type="dxa"/>
            <w:vAlign w:val="bottom"/>
            <w:tcBorders>
              <w:bottom w:val="single" w:sz="8" w:color="CFF0FC"/>
            </w:tcBorders>
          </w:tcPr>
          <w:p>
            <w:pPr>
              <w:spacing w:after="0"/>
              <w:rPr>
                <w:sz w:val="10"/>
                <w:szCs w:val="10"/>
                <w:color w:val="auto"/>
              </w:rPr>
            </w:pPr>
          </w:p>
        </w:tc>
        <w:tc>
          <w:tcPr>
            <w:tcW w:w="200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Depreciation and Amortization</w:t>
            </w:r>
          </w:p>
        </w:tc>
        <w:tc>
          <w:tcPr>
            <w:tcW w:w="20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4660" w:type="dxa"/>
            <w:vAlign w:val="bottom"/>
          </w:tcPr>
          <w:p>
            <w:pPr>
              <w:ind w:left="20"/>
              <w:spacing w:after="0"/>
              <w:rPr>
                <w:sz w:val="20"/>
                <w:szCs w:val="20"/>
                <w:color w:val="auto"/>
              </w:rPr>
            </w:pPr>
            <w:r>
              <w:rPr>
                <w:rFonts w:ascii="Arial" w:cs="Arial" w:eastAsia="Arial" w:hAnsi="Arial"/>
                <w:sz w:val="10"/>
                <w:szCs w:val="10"/>
                <w:b w:val="1"/>
                <w:bCs w:val="1"/>
                <w:color w:val="auto"/>
              </w:rPr>
              <w:t>(Table only in thousands)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40" w:type="dxa"/>
            <w:vAlign w:val="bottom"/>
            <w:shd w:val="clear" w:color="auto" w:fill="CFF0FC"/>
          </w:tcPr>
          <w:p>
            <w:pPr>
              <w:spacing w:after="0"/>
              <w:rPr>
                <w:sz w:val="13"/>
                <w:szCs w:val="13"/>
                <w:color w:val="auto"/>
              </w:rPr>
            </w:pPr>
          </w:p>
        </w:tc>
        <w:tc>
          <w:tcPr>
            <w:tcW w:w="4660" w:type="dxa"/>
            <w:vAlign w:val="bottom"/>
            <w:shd w:val="clear" w:color="auto" w:fill="CFF0FC"/>
          </w:tcPr>
          <w:p>
            <w:pPr>
              <w:ind w:left="20"/>
              <w:spacing w:after="0"/>
              <w:rPr>
                <w:sz w:val="20"/>
                <w:szCs w:val="20"/>
                <w:color w:val="auto"/>
              </w:rPr>
            </w:pPr>
            <w:r>
              <w:rPr>
                <w:rFonts w:ascii="Arial" w:cs="Arial" w:eastAsia="Arial" w:hAnsi="Arial"/>
                <w:sz w:val="12"/>
                <w:szCs w:val="12"/>
                <w:color w:val="auto"/>
              </w:rPr>
              <w:t>Energy Solutions segment</w:t>
            </w:r>
          </w:p>
        </w:tc>
        <w:tc>
          <w:tcPr>
            <w:tcW w:w="23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8,112</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9,675</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11,557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40" w:type="dxa"/>
            <w:vAlign w:val="bottom"/>
          </w:tcPr>
          <w:p>
            <w:pPr>
              <w:spacing w:after="0"/>
              <w:rPr>
                <w:sz w:val="13"/>
                <w:szCs w:val="13"/>
                <w:color w:val="auto"/>
              </w:rPr>
            </w:pPr>
          </w:p>
        </w:tc>
        <w:tc>
          <w:tcPr>
            <w:tcW w:w="4660" w:type="dxa"/>
            <w:vAlign w:val="bottom"/>
          </w:tcPr>
          <w:p>
            <w:pPr>
              <w:ind w:left="20"/>
              <w:spacing w:after="0"/>
              <w:rPr>
                <w:sz w:val="20"/>
                <w:szCs w:val="20"/>
                <w:color w:val="auto"/>
              </w:rPr>
            </w:pPr>
            <w:r>
              <w:rPr>
                <w:rFonts w:ascii="Arial" w:cs="Arial" w:eastAsia="Arial" w:hAnsi="Arial"/>
                <w:sz w:val="12"/>
                <w:szCs w:val="12"/>
                <w:color w:val="auto"/>
              </w:rPr>
              <w:t>Industrial Solutions segment</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1,067</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1,488</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1,814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40" w:type="dxa"/>
            <w:vAlign w:val="bottom"/>
            <w:shd w:val="clear" w:color="auto" w:fill="CFF0FC"/>
          </w:tcPr>
          <w:p>
            <w:pPr>
              <w:spacing w:after="0"/>
              <w:rPr>
                <w:sz w:val="13"/>
                <w:szCs w:val="13"/>
                <w:color w:val="auto"/>
              </w:rPr>
            </w:pPr>
          </w:p>
        </w:tc>
        <w:tc>
          <w:tcPr>
            <w:tcW w:w="4660" w:type="dxa"/>
            <w:vAlign w:val="bottom"/>
            <w:shd w:val="clear" w:color="auto" w:fill="CFF0FC"/>
          </w:tcPr>
          <w:p>
            <w:pPr>
              <w:ind w:left="20"/>
              <w:spacing w:after="0"/>
              <w:rPr>
                <w:sz w:val="20"/>
                <w:szCs w:val="20"/>
                <w:color w:val="auto"/>
              </w:rPr>
            </w:pPr>
            <w:r>
              <w:rPr>
                <w:rFonts w:ascii="Arial" w:cs="Arial" w:eastAsia="Arial" w:hAnsi="Arial"/>
                <w:sz w:val="12"/>
                <w:szCs w:val="12"/>
                <w:color w:val="auto"/>
              </w:rPr>
              <w:t>Fluid Handling Solutions segment</w:t>
            </w:r>
          </w:p>
        </w:tc>
        <w:tc>
          <w:tcPr>
            <w:tcW w:w="20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3,517</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4,754</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40" w:type="dxa"/>
            <w:vAlign w:val="bottom"/>
            <w:tcBorders>
              <w:bottom w:val="single" w:sz="8" w:color="CFF0FC"/>
            </w:tcBorders>
          </w:tcPr>
          <w:p>
            <w:pPr>
              <w:spacing w:after="0"/>
              <w:rPr>
                <w:sz w:val="13"/>
                <w:szCs w:val="13"/>
                <w:color w:val="auto"/>
              </w:rPr>
            </w:pPr>
          </w:p>
        </w:tc>
        <w:tc>
          <w:tcPr>
            <w:tcW w:w="4660" w:type="dxa"/>
            <w:vAlign w:val="bottom"/>
            <w:tcBorders>
              <w:bottom w:val="single" w:sz="8" w:color="CFF0FC"/>
            </w:tcBorders>
          </w:tcPr>
          <w:p>
            <w:pPr>
              <w:ind w:left="20"/>
              <w:spacing w:after="0"/>
              <w:rPr>
                <w:sz w:val="20"/>
                <w:szCs w:val="20"/>
                <w:color w:val="auto"/>
              </w:rPr>
            </w:pPr>
            <w:r>
              <w:rPr>
                <w:rFonts w:ascii="Arial" w:cs="Arial" w:eastAsia="Arial" w:hAnsi="Arial"/>
                <w:sz w:val="12"/>
                <w:szCs w:val="12"/>
                <w:color w:val="auto"/>
              </w:rPr>
              <w:t>Corporate and Other</w:t>
            </w:r>
          </w:p>
        </w:tc>
        <w:tc>
          <w:tcPr>
            <w:tcW w:w="20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576</w:t>
            </w:r>
          </w:p>
        </w:tc>
        <w:tc>
          <w:tcPr>
            <w:tcW w:w="2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171</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40" w:type="dxa"/>
            <w:vAlign w:val="bottom"/>
            <w:shd w:val="clear" w:color="auto" w:fill="CFF0FC"/>
          </w:tcPr>
          <w:p>
            <w:pPr>
              <w:spacing w:after="0"/>
              <w:rPr>
                <w:sz w:val="12"/>
                <w:szCs w:val="12"/>
                <w:color w:val="auto"/>
              </w:rPr>
            </w:pPr>
          </w:p>
        </w:tc>
        <w:tc>
          <w:tcPr>
            <w:tcW w:w="4660" w:type="dxa"/>
            <w:vAlign w:val="bottom"/>
            <w:shd w:val="clear" w:color="auto" w:fill="CFF0FC"/>
          </w:tcPr>
          <w:p>
            <w:pPr>
              <w:ind w:left="180"/>
              <w:spacing w:after="0"/>
              <w:rPr>
                <w:sz w:val="20"/>
                <w:szCs w:val="20"/>
                <w:color w:val="auto"/>
              </w:rPr>
            </w:pPr>
            <w:r>
              <w:rPr>
                <w:rFonts w:ascii="Arial" w:cs="Arial" w:eastAsia="Arial" w:hAnsi="Arial"/>
                <w:sz w:val="12"/>
                <w:szCs w:val="12"/>
                <w:b w:val="1"/>
                <w:bCs w:val="1"/>
                <w:color w:val="auto"/>
              </w:rPr>
              <w:t>Depreciation and amortization</w:t>
            </w:r>
          </w:p>
        </w:tc>
        <w:tc>
          <w:tcPr>
            <w:tcW w:w="23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13,272</w:t>
            </w: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7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16,088</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18,903</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140" w:type="dxa"/>
            <w:vAlign w:val="bottom"/>
            <w:shd w:val="clear" w:color="auto" w:fill="CFF0FC"/>
          </w:tcPr>
          <w:p>
            <w:pPr>
              <w:spacing w:after="0"/>
              <w:rPr>
                <w:sz w:val="2"/>
                <w:szCs w:val="2"/>
                <w:color w:val="auto"/>
              </w:rPr>
            </w:pPr>
          </w:p>
        </w:tc>
        <w:tc>
          <w:tcPr>
            <w:tcW w:w="4660" w:type="dxa"/>
            <w:vAlign w:val="bottom"/>
            <w:shd w:val="clear" w:color="auto" w:fill="CFF0FC"/>
          </w:tcPr>
          <w:p>
            <w:pPr>
              <w:spacing w:after="0"/>
              <w:rPr>
                <w:sz w:val="2"/>
                <w:szCs w:val="2"/>
                <w:color w:val="auto"/>
              </w:rPr>
            </w:pPr>
          </w:p>
        </w:tc>
        <w:tc>
          <w:tcPr>
            <w:tcW w:w="20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0"/>
                <w:szCs w:val="10"/>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140" w:type="dxa"/>
            <w:vAlign w:val="bottom"/>
            <w:tcBorders>
              <w:bottom w:val="single" w:sz="8" w:color="CFF0FC"/>
            </w:tcBorders>
          </w:tcPr>
          <w:p>
            <w:pPr>
              <w:spacing w:after="0"/>
              <w:rPr>
                <w:sz w:val="8"/>
                <w:szCs w:val="8"/>
                <w:color w:val="auto"/>
              </w:rPr>
            </w:pPr>
          </w:p>
        </w:tc>
        <w:tc>
          <w:tcPr>
            <w:tcW w:w="4660" w:type="dxa"/>
            <w:vAlign w:val="bottom"/>
            <w:tcBorders>
              <w:bottom w:val="single" w:sz="8" w:color="CFF0FC"/>
            </w:tcBorders>
          </w:tcPr>
          <w:p>
            <w:pPr>
              <w:spacing w:after="0"/>
              <w:rPr>
                <w:sz w:val="8"/>
                <w:szCs w:val="8"/>
                <w:color w:val="auto"/>
              </w:rPr>
            </w:pPr>
          </w:p>
        </w:tc>
        <w:tc>
          <w:tcPr>
            <w:tcW w:w="2000" w:type="dxa"/>
            <w:vAlign w:val="bottom"/>
            <w:tcBorders>
              <w:bottom w:val="single" w:sz="8" w:color="CFF0FC"/>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80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51"/>
              <w:spacing w:after="0" w:line="97" w:lineRule="exact"/>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20" w:type="dxa"/>
            <w:vAlign w:val="bottom"/>
          </w:tcPr>
          <w:p>
            <w:pPr>
              <w:spacing w:after="0"/>
              <w:rPr>
                <w:sz w:val="8"/>
                <w:szCs w:val="8"/>
                <w:color w:val="auto"/>
              </w:rPr>
            </w:pPr>
          </w:p>
        </w:tc>
      </w:tr>
      <w:tr>
        <w:trPr>
          <w:trHeight w:val="142"/>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Identifiable Assets</w:t>
            </w:r>
          </w:p>
        </w:tc>
        <w:tc>
          <w:tcPr>
            <w:tcW w:w="20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4660" w:type="dxa"/>
            <w:vAlign w:val="bottom"/>
          </w:tcPr>
          <w:p>
            <w:pPr>
              <w:ind w:left="20"/>
              <w:spacing w:after="0"/>
              <w:rPr>
                <w:sz w:val="20"/>
                <w:szCs w:val="20"/>
                <w:color w:val="auto"/>
              </w:rPr>
            </w:pPr>
            <w:r>
              <w:rPr>
                <w:rFonts w:ascii="Arial" w:cs="Arial" w:eastAsia="Arial" w:hAnsi="Arial"/>
                <w:sz w:val="12"/>
                <w:szCs w:val="12"/>
                <w:color w:val="auto"/>
              </w:rPr>
              <w:t>(Table only in thousands)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40" w:type="dxa"/>
            <w:vAlign w:val="bottom"/>
            <w:shd w:val="clear" w:color="auto" w:fill="CFF0FC"/>
          </w:tcPr>
          <w:p>
            <w:pPr>
              <w:spacing w:after="0"/>
              <w:rPr>
                <w:sz w:val="13"/>
                <w:szCs w:val="13"/>
                <w:color w:val="auto"/>
              </w:rPr>
            </w:pPr>
          </w:p>
        </w:tc>
        <w:tc>
          <w:tcPr>
            <w:tcW w:w="4660" w:type="dxa"/>
            <w:vAlign w:val="bottom"/>
            <w:shd w:val="clear" w:color="auto" w:fill="CFF0FC"/>
          </w:tcPr>
          <w:p>
            <w:pPr>
              <w:ind w:left="20"/>
              <w:spacing w:after="0"/>
              <w:rPr>
                <w:sz w:val="20"/>
                <w:szCs w:val="20"/>
                <w:color w:val="auto"/>
              </w:rPr>
            </w:pPr>
            <w:r>
              <w:rPr>
                <w:rFonts w:ascii="Arial" w:cs="Arial" w:eastAsia="Arial" w:hAnsi="Arial"/>
                <w:sz w:val="12"/>
                <w:szCs w:val="12"/>
                <w:color w:val="auto"/>
              </w:rPr>
              <w:t>Energy Solutions segment</w:t>
            </w:r>
          </w:p>
        </w:tc>
        <w:tc>
          <w:tcPr>
            <w:tcW w:w="20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245,842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4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258,218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40" w:type="dxa"/>
            <w:vAlign w:val="bottom"/>
          </w:tcPr>
          <w:p>
            <w:pPr>
              <w:spacing w:after="0"/>
              <w:rPr>
                <w:sz w:val="13"/>
                <w:szCs w:val="13"/>
                <w:color w:val="auto"/>
              </w:rPr>
            </w:pPr>
          </w:p>
        </w:tc>
        <w:tc>
          <w:tcPr>
            <w:tcW w:w="4660" w:type="dxa"/>
            <w:vAlign w:val="bottom"/>
          </w:tcPr>
          <w:p>
            <w:pPr>
              <w:ind w:left="20"/>
              <w:spacing w:after="0"/>
              <w:rPr>
                <w:sz w:val="20"/>
                <w:szCs w:val="20"/>
                <w:color w:val="auto"/>
              </w:rPr>
            </w:pPr>
            <w:r>
              <w:rPr>
                <w:rFonts w:ascii="Arial" w:cs="Arial" w:eastAsia="Arial" w:hAnsi="Arial"/>
                <w:sz w:val="12"/>
                <w:szCs w:val="12"/>
                <w:color w:val="auto"/>
              </w:rPr>
              <w:t>Industrial Solutions segment</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54,179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66,723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40" w:type="dxa"/>
            <w:vAlign w:val="bottom"/>
            <w:shd w:val="clear" w:color="auto" w:fill="CFF0FC"/>
          </w:tcPr>
          <w:p>
            <w:pPr>
              <w:spacing w:after="0"/>
              <w:rPr>
                <w:sz w:val="13"/>
                <w:szCs w:val="13"/>
                <w:color w:val="auto"/>
              </w:rPr>
            </w:pPr>
          </w:p>
        </w:tc>
        <w:tc>
          <w:tcPr>
            <w:tcW w:w="4660" w:type="dxa"/>
            <w:vAlign w:val="bottom"/>
            <w:shd w:val="clear" w:color="auto" w:fill="CFF0FC"/>
          </w:tcPr>
          <w:p>
            <w:pPr>
              <w:ind w:left="20"/>
              <w:spacing w:after="0"/>
              <w:rPr>
                <w:sz w:val="20"/>
                <w:szCs w:val="20"/>
                <w:color w:val="auto"/>
              </w:rPr>
            </w:pPr>
            <w:r>
              <w:rPr>
                <w:rFonts w:ascii="Arial" w:cs="Arial" w:eastAsia="Arial" w:hAnsi="Arial"/>
                <w:sz w:val="12"/>
                <w:szCs w:val="12"/>
                <w:color w:val="auto"/>
              </w:rPr>
              <w:t>Fluid Handling Solutions segment</w:t>
            </w:r>
          </w:p>
        </w:tc>
        <w:tc>
          <w:tcPr>
            <w:tcW w:w="20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73,910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100,917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40" w:type="dxa"/>
            <w:vAlign w:val="bottom"/>
            <w:tcBorders>
              <w:bottom w:val="single" w:sz="8" w:color="CFF0FC"/>
            </w:tcBorders>
          </w:tcPr>
          <w:p>
            <w:pPr>
              <w:spacing w:after="0"/>
              <w:rPr>
                <w:sz w:val="13"/>
                <w:szCs w:val="13"/>
                <w:color w:val="auto"/>
              </w:rPr>
            </w:pPr>
          </w:p>
        </w:tc>
        <w:tc>
          <w:tcPr>
            <w:tcW w:w="4660" w:type="dxa"/>
            <w:vAlign w:val="bottom"/>
            <w:tcBorders>
              <w:bottom w:val="single" w:sz="8" w:color="CFF0FC"/>
            </w:tcBorders>
          </w:tcPr>
          <w:p>
            <w:pPr>
              <w:ind w:left="20"/>
              <w:spacing w:after="0"/>
              <w:rPr>
                <w:sz w:val="20"/>
                <w:szCs w:val="20"/>
                <w:color w:val="auto"/>
              </w:rPr>
            </w:pPr>
            <w:r>
              <w:rPr>
                <w:rFonts w:ascii="Arial" w:cs="Arial" w:eastAsia="Arial" w:hAnsi="Arial"/>
                <w:sz w:val="12"/>
                <w:szCs w:val="12"/>
                <w:color w:val="auto"/>
              </w:rPr>
              <w:t>Corporate and Other (4)</w:t>
            </w:r>
          </w:p>
        </w:tc>
        <w:tc>
          <w:tcPr>
            <w:tcW w:w="20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18,651</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12,691</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40" w:type="dxa"/>
            <w:vAlign w:val="bottom"/>
            <w:shd w:val="clear" w:color="auto" w:fill="CFF0FC"/>
          </w:tcPr>
          <w:p>
            <w:pPr>
              <w:spacing w:after="0"/>
              <w:rPr>
                <w:sz w:val="14"/>
                <w:szCs w:val="14"/>
                <w:color w:val="auto"/>
              </w:rPr>
            </w:pPr>
          </w:p>
        </w:tc>
        <w:tc>
          <w:tcPr>
            <w:tcW w:w="4660" w:type="dxa"/>
            <w:vAlign w:val="bottom"/>
            <w:shd w:val="clear" w:color="auto" w:fill="CFF0FC"/>
          </w:tcPr>
          <w:p>
            <w:pPr>
              <w:ind w:left="180"/>
              <w:spacing w:after="0"/>
              <w:rPr>
                <w:sz w:val="20"/>
                <w:szCs w:val="20"/>
                <w:color w:val="auto"/>
              </w:rPr>
            </w:pPr>
            <w:r>
              <w:rPr>
                <w:rFonts w:ascii="Arial" w:cs="Arial" w:eastAsia="Arial" w:hAnsi="Arial"/>
                <w:sz w:val="12"/>
                <w:szCs w:val="12"/>
                <w:b w:val="1"/>
                <w:bCs w:val="1"/>
                <w:color w:val="auto"/>
              </w:rPr>
              <w:t>Identifiable assets</w:t>
            </w:r>
          </w:p>
        </w:tc>
        <w:tc>
          <w:tcPr>
            <w:tcW w:w="20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392,582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438,549</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446"/>
        </w:trPr>
        <w:tc>
          <w:tcPr>
            <w:tcW w:w="140" w:type="dxa"/>
            <w:vAlign w:val="bottom"/>
            <w:tcBorders>
              <w:top w:val="single" w:sz="8" w:color="CFF0FC"/>
            </w:tcBorders>
          </w:tcPr>
          <w:p>
            <w:pPr>
              <w:spacing w:after="0"/>
              <w:rPr>
                <w:sz w:val="20"/>
                <w:szCs w:val="20"/>
                <w:color w:val="auto"/>
              </w:rPr>
            </w:pPr>
            <w:r>
              <w:rPr>
                <w:rFonts w:ascii="Arial" w:cs="Arial" w:eastAsia="Arial" w:hAnsi="Arial"/>
                <w:sz w:val="12"/>
                <w:szCs w:val="12"/>
                <w:color w:val="auto"/>
                <w:w w:val="81"/>
              </w:rPr>
              <w:t>(4)</w:t>
            </w:r>
          </w:p>
        </w:tc>
        <w:tc>
          <w:tcPr>
            <w:tcW w:w="4660" w:type="dxa"/>
            <w:vAlign w:val="bottom"/>
            <w:tcBorders>
              <w:top w:val="single" w:sz="8" w:color="CFF0FC"/>
            </w:tcBorders>
          </w:tcPr>
          <w:p>
            <w:pPr>
              <w:ind w:left="360"/>
              <w:spacing w:after="0"/>
              <w:rPr>
                <w:sz w:val="20"/>
                <w:szCs w:val="20"/>
                <w:color w:val="auto"/>
              </w:rPr>
            </w:pPr>
            <w:r>
              <w:rPr>
                <w:rFonts w:ascii="Arial" w:cs="Arial" w:eastAsia="Arial" w:hAnsi="Arial"/>
                <w:sz w:val="12"/>
                <w:szCs w:val="12"/>
                <w:color w:val="auto"/>
              </w:rPr>
              <w:t>Corporate assets primarily consist of cash and income tax related assets.</w:t>
            </w:r>
          </w:p>
        </w:tc>
        <w:tc>
          <w:tcPr>
            <w:tcW w:w="200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300" w:type="dxa"/>
            <w:vAlign w:val="bottom"/>
            <w:gridSpan w:val="2"/>
          </w:tcPr>
          <w:p>
            <w:pPr>
              <w:jc w:val="right"/>
              <w:ind w:right="1260"/>
              <w:spacing w:after="0"/>
              <w:rPr>
                <w:sz w:val="20"/>
                <w:szCs w:val="20"/>
                <w:color w:val="auto"/>
              </w:rPr>
            </w:pPr>
            <w:r>
              <w:rPr>
                <w:rFonts w:ascii="Arial" w:cs="Arial" w:eastAsia="Arial" w:hAnsi="Arial"/>
                <w:sz w:val="12"/>
                <w:szCs w:val="12"/>
                <w:color w:val="auto"/>
              </w:rPr>
              <w:t>F-35</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40" w:type="dxa"/>
            <w:vAlign w:val="bottom"/>
            <w:tcBorders>
              <w:bottom w:val="single" w:sz="8" w:color="9A9A9A"/>
            </w:tcBorders>
          </w:tcPr>
          <w:p>
            <w:pPr>
              <w:spacing w:after="0"/>
              <w:rPr>
                <w:sz w:val="6"/>
                <w:szCs w:val="6"/>
                <w:color w:val="auto"/>
              </w:rPr>
            </w:pPr>
          </w:p>
        </w:tc>
        <w:tc>
          <w:tcPr>
            <w:tcW w:w="4660" w:type="dxa"/>
            <w:vAlign w:val="bottom"/>
            <w:tcBorders>
              <w:bottom w:val="single" w:sz="8" w:color="9A9A9A"/>
            </w:tcBorders>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322" w:right="1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15"/>
        </w:trPr>
        <w:tc>
          <w:tcPr>
            <w:tcW w:w="79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rPr>
              <w:t>December 31,</w:t>
            </w: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7920" w:type="dxa"/>
            <w:vAlign w:val="bottom"/>
            <w:tcBorders>
              <w:bottom w:val="single" w:sz="8" w:color="CFF0FC"/>
            </w:tcBorders>
          </w:tcPr>
          <w:p>
            <w:pPr>
              <w:spacing w:after="0"/>
              <w:rPr>
                <w:sz w:val="8"/>
                <w:szCs w:val="8"/>
                <w:color w:val="auto"/>
              </w:rPr>
            </w:pPr>
          </w:p>
        </w:tc>
        <w:tc>
          <w:tcPr>
            <w:tcW w:w="1020" w:type="dxa"/>
            <w:vAlign w:val="bottom"/>
            <w:tcBorders>
              <w:bottom w:val="single" w:sz="8" w:color="auto"/>
            </w:tcBorders>
          </w:tcPr>
          <w:p>
            <w:pPr>
              <w:jc w:val="right"/>
              <w:ind w:right="91"/>
              <w:spacing w:after="0" w:line="97" w:lineRule="exact"/>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r>
      <w:tr>
        <w:trPr>
          <w:trHeight w:val="142"/>
        </w:trPr>
        <w:tc>
          <w:tcPr>
            <w:tcW w:w="79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Goodwill</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Solutions segment</w:t>
            </w:r>
          </w:p>
        </w:tc>
        <w:tc>
          <w:tcPr>
            <w:tcW w:w="1020" w:type="dxa"/>
            <w:vAlign w:val="bottom"/>
            <w:shd w:val="clear" w:color="auto" w:fill="CFF0FC"/>
          </w:tcPr>
          <w:p>
            <w:pPr>
              <w:jc w:val="right"/>
              <w:ind w:right="9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97,930</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98,408</w:t>
            </w:r>
          </w:p>
        </w:tc>
        <w:tc>
          <w:tcPr>
            <w:tcW w:w="120" w:type="dxa"/>
            <w:vAlign w:val="bottom"/>
            <w:shd w:val="clear" w:color="auto" w:fill="CFF0FC"/>
          </w:tcPr>
          <w:p>
            <w:pPr>
              <w:spacing w:after="0"/>
              <w:rPr>
                <w:sz w:val="13"/>
                <w:szCs w:val="13"/>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Industrial Solutions segment</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22,419</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22,419</w:t>
            </w:r>
          </w:p>
        </w:tc>
        <w:tc>
          <w:tcPr>
            <w:tcW w:w="120" w:type="dxa"/>
            <w:vAlign w:val="bottom"/>
          </w:tcPr>
          <w:p>
            <w:pPr>
              <w:spacing w:after="0"/>
              <w:rPr>
                <w:sz w:val="13"/>
                <w:szCs w:val="13"/>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Solutions segment</w:t>
            </w:r>
          </w:p>
        </w:tc>
        <w:tc>
          <w:tcPr>
            <w:tcW w:w="10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31,807</w:t>
            </w:r>
          </w:p>
        </w:tc>
        <w:tc>
          <w:tcPr>
            <w:tcW w:w="28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46,124</w:t>
            </w:r>
          </w:p>
        </w:tc>
        <w:tc>
          <w:tcPr>
            <w:tcW w:w="120" w:type="dxa"/>
            <w:vAlign w:val="bottom"/>
            <w:shd w:val="clear" w:color="auto" w:fill="CFF0FC"/>
          </w:tcPr>
          <w:p>
            <w:pPr>
              <w:spacing w:after="0"/>
              <w:rPr>
                <w:sz w:val="13"/>
                <w:szCs w:val="13"/>
                <w:color w:val="auto"/>
              </w:rPr>
            </w:pPr>
          </w:p>
        </w:tc>
      </w:tr>
      <w:tr>
        <w:trPr>
          <w:trHeight w:val="149"/>
        </w:trPr>
        <w:tc>
          <w:tcPr>
            <w:tcW w:w="7920" w:type="dxa"/>
            <w:vAlign w:val="bottom"/>
          </w:tcPr>
          <w:p>
            <w:pPr>
              <w:ind w:left="320"/>
              <w:spacing w:after="0"/>
              <w:rPr>
                <w:sz w:val="20"/>
                <w:szCs w:val="20"/>
                <w:color w:val="auto"/>
              </w:rPr>
            </w:pPr>
            <w:r>
              <w:rPr>
                <w:rFonts w:ascii="Arial" w:cs="Arial" w:eastAsia="Arial" w:hAnsi="Arial"/>
                <w:sz w:val="12"/>
                <w:szCs w:val="12"/>
                <w:b w:val="1"/>
                <w:bCs w:val="1"/>
                <w:color w:val="auto"/>
              </w:rPr>
              <w:t>Goodwill</w:t>
            </w:r>
          </w:p>
        </w:tc>
        <w:tc>
          <w:tcPr>
            <w:tcW w:w="1020" w:type="dxa"/>
            <w:vAlign w:val="bottom"/>
            <w:tcBorders>
              <w:bottom w:val="single" w:sz="8" w:color="auto"/>
            </w:tcBorders>
          </w:tcPr>
          <w:p>
            <w:pPr>
              <w:jc w:val="right"/>
              <w:ind w:right="9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152,156</w:t>
            </w:r>
          </w:p>
        </w:tc>
        <w:tc>
          <w:tcPr>
            <w:tcW w:w="280" w:type="dxa"/>
            <w:vAlign w:val="bottom"/>
          </w:tcPr>
          <w:p>
            <w:pPr>
              <w:spacing w:after="0"/>
              <w:rPr>
                <w:sz w:val="12"/>
                <w:szCs w:val="1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166,951</w:t>
            </w:r>
          </w:p>
        </w:tc>
        <w:tc>
          <w:tcPr>
            <w:tcW w:w="120" w:type="dxa"/>
            <w:vAlign w:val="bottom"/>
          </w:tcPr>
          <w:p>
            <w:pPr>
              <w:spacing w:after="0"/>
              <w:rPr>
                <w:sz w:val="12"/>
                <w:szCs w:val="12"/>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Intra-segment and Inter-segment Revenues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has divisions that sell to each other within segments (intra-segment sales) and between segments (inter-segment sales) as indicated in the following tables: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Year Ended December 31, 2018</w:t>
            </w: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5"/>
          </w:tcPr>
          <w:p>
            <w:pPr>
              <w:jc w:val="right"/>
              <w:ind w:right="480"/>
              <w:spacing w:after="0" w:line="97" w:lineRule="exact"/>
              <w:rPr>
                <w:sz w:val="20"/>
                <w:szCs w:val="20"/>
                <w:color w:val="auto"/>
              </w:rPr>
            </w:pPr>
            <w:r>
              <w:rPr>
                <w:rFonts w:ascii="Arial" w:cs="Arial" w:eastAsia="Arial" w:hAnsi="Arial"/>
                <w:sz w:val="10"/>
                <w:szCs w:val="10"/>
                <w:b w:val="1"/>
                <w:bCs w:val="1"/>
                <w:color w:val="auto"/>
              </w:rPr>
              <w:t>Less Inter-Segment Sales</w:t>
            </w: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3"/>
              </w:rPr>
              <w:t>Net Sales to</w:t>
            </w:r>
          </w:p>
        </w:tc>
        <w:tc>
          <w:tcPr>
            <w:tcW w:w="0" w:type="dxa"/>
            <w:vAlign w:val="bottom"/>
          </w:tcPr>
          <w:p>
            <w:pPr>
              <w:spacing w:after="0"/>
              <w:rPr>
                <w:sz w:val="1"/>
                <w:szCs w:val="1"/>
                <w:color w:val="auto"/>
              </w:rPr>
            </w:pPr>
          </w:p>
        </w:tc>
      </w:tr>
      <w:tr>
        <w:trPr>
          <w:trHeight w:val="83"/>
        </w:trPr>
        <w:tc>
          <w:tcPr>
            <w:tcW w:w="2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center"/>
              <w:ind w:right="105"/>
              <w:spacing w:after="0" w:line="83" w:lineRule="exact"/>
              <w:rPr>
                <w:sz w:val="20"/>
                <w:szCs w:val="20"/>
                <w:color w:val="auto"/>
              </w:rPr>
            </w:pPr>
            <w:r>
              <w:rPr>
                <w:rFonts w:ascii="Arial" w:cs="Arial" w:eastAsia="Arial" w:hAnsi="Arial"/>
                <w:sz w:val="8"/>
                <w:szCs w:val="8"/>
                <w:b w:val="1"/>
                <w:bCs w:val="1"/>
                <w:color w:val="auto"/>
              </w:rPr>
              <w:t>Corp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Intra - Segment</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5"/>
              </w:rPr>
              <w:t>Outside</w:t>
            </w:r>
          </w:p>
        </w:tc>
        <w:tc>
          <w:tcPr>
            <w:tcW w:w="0" w:type="dxa"/>
            <w:vAlign w:val="bottom"/>
          </w:tcPr>
          <w:p>
            <w:pPr>
              <w:spacing w:after="0"/>
              <w:rPr>
                <w:sz w:val="1"/>
                <w:szCs w:val="1"/>
                <w:color w:val="auto"/>
              </w:rPr>
            </w:pPr>
          </w:p>
        </w:tc>
      </w:tr>
      <w:tr>
        <w:trPr>
          <w:trHeight w:val="114"/>
        </w:trPr>
        <w:tc>
          <w:tcPr>
            <w:tcW w:w="2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Total Sales</w:t>
            </w:r>
          </w:p>
        </w:tc>
        <w:tc>
          <w:tcPr>
            <w:tcW w:w="220" w:type="dxa"/>
            <w:vAlign w:val="bottom"/>
          </w:tcPr>
          <w:p>
            <w:pPr>
              <w:spacing w:after="0"/>
              <w:rPr>
                <w:sz w:val="9"/>
                <w:szCs w:val="9"/>
                <w:color w:val="auto"/>
              </w:rPr>
            </w:pPr>
          </w:p>
        </w:tc>
        <w:tc>
          <w:tcPr>
            <w:tcW w:w="134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76"/>
              </w:rPr>
              <w:t>Sales</w:t>
            </w:r>
          </w:p>
        </w:tc>
        <w:tc>
          <w:tcPr>
            <w:tcW w:w="120" w:type="dxa"/>
            <w:vAlign w:val="bottom"/>
          </w:tcPr>
          <w:p>
            <w:pPr>
              <w:spacing w:after="0"/>
              <w:rPr>
                <w:sz w:val="9"/>
                <w:szCs w:val="9"/>
                <w:color w:val="auto"/>
              </w:rPr>
            </w:pPr>
          </w:p>
        </w:tc>
        <w:tc>
          <w:tcPr>
            <w:tcW w:w="86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97"/>
              </w:rPr>
              <w:t>Industrial</w:t>
            </w:r>
          </w:p>
        </w:tc>
        <w:tc>
          <w:tcPr>
            <w:tcW w:w="140" w:type="dxa"/>
            <w:vAlign w:val="bottom"/>
          </w:tcPr>
          <w:p>
            <w:pPr>
              <w:spacing w:after="0"/>
              <w:rPr>
                <w:sz w:val="9"/>
                <w:szCs w:val="9"/>
                <w:color w:val="auto"/>
              </w:rPr>
            </w:pPr>
          </w:p>
        </w:tc>
        <w:tc>
          <w:tcPr>
            <w:tcW w:w="82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Energy</w:t>
            </w:r>
          </w:p>
        </w:tc>
        <w:tc>
          <w:tcPr>
            <w:tcW w:w="180" w:type="dxa"/>
            <w:vAlign w:val="bottom"/>
          </w:tcPr>
          <w:p>
            <w:pPr>
              <w:spacing w:after="0"/>
              <w:rPr>
                <w:sz w:val="9"/>
                <w:szCs w:val="9"/>
                <w:color w:val="auto"/>
              </w:rPr>
            </w:pPr>
          </w:p>
        </w:tc>
        <w:tc>
          <w:tcPr>
            <w:tcW w:w="72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rPr>
              <w:t>Fluid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4"/>
              </w:rPr>
              <w:t>Customers</w:t>
            </w:r>
          </w:p>
        </w:tc>
        <w:tc>
          <w:tcPr>
            <w:tcW w:w="0" w:type="dxa"/>
            <w:vAlign w:val="bottom"/>
          </w:tcPr>
          <w:p>
            <w:pPr>
              <w:spacing w:after="0"/>
              <w:rPr>
                <w:sz w:val="1"/>
                <w:szCs w:val="1"/>
                <w:color w:val="auto"/>
              </w:rPr>
            </w:pPr>
          </w:p>
        </w:tc>
      </w:tr>
      <w:tr>
        <w:trPr>
          <w:trHeight w:val="142"/>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Net Sales</w:t>
            </w:r>
          </w:p>
        </w:tc>
        <w:tc>
          <w:tcPr>
            <w:tcW w:w="10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Solutions segment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220,334</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(7,912)</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(1,232)</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211,185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160"/>
              <w:spacing w:after="0"/>
              <w:rPr>
                <w:sz w:val="20"/>
                <w:szCs w:val="20"/>
                <w:color w:val="auto"/>
              </w:rPr>
            </w:pPr>
            <w:r>
              <w:rPr>
                <w:rFonts w:ascii="Arial" w:cs="Arial" w:eastAsia="Arial" w:hAnsi="Arial"/>
                <w:sz w:val="12"/>
                <w:szCs w:val="12"/>
                <w:color w:val="auto"/>
              </w:rPr>
              <w:t>Industrial Solutions segment</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79,139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(3,084)</w:t>
            </w:r>
          </w:p>
        </w:tc>
        <w:tc>
          <w:tcPr>
            <w:tcW w:w="1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(600)</w:t>
            </w:r>
          </w:p>
        </w:tc>
        <w:tc>
          <w:tcPr>
            <w:tcW w:w="1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75,414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Solutions segment</w:t>
            </w: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52,846</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(1,483)</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(616)</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Corporate and Other</w:t>
            </w:r>
          </w:p>
        </w:tc>
        <w:tc>
          <w:tcPr>
            <w:tcW w:w="10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FF0FC"/>
          </w:tcPr>
          <w:p>
            <w:pPr>
              <w:ind w:left="320"/>
              <w:spacing w:after="0"/>
              <w:rPr>
                <w:sz w:val="20"/>
                <w:szCs w:val="20"/>
                <w:color w:val="auto"/>
              </w:rPr>
            </w:pPr>
            <w:r>
              <w:rPr>
                <w:rFonts w:ascii="Arial" w:cs="Arial" w:eastAsia="Arial" w:hAnsi="Arial"/>
                <w:sz w:val="12"/>
                <w:szCs w:val="12"/>
                <w:b w:val="1"/>
                <w:bCs w:val="1"/>
                <w:color w:val="auto"/>
              </w:rPr>
              <w:t>Net Sales</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352,319</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(12,479)</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(1,848)</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(607)</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(46)</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337,339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Year Ended December 31, 2017</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5"/>
          </w:tcPr>
          <w:p>
            <w:pPr>
              <w:jc w:val="right"/>
              <w:ind w:right="480"/>
              <w:spacing w:after="0" w:line="97" w:lineRule="exact"/>
              <w:rPr>
                <w:sz w:val="20"/>
                <w:szCs w:val="20"/>
                <w:color w:val="auto"/>
              </w:rPr>
            </w:pPr>
            <w:r>
              <w:rPr>
                <w:rFonts w:ascii="Arial" w:cs="Arial" w:eastAsia="Arial" w:hAnsi="Arial"/>
                <w:sz w:val="10"/>
                <w:szCs w:val="10"/>
                <w:b w:val="1"/>
                <w:bCs w:val="1"/>
                <w:color w:val="auto"/>
              </w:rPr>
              <w:t>Less Inter-Segment Sales</w:t>
            </w: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3"/>
              </w:rPr>
              <w:t>Net Sales to</w:t>
            </w:r>
          </w:p>
        </w:tc>
        <w:tc>
          <w:tcPr>
            <w:tcW w:w="0" w:type="dxa"/>
            <w:vAlign w:val="bottom"/>
          </w:tcPr>
          <w:p>
            <w:pPr>
              <w:spacing w:after="0"/>
              <w:rPr>
                <w:sz w:val="1"/>
                <w:szCs w:val="1"/>
                <w:color w:val="auto"/>
              </w:rPr>
            </w:pPr>
          </w:p>
        </w:tc>
      </w:tr>
      <w:tr>
        <w:trPr>
          <w:trHeight w:val="83"/>
        </w:trPr>
        <w:tc>
          <w:tcPr>
            <w:tcW w:w="2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center"/>
              <w:ind w:right="105"/>
              <w:spacing w:after="0" w:line="83" w:lineRule="exact"/>
              <w:rPr>
                <w:sz w:val="20"/>
                <w:szCs w:val="20"/>
                <w:color w:val="auto"/>
              </w:rPr>
            </w:pPr>
            <w:r>
              <w:rPr>
                <w:rFonts w:ascii="Arial" w:cs="Arial" w:eastAsia="Arial" w:hAnsi="Arial"/>
                <w:sz w:val="8"/>
                <w:szCs w:val="8"/>
                <w:b w:val="1"/>
                <w:bCs w:val="1"/>
                <w:color w:val="auto"/>
              </w:rPr>
              <w:t>Corp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Intra - Segment</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5"/>
              </w:rPr>
              <w:t>Outside</w:t>
            </w:r>
          </w:p>
        </w:tc>
        <w:tc>
          <w:tcPr>
            <w:tcW w:w="0" w:type="dxa"/>
            <w:vAlign w:val="bottom"/>
          </w:tcPr>
          <w:p>
            <w:pPr>
              <w:spacing w:after="0"/>
              <w:rPr>
                <w:sz w:val="1"/>
                <w:szCs w:val="1"/>
                <w:color w:val="auto"/>
              </w:rPr>
            </w:pPr>
          </w:p>
        </w:tc>
      </w:tr>
      <w:tr>
        <w:trPr>
          <w:trHeight w:val="114"/>
        </w:trPr>
        <w:tc>
          <w:tcPr>
            <w:tcW w:w="2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Total Sales</w:t>
            </w:r>
          </w:p>
        </w:tc>
        <w:tc>
          <w:tcPr>
            <w:tcW w:w="220" w:type="dxa"/>
            <w:vAlign w:val="bottom"/>
          </w:tcPr>
          <w:p>
            <w:pPr>
              <w:spacing w:after="0"/>
              <w:rPr>
                <w:sz w:val="9"/>
                <w:szCs w:val="9"/>
                <w:color w:val="auto"/>
              </w:rPr>
            </w:pPr>
          </w:p>
        </w:tc>
        <w:tc>
          <w:tcPr>
            <w:tcW w:w="134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76"/>
              </w:rPr>
              <w:t>Sales</w:t>
            </w:r>
          </w:p>
        </w:tc>
        <w:tc>
          <w:tcPr>
            <w:tcW w:w="120" w:type="dxa"/>
            <w:vAlign w:val="bottom"/>
          </w:tcPr>
          <w:p>
            <w:pPr>
              <w:spacing w:after="0"/>
              <w:rPr>
                <w:sz w:val="9"/>
                <w:szCs w:val="9"/>
                <w:color w:val="auto"/>
              </w:rPr>
            </w:pPr>
          </w:p>
        </w:tc>
        <w:tc>
          <w:tcPr>
            <w:tcW w:w="86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97"/>
              </w:rPr>
              <w:t>Industrial</w:t>
            </w:r>
          </w:p>
        </w:tc>
        <w:tc>
          <w:tcPr>
            <w:tcW w:w="140" w:type="dxa"/>
            <w:vAlign w:val="bottom"/>
          </w:tcPr>
          <w:p>
            <w:pPr>
              <w:spacing w:after="0"/>
              <w:rPr>
                <w:sz w:val="9"/>
                <w:szCs w:val="9"/>
                <w:color w:val="auto"/>
              </w:rPr>
            </w:pPr>
          </w:p>
        </w:tc>
        <w:tc>
          <w:tcPr>
            <w:tcW w:w="82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Energy</w:t>
            </w:r>
          </w:p>
        </w:tc>
        <w:tc>
          <w:tcPr>
            <w:tcW w:w="180" w:type="dxa"/>
            <w:vAlign w:val="bottom"/>
          </w:tcPr>
          <w:p>
            <w:pPr>
              <w:spacing w:after="0"/>
              <w:rPr>
                <w:sz w:val="9"/>
                <w:szCs w:val="9"/>
                <w:color w:val="auto"/>
              </w:rPr>
            </w:pPr>
          </w:p>
        </w:tc>
        <w:tc>
          <w:tcPr>
            <w:tcW w:w="72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rPr>
              <w:t>Fluid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4"/>
              </w:rPr>
              <w:t>Customers</w:t>
            </w:r>
          </w:p>
        </w:tc>
        <w:tc>
          <w:tcPr>
            <w:tcW w:w="0" w:type="dxa"/>
            <w:vAlign w:val="bottom"/>
          </w:tcPr>
          <w:p>
            <w:pPr>
              <w:spacing w:after="0"/>
              <w:rPr>
                <w:sz w:val="1"/>
                <w:szCs w:val="1"/>
                <w:color w:val="auto"/>
              </w:rPr>
            </w:pPr>
          </w:p>
        </w:tc>
      </w:tr>
      <w:tr>
        <w:trPr>
          <w:trHeight w:val="142"/>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Net Sales</w:t>
            </w:r>
          </w:p>
        </w:tc>
        <w:tc>
          <w:tcPr>
            <w:tcW w:w="10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Solutions segment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197,897</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(8,833)</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(109)</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188,955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160"/>
              <w:spacing w:after="0"/>
              <w:rPr>
                <w:sz w:val="20"/>
                <w:szCs w:val="20"/>
                <w:color w:val="auto"/>
              </w:rPr>
            </w:pPr>
            <w:r>
              <w:rPr>
                <w:rFonts w:ascii="Arial" w:cs="Arial" w:eastAsia="Arial" w:hAnsi="Arial"/>
                <w:sz w:val="12"/>
                <w:szCs w:val="12"/>
                <w:color w:val="auto"/>
              </w:rPr>
              <w:t>Industrial Solutions segment</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91,915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(3,235)</w:t>
            </w:r>
          </w:p>
        </w:tc>
        <w:tc>
          <w:tcPr>
            <w:tcW w:w="1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(787)</w:t>
            </w:r>
          </w:p>
        </w:tc>
        <w:tc>
          <w:tcPr>
            <w:tcW w:w="1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87,838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Solutions segment</w:t>
            </w: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73,652</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(3,169)</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(492)</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(832)</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160"/>
              <w:spacing w:after="0"/>
              <w:rPr>
                <w:sz w:val="20"/>
                <w:szCs w:val="20"/>
                <w:color w:val="auto"/>
              </w:rPr>
            </w:pPr>
            <w:r>
              <w:rPr>
                <w:rFonts w:ascii="Arial" w:cs="Arial" w:eastAsia="Arial" w:hAnsi="Arial"/>
                <w:sz w:val="12"/>
                <w:szCs w:val="12"/>
                <w:color w:val="auto"/>
              </w:rPr>
              <w:t>Corporate and Other (5)</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(901)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(901)</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FF0FC"/>
          </w:tcPr>
          <w:p>
            <w:pPr>
              <w:ind w:left="320"/>
              <w:spacing w:after="0"/>
              <w:rPr>
                <w:sz w:val="20"/>
                <w:szCs w:val="20"/>
                <w:color w:val="auto"/>
              </w:rPr>
            </w:pPr>
            <w:r>
              <w:rPr>
                <w:rFonts w:ascii="Arial" w:cs="Arial" w:eastAsia="Arial" w:hAnsi="Arial"/>
                <w:sz w:val="12"/>
                <w:szCs w:val="12"/>
                <w:b w:val="1"/>
                <w:bCs w:val="1"/>
                <w:color w:val="auto"/>
              </w:rPr>
              <w:t>Net Sales</w:t>
            </w:r>
          </w:p>
        </w:tc>
        <w:tc>
          <w:tcPr>
            <w:tcW w:w="10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vMerge w:val="continue"/>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363,464</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(15,237)</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(601)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(1,619)</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(901)</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345,051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Year Ended December 31, 2016</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5"/>
          </w:tcPr>
          <w:p>
            <w:pPr>
              <w:jc w:val="right"/>
              <w:ind w:right="480"/>
              <w:spacing w:after="0" w:line="97" w:lineRule="exact"/>
              <w:rPr>
                <w:sz w:val="20"/>
                <w:szCs w:val="20"/>
                <w:color w:val="auto"/>
              </w:rPr>
            </w:pPr>
            <w:r>
              <w:rPr>
                <w:rFonts w:ascii="Arial" w:cs="Arial" w:eastAsia="Arial" w:hAnsi="Arial"/>
                <w:sz w:val="10"/>
                <w:szCs w:val="10"/>
                <w:b w:val="1"/>
                <w:bCs w:val="1"/>
                <w:color w:val="auto"/>
              </w:rPr>
              <w:t>Less Inter-Segment Sales</w:t>
            </w: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3"/>
              </w:rPr>
              <w:t>Net Sales to</w:t>
            </w:r>
          </w:p>
        </w:tc>
        <w:tc>
          <w:tcPr>
            <w:tcW w:w="0" w:type="dxa"/>
            <w:vAlign w:val="bottom"/>
          </w:tcPr>
          <w:p>
            <w:pPr>
              <w:spacing w:after="0"/>
              <w:rPr>
                <w:sz w:val="1"/>
                <w:szCs w:val="1"/>
                <w:color w:val="auto"/>
              </w:rPr>
            </w:pPr>
          </w:p>
        </w:tc>
      </w:tr>
      <w:tr>
        <w:trPr>
          <w:trHeight w:val="83"/>
        </w:trPr>
        <w:tc>
          <w:tcPr>
            <w:tcW w:w="2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center"/>
              <w:ind w:right="105"/>
              <w:spacing w:after="0" w:line="83" w:lineRule="exact"/>
              <w:rPr>
                <w:sz w:val="20"/>
                <w:szCs w:val="20"/>
                <w:color w:val="auto"/>
              </w:rPr>
            </w:pPr>
            <w:r>
              <w:rPr>
                <w:rFonts w:ascii="Arial" w:cs="Arial" w:eastAsia="Arial" w:hAnsi="Arial"/>
                <w:sz w:val="8"/>
                <w:szCs w:val="8"/>
                <w:b w:val="1"/>
                <w:bCs w:val="1"/>
                <w:color w:val="auto"/>
              </w:rPr>
              <w:t>Corp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Intra - Segment</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5"/>
              </w:rPr>
              <w:t>Outside</w:t>
            </w:r>
          </w:p>
        </w:tc>
        <w:tc>
          <w:tcPr>
            <w:tcW w:w="0" w:type="dxa"/>
            <w:vAlign w:val="bottom"/>
          </w:tcPr>
          <w:p>
            <w:pPr>
              <w:spacing w:after="0"/>
              <w:rPr>
                <w:sz w:val="1"/>
                <w:szCs w:val="1"/>
                <w:color w:val="auto"/>
              </w:rPr>
            </w:pPr>
          </w:p>
        </w:tc>
      </w:tr>
      <w:tr>
        <w:trPr>
          <w:trHeight w:val="114"/>
        </w:trPr>
        <w:tc>
          <w:tcPr>
            <w:tcW w:w="2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Total Sales</w:t>
            </w:r>
          </w:p>
        </w:tc>
        <w:tc>
          <w:tcPr>
            <w:tcW w:w="220" w:type="dxa"/>
            <w:vAlign w:val="bottom"/>
          </w:tcPr>
          <w:p>
            <w:pPr>
              <w:spacing w:after="0"/>
              <w:rPr>
                <w:sz w:val="9"/>
                <w:szCs w:val="9"/>
                <w:color w:val="auto"/>
              </w:rPr>
            </w:pPr>
          </w:p>
        </w:tc>
        <w:tc>
          <w:tcPr>
            <w:tcW w:w="134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76"/>
              </w:rPr>
              <w:t>Sales</w:t>
            </w:r>
          </w:p>
        </w:tc>
        <w:tc>
          <w:tcPr>
            <w:tcW w:w="120" w:type="dxa"/>
            <w:vAlign w:val="bottom"/>
          </w:tcPr>
          <w:p>
            <w:pPr>
              <w:spacing w:after="0"/>
              <w:rPr>
                <w:sz w:val="9"/>
                <w:szCs w:val="9"/>
                <w:color w:val="auto"/>
              </w:rPr>
            </w:pPr>
          </w:p>
        </w:tc>
        <w:tc>
          <w:tcPr>
            <w:tcW w:w="86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97"/>
              </w:rPr>
              <w:t>Industrial</w:t>
            </w:r>
          </w:p>
        </w:tc>
        <w:tc>
          <w:tcPr>
            <w:tcW w:w="140" w:type="dxa"/>
            <w:vAlign w:val="bottom"/>
          </w:tcPr>
          <w:p>
            <w:pPr>
              <w:spacing w:after="0"/>
              <w:rPr>
                <w:sz w:val="9"/>
                <w:szCs w:val="9"/>
                <w:color w:val="auto"/>
              </w:rPr>
            </w:pPr>
          </w:p>
        </w:tc>
        <w:tc>
          <w:tcPr>
            <w:tcW w:w="82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Energy</w:t>
            </w:r>
          </w:p>
        </w:tc>
        <w:tc>
          <w:tcPr>
            <w:tcW w:w="180" w:type="dxa"/>
            <w:vAlign w:val="bottom"/>
          </w:tcPr>
          <w:p>
            <w:pPr>
              <w:spacing w:after="0"/>
              <w:rPr>
                <w:sz w:val="9"/>
                <w:szCs w:val="9"/>
                <w:color w:val="auto"/>
              </w:rPr>
            </w:pPr>
          </w:p>
        </w:tc>
        <w:tc>
          <w:tcPr>
            <w:tcW w:w="72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rPr>
              <w:t>Fluid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4"/>
              </w:rPr>
              <w:t>Customers</w:t>
            </w:r>
          </w:p>
        </w:tc>
        <w:tc>
          <w:tcPr>
            <w:tcW w:w="0" w:type="dxa"/>
            <w:vAlign w:val="bottom"/>
          </w:tcPr>
          <w:p>
            <w:pPr>
              <w:spacing w:after="0"/>
              <w:rPr>
                <w:sz w:val="1"/>
                <w:szCs w:val="1"/>
                <w:color w:val="auto"/>
              </w:rPr>
            </w:pPr>
          </w:p>
        </w:tc>
      </w:tr>
      <w:tr>
        <w:trPr>
          <w:trHeight w:val="142"/>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Net Sales</w:t>
            </w:r>
          </w:p>
        </w:tc>
        <w:tc>
          <w:tcPr>
            <w:tcW w:w="10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Solutions segment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258,710</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(3,506)</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(398)</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254,806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160"/>
              <w:spacing w:after="0"/>
              <w:rPr>
                <w:sz w:val="20"/>
                <w:szCs w:val="20"/>
                <w:color w:val="auto"/>
              </w:rPr>
            </w:pPr>
            <w:r>
              <w:rPr>
                <w:rFonts w:ascii="Arial" w:cs="Arial" w:eastAsia="Arial" w:hAnsi="Arial"/>
                <w:sz w:val="12"/>
                <w:szCs w:val="12"/>
                <w:color w:val="auto"/>
              </w:rPr>
              <w:t>Industrial Solutions segment</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109,524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(4,256)</w:t>
            </w:r>
          </w:p>
        </w:tc>
        <w:tc>
          <w:tcPr>
            <w:tcW w:w="1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(3,153)</w:t>
            </w:r>
          </w:p>
        </w:tc>
        <w:tc>
          <w:tcPr>
            <w:tcW w:w="1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101,909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Solutions segment</w:t>
            </w: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64,332</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(1,714)</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(317)</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(513)</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160"/>
              <w:spacing w:after="0"/>
              <w:rPr>
                <w:sz w:val="20"/>
                <w:szCs w:val="20"/>
                <w:color w:val="auto"/>
              </w:rPr>
            </w:pPr>
            <w:r>
              <w:rPr>
                <w:rFonts w:ascii="Arial" w:cs="Arial" w:eastAsia="Arial" w:hAnsi="Arial"/>
                <w:sz w:val="12"/>
                <w:szCs w:val="12"/>
                <w:color w:val="auto"/>
              </w:rPr>
              <w:t>Corporate and Other (5)</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(1,492)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(1,492)</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FF0FC"/>
          </w:tcPr>
          <w:p>
            <w:pPr>
              <w:ind w:left="320"/>
              <w:spacing w:after="0"/>
              <w:rPr>
                <w:sz w:val="20"/>
                <w:szCs w:val="20"/>
                <w:color w:val="auto"/>
              </w:rPr>
            </w:pPr>
            <w:r>
              <w:rPr>
                <w:rFonts w:ascii="Arial" w:cs="Arial" w:eastAsia="Arial" w:hAnsi="Arial"/>
                <w:sz w:val="12"/>
                <w:szCs w:val="12"/>
                <w:b w:val="1"/>
                <w:bCs w:val="1"/>
                <w:color w:val="auto"/>
              </w:rPr>
              <w:t>Net Sales</w:t>
            </w:r>
          </w:p>
        </w:tc>
        <w:tc>
          <w:tcPr>
            <w:tcW w:w="10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vMerge w:val="continue"/>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432,566</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(9,476)</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(715)</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(3,666)</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(206)</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(1,492)</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740" w:hanging="370"/>
        <w:spacing w:after="0"/>
        <w:tabs>
          <w:tab w:leader="none" w:pos="7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adjustment for revenue on intercompany jobs.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2"/>
          <w:szCs w:val="12"/>
          <w:color w:val="auto"/>
        </w:rPr>
        <w:t>No single customer represented greater than 10% of consolidated net sales or accounts receivable for 2018, 2017, or 2016.</w:t>
      </w:r>
    </w:p>
    <w:p>
      <w:pPr>
        <w:spacing w:after="0" w:line="150" w:lineRule="exact"/>
        <w:rPr>
          <w:sz w:val="20"/>
          <w:szCs w:val="20"/>
          <w:color w:val="auto"/>
        </w:rPr>
      </w:pPr>
    </w:p>
    <w:p>
      <w:pPr>
        <w:ind w:right="180" w:firstLine="382"/>
        <w:spacing w:after="0" w:line="276" w:lineRule="auto"/>
        <w:rPr>
          <w:sz w:val="20"/>
          <w:szCs w:val="20"/>
          <w:color w:val="auto"/>
        </w:rPr>
      </w:pPr>
      <w:r>
        <w:rPr>
          <w:rFonts w:ascii="Arial" w:cs="Arial" w:eastAsia="Arial" w:hAnsi="Arial"/>
          <w:sz w:val="12"/>
          <w:szCs w:val="12"/>
          <w:color w:val="auto"/>
        </w:rPr>
        <w:t>For 2018, 2017, and 2016, sales to customers outside the United States, including export sales, accounted for approximately 33%, 32%, and 37%, respectively, of consolidated net sales. The largest portion of export sales in 2018 was destined for Asia (11.5%),</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66" w:right="199" w:bottom="1440" w:gutter="0" w:footer="0" w:header="0"/>
        </w:sectPr>
      </w:pPr>
    </w:p>
    <w:bookmarkStart w:id="86" w:name="page87"/>
    <w:bookmarkEnd w:id="86"/>
    <w:p>
      <w:pPr>
        <w:ind w:left="8" w:right="20"/>
        <w:spacing w:after="0" w:line="276" w:lineRule="auto"/>
        <w:rPr>
          <w:sz w:val="20"/>
          <w:szCs w:val="20"/>
          <w:color w:val="auto"/>
        </w:rPr>
      </w:pPr>
      <w:r>
        <w:rPr>
          <w:rFonts w:ascii="Arial" w:cs="Arial" w:eastAsia="Arial" w:hAnsi="Arial"/>
          <w:sz w:val="12"/>
          <w:szCs w:val="12"/>
          <w:color w:val="auto"/>
        </w:rPr>
        <w:t>Europe (11.0%), and Middle East and Africa (6.2%). Of consolidated long-lived assets, $19.1 million and $29.7 million were located outside of the United States as of December 31, 2018 and 2017, respectively. The largest portion of long-lived assets located outside the United States at December 31, 2018 were in Europe ($14.5 million).</w:t>
      </w:r>
    </w:p>
    <w:p>
      <w:pPr>
        <w:spacing w:after="0" w:line="237" w:lineRule="exact"/>
        <w:rPr>
          <w:sz w:val="20"/>
          <w:szCs w:val="20"/>
          <w:color w:val="auto"/>
        </w:rPr>
      </w:pPr>
    </w:p>
    <w:p>
      <w:pPr>
        <w:ind w:left="508" w:hanging="508"/>
        <w:spacing w:after="0"/>
        <w:tabs>
          <w:tab w:leader="none" w:pos="508"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Data (Unaudited)</w:t>
      </w:r>
    </w:p>
    <w:p>
      <w:pPr>
        <w:spacing w:after="0" w:line="82" w:lineRule="exact"/>
        <w:rPr>
          <w:rFonts w:ascii="Arial" w:cs="Arial" w:eastAsia="Arial" w:hAnsi="Arial"/>
          <w:sz w:val="12"/>
          <w:szCs w:val="12"/>
          <w:b w:val="1"/>
          <w:bCs w:val="1"/>
          <w:color w:val="auto"/>
        </w:rPr>
      </w:pPr>
    </w:p>
    <w:p>
      <w:pPr>
        <w:ind w:left="528"/>
        <w:spacing w:after="0"/>
        <w:rPr>
          <w:rFonts w:ascii="Arial" w:cs="Arial" w:eastAsia="Arial" w:hAnsi="Arial"/>
          <w:sz w:val="12"/>
          <w:szCs w:val="12"/>
          <w:b w:val="1"/>
          <w:bCs w:val="1"/>
          <w:color w:val="auto"/>
        </w:rPr>
      </w:pPr>
      <w:r>
        <w:rPr>
          <w:rFonts w:ascii="Arial" w:cs="Arial" w:eastAsia="Arial" w:hAnsi="Arial"/>
          <w:sz w:val="12"/>
          <w:szCs w:val="12"/>
          <w:color w:val="auto"/>
        </w:rPr>
        <w:t>Earnings per share amounts are computed independently each quarter. Accordingly, the sum of each quarter’s per share amount may not equal the total per share amount for the respective year.</w:t>
      </w:r>
    </w:p>
    <w:p>
      <w:pPr>
        <w:spacing w:after="0" w:line="5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36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 except per share data)</w:t>
            </w:r>
          </w:p>
        </w:tc>
        <w:tc>
          <w:tcPr>
            <w:tcW w:w="16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rPr>
              <w:t>Quarter</w:t>
            </w: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36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ind w:left="220"/>
              <w:spacing w:after="0" w:line="97" w:lineRule="exact"/>
              <w:rPr>
                <w:sz w:val="20"/>
                <w:szCs w:val="20"/>
                <w:color w:val="auto"/>
              </w:rPr>
            </w:pPr>
            <w:r>
              <w:rPr>
                <w:rFonts w:ascii="Arial" w:cs="Arial" w:eastAsia="Arial" w:hAnsi="Arial"/>
                <w:sz w:val="10"/>
                <w:szCs w:val="10"/>
                <w:b w:val="1"/>
                <w:bCs w:val="1"/>
                <w:color w:val="auto"/>
              </w:rPr>
              <w:t>First</w:t>
            </w:r>
          </w:p>
        </w:tc>
        <w:tc>
          <w:tcPr>
            <w:tcW w:w="240" w:type="dxa"/>
            <w:vAlign w:val="bottom"/>
          </w:tcPr>
          <w:p>
            <w:pPr>
              <w:spacing w:after="0"/>
              <w:rPr>
                <w:sz w:val="8"/>
                <w:szCs w:val="8"/>
                <w:color w:val="auto"/>
              </w:rPr>
            </w:pPr>
          </w:p>
        </w:tc>
        <w:tc>
          <w:tcPr>
            <w:tcW w:w="1080" w:type="dxa"/>
            <w:vAlign w:val="bottom"/>
            <w:gridSpan w:val="2"/>
          </w:tcPr>
          <w:p>
            <w:pPr>
              <w:jc w:val="right"/>
              <w:ind w:right="600"/>
              <w:spacing w:after="0" w:line="97" w:lineRule="exact"/>
              <w:rPr>
                <w:sz w:val="20"/>
                <w:szCs w:val="20"/>
                <w:color w:val="auto"/>
              </w:rPr>
            </w:pPr>
            <w:r>
              <w:rPr>
                <w:rFonts w:ascii="Arial" w:cs="Arial" w:eastAsia="Arial" w:hAnsi="Arial"/>
                <w:sz w:val="10"/>
                <w:szCs w:val="10"/>
                <w:b w:val="1"/>
                <w:bCs w:val="1"/>
                <w:color w:val="auto"/>
              </w:rPr>
              <w:t>Second</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right"/>
              <w:ind w:right="700"/>
              <w:spacing w:after="0" w:line="97" w:lineRule="exact"/>
              <w:rPr>
                <w:sz w:val="20"/>
                <w:szCs w:val="20"/>
                <w:color w:val="auto"/>
              </w:rPr>
            </w:pPr>
            <w:r>
              <w:rPr>
                <w:rFonts w:ascii="Arial" w:cs="Arial" w:eastAsia="Arial" w:hAnsi="Arial"/>
                <w:sz w:val="10"/>
                <w:szCs w:val="10"/>
                <w:b w:val="1"/>
                <w:bCs w:val="1"/>
                <w:color w:val="auto"/>
              </w:rPr>
              <w:t>Third</w:t>
            </w:r>
          </w:p>
        </w:tc>
        <w:tc>
          <w:tcPr>
            <w:tcW w:w="260" w:type="dxa"/>
            <w:vAlign w:val="bottom"/>
          </w:tcPr>
          <w:p>
            <w:pPr>
              <w:spacing w:after="0"/>
              <w:rPr>
                <w:sz w:val="8"/>
                <w:szCs w:val="8"/>
                <w:color w:val="auto"/>
              </w:rPr>
            </w:pPr>
          </w:p>
        </w:tc>
        <w:tc>
          <w:tcPr>
            <w:tcW w:w="920" w:type="dxa"/>
            <w:vAlign w:val="bottom"/>
          </w:tcPr>
          <w:p>
            <w:pPr>
              <w:jc w:val="right"/>
              <w:ind w:right="381"/>
              <w:spacing w:after="0" w:line="97" w:lineRule="exact"/>
              <w:rPr>
                <w:sz w:val="20"/>
                <w:szCs w:val="20"/>
                <w:color w:val="auto"/>
              </w:rPr>
            </w:pPr>
            <w:r>
              <w:rPr>
                <w:rFonts w:ascii="Arial" w:cs="Arial" w:eastAsia="Arial" w:hAnsi="Arial"/>
                <w:sz w:val="10"/>
                <w:szCs w:val="10"/>
                <w:b w:val="1"/>
                <w:bCs w:val="1"/>
                <w:color w:val="auto"/>
              </w:rPr>
              <w:t>Fourth</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Year ended December 31, 2018</w:t>
            </w:r>
          </w:p>
        </w:tc>
        <w:tc>
          <w:tcPr>
            <w:tcW w:w="16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160"/>
              <w:spacing w:after="0"/>
              <w:rPr>
                <w:sz w:val="20"/>
                <w:szCs w:val="20"/>
                <w:color w:val="auto"/>
              </w:rPr>
            </w:pPr>
            <w:r>
              <w:rPr>
                <w:rFonts w:ascii="Arial" w:cs="Arial" w:eastAsia="Arial" w:hAnsi="Arial"/>
                <w:sz w:val="12"/>
                <w:szCs w:val="12"/>
                <w:color w:val="auto"/>
              </w:rPr>
              <w:t>Net sales</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74,139</w:t>
            </w:r>
          </w:p>
        </w:tc>
        <w:tc>
          <w:tcPr>
            <w:tcW w:w="2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81,089</w:t>
            </w:r>
          </w:p>
        </w:tc>
        <w:tc>
          <w:tcPr>
            <w:tcW w:w="1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88,256</w:t>
            </w:r>
          </w:p>
        </w:tc>
        <w:tc>
          <w:tcPr>
            <w:tcW w:w="24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93,854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Gross profit</w:t>
            </w:r>
          </w:p>
        </w:tc>
        <w:tc>
          <w:tcPr>
            <w:tcW w:w="1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25,561</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27,525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28,674</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29,777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160"/>
              <w:spacing w:after="0"/>
              <w:rPr>
                <w:sz w:val="20"/>
                <w:szCs w:val="20"/>
                <w:color w:val="auto"/>
              </w:rPr>
            </w:pPr>
            <w:r>
              <w:rPr>
                <w:rFonts w:ascii="Arial" w:cs="Arial" w:eastAsia="Arial" w:hAnsi="Arial"/>
                <w:sz w:val="12"/>
                <w:szCs w:val="12"/>
                <w:color w:val="auto"/>
              </w:rPr>
              <w:t>Net income (loss) attributable to CECO Environmental Corp.</w:t>
            </w: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5,763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(901)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(12,915)</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Basic earnings (loss) per share</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0.17</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(0.03)</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(0.37)</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160"/>
              <w:spacing w:after="0"/>
              <w:rPr>
                <w:sz w:val="20"/>
                <w:szCs w:val="20"/>
                <w:color w:val="auto"/>
              </w:rPr>
            </w:pPr>
            <w:r>
              <w:rPr>
                <w:rFonts w:ascii="Arial" w:cs="Arial" w:eastAsia="Arial" w:hAnsi="Arial"/>
                <w:sz w:val="12"/>
                <w:szCs w:val="12"/>
                <w:color w:val="auto"/>
              </w:rPr>
              <w:t>Diluted earnings (loss) per share</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0.17</w:t>
            </w:r>
          </w:p>
        </w:tc>
        <w:tc>
          <w:tcPr>
            <w:tcW w:w="2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(0.03)</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(0.37)</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4360" w:type="dxa"/>
            <w:vAlign w:val="bottom"/>
          </w:tcPr>
          <w:p>
            <w:pPr>
              <w:spacing w:after="0"/>
              <w:rPr>
                <w:sz w:val="20"/>
                <w:szCs w:val="20"/>
                <w:color w:val="auto"/>
              </w:rPr>
            </w:pPr>
            <w:r>
              <w:rPr>
                <w:rFonts w:ascii="Arial" w:cs="Arial" w:eastAsia="Arial" w:hAnsi="Arial"/>
                <w:sz w:val="12"/>
                <w:szCs w:val="12"/>
                <w:b w:val="1"/>
                <w:bCs w:val="1"/>
                <w:color w:val="auto"/>
              </w:rPr>
              <w:t>Year ended December 31, 2017</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sales</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92,651</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93,870</w:t>
            </w:r>
          </w:p>
        </w:tc>
        <w:tc>
          <w:tcPr>
            <w:tcW w:w="1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84,987</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73,543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tcPr>
          <w:p>
            <w:pPr>
              <w:ind w:left="160"/>
              <w:spacing w:after="0"/>
              <w:rPr>
                <w:sz w:val="20"/>
                <w:szCs w:val="20"/>
                <w:color w:val="auto"/>
              </w:rPr>
            </w:pPr>
            <w:r>
              <w:rPr>
                <w:rFonts w:ascii="Arial" w:cs="Arial" w:eastAsia="Arial" w:hAnsi="Arial"/>
                <w:sz w:val="12"/>
                <w:szCs w:val="12"/>
                <w:color w:val="auto"/>
              </w:rPr>
              <w:t>Gross profit</w:t>
            </w: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31,929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28,486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27,133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25,646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income (loss) attributable to CECO Environmental Corp.</w:t>
            </w:r>
          </w:p>
        </w:tc>
        <w:tc>
          <w:tcPr>
            <w:tcW w:w="1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(11,589)</w:t>
            </w:r>
          </w:p>
        </w:tc>
        <w:tc>
          <w:tcPr>
            <w:tcW w:w="0" w:type="dxa"/>
            <w:vAlign w:val="bottom"/>
          </w:tcPr>
          <w:p>
            <w:pPr>
              <w:spacing w:after="0"/>
              <w:rPr>
                <w:sz w:val="1"/>
                <w:szCs w:val="1"/>
                <w:color w:val="auto"/>
              </w:rPr>
            </w:pPr>
          </w:p>
        </w:tc>
      </w:tr>
      <w:tr>
        <w:trPr>
          <w:trHeight w:val="153"/>
        </w:trPr>
        <w:tc>
          <w:tcPr>
            <w:tcW w:w="4360" w:type="dxa"/>
            <w:vAlign w:val="bottom"/>
          </w:tcPr>
          <w:p>
            <w:pPr>
              <w:ind w:left="160"/>
              <w:spacing w:after="0"/>
              <w:rPr>
                <w:sz w:val="20"/>
                <w:szCs w:val="20"/>
                <w:color w:val="auto"/>
              </w:rPr>
            </w:pPr>
            <w:r>
              <w:rPr>
                <w:rFonts w:ascii="Arial" w:cs="Arial" w:eastAsia="Arial" w:hAnsi="Arial"/>
                <w:sz w:val="12"/>
                <w:szCs w:val="12"/>
                <w:color w:val="auto"/>
              </w:rPr>
              <w:t>Basic earnings (loss) per share</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0.00</w:t>
            </w:r>
          </w:p>
        </w:tc>
        <w:tc>
          <w:tcPr>
            <w:tcW w:w="2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0.16</w:t>
            </w:r>
          </w:p>
        </w:tc>
        <w:tc>
          <w:tcPr>
            <w:tcW w:w="1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0.09</w:t>
            </w:r>
          </w:p>
        </w:tc>
        <w:tc>
          <w:tcPr>
            <w:tcW w:w="24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153"/>
        </w:trPr>
        <w:tc>
          <w:tcPr>
            <w:tcW w:w="43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Diluted earnings (loss) per share</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0.00</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0.16</w:t>
            </w:r>
          </w:p>
        </w:tc>
        <w:tc>
          <w:tcPr>
            <w:tcW w:w="1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0.09</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576"/>
        </w:trPr>
        <w:tc>
          <w:tcPr>
            <w:tcW w:w="4360" w:type="dxa"/>
            <w:vAlign w:val="bottom"/>
          </w:tcPr>
          <w:p>
            <w:pPr>
              <w:spacing w:after="0"/>
              <w:rPr>
                <w:sz w:val="24"/>
                <w:szCs w:val="24"/>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2"/>
                <w:szCs w:val="12"/>
                <w:color w:val="auto"/>
              </w:rPr>
              <w:t>F-37</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275" w:right="199" w:bottom="1440" w:gutter="0" w:footer="0" w:header="0"/>
        </w:sectPr>
      </w:pPr>
    </w:p>
    <w:bookmarkStart w:id="87" w:name="page88"/>
    <w:bookmarkEnd w:id="87"/>
    <w:p>
      <w:pPr>
        <w:jc w:val="right"/>
        <w:spacing w:after="0"/>
        <w:rPr>
          <w:sz w:val="20"/>
          <w:szCs w:val="20"/>
          <w:color w:val="auto"/>
        </w:rPr>
      </w:pPr>
      <w:r>
        <w:rPr>
          <w:rFonts w:ascii="Arial" w:cs="Arial" w:eastAsia="Arial" w:hAnsi="Arial"/>
          <w:sz w:val="13"/>
          <w:szCs w:val="13"/>
          <w:b w:val="1"/>
          <w:bCs w:val="1"/>
          <w:color w:val="auto"/>
        </w:rPr>
        <w:t>Exhibit 10.1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Summary term sheet governing arrangement of consulting services Icarus Investment Corp. performs pursuant to oral agreement</w:t>
      </w:r>
    </w:p>
    <w:p>
      <w:pPr>
        <w:spacing w:after="0" w:line="247" w:lineRule="exact"/>
        <w:rPr>
          <w:sz w:val="20"/>
          <w:szCs w:val="20"/>
          <w:color w:val="auto"/>
        </w:rPr>
      </w:pPr>
    </w:p>
    <w:p>
      <w:pPr>
        <w:ind w:right="440"/>
        <w:spacing w:after="0" w:line="271" w:lineRule="auto"/>
        <w:rPr>
          <w:sz w:val="20"/>
          <w:szCs w:val="20"/>
          <w:color w:val="auto"/>
        </w:rPr>
      </w:pPr>
      <w:r>
        <w:rPr>
          <w:rFonts w:ascii="Arial" w:cs="Arial" w:eastAsia="Arial" w:hAnsi="Arial"/>
          <w:sz w:val="13"/>
          <w:szCs w:val="13"/>
          <w:color w:val="auto"/>
        </w:rPr>
        <w:t>Icarus Investment Corp. is paid $20,000 per month for consulting services. Icarus Investment Corp. performs for CECO consulting services regarding the Company’s corporate policies, marketing, strategic and financial planning, including long and short-term goals, mergers and acquisitions and other business combinations, financing, growth plans and other related matters’.</w:t>
      </w:r>
    </w:p>
    <w:p>
      <w:pPr>
        <w:spacing w:after="0" w:line="68"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Icarus Investment Corp. is engaged as an independent contractor and is not an employee of the Company for any purpose whatsoever, including limitation, for purposes relating to taxes, workers’ compensation or workplace safety insurance, payments require by statue or any other withholdings or remittances to any governmental agency or authority. No course of dealing between the parties is intended to create, or shall create, an employment relationship, a joint venture, partnership or any similar relationship. CECO is interested only in the results obtained by Icarus Investment Corp. and Icarus Investment Corp. shall have sole control of the manner and means of performing its services to CECO consistent with policies and practices of CECO and with CECO’s interests and in accordance with all applicable laws, rules, and regulations.</w:t>
      </w:r>
    </w:p>
    <w:p>
      <w:pPr>
        <w:sectPr>
          <w:pgSz w:w="11900" w:h="16838" w:orient="portrait"/>
          <w:cols w:equalWidth="0" w:num="1">
            <w:col w:w="11480"/>
          </w:cols>
          <w:pgMar w:left="220" w:top="124" w:right="19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auto"/>
        </w:rPr>
        <w:t>Exhibit 10.7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Summary term sheet governing arrangement of consulting services JMP Fam Holdings Inc. performs pursuant to oral agreement</w:t>
      </w:r>
    </w:p>
    <w:p>
      <w:pPr>
        <w:spacing w:after="0" w:line="247" w:lineRule="exact"/>
        <w:rPr>
          <w:sz w:val="20"/>
          <w:szCs w:val="20"/>
          <w:color w:val="auto"/>
        </w:rPr>
      </w:pPr>
    </w:p>
    <w:p>
      <w:pPr>
        <w:ind w:right="480"/>
        <w:spacing w:after="0" w:line="271" w:lineRule="auto"/>
        <w:rPr>
          <w:sz w:val="20"/>
          <w:szCs w:val="20"/>
          <w:color w:val="auto"/>
        </w:rPr>
      </w:pPr>
      <w:r>
        <w:rPr>
          <w:rFonts w:ascii="Arial" w:cs="Arial" w:eastAsia="Arial" w:hAnsi="Arial"/>
          <w:sz w:val="13"/>
          <w:szCs w:val="13"/>
          <w:color w:val="auto"/>
        </w:rPr>
        <w:t>JMP Fam Holdings Inc. is paid $6,500 per month for consulting services. JMP Fam Holdings Inc. performs for CECO consulting services regarding the Company’s corporate policies, marketing, strategic and financial planning, including long and short-term goals, mergers and acquisitions and other business combinations, financing, growth plans and other related matters’.</w:t>
      </w:r>
    </w:p>
    <w:p>
      <w:pPr>
        <w:spacing w:after="0" w:line="68"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JMP Fam Holdings Inc. is engaged as an independent contractor and is not an employee of the Company for any purpose whatsoever, including limitation, for purposes relating to taxes, workers’ compensation or workplace safety insurance, payments require by statue or any other withholdings or remittances to any governmental agency or authority. No course of dealing between the parties is intended to create, or shall create, an employment relationship, a joint venture, partnership or any similar relationship. CECO is interested only in the results obtained by JMP Fam Holdings Inc. and JMP Fam Holdings Inc. shall have sole control of the manner and means of performing its services to CECO consistent with policies and practices of CECO and with CECO’s interests and in accordance with all applicable laws, rules, and regulations.</w:t>
      </w:r>
    </w:p>
    <w:p>
      <w:pPr>
        <w:sectPr>
          <w:pgSz w:w="11900" w:h="16838" w:orient="portrait"/>
          <w:cols w:equalWidth="0" w:num="1">
            <w:col w:w="11480"/>
          </w:cols>
          <w:pgMar w:left="220" w:top="124" w:right="199" w:bottom="1440" w:gutter="0" w:footer="0" w:header="0"/>
        </w:sectPr>
      </w:pPr>
    </w:p>
    <w:bookmarkStart w:id="89" w:name="page90"/>
    <w:bookmarkEnd w:id="89"/>
    <w:p>
      <w:pPr>
        <w:jc w:val="right"/>
        <w:spacing w:after="0"/>
        <w:rPr>
          <w:sz w:val="20"/>
          <w:szCs w:val="20"/>
          <w:color w:val="auto"/>
        </w:rPr>
      </w:pPr>
      <w:r>
        <w:rPr>
          <w:rFonts w:ascii="Arial" w:cs="Arial" w:eastAsia="Arial" w:hAnsi="Arial"/>
          <w:sz w:val="12"/>
          <w:szCs w:val="12"/>
          <w:b w:val="1"/>
          <w:bCs w:val="1"/>
          <w:color w:val="auto"/>
        </w:rPr>
        <w:t>Exhibit 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6740" w:type="dxa"/>
            <w:vAlign w:val="bottom"/>
            <w:gridSpan w:val="2"/>
          </w:tcPr>
          <w:p>
            <w:pPr>
              <w:spacing w:after="0"/>
              <w:rPr>
                <w:sz w:val="20"/>
                <w:szCs w:val="20"/>
                <w:color w:val="auto"/>
              </w:rPr>
            </w:pPr>
            <w:r>
              <w:rPr>
                <w:rFonts w:ascii="Arial" w:cs="Arial" w:eastAsia="Arial" w:hAnsi="Arial"/>
                <w:sz w:val="12"/>
                <w:szCs w:val="12"/>
                <w:b w:val="1"/>
                <w:bCs w:val="1"/>
                <w:color w:val="auto"/>
              </w:rPr>
              <w:t>SUBSIDIARIES OF THE COMPANY</w:t>
            </w:r>
          </w:p>
        </w:tc>
      </w:tr>
      <w:tr>
        <w:trPr>
          <w:trHeight w:val="403"/>
        </w:trPr>
        <w:tc>
          <w:tcPr>
            <w:tcW w:w="47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Subsidiary</w:t>
            </w:r>
          </w:p>
        </w:tc>
        <w:tc>
          <w:tcPr>
            <w:tcW w:w="1980" w:type="dxa"/>
            <w:vAlign w:val="bottom"/>
            <w:tcBorders>
              <w:top w:val="single" w:sz="8" w:color="auto"/>
              <w:bottom w:val="single" w:sz="8" w:color="auto"/>
            </w:tcBorders>
          </w:tcPr>
          <w:p>
            <w:pPr>
              <w:spacing w:after="0"/>
              <w:rPr>
                <w:sz w:val="24"/>
                <w:szCs w:val="24"/>
                <w:color w:val="auto"/>
              </w:rPr>
            </w:pPr>
          </w:p>
        </w:tc>
        <w:tc>
          <w:tcPr>
            <w:tcW w:w="4760" w:type="dxa"/>
            <w:vAlign w:val="bottom"/>
            <w:tcBorders>
              <w:bottom w:val="single" w:sz="8" w:color="auto"/>
            </w:tcBorders>
          </w:tcPr>
          <w:p>
            <w:pPr>
              <w:ind w:left="2460"/>
              <w:spacing w:after="0"/>
              <w:rPr>
                <w:sz w:val="20"/>
                <w:szCs w:val="20"/>
                <w:color w:val="auto"/>
              </w:rPr>
            </w:pPr>
            <w:r>
              <w:rPr>
                <w:rFonts w:ascii="Arial" w:cs="Arial" w:eastAsia="Arial" w:hAnsi="Arial"/>
                <w:sz w:val="10"/>
                <w:szCs w:val="10"/>
                <w:b w:val="1"/>
                <w:bCs w:val="1"/>
                <w:color w:val="auto"/>
              </w:rPr>
              <w:t>State/Country</w:t>
            </w:r>
          </w:p>
        </w:tc>
      </w:tr>
      <w:tr>
        <w:trPr>
          <w:trHeight w:val="142"/>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Aarding do Brasil Fornecimento de Produtos Termo-Acusticos Equipmentos Ltda</w:t>
            </w:r>
          </w:p>
        </w:tc>
        <w:tc>
          <w:tcPr>
            <w:tcW w:w="1980" w:type="dxa"/>
            <w:vAlign w:val="bottom"/>
            <w:shd w:val="clear" w:color="auto" w:fill="CFF0FC"/>
          </w:tcPr>
          <w:p>
            <w:pPr>
              <w:spacing w:after="0"/>
              <w:rPr>
                <w:sz w:val="12"/>
                <w:szCs w:val="12"/>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Brazil</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Aarding Thermal Acoustics B.V.</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Netherlands</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Aarding Thermal Acoustics USA, Inc.</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ATA Beheer B.V.</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Netherlands</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Burgess Manning (India) Pvt. Ltd.</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India</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Burgess-Manning Gmbh</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Germany</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CECO Environmental India Private Limited</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India</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CECO Environmental IP, Inc.</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CECO Environmental Mexico S de RL de CV</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Mexico</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CECO Environmental Middle East</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United Arab Emirates</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CECO Environmental Netherlands B.V.</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Netherlands</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CECO Environmental Services Mexico S de RL de CV.</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Mexico</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CECO Group Global Holdings, LLC</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CECO Group, Inc.</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CECO Industrial Solutions, Inc.</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CECO Mexico Holdings, LLC</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EFFOX, Inc.</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Emtrol, LLC</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New York</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Emtrol, Ltd</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Canada</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Fisher-Klosterman-Buell Shanghai Co. Ltd</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China</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FKI, LLC</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Flextor do Brasil Importacao e Exprortacao Ltda</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Brazil</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Flextor, Inc.</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Canada</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H.M. White, Inc.</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Mefiag (Guangzhou) Filter Systems Ltd.</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China</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Mefiag B. V.</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Netherlands</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Met-Pro (Hong Kong) Company Limited</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Hong Kong</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Met-Pro Chile Limitada</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Chile</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Met-Pro China Company</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Hong Kong</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Met-Pro Holdings, LLC</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Met-Pro Product Recovery/Pollution Control Technologies, Inc.</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Canada</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Met-Pro Technologies, LLC</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Delaware</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MP China Company Limited</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Hong Kong</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Peerless Asia-Pacific Pte. Ltd</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Singapore</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Peerless China Holdings, LLC</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China</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Peerless China Manufacturing Co. Ltd.</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China</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Peerless Europe, Ltd</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United Kingdom</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Peerless Manufacturing Canada, Ltd.</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Canada</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Peerless Mfg. Co.</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Texas</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PMC Acquisition, Inc.</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Texas</w:t>
            </w:r>
          </w:p>
        </w:tc>
      </w:tr>
      <w:tr>
        <w:trPr>
          <w:trHeight w:val="153"/>
        </w:trPr>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SAT Technology, Inc. (Shanghai)</w:t>
            </w:r>
          </w:p>
        </w:tc>
        <w:tc>
          <w:tcPr>
            <w:tcW w:w="1980" w:type="dxa"/>
            <w:vAlign w:val="bottom"/>
            <w:shd w:val="clear" w:color="auto" w:fill="CFF0FC"/>
          </w:tcPr>
          <w:p>
            <w:pPr>
              <w:spacing w:after="0"/>
              <w:rPr>
                <w:sz w:val="13"/>
                <w:szCs w:val="13"/>
                <w:color w:val="auto"/>
              </w:rPr>
            </w:pPr>
          </w:p>
        </w:tc>
        <w:tc>
          <w:tcPr>
            <w:tcW w:w="4760" w:type="dxa"/>
            <w:vAlign w:val="bottom"/>
            <w:shd w:val="clear" w:color="auto" w:fill="CFF0FC"/>
          </w:tcPr>
          <w:p>
            <w:pPr>
              <w:ind w:left="2460"/>
              <w:spacing w:after="0"/>
              <w:rPr>
                <w:sz w:val="20"/>
                <w:szCs w:val="20"/>
                <w:color w:val="auto"/>
              </w:rPr>
            </w:pPr>
            <w:r>
              <w:rPr>
                <w:rFonts w:ascii="Arial" w:cs="Arial" w:eastAsia="Arial" w:hAnsi="Arial"/>
                <w:sz w:val="12"/>
                <w:szCs w:val="12"/>
                <w:color w:val="auto"/>
              </w:rPr>
              <w:t>China</w:t>
            </w: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The Kirk &amp; Blum Manufacturing Company</w:t>
            </w:r>
          </w:p>
        </w:tc>
        <w:tc>
          <w:tcPr>
            <w:tcW w:w="1980" w:type="dxa"/>
            <w:vAlign w:val="bottom"/>
          </w:tcPr>
          <w:p>
            <w:pPr>
              <w:spacing w:after="0"/>
              <w:rPr>
                <w:sz w:val="13"/>
                <w:szCs w:val="13"/>
                <w:color w:val="auto"/>
              </w:rPr>
            </w:pPr>
          </w:p>
        </w:tc>
        <w:tc>
          <w:tcPr>
            <w:tcW w:w="4760" w:type="dxa"/>
            <w:vAlign w:val="bottom"/>
          </w:tcPr>
          <w:p>
            <w:pPr>
              <w:ind w:left="2460"/>
              <w:spacing w:after="0"/>
              <w:rPr>
                <w:sz w:val="20"/>
                <w:szCs w:val="20"/>
                <w:color w:val="auto"/>
              </w:rPr>
            </w:pPr>
            <w:r>
              <w:rPr>
                <w:rFonts w:ascii="Arial" w:cs="Arial" w:eastAsia="Arial" w:hAnsi="Arial"/>
                <w:sz w:val="12"/>
                <w:szCs w:val="12"/>
                <w:color w:val="auto"/>
              </w:rPr>
              <w:t>Ohio</w:t>
            </w:r>
          </w:p>
        </w:tc>
      </w:tr>
    </w:tbl>
    <w:p>
      <w:pPr>
        <w:sectPr>
          <w:pgSz w:w="11900" w:h="16838" w:orient="portrait"/>
          <w:cols w:equalWidth="0" w:num="1">
            <w:col w:w="11480"/>
          </w:cols>
          <w:pgMar w:left="220" w:top="126" w:right="199" w:bottom="1440" w:gutter="0" w:footer="0" w:header="0"/>
        </w:sectPr>
      </w:pPr>
    </w:p>
    <w:bookmarkStart w:id="90" w:name="page91"/>
    <w:bookmarkEnd w:id="90"/>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Corp.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Dallas, Texas</w:t>
      </w:r>
    </w:p>
    <w:p>
      <w:pPr>
        <w:spacing w:after="0" w:line="141"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hereby consent to the incorporation by reference in the Registration Statements on Form S-8 (No. 333-143527, 333-159948, 333-200000, 333-206743, and 333-218030) of CECO Environmental Corp. and Subsidiaries’ of our reports dated March 7, 2019, relating to the consolidated financial statements, and the effectiveness of CECO Environmental Corp. and Subsidiaries’ internal control over financial reporting, which appear in this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Cincinnati, Ohio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7, 2019</w:t>
      </w:r>
    </w:p>
    <w:p>
      <w:pPr>
        <w:sectPr>
          <w:pgSz w:w="11900" w:h="16838" w:orient="portrait"/>
          <w:cols w:equalWidth="0" w:num="1">
            <w:col w:w="11480"/>
          </w:cols>
          <w:pgMar w:left="220" w:top="127" w:right="199" w:bottom="1440" w:gutter="0" w:footer="0" w:header="0"/>
        </w:sectPr>
      </w:pPr>
    </w:p>
    <w:bookmarkStart w:id="91" w:name="page92"/>
    <w:bookmarkEnd w:id="91"/>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13a-14(a)/15d-14(a) CERTIFICATION BY CHIEF EXECUTIVE OFFICER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Dennis Sadlowski, certify that:</w:t>
      </w:r>
    </w:p>
    <w:p>
      <w:pPr>
        <w:spacing w:after="0" w:line="78" w:lineRule="exact"/>
        <w:rPr>
          <w:sz w:val="20"/>
          <w:szCs w:val="20"/>
          <w:color w:val="auto"/>
        </w:rPr>
      </w:pPr>
    </w:p>
    <w:p>
      <w:pPr>
        <w:ind w:left="508" w:hanging="508"/>
        <w:spacing w:after="0"/>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I have reviewed this report on Form 10-K for the year ended December 31, 2018, of CECO Environmental Corp.;</w:t>
      </w:r>
    </w:p>
    <w:p>
      <w:pPr>
        <w:spacing w:after="0" w:line="78" w:lineRule="exact"/>
        <w:rPr>
          <w:rFonts w:ascii="Arial" w:cs="Arial" w:eastAsia="Arial" w:hAnsi="Arial"/>
          <w:sz w:val="12"/>
          <w:szCs w:val="12"/>
          <w:color w:val="auto"/>
        </w:rPr>
      </w:pPr>
    </w:p>
    <w:p>
      <w:pPr>
        <w:ind w:left="508" w:right="60" w:hanging="508"/>
        <w:spacing w:after="0" w:line="276" w:lineRule="auto"/>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508" w:right="180" w:hanging="508"/>
        <w:spacing w:after="0" w:line="276" w:lineRule="auto"/>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508" w:right="420" w:hanging="508"/>
        <w:spacing w:after="0" w:line="276" w:lineRule="auto"/>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028" w:right="200" w:hanging="515"/>
        <w:spacing w:after="0" w:line="276" w:lineRule="auto"/>
        <w:tabs>
          <w:tab w:leader="none" w:pos="1028"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028" w:right="440" w:hanging="515"/>
        <w:spacing w:after="0" w:line="276" w:lineRule="auto"/>
        <w:tabs>
          <w:tab w:leader="none" w:pos="1028"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028" w:right="320" w:hanging="515"/>
        <w:spacing w:after="0" w:line="276" w:lineRule="auto"/>
        <w:tabs>
          <w:tab w:leader="none" w:pos="1028" w:val="left"/>
        </w:tabs>
        <w:numPr>
          <w:ilvl w:val="1"/>
          <w:numId w:val="4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028" w:right="20" w:hanging="515"/>
        <w:spacing w:after="0" w:line="276" w:lineRule="auto"/>
        <w:tabs>
          <w:tab w:leader="none" w:pos="1028" w:val="left"/>
        </w:tabs>
        <w:numPr>
          <w:ilvl w:val="1"/>
          <w:numId w:val="4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508" w:right="200" w:hanging="508"/>
        <w:spacing w:after="0" w:line="276" w:lineRule="auto"/>
        <w:tabs>
          <w:tab w:leader="none" w:pos="5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028" w:right="340" w:hanging="515"/>
        <w:spacing w:after="0" w:line="276" w:lineRule="auto"/>
        <w:tabs>
          <w:tab w:leader="none" w:pos="1028" w:val="left"/>
        </w:tabs>
        <w:numPr>
          <w:ilvl w:val="1"/>
          <w:numId w:val="4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15"/>
        <w:spacing w:after="0"/>
        <w:tabs>
          <w:tab w:leader="none" w:pos="1028" w:val="left"/>
        </w:tabs>
        <w:numPr>
          <w:ilvl w:val="1"/>
          <w:numId w:val="4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/s/ D</w:t>
      </w:r>
      <w:r>
        <w:rPr>
          <w:rFonts w:ascii="Arial" w:cs="Arial" w:eastAsia="Arial" w:hAnsi="Arial"/>
          <w:sz w:val="9"/>
          <w:szCs w:val="9"/>
          <w:color w:val="auto"/>
        </w:rPr>
        <w:t>ENNIS</w:t>
      </w:r>
      <w:r>
        <w:rPr>
          <w:rFonts w:ascii="Arial" w:cs="Arial" w:eastAsia="Arial" w:hAnsi="Arial"/>
          <w:sz w:val="12"/>
          <w:szCs w:val="12"/>
          <w:color w:val="auto"/>
        </w:rPr>
        <w:t xml:space="preserve"> S</w:t>
      </w:r>
      <w:r>
        <w:rPr>
          <w:rFonts w:ascii="Arial" w:cs="Arial" w:eastAsia="Arial" w:hAnsi="Arial"/>
          <w:sz w:val="9"/>
          <w:szCs w:val="9"/>
          <w:color w:val="auto"/>
        </w:rPr>
        <w:t>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9525</wp:posOffset>
            </wp:positionV>
            <wp:extent cx="291719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8"/>
        <w:spacing w:after="0"/>
        <w:rPr>
          <w:sz w:val="20"/>
          <w:szCs w:val="20"/>
          <w:color w:val="auto"/>
        </w:rPr>
      </w:pPr>
      <w:r>
        <w:rPr>
          <w:rFonts w:ascii="Arial" w:cs="Arial" w:eastAsia="Arial" w:hAnsi="Arial"/>
          <w:sz w:val="12"/>
          <w:szCs w:val="12"/>
          <w:color w:val="auto"/>
        </w:rPr>
        <w:t>Dennis Sadlowski</w:t>
      </w:r>
    </w:p>
    <w:p>
      <w:pPr>
        <w:spacing w:after="0" w:line="15"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March 7, 2019</w:t>
      </w:r>
    </w:p>
    <w:p>
      <w:pPr>
        <w:sectPr>
          <w:pgSz w:w="11900" w:h="16838" w:orient="portrait"/>
          <w:cols w:equalWidth="0" w:num="1">
            <w:col w:w="11488"/>
          </w:cols>
          <w:pgMar w:left="212" w:top="126" w:right="199" w:bottom="1440" w:gutter="0" w:footer="0" w:header="0"/>
        </w:sectPr>
      </w:pPr>
    </w:p>
    <w:bookmarkStart w:id="92" w:name="page93"/>
    <w:bookmarkEnd w:id="92"/>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13a-14(a)/15d-14(a) CERTIFICATION BY CHIEF FINANCIAL OFFICER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Matthew Eckl, certify that:</w:t>
      </w:r>
    </w:p>
    <w:p>
      <w:pPr>
        <w:spacing w:after="0" w:line="78" w:lineRule="exact"/>
        <w:rPr>
          <w:sz w:val="20"/>
          <w:szCs w:val="20"/>
          <w:color w:val="auto"/>
        </w:rPr>
      </w:pPr>
    </w:p>
    <w:p>
      <w:pPr>
        <w:ind w:left="508" w:hanging="508"/>
        <w:spacing w:after="0"/>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I have reviewed this report on Form 10-K for the year ended December 31, 2018, of CECO Environmental Corp.;</w:t>
      </w:r>
    </w:p>
    <w:p>
      <w:pPr>
        <w:spacing w:after="0" w:line="78" w:lineRule="exact"/>
        <w:rPr>
          <w:rFonts w:ascii="Arial" w:cs="Arial" w:eastAsia="Arial" w:hAnsi="Arial"/>
          <w:sz w:val="12"/>
          <w:szCs w:val="12"/>
          <w:color w:val="auto"/>
        </w:rPr>
      </w:pPr>
    </w:p>
    <w:p>
      <w:pPr>
        <w:ind w:left="508" w:right="60" w:hanging="508"/>
        <w:spacing w:after="0" w:line="276" w:lineRule="auto"/>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508" w:right="180" w:hanging="508"/>
        <w:spacing w:after="0" w:line="276" w:lineRule="auto"/>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508" w:right="420" w:hanging="508"/>
        <w:spacing w:after="0" w:line="276" w:lineRule="auto"/>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028" w:right="200" w:hanging="515"/>
        <w:spacing w:after="0" w:line="276" w:lineRule="auto"/>
        <w:tabs>
          <w:tab w:leader="none" w:pos="1028"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028" w:right="440" w:hanging="515"/>
        <w:spacing w:after="0" w:line="276" w:lineRule="auto"/>
        <w:tabs>
          <w:tab w:leader="none" w:pos="1028"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028" w:right="320" w:hanging="515"/>
        <w:spacing w:after="0" w:line="276" w:lineRule="auto"/>
        <w:tabs>
          <w:tab w:leader="none" w:pos="1028" w:val="left"/>
        </w:tabs>
        <w:numPr>
          <w:ilvl w:val="1"/>
          <w:numId w:val="4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028" w:right="20" w:hanging="515"/>
        <w:spacing w:after="0" w:line="276" w:lineRule="auto"/>
        <w:tabs>
          <w:tab w:leader="none" w:pos="1028" w:val="left"/>
        </w:tabs>
        <w:numPr>
          <w:ilvl w:val="1"/>
          <w:numId w:val="4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508" w:right="200" w:hanging="508"/>
        <w:spacing w:after="0" w:line="276" w:lineRule="auto"/>
        <w:tabs>
          <w:tab w:leader="none" w:pos="5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028" w:right="340" w:hanging="515"/>
        <w:spacing w:after="0" w:line="276" w:lineRule="auto"/>
        <w:tabs>
          <w:tab w:leader="none" w:pos="1028" w:val="left"/>
        </w:tabs>
        <w:numPr>
          <w:ilvl w:val="1"/>
          <w:numId w:val="4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15"/>
        <w:spacing w:after="0"/>
        <w:tabs>
          <w:tab w:leader="none" w:pos="1028" w:val="left"/>
        </w:tabs>
        <w:numPr>
          <w:ilvl w:val="1"/>
          <w:numId w:val="4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/s/ M</w:t>
      </w:r>
      <w:r>
        <w:rPr>
          <w:rFonts w:ascii="Arial" w:cs="Arial" w:eastAsia="Arial" w:hAnsi="Arial"/>
          <w:sz w:val="9"/>
          <w:szCs w:val="9"/>
          <w:color w:val="auto"/>
        </w:rPr>
        <w:t>ATTHEW</w:t>
      </w:r>
      <w:r>
        <w:rPr>
          <w:rFonts w:ascii="Arial" w:cs="Arial" w:eastAsia="Arial" w:hAnsi="Arial"/>
          <w:sz w:val="12"/>
          <w:szCs w:val="12"/>
          <w:color w:val="auto"/>
        </w:rPr>
        <w:t xml:space="preserve"> E</w:t>
      </w:r>
      <w:r>
        <w:rPr>
          <w:rFonts w:ascii="Arial" w:cs="Arial" w:eastAsia="Arial" w:hAnsi="Arial"/>
          <w:sz w:val="9"/>
          <w:szCs w:val="9"/>
          <w:color w:val="auto"/>
        </w:rPr>
        <w:t>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9525</wp:posOffset>
            </wp:positionV>
            <wp:extent cx="29171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8"/>
        <w:spacing w:after="0"/>
        <w:rPr>
          <w:sz w:val="20"/>
          <w:szCs w:val="20"/>
          <w:color w:val="auto"/>
        </w:rPr>
      </w:pPr>
      <w:r>
        <w:rPr>
          <w:rFonts w:ascii="Arial" w:cs="Arial" w:eastAsia="Arial" w:hAnsi="Arial"/>
          <w:sz w:val="12"/>
          <w:szCs w:val="12"/>
          <w:color w:val="auto"/>
        </w:rPr>
        <w:t>Matthew Eckl</w:t>
      </w:r>
    </w:p>
    <w:p>
      <w:pPr>
        <w:spacing w:after="0" w:line="15"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March 7, 2019</w:t>
      </w:r>
    </w:p>
    <w:p>
      <w:pPr>
        <w:sectPr>
          <w:pgSz w:w="11900" w:h="16838" w:orient="portrait"/>
          <w:cols w:equalWidth="0" w:num="1">
            <w:col w:w="11488"/>
          </w:cols>
          <w:pgMar w:left="212" w:top="127" w:right="199" w:bottom="1440" w:gutter="0" w:footer="0" w:header="0"/>
        </w:sectPr>
      </w:pPr>
    </w:p>
    <w:bookmarkStart w:id="93" w:name="page94"/>
    <w:bookmarkEnd w:id="93"/>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41" w:lineRule="exact"/>
        <w:rPr>
          <w:sz w:val="20"/>
          <w:szCs w:val="20"/>
          <w:color w:val="auto"/>
        </w:rPr>
      </w:pPr>
    </w:p>
    <w:p>
      <w:pPr>
        <w:ind w:right="240" w:firstLine="521"/>
        <w:spacing w:after="0" w:line="323" w:lineRule="auto"/>
        <w:rPr>
          <w:sz w:val="20"/>
          <w:szCs w:val="20"/>
          <w:color w:val="auto"/>
        </w:rPr>
      </w:pPr>
      <w:r>
        <w:rPr>
          <w:rFonts w:ascii="Arial" w:cs="Arial" w:eastAsia="Arial" w:hAnsi="Arial"/>
          <w:sz w:val="11"/>
          <w:szCs w:val="11"/>
          <w:color w:val="auto"/>
        </w:rPr>
        <w:t>In connection with the Annual Report of CECO Environmental Corp. (the “Company”) on Form 10-K for the period ending December 31, 2018, as filed with the Securities and Exchange Commission on the date hereof (the “Report”), I, Dennis Sadlowski, Chief Executive Officer of the Company, certify, pursuant to 18 U.S.C. Section 1350, as adopted pursuant to Section 906 of the Sarbanes Oxley Act of 2002, that:</w:t>
      </w:r>
    </w:p>
    <w:p>
      <w:pPr>
        <w:spacing w:after="0" w:line="20" w:lineRule="exact"/>
        <w:rPr>
          <w:sz w:val="20"/>
          <w:szCs w:val="20"/>
          <w:color w:val="auto"/>
        </w:rPr>
      </w:pPr>
    </w:p>
    <w:p>
      <w:pPr>
        <w:ind w:left="1020" w:hanging="515"/>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 D</w:t>
      </w:r>
      <w:r>
        <w:rPr>
          <w:rFonts w:ascii="Arial" w:cs="Arial" w:eastAsia="Arial" w:hAnsi="Arial"/>
          <w:sz w:val="9"/>
          <w:szCs w:val="9"/>
          <w:color w:val="auto"/>
        </w:rPr>
        <w:t>ENNIS</w:t>
      </w:r>
      <w:r>
        <w:rPr>
          <w:rFonts w:ascii="Arial" w:cs="Arial" w:eastAsia="Arial" w:hAnsi="Arial"/>
          <w:sz w:val="12"/>
          <w:szCs w:val="12"/>
          <w:color w:val="auto"/>
        </w:rPr>
        <w:t xml:space="preserve"> S</w:t>
      </w:r>
      <w:r>
        <w:rPr>
          <w:rFonts w:ascii="Arial" w:cs="Arial" w:eastAsia="Arial" w:hAnsi="Arial"/>
          <w:sz w:val="9"/>
          <w:szCs w:val="9"/>
          <w:color w:val="auto"/>
        </w:rPr>
        <w:t>ADLWOSKI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9525</wp:posOffset>
            </wp:positionV>
            <wp:extent cx="364299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3642995" cy="571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2"/>
          <w:szCs w:val="12"/>
          <w:color w:val="auto"/>
        </w:rPr>
        <w:t>Dennis Sadlowski</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March 7, 2019</w:t>
      </w:r>
    </w:p>
    <w:p>
      <w:pPr>
        <w:sectPr>
          <w:pgSz w:w="11900" w:h="16838" w:orient="portrait"/>
          <w:cols w:equalWidth="0" w:num="1">
            <w:col w:w="11480"/>
          </w:cols>
          <w:pgMar w:left="220" w:top="127" w:right="199" w:bottom="1440" w:gutter="0" w:footer="0" w:header="0"/>
        </w:sectPr>
      </w:pPr>
    </w:p>
    <w:bookmarkStart w:id="94" w:name="page95"/>
    <w:bookmarkEnd w:id="94"/>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41"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color w:val="auto"/>
        </w:rPr>
        <w:t>In connection with the Annual Report of CECO Environmental Corp. (the “Company”) on Form 10-K for the period ending December 31, 2018, as filed with the Securities and Exchange Commission on the date hereof (the “Report”), I, Matthew Eckl, Chief Financial Officer of the Company, certify, pursuant to 18 U.S.C. Section 1350, as adopted pursuant to Section 906 of the Sarbanes-Oxley Act of 2002, that:</w:t>
      </w:r>
    </w:p>
    <w:p>
      <w:pPr>
        <w:spacing w:after="0" w:line="43" w:lineRule="exact"/>
        <w:rPr>
          <w:sz w:val="20"/>
          <w:szCs w:val="20"/>
          <w:color w:val="auto"/>
        </w:rPr>
      </w:pPr>
    </w:p>
    <w:p>
      <w:pPr>
        <w:ind w:left="1020" w:hanging="515"/>
        <w:spacing w:after="0"/>
        <w:tabs>
          <w:tab w:leader="none" w:pos="10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 M</w:t>
      </w:r>
      <w:r>
        <w:rPr>
          <w:rFonts w:ascii="Arial" w:cs="Arial" w:eastAsia="Arial" w:hAnsi="Arial"/>
          <w:sz w:val="9"/>
          <w:szCs w:val="9"/>
          <w:color w:val="auto"/>
        </w:rPr>
        <w:t>ATTHEW</w:t>
      </w:r>
      <w:r>
        <w:rPr>
          <w:rFonts w:ascii="Arial" w:cs="Arial" w:eastAsia="Arial" w:hAnsi="Arial"/>
          <w:sz w:val="12"/>
          <w:szCs w:val="12"/>
          <w:color w:val="auto"/>
        </w:rPr>
        <w:t xml:space="preserve"> E</w:t>
      </w:r>
      <w:r>
        <w:rPr>
          <w:rFonts w:ascii="Arial" w:cs="Arial" w:eastAsia="Arial" w:hAnsi="Arial"/>
          <w:sz w:val="9"/>
          <w:szCs w:val="9"/>
          <w:color w:val="auto"/>
        </w:rPr>
        <w:t>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9525</wp:posOffset>
            </wp:positionV>
            <wp:extent cx="364299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3642995" cy="571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2"/>
          <w:szCs w:val="12"/>
          <w:color w:val="auto"/>
        </w:rPr>
        <w:t>Matthew Eckl</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March 7, 2019</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2"/>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bullet"/>
      <w:start w:val="1"/>
    </w:lvl>
  </w:abstractNum>
  <w:abstractNum w:abstractNumId="16">
    <w:nsid w:val="22221A70"/>
    <w:multiLevelType w:val="hybridMultilevel"/>
    <w:lvl w:ilvl="0">
      <w:lvlJc w:val="left"/>
      <w:lvlText w:val="2"/>
      <w:numFmt w:val="bullet"/>
      <w:start w:val="1"/>
    </w:lvl>
  </w:abstractNum>
  <w:abstractNum w:abstractNumId="17">
    <w:nsid w:val="4516DDE9"/>
    <w:multiLevelType w:val="hybridMultilevel"/>
    <w:lvl w:ilvl="0">
      <w:lvlJc w:val="left"/>
      <w:lvlText w:val="3"/>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2"/>
    </w:lvl>
  </w:abstractNum>
  <w:abstractNum w:abstractNumId="24">
    <w:nsid w:val="3804823E"/>
    <w:multiLevelType w:val="hybridMultilevel"/>
    <w:lvl w:ilvl="0">
      <w:lvlJc w:val="left"/>
      <w:lvlText w:val="%1."/>
      <w:numFmt w:val="decimal"/>
      <w:start w:val="4"/>
    </w:lvl>
  </w:abstractNum>
  <w:abstractNum w:abstractNumId="25">
    <w:nsid w:val="77465F01"/>
    <w:multiLevelType w:val="hybridMultilevel"/>
    <w:lvl w:ilvl="0">
      <w:lvlJc w:val="left"/>
      <w:lvlText w:val="%1."/>
      <w:numFmt w:val="decimal"/>
      <w:start w:val="5"/>
    </w:lvl>
  </w:abstractNum>
  <w:abstractNum w:abstractNumId="26">
    <w:nsid w:val="7724C67E"/>
    <w:multiLevelType w:val="hybridMultilevel"/>
    <w:lvl w:ilvl="0">
      <w:lvlJc w:val="left"/>
      <w:lvlText w:val="%1."/>
      <w:numFmt w:val="decimal"/>
      <w:start w:val="7"/>
    </w:lvl>
  </w:abstractNum>
  <w:abstractNum w:abstractNumId="27">
    <w:nsid w:val="5C482A97"/>
    <w:multiLevelType w:val="hybridMultilevel"/>
    <w:lvl w:ilvl="0">
      <w:lvlJc w:val="left"/>
      <w:lvlText w:val="%1."/>
      <w:numFmt w:val="decimal"/>
      <w:start w:val="9"/>
    </w:lvl>
  </w:abstractNum>
  <w:abstractNum w:abstractNumId="28">
    <w:nsid w:val="2463B9EA"/>
    <w:multiLevelType w:val="hybridMultilevel"/>
    <w:lvl w:ilvl="0">
      <w:lvlJc w:val="left"/>
      <w:lvlText w:val="%1."/>
      <w:numFmt w:val="decimal"/>
      <w:start w:val="10"/>
    </w:lvl>
  </w:abstractNum>
  <w:abstractNum w:abstractNumId="29">
    <w:nsid w:val="5E884ADC"/>
    <w:multiLevelType w:val="hybridMultilevel"/>
    <w:lvl w:ilvl="0">
      <w:lvlJc w:val="left"/>
      <w:lvlText w:val="%1."/>
      <w:numFmt w:val="decimal"/>
      <w:start w:val="1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2"/>
    </w:lvl>
  </w:abstractNum>
  <w:abstractNum w:abstractNumId="33">
    <w:nsid w:val="153EA438"/>
    <w:multiLevelType w:val="hybridMultilevel"/>
    <w:lvl w:ilvl="0">
      <w:lvlJc w:val="left"/>
      <w:lvlText w:val="%1."/>
      <w:numFmt w:val="decimal"/>
      <w:start w:val="14"/>
    </w:lvl>
  </w:abstractNum>
  <w:abstractNum w:abstractNumId="34">
    <w:nsid w:val="3855585C"/>
    <w:multiLevelType w:val="hybridMultilevel"/>
    <w:lvl w:ilvl="0">
      <w:lvlJc w:val="left"/>
      <w:lvlText w:val="%1."/>
      <w:numFmt w:val="decimal"/>
      <w:start w:val="15"/>
    </w:lvl>
  </w:abstractNum>
  <w:abstractNum w:abstractNumId="35">
    <w:nsid w:val="70A64E2A"/>
    <w:multiLevelType w:val="hybridMultilevel"/>
    <w:lvl w:ilvl="0">
      <w:lvlJc w:val="left"/>
      <w:lvlText w:val="%1."/>
      <w:numFmt w:val="decimal"/>
      <w:start w:val="16"/>
    </w:lvl>
  </w:abstractNum>
  <w:abstractNum w:abstractNumId="36">
    <w:nsid w:val="6A2342EC"/>
    <w:multiLevelType w:val="hybridMultilevel"/>
    <w:lvl w:ilvl="0">
      <w:lvlJc w:val="left"/>
      <w:lvlText w:val="%1."/>
      <w:numFmt w:val="decimal"/>
      <w:start w:val="17"/>
    </w:lvl>
  </w:abstractNum>
  <w:abstractNum w:abstractNumId="37">
    <w:nsid w:val="2A487CB0"/>
    <w:multiLevelType w:val="hybridMultilevel"/>
    <w:lvl w:ilvl="0">
      <w:lvlJc w:val="left"/>
      <w:lvlText w:val="%1."/>
      <w:numFmt w:val="decimal"/>
      <w:start w:val="18"/>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2"/>
    </w:lvl>
  </w:abstractNum>
  <w:abstractNum w:abstractNumId="41">
    <w:nsid w:val="57E4CCAF"/>
    <w:multiLevelType w:val="hybridMultilevel"/>
    <w:lvl w:ilvl="0">
      <w:lvlJc w:val="left"/>
      <w:lvlText w:val="(%1)"/>
      <w:numFmt w:val="decimal"/>
      <w:start w:val="3"/>
    </w:lvl>
  </w:abstractNum>
  <w:abstractNum w:abstractNumId="42">
    <w:nsid w:val="7A6D8D3C"/>
    <w:multiLevelType w:val="hybridMultilevel"/>
    <w:lvl w:ilvl="0">
      <w:lvlJc w:val="left"/>
      <w:lvlText w:val="(%1)"/>
      <w:numFmt w:val="decimal"/>
      <w:start w:val="5"/>
    </w:lvl>
  </w:abstractNum>
  <w:abstractNum w:abstractNumId="43">
    <w:nsid w:val="4B588F54"/>
    <w:multiLevelType w:val="hybridMultilevel"/>
    <w:lvl w:ilvl="0">
      <w:lvlJc w:val="left"/>
      <w:lvlText w:val="%1."/>
      <w:numFmt w:val="decimal"/>
      <w:start w:val="19"/>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69" Type="http://schemas.openxmlformats.org/officeDocument/2006/relationships/hyperlink" Target="http://www.sec.gov/Archives/edgar/data/0000003197/000156459018007663/cece-ex21_130.htm" TargetMode="External"/><Relationship Id="rId70" Type="http://schemas.openxmlformats.org/officeDocument/2006/relationships/hyperlink" Target="http://www.sec.gov/Archives/edgar/data/0000003197/000095013102001241/dex3i.txt" TargetMode="External"/><Relationship Id="rId71" Type="http://schemas.openxmlformats.org/officeDocument/2006/relationships/hyperlink" Target="http://www.sec.gov/Archives/edgar/data/0000003197/000119312517368365/d477604dex31.htm" TargetMode="External"/><Relationship Id="rId72" Type="http://schemas.openxmlformats.org/officeDocument/2006/relationships/hyperlink" Target="http://www.sec.gov/Archives/edgar/data/0000003197/000119312515311954/d73522dex106.htm" TargetMode="External"/><Relationship Id="rId73" Type="http://schemas.openxmlformats.org/officeDocument/2006/relationships/hyperlink" Target="http://www.sec.gov/Archives/edgar/data/0000003197/000119312509055504/dex1041.htm" TargetMode="External"/><Relationship Id="rId74" Type="http://schemas.openxmlformats.org/officeDocument/2006/relationships/hyperlink" Target="http://www.sec.gov/Archives/edgar/data/0000003197/000119312511067373/dex1012.htm" TargetMode="External"/><Relationship Id="rId75" Type="http://schemas.openxmlformats.org/officeDocument/2006/relationships/hyperlink" Target="http://www.sec.gov/Archives/edgar/data/0000003197/000119312511067373/dex1013.htm" TargetMode="External"/><Relationship Id="rId76" Type="http://schemas.openxmlformats.org/officeDocument/2006/relationships/hyperlink" Target="http://www.sec.gov/Archives/edgar/data/0000003197/000119312509077868/ddef14a.htm" TargetMode="External"/><Relationship Id="rId77" Type="http://schemas.openxmlformats.org/officeDocument/2006/relationships/hyperlink" Target="http://www.sec.gov/Archives/edgar/data/0000003197/000119312515311954/d73522dex101.htm" TargetMode="External"/><Relationship Id="rId78" Type="http://schemas.openxmlformats.org/officeDocument/2006/relationships/hyperlink" Target="http://www.sec.gov/Archives/edgar/data/0000003197/000119312515311954/d73522dex105.htm" TargetMode="External"/><Relationship Id="rId79" Type="http://schemas.openxmlformats.org/officeDocument/2006/relationships/hyperlink" Target="http://www.sec.gov/Archives/edgar/data/0000003197/000119312516590632/d130161dex101.htm" TargetMode="External"/><Relationship Id="rId80" Type="http://schemas.openxmlformats.org/officeDocument/2006/relationships/hyperlink" Target="http://www.sec.gov/Archives/edgar/data/0000003197/000156459017010062/cece-ex101_240.htm" TargetMode="External"/><Relationship Id="rId81" Type="http://schemas.openxmlformats.org/officeDocument/2006/relationships/hyperlink" Target="http://www.sec.gov/Archives/edgar/data/0000003197/000156459017016752/cece-ex102_87.htm" TargetMode="External"/><Relationship Id="rId82" Type="http://schemas.openxmlformats.org/officeDocument/2006/relationships/hyperlink" Target="http://www.sec.gov/Archives/edgar/data/0000003197/000156459017016752/cece-ex103_86.htm" TargetMode="External"/><Relationship Id="rId83" Type="http://schemas.openxmlformats.org/officeDocument/2006/relationships/hyperlink" Target="http://www.sec.gov/Archives/edgar/data/0000003197/000156459017016752/cece-ex104_88.htm" TargetMode="External"/><Relationship Id="rId86" Type="http://schemas.openxmlformats.org/officeDocument/2006/relationships/hyperlink" Target="http://www.sec.gov/Archives/edgar/data/0000003197/000156459017016752/cece-ex105_89.htm" TargetMode="External"/><Relationship Id="rId87" Type="http://schemas.openxmlformats.org/officeDocument/2006/relationships/hyperlink" Target="http://www.sec.gov/Archives/edgar/data/0000003197/000119312517201538/d553707dex101.htm" TargetMode="External"/><Relationship Id="rId88" Type="http://schemas.openxmlformats.org/officeDocument/2006/relationships/hyperlink" Target="http://www.sec.gov/Archives/edgar/data/0000003197/000119312517171790/d394916dex43.htm" TargetMode="External"/><Relationship Id="rId89" Type="http://schemas.openxmlformats.org/officeDocument/2006/relationships/hyperlink" Target="http://www.sec.gov/Archives/edgar/data/3197/000156459018005085/cece-ex1026_369.htm" TargetMode="External"/><Relationship Id="rId90" Type="http://schemas.openxmlformats.org/officeDocument/2006/relationships/hyperlink" Target="http://www.sec.gov/Archives/edgar/data/0000003197/000156459017016752/cece-ex101_85.htm" TargetMode="External"/><Relationship Id="rId91" Type="http://schemas.openxmlformats.org/officeDocument/2006/relationships/hyperlink" Target="http://www.sec.gov/Archives/edgar/data/0000003197/000156459017022478/cece-ex102_626.htm" TargetMode="External"/><Relationship Id="rId92" Type="http://schemas.openxmlformats.org/officeDocument/2006/relationships/hyperlink" Target="http://www.sec.gov/Archives/edgar/data/3197/000156459018027721/cece-ex102_1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2020-01-09T16:23:13Z</dcterms:created>
  <dcterms:modified xsi:type="dcterms:W3CDTF">2020-01-09T16:23:13Z</dcterms:modified>
</cp:coreProperties>
</file>