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7270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270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Gleason Todd 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75001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6"/>
        </w:trPr>
        <w:tc>
          <w:tcPr>
            <w:tcW w:w="3840" w:type="dxa"/>
            <w:vAlign w:val="bottom"/>
            <w:gridSpan w:val="4"/>
          </w:tcPr>
          <w:p>
            <w:pPr>
              <w:ind w:left="8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7"/>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8" w:lineRule="exact"/>
              <w:rPr>
                <w:sz w:val="20"/>
                <w:szCs w:val="20"/>
                <w:color w:val="auto"/>
              </w:rPr>
            </w:pPr>
            <w:r>
              <w:rPr>
                <w:rFonts w:ascii="Arial" w:cs="Arial" w:eastAsia="Arial" w:hAnsi="Arial"/>
                <w:sz w:val="13"/>
                <w:szCs w:val="13"/>
                <w:color w:val="auto"/>
              </w:rPr>
              <w:t>10% Owner</w:t>
            </w:r>
          </w:p>
        </w:tc>
      </w:tr>
      <w:tr>
        <w:trPr>
          <w:trHeight w:val="182"/>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15"/>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r>
      <w:tr>
        <w:trPr>
          <w:trHeight w:val="325"/>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410,835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ind w:right="5"/>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150,000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150,000</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150,000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225,000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225,000</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23.5</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2"/>
                <w:szCs w:val="12"/>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67,347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67,347</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21.32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20" w:type="dxa"/>
            <w:vAlign w:val="bottom"/>
          </w:tcPr>
          <w:p>
            <w:pPr>
              <w:spacing w:after="0"/>
              <w:rPr>
                <w:sz w:val="12"/>
                <w:szCs w:val="12"/>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8"/>
              </w:rPr>
              <w:t>25,446</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25,446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1" w:lineRule="exact"/>
        <w:rPr>
          <w:rFonts w:ascii="Times New Roman" w:cs="Times New Roman" w:eastAsia="Times New Roman" w:hAnsi="Times New Roman"/>
          <w:sz w:val="13"/>
          <w:szCs w:val="13"/>
          <w:color w:val="008000"/>
        </w:rPr>
      </w:pPr>
    </w:p>
    <w:p>
      <w:pPr>
        <w:ind w:left="40" w:right="1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June 4, 2029 assuming the reporting person is still employed by the Company and if the shares of the Company's common stock have achieved certain stock price targets over the course of the performance period.</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ten years from the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ten years from the grant date.</w:t>
      </w:r>
    </w:p>
    <w:p>
      <w:pPr>
        <w:sectPr>
          <w:pgSz w:w="11900" w:h="16838" w:orient="portrait"/>
          <w:cols w:equalWidth="0" w:num="1">
            <w:col w:w="11080"/>
          </w:cols>
          <w:pgMar w:left="460" w:top="216" w:right="359" w:bottom="0" w:gutter="0" w:footer="0" w:header="0"/>
          <w:type w:val="continuous"/>
        </w:sectPr>
      </w:pP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Joycelynn Watkins-Asiyanbi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as Attorney-in-Fact for Todd</w:t>
      </w:r>
      <w:r>
        <w:rPr>
          <w:sz w:val="20"/>
          <w:szCs w:val="20"/>
          <w:color w:val="auto"/>
        </w:rPr>
        <w:tab/>
      </w:r>
      <w:r>
        <w:rPr>
          <w:rFonts w:ascii="Times New Roman" w:cs="Times New Roman" w:eastAsia="Times New Roman" w:hAnsi="Times New Roman"/>
          <w:sz w:val="16"/>
          <w:szCs w:val="16"/>
          <w:color w:val="0000FF"/>
        </w:rPr>
        <w:t>06/06/2025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Gleason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344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2025-06-06T14:28:44Z</dcterms:created>
  <dcterms:modified xsi:type="dcterms:W3CDTF">2025-06-06T14:28:44Z</dcterms:modified>
</cp:coreProperties>
</file>