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8470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Harris-Peterson Candace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16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5080 SPECTRUM DRIVE</w:t>
            </w:r>
          </w:p>
        </w:tc>
        <w:tc>
          <w:tcPr>
            <w:tcW w:w="14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800E</w:t>
            </w: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ADDISON</w:t>
            </w:r>
          </w:p>
        </w:tc>
        <w:tc>
          <w:tcPr>
            <w:tcW w:w="11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75001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16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CECO ENVIRONMENTAL CORP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CECO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0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540"/>
              <w:spacing w:after="0" w:line="185" w:lineRule="exact"/>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226"/>
        </w:trPr>
        <w:tc>
          <w:tcPr>
            <w:tcW w:w="31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06/01/2026</w:t>
            </w:r>
          </w:p>
        </w:tc>
        <w:tc>
          <w:tcPr>
            <w:tcW w:w="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0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jc w:val="center"/>
              <w:ind w:left="60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4"/>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2"/>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3,133</w:t>
            </w:r>
            <w:r>
              <w:rPr>
                <w:rFonts w:ascii="Times New Roman" w:cs="Times New Roman" w:eastAsia="Times New Roman" w:hAnsi="Times New Roman"/>
                <w:sz w:val="22"/>
                <w:szCs w:val="22"/>
                <w:color w:val="008000"/>
                <w:w w:val="93"/>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24"/>
              <w:spacing w:after="0"/>
              <w:rPr>
                <w:sz w:val="20"/>
                <w:szCs w:val="20"/>
                <w:color w:val="auto"/>
              </w:rPr>
            </w:pPr>
            <w:r>
              <w:rPr>
                <w:rFonts w:ascii="Times New Roman" w:cs="Times New Roman" w:eastAsia="Times New Roman" w:hAnsi="Times New Roman"/>
                <w:sz w:val="11"/>
                <w:szCs w:val="11"/>
                <w:color w:val="008000"/>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3,133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2"/>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2,735</w:t>
            </w:r>
            <w:r>
              <w:rPr>
                <w:rFonts w:ascii="Times New Roman" w:cs="Times New Roman" w:eastAsia="Times New Roman" w:hAnsi="Times New Roman"/>
                <w:sz w:val="22"/>
                <w:szCs w:val="22"/>
                <w:color w:val="008000"/>
                <w:w w:val="93"/>
                <w:vertAlign w:val="superscript"/>
              </w:rPr>
              <w:t>(4)</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24"/>
              <w:spacing w:after="0"/>
              <w:rPr>
                <w:sz w:val="20"/>
                <w:szCs w:val="20"/>
                <w:color w:val="auto"/>
              </w:rPr>
            </w:pPr>
            <w:r>
              <w:rPr>
                <w:rFonts w:ascii="Times New Roman" w:cs="Times New Roman" w:eastAsia="Times New Roman" w:hAnsi="Times New Roman"/>
                <w:sz w:val="11"/>
                <w:szCs w:val="11"/>
                <w:color w:val="008000"/>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5,868</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2"/>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6,313</w:t>
            </w:r>
            <w:r>
              <w:rPr>
                <w:rFonts w:ascii="Times New Roman" w:cs="Times New Roman" w:eastAsia="Times New Roman" w:hAnsi="Times New Roman"/>
                <w:sz w:val="22"/>
                <w:szCs w:val="22"/>
                <w:color w:val="008000"/>
                <w:w w:val="93"/>
                <w:vertAlign w:val="superscript"/>
              </w:rPr>
              <w:t>(5)</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24"/>
              <w:spacing w:after="0"/>
              <w:rPr>
                <w:sz w:val="20"/>
                <w:szCs w:val="20"/>
                <w:color w:val="auto"/>
              </w:rPr>
            </w:pPr>
            <w:r>
              <w:rPr>
                <w:rFonts w:ascii="Times New Roman" w:cs="Times New Roman" w:eastAsia="Times New Roman" w:hAnsi="Times New Roman"/>
                <w:sz w:val="11"/>
                <w:szCs w:val="11"/>
                <w:color w:val="008000"/>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12,181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2"/>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1,401</w:t>
            </w:r>
            <w:r>
              <w:rPr>
                <w:rFonts w:ascii="Times New Roman" w:cs="Times New Roman" w:eastAsia="Times New Roman" w:hAnsi="Times New Roman"/>
                <w:sz w:val="22"/>
                <w:szCs w:val="22"/>
                <w:color w:val="008000"/>
                <w:w w:val="93"/>
                <w:vertAlign w:val="superscript"/>
              </w:rPr>
              <w:t>(6)</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24"/>
              <w:spacing w:after="0"/>
              <w:rPr>
                <w:sz w:val="20"/>
                <w:szCs w:val="20"/>
                <w:color w:val="auto"/>
              </w:rPr>
            </w:pPr>
            <w:r>
              <w:rPr>
                <w:rFonts w:ascii="Times New Roman" w:cs="Times New Roman" w:eastAsia="Times New Roman" w:hAnsi="Times New Roman"/>
                <w:sz w:val="11"/>
                <w:szCs w:val="11"/>
                <w:color w:val="008000"/>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13,582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2"/>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4,679</w:t>
            </w:r>
            <w:r>
              <w:rPr>
                <w:rFonts w:ascii="Times New Roman" w:cs="Times New Roman" w:eastAsia="Times New Roman" w:hAnsi="Times New Roman"/>
                <w:sz w:val="22"/>
                <w:szCs w:val="22"/>
                <w:color w:val="008000"/>
                <w:w w:val="93"/>
                <w:vertAlign w:val="superscript"/>
              </w:rPr>
              <w:t>(7)</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24"/>
              <w:spacing w:after="0"/>
              <w:rPr>
                <w:sz w:val="20"/>
                <w:szCs w:val="20"/>
                <w:color w:val="auto"/>
              </w:rPr>
            </w:pPr>
            <w:r>
              <w:rPr>
                <w:rFonts w:ascii="Times New Roman" w:cs="Times New Roman" w:eastAsia="Times New Roman" w:hAnsi="Times New Roman"/>
                <w:sz w:val="11"/>
                <w:szCs w:val="11"/>
                <w:color w:val="008000"/>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18,261</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center"/>
              <w:ind w:left="582"/>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625</w:t>
            </w:r>
            <w:r>
              <w:rPr>
                <w:rFonts w:ascii="Times New Roman" w:cs="Times New Roman" w:eastAsia="Times New Roman" w:hAnsi="Times New Roman"/>
                <w:sz w:val="11"/>
                <w:szCs w:val="11"/>
                <w:color w:val="008000"/>
                <w:w w:val="81"/>
              </w:rPr>
              <w:t>(8)</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24"/>
              <w:spacing w:after="0"/>
              <w:rPr>
                <w:sz w:val="20"/>
                <w:szCs w:val="20"/>
                <w:color w:val="auto"/>
              </w:rPr>
            </w:pPr>
            <w:r>
              <w:rPr>
                <w:rFonts w:ascii="Times New Roman" w:cs="Times New Roman" w:eastAsia="Times New Roman" w:hAnsi="Times New Roman"/>
                <w:sz w:val="11"/>
                <w:szCs w:val="11"/>
                <w:color w:val="008000"/>
              </w:rPr>
              <w:t>(1)(2)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18,886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2026 (the "Closing Date"), pursuant to an Agreement and Plan of Merger, dated as of February 23, 2026 (the "Merger Agreement"), by and among CECO Environmental Corp. (the "Issuer"), Thermon Group Holdings, Inc. ("Thermon"), Longhorn Merger Sub, Inc. ("Merger Sub, Inc.") and Longhorn Merger Sub LLC ("Merger Sub LLC"), (i) Merger Sub, Inc. merged with and into Thermon, with Thermon continuing as a wholly-owned subsidiary of the Issuer and the surviving corporation of the merger (the "First Merger") and (ii) Thermon, as the surviving corporation of the First Merger, merged with and into Merger Sub LLC, with Merger Sub LLC being the surviving entity of the merger.</w:t>
      </w:r>
    </w:p>
    <w:p>
      <w:pPr>
        <w:spacing w:after="0" w:line="24"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Pursuant to the Merger Agreement, at the effective time of the First Merger (the "Effective Time"), each outstanding restricted stock unit of Thermon (each a "Thermon RSU") and outstanding award of performance units (each a "Thermon PU"), was automatically assumed by the Issuer and converted into a restricted stock unit with respect to a number of shares of the Issuer's common stock equal to the product of (x) the number of shares of Thermon's common stock subject to such Thermon RSU or Thermon PU and (y) 0.8110 (each, a "Converted RSU Award").</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12, 2026, the Reporting Person was granted an award of Thermon RSUs, which was assumed and converted into a Converted RSU Award that vests in equal installments on each of June 1, 2027, June 1, 2028 and June 1, 2029.</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2025, the Reporting Person was granted an award of Thermon RSUs, which was assumed and converted into a Converted RSU Award that vested as to one-third on June 1, 2026 and vests as to one-third on each of June 1, 2027 and June 1, 2028.</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2025, the Reporting Person was granted an award of Thermon PUs, which was assumed and converted into a Converted RSU Award that vests in full on March 31, 2028.</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2024, the Reporting Person was granted an award of Thermon RSUs, which was assumed and converted into a Converted RSU Award that vested as to one-half on June 1, 2026 and vests as to one-half on June 1, 2027.</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2024, the Reporting Person was granted an award of Thermon PUs, which was assumed and converted into a Converted RSU Award that vests in full on March 31,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2023, the Reporting Person was granted an award of Thermon RSUs, which was assumed and converted into a fully vested Converted RSU Award.</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1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Candace</w:t>
        <w:tab/>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Harris-Peterson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90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7558"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2026-06-03T18:04:47Z</dcterms:created>
  <dcterms:modified xsi:type="dcterms:W3CDTF">2026-06-03T18:04:47Z</dcterms:modified>
</cp:coreProperties>
</file>