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(Rule 13d-102)</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Information Statement Pursuant to Rules 13d-1</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(Amendment No. 5)*</w:t>
      </w:r>
    </w:p>
    <w:p>
      <w:pPr>
        <w:spacing w:after="0" w:line="202"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CECO ENVIRONMENTAL CORP.</w:t>
      </w:r>
    </w:p>
    <w:p>
      <w:pPr>
        <w:spacing w:after="0" w:line="5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Common Stock, Par Value of $0.01 Per Share</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125141101</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2020</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Event Which Requires Filing of the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79" w:lineRule="exact"/>
        <w:rPr>
          <w:sz w:val="24"/>
          <w:szCs w:val="24"/>
          <w:color w:val="auto"/>
        </w:rPr>
      </w:pPr>
    </w:p>
    <w:p>
      <w:pPr>
        <w:ind w:left="1120" w:hanging="624"/>
        <w:spacing w:after="0"/>
        <w:tabs>
          <w:tab w:leader="none" w:pos="1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1800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2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1532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1" w:name="page2"/>
    <w:bookmarkEnd w:id="1"/>
    <w:p>
      <w:pPr>
        <w:spacing w:after="0"/>
        <w:tabs>
          <w:tab w:leader="none" w:pos="510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6"/>
          <w:szCs w:val="16"/>
          <w:color w:val="auto"/>
        </w:rPr>
        <w:t>Schedule 13G</w:t>
      </w:r>
    </w:p>
    <w:p>
      <w:pPr>
        <w:spacing w:after="0" w:line="279" w:lineRule="exact"/>
        <w:rPr>
          <w:sz w:val="20"/>
          <w:szCs w:val="20"/>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60" w:right="6660"/>
        <w:spacing w:after="0" w:line="260" w:lineRule="auto"/>
        <w:rPr>
          <w:rFonts w:ascii="Arial" w:cs="Arial" w:eastAsia="Arial" w:hAnsi="Arial"/>
          <w:sz w:val="18"/>
          <w:szCs w:val="18"/>
          <w:color w:val="auto"/>
        </w:rPr>
      </w:pPr>
      <w:r>
        <w:rPr>
          <w:rFonts w:ascii="Arial" w:cs="Arial" w:eastAsia="Arial" w:hAnsi="Arial"/>
          <w:sz w:val="18"/>
          <w:szCs w:val="18"/>
          <w:color w:val="auto"/>
        </w:rPr>
        <w:t>S.S. or I.R.S. Identification No. of Above Person Trigran Investments, Inc.</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-370205</wp:posOffset>
            </wp:positionV>
            <wp:extent cx="64979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97" w:lineRule="exact"/>
        <w:rPr>
          <w:sz w:val="20"/>
          <w:szCs w:val="20"/>
          <w:color w:val="auto"/>
        </w:rPr>
      </w:pPr>
    </w:p>
    <w:p>
      <w:pPr>
        <w:ind w:left="2200" w:hanging="1139"/>
        <w:spacing w:after="0"/>
        <w:tabs>
          <w:tab w:leader="none" w:pos="22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00" w:hanging="1139"/>
        <w:spacing w:after="0"/>
        <w:tabs>
          <w:tab w:leader="none" w:pos="2200" w:val="left"/>
        </w:tabs>
        <w:numPr>
          <w:ilvl w:val="1"/>
          <w:numId w:val="3"/>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60" w:hanging="620"/>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60" w:right="7560" w:hanging="620"/>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 Illinois corporation</w:t>
      </w:r>
    </w:p>
    <w:p>
      <w:pPr>
        <w:spacing w:after="0" w:line="399" w:lineRule="exact"/>
        <w:rPr>
          <w:rFonts w:ascii="Arial" w:cs="Arial" w:eastAsia="Arial" w:hAnsi="Arial"/>
          <w:sz w:val="18"/>
          <w:szCs w:val="18"/>
          <w:color w:val="auto"/>
        </w:rPr>
      </w:pPr>
    </w:p>
    <w:p>
      <w:pPr>
        <w:ind w:left="2740" w:right="7160" w:hanging="1085"/>
        <w:spacing w:after="0" w:line="277" w:lineRule="auto"/>
        <w:tabs>
          <w:tab w:leader="none" w:pos="2740" w:val="left"/>
        </w:tabs>
        <w:numPr>
          <w:ilvl w:val="2"/>
          <w:numId w:val="4"/>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14605</wp:posOffset>
            </wp:positionV>
            <wp:extent cx="5434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34965"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-542290</wp:posOffset>
            </wp:positionV>
            <wp:extent cx="6497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-1099185</wp:posOffset>
            </wp:positionV>
            <wp:extent cx="64979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-1519555</wp:posOffset>
            </wp:positionV>
            <wp:extent cx="57689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68975" cy="8255"/>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-1733550</wp:posOffset>
            </wp:positionV>
            <wp:extent cx="57689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68975" cy="8255"/>
                    </a:xfrm>
                    <a:prstGeom prst="rect">
                      <a:avLst/>
                    </a:prstGeom>
                    <a:noFill/>
                  </pic:spPr>
                </pic:pic>
              </a:graphicData>
            </a:graphic>
          </wp:anchor>
        </w:drawing>
      </w: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1380" w:type="dxa"/>
            <w:vAlign w:val="bottom"/>
            <w:vMerge w:val="restart"/>
          </w:tcPr>
          <w:p>
            <w:pPr>
              <w:jc w:val="right"/>
              <w:ind w:right="790"/>
              <w:spacing w:after="0"/>
              <w:rPr>
                <w:sz w:val="20"/>
                <w:szCs w:val="20"/>
                <w:color w:val="auto"/>
              </w:rPr>
            </w:pPr>
            <w:r>
              <w:rPr>
                <w:rFonts w:ascii="Arial" w:cs="Arial" w:eastAsia="Arial" w:hAnsi="Arial"/>
                <w:sz w:val="18"/>
                <w:szCs w:val="18"/>
                <w:color w:val="auto"/>
              </w:rPr>
              <w:t>6.</w:t>
            </w:r>
          </w:p>
        </w:tc>
        <w:tc>
          <w:tcPr>
            <w:tcW w:w="856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380" w:type="dxa"/>
            <w:vAlign w:val="bottom"/>
            <w:vMerge w:val="continue"/>
          </w:tcPr>
          <w:p>
            <w:pPr>
              <w:spacing w:after="0"/>
              <w:rPr>
                <w:sz w:val="9"/>
                <w:szCs w:val="9"/>
                <w:color w:val="auto"/>
              </w:rPr>
            </w:pPr>
          </w:p>
        </w:tc>
        <w:tc>
          <w:tcPr>
            <w:tcW w:w="8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8560" w:type="dxa"/>
            <w:vAlign w:val="bottom"/>
            <w:vMerge w:val="restart"/>
          </w:tcPr>
          <w:p>
            <w:pPr>
              <w:ind w:left="60"/>
              <w:spacing w:after="0"/>
              <w:rPr>
                <w:sz w:val="20"/>
                <w:szCs w:val="20"/>
                <w:color w:val="auto"/>
              </w:rPr>
            </w:pPr>
            <w:r>
              <w:rPr>
                <w:rFonts w:ascii="Arial" w:cs="Arial" w:eastAsia="Arial" w:hAnsi="Arial"/>
                <w:sz w:val="18"/>
                <w:szCs w:val="18"/>
                <w:color w:val="auto"/>
              </w:rPr>
              <w:t>5,516,272 shares of common stock</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380" w:type="dxa"/>
            <w:vAlign w:val="bottom"/>
          </w:tcPr>
          <w:p>
            <w:pPr>
              <w:spacing w:after="0"/>
              <w:rPr>
                <w:sz w:val="10"/>
                <w:szCs w:val="10"/>
                <w:color w:val="auto"/>
              </w:rPr>
            </w:pPr>
          </w:p>
        </w:tc>
        <w:tc>
          <w:tcPr>
            <w:tcW w:w="8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1380" w:type="dxa"/>
            <w:vAlign w:val="bottom"/>
          </w:tcPr>
          <w:p>
            <w:pPr>
              <w:spacing w:after="0"/>
              <w:rPr>
                <w:sz w:val="4"/>
                <w:szCs w:val="4"/>
                <w:color w:val="auto"/>
              </w:rPr>
            </w:pPr>
          </w:p>
        </w:tc>
        <w:tc>
          <w:tcPr>
            <w:tcW w:w="8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380" w:type="dxa"/>
            <w:vAlign w:val="bottom"/>
          </w:tcPr>
          <w:p>
            <w:pPr>
              <w:spacing w:after="0"/>
              <w:rPr>
                <w:sz w:val="20"/>
                <w:szCs w:val="20"/>
                <w:color w:val="auto"/>
              </w:rPr>
            </w:pPr>
          </w:p>
        </w:tc>
        <w:tc>
          <w:tcPr>
            <w:tcW w:w="8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380" w:type="dxa"/>
            <w:vAlign w:val="bottom"/>
            <w:vMerge w:val="restart"/>
          </w:tcPr>
          <w:p>
            <w:pPr>
              <w:jc w:val="right"/>
              <w:ind w:right="790"/>
              <w:spacing w:after="0"/>
              <w:rPr>
                <w:sz w:val="20"/>
                <w:szCs w:val="20"/>
                <w:color w:val="auto"/>
              </w:rPr>
            </w:pPr>
            <w:r>
              <w:rPr>
                <w:rFonts w:ascii="Arial" w:cs="Arial" w:eastAsia="Arial" w:hAnsi="Arial"/>
                <w:sz w:val="18"/>
                <w:szCs w:val="18"/>
                <w:color w:val="auto"/>
              </w:rPr>
              <w:t>7.</w:t>
            </w:r>
          </w:p>
        </w:tc>
        <w:tc>
          <w:tcPr>
            <w:tcW w:w="856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8"/>
        </w:trPr>
        <w:tc>
          <w:tcPr>
            <w:tcW w:w="1240" w:type="dxa"/>
            <w:vAlign w:val="bottom"/>
          </w:tcPr>
          <w:p>
            <w:pPr>
              <w:spacing w:after="0" w:line="138" w:lineRule="exact"/>
              <w:rPr>
                <w:sz w:val="20"/>
                <w:szCs w:val="20"/>
                <w:color w:val="auto"/>
              </w:rPr>
            </w:pPr>
            <w:r>
              <w:rPr>
                <w:rFonts w:ascii="Arial" w:cs="Arial" w:eastAsia="Arial" w:hAnsi="Arial"/>
                <w:sz w:val="15"/>
                <w:szCs w:val="15"/>
                <w:color w:val="auto"/>
              </w:rPr>
              <w:t>Reporting</w:t>
            </w:r>
          </w:p>
        </w:tc>
        <w:tc>
          <w:tcPr>
            <w:tcW w:w="1380" w:type="dxa"/>
            <w:vAlign w:val="bottom"/>
            <w:vMerge w:val="continue"/>
          </w:tcPr>
          <w:p>
            <w:pPr>
              <w:spacing w:after="0"/>
              <w:rPr>
                <w:sz w:val="11"/>
                <w:szCs w:val="11"/>
                <w:color w:val="auto"/>
              </w:rPr>
            </w:pPr>
          </w:p>
        </w:tc>
        <w:tc>
          <w:tcPr>
            <w:tcW w:w="8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262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8560" w:type="dxa"/>
            <w:vAlign w:val="bottom"/>
          </w:tcPr>
          <w:p>
            <w:pPr>
              <w:jc w:val="right"/>
              <w:ind w:right="833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8"/>
        </w:trPr>
        <w:tc>
          <w:tcPr>
            <w:tcW w:w="2620" w:type="dxa"/>
            <w:vAlign w:val="bottom"/>
            <w:vMerge w:val="continue"/>
          </w:tcPr>
          <w:p>
            <w:pPr>
              <w:spacing w:after="0"/>
              <w:rPr>
                <w:sz w:val="3"/>
                <w:szCs w:val="3"/>
                <w:color w:val="auto"/>
              </w:rPr>
            </w:pPr>
          </w:p>
        </w:tc>
        <w:tc>
          <w:tcPr>
            <w:tcW w:w="8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2740" w:hanging="1085"/>
        <w:spacing w:after="0"/>
        <w:tabs>
          <w:tab w:leader="none" w:pos="274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2740"/>
        <w:spacing w:after="0"/>
        <w:rPr>
          <w:rFonts w:ascii="Arial" w:cs="Arial" w:eastAsia="Arial" w:hAnsi="Arial"/>
          <w:sz w:val="18"/>
          <w:szCs w:val="18"/>
          <w:color w:val="auto"/>
        </w:rPr>
      </w:pPr>
      <w:r>
        <w:rPr>
          <w:rFonts w:ascii="Arial" w:cs="Arial" w:eastAsia="Arial" w:hAnsi="Arial"/>
          <w:sz w:val="18"/>
          <w:szCs w:val="18"/>
          <w:color w:val="auto"/>
        </w:rPr>
        <w:t>5,516,272 shares of common stock</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60" w:right="5380" w:hanging="620"/>
        <w:spacing w:after="0" w:line="277" w:lineRule="auto"/>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5,516,272 shares of common stock (1)</w:t>
      </w:r>
    </w:p>
    <w:p>
      <w:pPr>
        <w:spacing w:after="0" w:line="399" w:lineRule="exact"/>
        <w:rPr>
          <w:rFonts w:ascii="Arial" w:cs="Arial" w:eastAsia="Arial" w:hAnsi="Arial"/>
          <w:sz w:val="18"/>
          <w:szCs w:val="18"/>
          <w:color w:val="auto"/>
        </w:rPr>
      </w:pPr>
    </w:p>
    <w:p>
      <w:pPr>
        <w:ind w:left="1060" w:hanging="620"/>
        <w:spacing w:after="0"/>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60" w:hanging="620"/>
        <w:spacing w:after="0"/>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60" w:right="180"/>
        <w:spacing w:after="0" w:line="260" w:lineRule="auto"/>
        <w:rPr>
          <w:rFonts w:ascii="Arial" w:cs="Arial" w:eastAsia="Arial" w:hAnsi="Arial"/>
          <w:sz w:val="18"/>
          <w:szCs w:val="18"/>
          <w:color w:val="auto"/>
        </w:rPr>
      </w:pPr>
      <w:r>
        <w:rPr>
          <w:rFonts w:ascii="Arial" w:cs="Arial" w:eastAsia="Arial" w:hAnsi="Arial"/>
          <w:sz w:val="18"/>
          <w:szCs w:val="18"/>
          <w:color w:val="auto"/>
        </w:rPr>
        <w:t>Approximately 15.5% (based on 35,504,757 shares of common stock issued and outstanding as of October 30, 2020 pursuant to the CECO Environmental Corp. Form 10-Q filed with the SEC on November 4, 2020)</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60" w:right="8320" w:hanging="620"/>
        <w:spacing w:after="0" w:line="277" w:lineRule="auto"/>
        <w:tabs>
          <w:tab w:leader="none" w:pos="1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Type of Reporting Person IA/CO</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Reporting Person disclaims beneficial ownership of the shares reported in this Schedule 13G, except to the extent of its pecuniary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-405765</wp:posOffset>
            </wp:positionV>
            <wp:extent cx="64979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-963295</wp:posOffset>
            </wp:positionV>
            <wp:extent cx="64979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-1657350</wp:posOffset>
            </wp:positionV>
            <wp:extent cx="64979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-2077720</wp:posOffset>
            </wp:positionV>
            <wp:extent cx="64979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-191770</wp:posOffset>
            </wp:positionV>
            <wp:extent cx="18002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p>
      <w:pPr>
        <w:spacing w:after="0"/>
        <w:tabs>
          <w:tab w:leader="none" w:pos="510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6"/>
          <w:szCs w:val="16"/>
          <w:color w:val="auto"/>
        </w:rPr>
        <w:t>Schedule 13G</w:t>
      </w:r>
    </w:p>
    <w:p>
      <w:pPr>
        <w:spacing w:after="0" w:line="279" w:lineRule="exact"/>
        <w:rPr>
          <w:sz w:val="20"/>
          <w:szCs w:val="20"/>
          <w:color w:val="auto"/>
        </w:rPr>
      </w:pPr>
    </w:p>
    <w:p>
      <w:pPr>
        <w:ind w:left="1060" w:hanging="620"/>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60" w:right="6660"/>
        <w:spacing w:after="0" w:line="260" w:lineRule="auto"/>
        <w:rPr>
          <w:rFonts w:ascii="Arial" w:cs="Arial" w:eastAsia="Arial" w:hAnsi="Arial"/>
          <w:sz w:val="18"/>
          <w:szCs w:val="18"/>
          <w:color w:val="auto"/>
        </w:rPr>
      </w:pPr>
      <w:r>
        <w:rPr>
          <w:rFonts w:ascii="Arial" w:cs="Arial" w:eastAsia="Arial" w:hAnsi="Arial"/>
          <w:sz w:val="18"/>
          <w:szCs w:val="18"/>
          <w:color w:val="auto"/>
        </w:rPr>
        <w:t>S.S. or I.R.S. Identification No. of Above Person Douglas Granat</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60" w:hanging="620"/>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-370205</wp:posOffset>
            </wp:positionV>
            <wp:extent cx="64979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97" w:lineRule="exact"/>
        <w:rPr>
          <w:sz w:val="20"/>
          <w:szCs w:val="20"/>
          <w:color w:val="auto"/>
        </w:rPr>
      </w:pPr>
    </w:p>
    <w:p>
      <w:pPr>
        <w:ind w:left="2200" w:hanging="1139"/>
        <w:spacing w:after="0"/>
        <w:tabs>
          <w:tab w:leader="none" w:pos="2200" w:val="left"/>
        </w:tabs>
        <w:numPr>
          <w:ilvl w:val="1"/>
          <w:numId w:val="9"/>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00" w:hanging="1139"/>
        <w:spacing w:after="0"/>
        <w:tabs>
          <w:tab w:leader="none" w:pos="2200" w:val="left"/>
        </w:tabs>
        <w:numPr>
          <w:ilvl w:val="1"/>
          <w:numId w:val="9"/>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60" w:hanging="620"/>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60" w:right="7560" w:hanging="620"/>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 or Place of Organization U.S. Citizen</w:t>
      </w:r>
    </w:p>
    <w:p>
      <w:pPr>
        <w:spacing w:after="0" w:line="399" w:lineRule="exact"/>
        <w:rPr>
          <w:rFonts w:ascii="Arial" w:cs="Arial" w:eastAsia="Arial" w:hAnsi="Arial"/>
          <w:sz w:val="18"/>
          <w:szCs w:val="18"/>
          <w:color w:val="auto"/>
        </w:rPr>
      </w:pPr>
    </w:p>
    <w:p>
      <w:pPr>
        <w:ind w:left="2740" w:right="7160" w:hanging="1085"/>
        <w:spacing w:after="0" w:line="277" w:lineRule="auto"/>
        <w:tabs>
          <w:tab w:leader="none" w:pos="274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14605</wp:posOffset>
            </wp:positionV>
            <wp:extent cx="54349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34965"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-542290</wp:posOffset>
            </wp:positionV>
            <wp:extent cx="64979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-1099185</wp:posOffset>
            </wp:positionV>
            <wp:extent cx="64979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-1519555</wp:posOffset>
            </wp:positionV>
            <wp:extent cx="57689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68975" cy="8255"/>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-1733550</wp:posOffset>
            </wp:positionV>
            <wp:extent cx="57689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68975" cy="8255"/>
                    </a:xfrm>
                    <a:prstGeom prst="rect">
                      <a:avLst/>
                    </a:prstGeom>
                    <a:noFill/>
                  </pic:spPr>
                </pic:pic>
              </a:graphicData>
            </a:graphic>
          </wp:anchor>
        </w:drawing>
      </w: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1380" w:type="dxa"/>
            <w:vAlign w:val="bottom"/>
            <w:vMerge w:val="restart"/>
          </w:tcPr>
          <w:p>
            <w:pPr>
              <w:jc w:val="right"/>
              <w:ind w:right="790"/>
              <w:spacing w:after="0"/>
              <w:rPr>
                <w:sz w:val="20"/>
                <w:szCs w:val="20"/>
                <w:color w:val="auto"/>
              </w:rPr>
            </w:pPr>
            <w:r>
              <w:rPr>
                <w:rFonts w:ascii="Arial" w:cs="Arial" w:eastAsia="Arial" w:hAnsi="Arial"/>
                <w:sz w:val="18"/>
                <w:szCs w:val="18"/>
                <w:color w:val="auto"/>
              </w:rPr>
              <w:t>6.</w:t>
            </w:r>
          </w:p>
        </w:tc>
        <w:tc>
          <w:tcPr>
            <w:tcW w:w="856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380" w:type="dxa"/>
            <w:vAlign w:val="bottom"/>
            <w:vMerge w:val="continue"/>
          </w:tcPr>
          <w:p>
            <w:pPr>
              <w:spacing w:after="0"/>
              <w:rPr>
                <w:sz w:val="9"/>
                <w:szCs w:val="9"/>
                <w:color w:val="auto"/>
              </w:rPr>
            </w:pPr>
          </w:p>
        </w:tc>
        <w:tc>
          <w:tcPr>
            <w:tcW w:w="8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8560" w:type="dxa"/>
            <w:vAlign w:val="bottom"/>
            <w:vMerge w:val="restart"/>
          </w:tcPr>
          <w:p>
            <w:pPr>
              <w:ind w:left="60"/>
              <w:spacing w:after="0"/>
              <w:rPr>
                <w:sz w:val="20"/>
                <w:szCs w:val="20"/>
                <w:color w:val="auto"/>
              </w:rPr>
            </w:pPr>
            <w:r>
              <w:rPr>
                <w:rFonts w:ascii="Arial" w:cs="Arial" w:eastAsia="Arial" w:hAnsi="Arial"/>
                <w:sz w:val="18"/>
                <w:szCs w:val="18"/>
                <w:color w:val="auto"/>
              </w:rPr>
              <w:t>5,516,272 shares of common stock</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380" w:type="dxa"/>
            <w:vAlign w:val="bottom"/>
          </w:tcPr>
          <w:p>
            <w:pPr>
              <w:spacing w:after="0"/>
              <w:rPr>
                <w:sz w:val="10"/>
                <w:szCs w:val="10"/>
                <w:color w:val="auto"/>
              </w:rPr>
            </w:pPr>
          </w:p>
        </w:tc>
        <w:tc>
          <w:tcPr>
            <w:tcW w:w="8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1380" w:type="dxa"/>
            <w:vAlign w:val="bottom"/>
          </w:tcPr>
          <w:p>
            <w:pPr>
              <w:spacing w:after="0"/>
              <w:rPr>
                <w:sz w:val="4"/>
                <w:szCs w:val="4"/>
                <w:color w:val="auto"/>
              </w:rPr>
            </w:pPr>
          </w:p>
        </w:tc>
        <w:tc>
          <w:tcPr>
            <w:tcW w:w="8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380" w:type="dxa"/>
            <w:vAlign w:val="bottom"/>
          </w:tcPr>
          <w:p>
            <w:pPr>
              <w:spacing w:after="0"/>
              <w:rPr>
                <w:sz w:val="20"/>
                <w:szCs w:val="20"/>
                <w:color w:val="auto"/>
              </w:rPr>
            </w:pPr>
          </w:p>
        </w:tc>
        <w:tc>
          <w:tcPr>
            <w:tcW w:w="8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380" w:type="dxa"/>
            <w:vAlign w:val="bottom"/>
            <w:vMerge w:val="restart"/>
          </w:tcPr>
          <w:p>
            <w:pPr>
              <w:jc w:val="right"/>
              <w:ind w:right="790"/>
              <w:spacing w:after="0"/>
              <w:rPr>
                <w:sz w:val="20"/>
                <w:szCs w:val="20"/>
                <w:color w:val="auto"/>
              </w:rPr>
            </w:pPr>
            <w:r>
              <w:rPr>
                <w:rFonts w:ascii="Arial" w:cs="Arial" w:eastAsia="Arial" w:hAnsi="Arial"/>
                <w:sz w:val="18"/>
                <w:szCs w:val="18"/>
                <w:color w:val="auto"/>
              </w:rPr>
              <w:t>7.</w:t>
            </w:r>
          </w:p>
        </w:tc>
        <w:tc>
          <w:tcPr>
            <w:tcW w:w="856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8"/>
        </w:trPr>
        <w:tc>
          <w:tcPr>
            <w:tcW w:w="1240" w:type="dxa"/>
            <w:vAlign w:val="bottom"/>
          </w:tcPr>
          <w:p>
            <w:pPr>
              <w:spacing w:after="0" w:line="138" w:lineRule="exact"/>
              <w:rPr>
                <w:sz w:val="20"/>
                <w:szCs w:val="20"/>
                <w:color w:val="auto"/>
              </w:rPr>
            </w:pPr>
            <w:r>
              <w:rPr>
                <w:rFonts w:ascii="Arial" w:cs="Arial" w:eastAsia="Arial" w:hAnsi="Arial"/>
                <w:sz w:val="15"/>
                <w:szCs w:val="15"/>
                <w:color w:val="auto"/>
              </w:rPr>
              <w:t>Reporting</w:t>
            </w:r>
          </w:p>
        </w:tc>
        <w:tc>
          <w:tcPr>
            <w:tcW w:w="1380" w:type="dxa"/>
            <w:vAlign w:val="bottom"/>
            <w:vMerge w:val="continue"/>
          </w:tcPr>
          <w:p>
            <w:pPr>
              <w:spacing w:after="0"/>
              <w:rPr>
                <w:sz w:val="11"/>
                <w:szCs w:val="11"/>
                <w:color w:val="auto"/>
              </w:rPr>
            </w:pPr>
          </w:p>
        </w:tc>
        <w:tc>
          <w:tcPr>
            <w:tcW w:w="8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262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8560" w:type="dxa"/>
            <w:vAlign w:val="bottom"/>
          </w:tcPr>
          <w:p>
            <w:pPr>
              <w:jc w:val="right"/>
              <w:ind w:right="833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8"/>
        </w:trPr>
        <w:tc>
          <w:tcPr>
            <w:tcW w:w="2620" w:type="dxa"/>
            <w:vAlign w:val="bottom"/>
            <w:vMerge w:val="continue"/>
          </w:tcPr>
          <w:p>
            <w:pPr>
              <w:spacing w:after="0"/>
              <w:rPr>
                <w:sz w:val="3"/>
                <w:szCs w:val="3"/>
                <w:color w:val="auto"/>
              </w:rPr>
            </w:pPr>
          </w:p>
        </w:tc>
        <w:tc>
          <w:tcPr>
            <w:tcW w:w="8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2740" w:hanging="1085"/>
        <w:spacing w:after="0"/>
        <w:tabs>
          <w:tab w:leader="none" w:pos="274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2740"/>
        <w:spacing w:after="0"/>
        <w:rPr>
          <w:rFonts w:ascii="Arial" w:cs="Arial" w:eastAsia="Arial" w:hAnsi="Arial"/>
          <w:sz w:val="18"/>
          <w:szCs w:val="18"/>
          <w:color w:val="auto"/>
        </w:rPr>
      </w:pPr>
      <w:r>
        <w:rPr>
          <w:rFonts w:ascii="Arial" w:cs="Arial" w:eastAsia="Arial" w:hAnsi="Arial"/>
          <w:sz w:val="18"/>
          <w:szCs w:val="18"/>
          <w:color w:val="auto"/>
        </w:rPr>
        <w:t>5,516,272 shares of common stock</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60" w:right="5380" w:hanging="620"/>
        <w:spacing w:after="0" w:line="277" w:lineRule="auto"/>
        <w:tabs>
          <w:tab w:leader="none" w:pos="10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5,516,272 shares of common stock (1)</w:t>
      </w:r>
    </w:p>
    <w:p>
      <w:pPr>
        <w:spacing w:after="0" w:line="399" w:lineRule="exact"/>
        <w:rPr>
          <w:rFonts w:ascii="Arial" w:cs="Arial" w:eastAsia="Arial" w:hAnsi="Arial"/>
          <w:sz w:val="18"/>
          <w:szCs w:val="18"/>
          <w:color w:val="auto"/>
        </w:rPr>
      </w:pPr>
    </w:p>
    <w:p>
      <w:pPr>
        <w:ind w:left="1060" w:hanging="620"/>
        <w:spacing w:after="0"/>
        <w:tabs>
          <w:tab w:leader="none" w:pos="10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60" w:hanging="620"/>
        <w:spacing w:after="0"/>
        <w:tabs>
          <w:tab w:leader="none" w:pos="10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60" w:right="180"/>
        <w:spacing w:after="0" w:line="260" w:lineRule="auto"/>
        <w:rPr>
          <w:rFonts w:ascii="Arial" w:cs="Arial" w:eastAsia="Arial" w:hAnsi="Arial"/>
          <w:sz w:val="18"/>
          <w:szCs w:val="18"/>
          <w:color w:val="auto"/>
        </w:rPr>
      </w:pPr>
      <w:r>
        <w:rPr>
          <w:rFonts w:ascii="Arial" w:cs="Arial" w:eastAsia="Arial" w:hAnsi="Arial"/>
          <w:sz w:val="18"/>
          <w:szCs w:val="18"/>
          <w:color w:val="auto"/>
        </w:rPr>
        <w:t>Approximately 15.5% (based on 35,504,757 shares of common stock issued and outstanding as of October 30, 2020 pursuant to the CECO Environmental Corp. Form 10-Q filed with the SEC on November 4, 2020)</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60" w:right="8320" w:hanging="620"/>
        <w:spacing w:after="0" w:line="277" w:lineRule="auto"/>
        <w:tabs>
          <w:tab w:leader="none" w:pos="10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Type of Reporting Person IN/HC</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Reporting Person disclaims beneficial ownership of the shares reported in this Schedule 13G, except to the extent of his pecuniary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-405765</wp:posOffset>
            </wp:positionV>
            <wp:extent cx="64979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-963295</wp:posOffset>
            </wp:positionV>
            <wp:extent cx="64979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-1657350</wp:posOffset>
            </wp:positionV>
            <wp:extent cx="64979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-2077720</wp:posOffset>
            </wp:positionV>
            <wp:extent cx="64979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-2626360</wp:posOffset>
            </wp:positionV>
            <wp:extent cx="54349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349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-191770</wp:posOffset>
            </wp:positionV>
            <wp:extent cx="18002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p>
      <w:pPr>
        <w:spacing w:after="0"/>
        <w:tabs>
          <w:tab w:leader="none" w:pos="510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6"/>
          <w:szCs w:val="16"/>
          <w:color w:val="auto"/>
        </w:rPr>
        <w:t>Schedule 13G</w:t>
      </w:r>
    </w:p>
    <w:p>
      <w:pPr>
        <w:spacing w:after="0" w:line="279" w:lineRule="exact"/>
        <w:rPr>
          <w:sz w:val="20"/>
          <w:szCs w:val="20"/>
          <w:color w:val="auto"/>
        </w:rPr>
      </w:pPr>
    </w:p>
    <w:p>
      <w:pPr>
        <w:ind w:left="1060" w:hanging="620"/>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60" w:right="6660"/>
        <w:spacing w:after="0" w:line="260" w:lineRule="auto"/>
        <w:rPr>
          <w:rFonts w:ascii="Arial" w:cs="Arial" w:eastAsia="Arial" w:hAnsi="Arial"/>
          <w:sz w:val="18"/>
          <w:szCs w:val="18"/>
          <w:color w:val="auto"/>
        </w:rPr>
      </w:pPr>
      <w:r>
        <w:rPr>
          <w:rFonts w:ascii="Arial" w:cs="Arial" w:eastAsia="Arial" w:hAnsi="Arial"/>
          <w:sz w:val="18"/>
          <w:szCs w:val="18"/>
          <w:color w:val="auto"/>
        </w:rPr>
        <w:t>S.S. or I.R.S. Identification No. of Above Person Lawrence A. Oberman</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60" w:hanging="620"/>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-370205</wp:posOffset>
            </wp:positionV>
            <wp:extent cx="64979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97" w:lineRule="exact"/>
        <w:rPr>
          <w:sz w:val="20"/>
          <w:szCs w:val="20"/>
          <w:color w:val="auto"/>
        </w:rPr>
      </w:pPr>
    </w:p>
    <w:p>
      <w:pPr>
        <w:ind w:left="2200" w:hanging="1139"/>
        <w:spacing w:after="0"/>
        <w:tabs>
          <w:tab w:leader="none" w:pos="22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00" w:hanging="1139"/>
        <w:spacing w:after="0"/>
        <w:tabs>
          <w:tab w:leader="none" w:pos="22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60" w:hanging="620"/>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60" w:right="7560" w:hanging="620"/>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Citizenship or Place of Organization U.S. Citizen</w:t>
      </w:r>
    </w:p>
    <w:p>
      <w:pPr>
        <w:spacing w:after="0" w:line="399" w:lineRule="exact"/>
        <w:rPr>
          <w:rFonts w:ascii="Arial" w:cs="Arial" w:eastAsia="Arial" w:hAnsi="Arial"/>
          <w:sz w:val="18"/>
          <w:szCs w:val="18"/>
          <w:color w:val="auto"/>
        </w:rPr>
      </w:pPr>
    </w:p>
    <w:p>
      <w:pPr>
        <w:ind w:left="2740" w:right="7160" w:hanging="1085"/>
        <w:spacing w:after="0" w:line="277" w:lineRule="auto"/>
        <w:tabs>
          <w:tab w:leader="none" w:pos="2740" w:val="left"/>
        </w:tabs>
        <w:numPr>
          <w:ilvl w:val="2"/>
          <w:numId w:val="16"/>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14605</wp:posOffset>
            </wp:positionV>
            <wp:extent cx="54349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434965"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-542290</wp:posOffset>
            </wp:positionV>
            <wp:extent cx="64979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-1099185</wp:posOffset>
            </wp:positionV>
            <wp:extent cx="64979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-1519555</wp:posOffset>
            </wp:positionV>
            <wp:extent cx="57689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68975" cy="8255"/>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-1733550</wp:posOffset>
            </wp:positionV>
            <wp:extent cx="57689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68975" cy="8255"/>
                    </a:xfrm>
                    <a:prstGeom prst="rect">
                      <a:avLst/>
                    </a:prstGeom>
                    <a:noFill/>
                  </pic:spPr>
                </pic:pic>
              </a:graphicData>
            </a:graphic>
          </wp:anchor>
        </w:drawing>
      </w: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1380" w:type="dxa"/>
            <w:vAlign w:val="bottom"/>
            <w:vMerge w:val="restart"/>
          </w:tcPr>
          <w:p>
            <w:pPr>
              <w:jc w:val="right"/>
              <w:ind w:right="790"/>
              <w:spacing w:after="0"/>
              <w:rPr>
                <w:sz w:val="20"/>
                <w:szCs w:val="20"/>
                <w:color w:val="auto"/>
              </w:rPr>
            </w:pPr>
            <w:r>
              <w:rPr>
                <w:rFonts w:ascii="Arial" w:cs="Arial" w:eastAsia="Arial" w:hAnsi="Arial"/>
                <w:sz w:val="18"/>
                <w:szCs w:val="18"/>
                <w:color w:val="auto"/>
              </w:rPr>
              <w:t>6.</w:t>
            </w:r>
          </w:p>
        </w:tc>
        <w:tc>
          <w:tcPr>
            <w:tcW w:w="856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380" w:type="dxa"/>
            <w:vAlign w:val="bottom"/>
            <w:vMerge w:val="continue"/>
          </w:tcPr>
          <w:p>
            <w:pPr>
              <w:spacing w:after="0"/>
              <w:rPr>
                <w:sz w:val="9"/>
                <w:szCs w:val="9"/>
                <w:color w:val="auto"/>
              </w:rPr>
            </w:pPr>
          </w:p>
        </w:tc>
        <w:tc>
          <w:tcPr>
            <w:tcW w:w="8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8560" w:type="dxa"/>
            <w:vAlign w:val="bottom"/>
            <w:vMerge w:val="restart"/>
          </w:tcPr>
          <w:p>
            <w:pPr>
              <w:ind w:left="60"/>
              <w:spacing w:after="0"/>
              <w:rPr>
                <w:sz w:val="20"/>
                <w:szCs w:val="20"/>
                <w:color w:val="auto"/>
              </w:rPr>
            </w:pPr>
            <w:r>
              <w:rPr>
                <w:rFonts w:ascii="Arial" w:cs="Arial" w:eastAsia="Arial" w:hAnsi="Arial"/>
                <w:sz w:val="18"/>
                <w:szCs w:val="18"/>
                <w:color w:val="auto"/>
              </w:rPr>
              <w:t>5,516,272 shares of common stock</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380" w:type="dxa"/>
            <w:vAlign w:val="bottom"/>
          </w:tcPr>
          <w:p>
            <w:pPr>
              <w:spacing w:after="0"/>
              <w:rPr>
                <w:sz w:val="10"/>
                <w:szCs w:val="10"/>
                <w:color w:val="auto"/>
              </w:rPr>
            </w:pPr>
          </w:p>
        </w:tc>
        <w:tc>
          <w:tcPr>
            <w:tcW w:w="8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1380" w:type="dxa"/>
            <w:vAlign w:val="bottom"/>
          </w:tcPr>
          <w:p>
            <w:pPr>
              <w:spacing w:after="0"/>
              <w:rPr>
                <w:sz w:val="4"/>
                <w:szCs w:val="4"/>
                <w:color w:val="auto"/>
              </w:rPr>
            </w:pPr>
          </w:p>
        </w:tc>
        <w:tc>
          <w:tcPr>
            <w:tcW w:w="8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380" w:type="dxa"/>
            <w:vAlign w:val="bottom"/>
          </w:tcPr>
          <w:p>
            <w:pPr>
              <w:spacing w:after="0"/>
              <w:rPr>
                <w:sz w:val="20"/>
                <w:szCs w:val="20"/>
                <w:color w:val="auto"/>
              </w:rPr>
            </w:pPr>
          </w:p>
        </w:tc>
        <w:tc>
          <w:tcPr>
            <w:tcW w:w="8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380" w:type="dxa"/>
            <w:vAlign w:val="bottom"/>
            <w:vMerge w:val="restart"/>
          </w:tcPr>
          <w:p>
            <w:pPr>
              <w:jc w:val="right"/>
              <w:ind w:right="790"/>
              <w:spacing w:after="0"/>
              <w:rPr>
                <w:sz w:val="20"/>
                <w:szCs w:val="20"/>
                <w:color w:val="auto"/>
              </w:rPr>
            </w:pPr>
            <w:r>
              <w:rPr>
                <w:rFonts w:ascii="Arial" w:cs="Arial" w:eastAsia="Arial" w:hAnsi="Arial"/>
                <w:sz w:val="18"/>
                <w:szCs w:val="18"/>
                <w:color w:val="auto"/>
              </w:rPr>
              <w:t>7.</w:t>
            </w:r>
          </w:p>
        </w:tc>
        <w:tc>
          <w:tcPr>
            <w:tcW w:w="856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8"/>
        </w:trPr>
        <w:tc>
          <w:tcPr>
            <w:tcW w:w="1240" w:type="dxa"/>
            <w:vAlign w:val="bottom"/>
          </w:tcPr>
          <w:p>
            <w:pPr>
              <w:spacing w:after="0" w:line="138" w:lineRule="exact"/>
              <w:rPr>
                <w:sz w:val="20"/>
                <w:szCs w:val="20"/>
                <w:color w:val="auto"/>
              </w:rPr>
            </w:pPr>
            <w:r>
              <w:rPr>
                <w:rFonts w:ascii="Arial" w:cs="Arial" w:eastAsia="Arial" w:hAnsi="Arial"/>
                <w:sz w:val="15"/>
                <w:szCs w:val="15"/>
                <w:color w:val="auto"/>
              </w:rPr>
              <w:t>Reporting</w:t>
            </w:r>
          </w:p>
        </w:tc>
        <w:tc>
          <w:tcPr>
            <w:tcW w:w="1380" w:type="dxa"/>
            <w:vAlign w:val="bottom"/>
            <w:vMerge w:val="continue"/>
          </w:tcPr>
          <w:p>
            <w:pPr>
              <w:spacing w:after="0"/>
              <w:rPr>
                <w:sz w:val="11"/>
                <w:szCs w:val="11"/>
                <w:color w:val="auto"/>
              </w:rPr>
            </w:pPr>
          </w:p>
        </w:tc>
        <w:tc>
          <w:tcPr>
            <w:tcW w:w="8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262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8560" w:type="dxa"/>
            <w:vAlign w:val="bottom"/>
          </w:tcPr>
          <w:p>
            <w:pPr>
              <w:jc w:val="right"/>
              <w:ind w:right="833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8"/>
        </w:trPr>
        <w:tc>
          <w:tcPr>
            <w:tcW w:w="2620" w:type="dxa"/>
            <w:vAlign w:val="bottom"/>
            <w:vMerge w:val="continue"/>
          </w:tcPr>
          <w:p>
            <w:pPr>
              <w:spacing w:after="0"/>
              <w:rPr>
                <w:sz w:val="3"/>
                <w:szCs w:val="3"/>
                <w:color w:val="auto"/>
              </w:rPr>
            </w:pPr>
          </w:p>
        </w:tc>
        <w:tc>
          <w:tcPr>
            <w:tcW w:w="8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2740" w:hanging="1085"/>
        <w:spacing w:after="0"/>
        <w:tabs>
          <w:tab w:leader="none" w:pos="2740" w:val="left"/>
        </w:tabs>
        <w:numPr>
          <w:ilvl w:val="2"/>
          <w:numId w:val="17"/>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2740"/>
        <w:spacing w:after="0"/>
        <w:rPr>
          <w:rFonts w:ascii="Arial" w:cs="Arial" w:eastAsia="Arial" w:hAnsi="Arial"/>
          <w:sz w:val="18"/>
          <w:szCs w:val="18"/>
          <w:color w:val="auto"/>
        </w:rPr>
      </w:pPr>
      <w:r>
        <w:rPr>
          <w:rFonts w:ascii="Arial" w:cs="Arial" w:eastAsia="Arial" w:hAnsi="Arial"/>
          <w:sz w:val="18"/>
          <w:szCs w:val="18"/>
          <w:color w:val="auto"/>
        </w:rPr>
        <w:t>5,516,272 shares of common stock</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60" w:right="5380" w:hanging="620"/>
        <w:spacing w:after="0" w:line="277" w:lineRule="auto"/>
        <w:tabs>
          <w:tab w:leader="none" w:pos="10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5,516,272 shares of common stock (1)</w:t>
      </w:r>
    </w:p>
    <w:p>
      <w:pPr>
        <w:spacing w:after="0" w:line="399" w:lineRule="exact"/>
        <w:rPr>
          <w:rFonts w:ascii="Arial" w:cs="Arial" w:eastAsia="Arial" w:hAnsi="Arial"/>
          <w:sz w:val="18"/>
          <w:szCs w:val="18"/>
          <w:color w:val="auto"/>
        </w:rPr>
      </w:pPr>
    </w:p>
    <w:p>
      <w:pPr>
        <w:ind w:left="1060" w:hanging="620"/>
        <w:spacing w:after="0"/>
        <w:tabs>
          <w:tab w:leader="none" w:pos="10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60" w:hanging="620"/>
        <w:spacing w:after="0"/>
        <w:tabs>
          <w:tab w:leader="none" w:pos="10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60" w:right="180"/>
        <w:spacing w:after="0" w:line="260" w:lineRule="auto"/>
        <w:rPr>
          <w:rFonts w:ascii="Arial" w:cs="Arial" w:eastAsia="Arial" w:hAnsi="Arial"/>
          <w:sz w:val="18"/>
          <w:szCs w:val="18"/>
          <w:color w:val="auto"/>
        </w:rPr>
      </w:pPr>
      <w:r>
        <w:rPr>
          <w:rFonts w:ascii="Arial" w:cs="Arial" w:eastAsia="Arial" w:hAnsi="Arial"/>
          <w:sz w:val="18"/>
          <w:szCs w:val="18"/>
          <w:color w:val="auto"/>
        </w:rPr>
        <w:t>Approximately 15.5% (based on 35,504,757 shares of common stock issued and outstanding as of October 30, 2020 pursuant to the CECO Environmental Corp. Form 10-Q filed with the SEC on November 4, 2020)</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60" w:right="8320" w:hanging="620"/>
        <w:spacing w:after="0" w:line="277" w:lineRule="auto"/>
        <w:tabs>
          <w:tab w:leader="none" w:pos="10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Type of Reporting Person IN/HC</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260" w:hanging="252"/>
        <w:spacing w:after="0"/>
        <w:tabs>
          <w:tab w:leader="none" w:pos="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Reporting Person disclaims beneficial ownership of the shares reported in this Schedule 13G, except to the extent of his pecuniary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-405765</wp:posOffset>
            </wp:positionV>
            <wp:extent cx="64979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-963295</wp:posOffset>
            </wp:positionV>
            <wp:extent cx="64979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-1657350</wp:posOffset>
            </wp:positionV>
            <wp:extent cx="64979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-2077720</wp:posOffset>
            </wp:positionV>
            <wp:extent cx="64979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-2626360</wp:posOffset>
            </wp:positionV>
            <wp:extent cx="54349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349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-191770</wp:posOffset>
            </wp:positionV>
            <wp:extent cx="18002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 w:name="page5"/>
    <w:bookmarkEnd w:id="4"/>
    <w:p>
      <w:pPr>
        <w:spacing w:after="0"/>
        <w:tabs>
          <w:tab w:leader="none" w:pos="510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6"/>
          <w:szCs w:val="16"/>
          <w:color w:val="auto"/>
        </w:rPr>
        <w:t>Schedule 13G</w:t>
      </w:r>
    </w:p>
    <w:p>
      <w:pPr>
        <w:spacing w:after="0" w:line="279" w:lineRule="exact"/>
        <w:rPr>
          <w:sz w:val="20"/>
          <w:szCs w:val="20"/>
          <w:color w:val="auto"/>
        </w:rPr>
      </w:pPr>
    </w:p>
    <w:p>
      <w:pPr>
        <w:ind w:left="1060" w:hanging="620"/>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60" w:right="6660"/>
        <w:spacing w:after="0" w:line="260" w:lineRule="auto"/>
        <w:rPr>
          <w:rFonts w:ascii="Arial" w:cs="Arial" w:eastAsia="Arial" w:hAnsi="Arial"/>
          <w:sz w:val="18"/>
          <w:szCs w:val="18"/>
          <w:color w:val="auto"/>
        </w:rPr>
      </w:pPr>
      <w:r>
        <w:rPr>
          <w:rFonts w:ascii="Arial" w:cs="Arial" w:eastAsia="Arial" w:hAnsi="Arial"/>
          <w:sz w:val="18"/>
          <w:szCs w:val="18"/>
          <w:color w:val="auto"/>
        </w:rPr>
        <w:t>S.S. or I.R.S. Identification No. of Above Person Steven G. Simon</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60" w:hanging="620"/>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-370205</wp:posOffset>
            </wp:positionV>
            <wp:extent cx="64979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97" w:lineRule="exact"/>
        <w:rPr>
          <w:sz w:val="20"/>
          <w:szCs w:val="20"/>
          <w:color w:val="auto"/>
        </w:rPr>
      </w:pPr>
    </w:p>
    <w:p>
      <w:pPr>
        <w:ind w:left="2200" w:hanging="1139"/>
        <w:spacing w:after="0"/>
        <w:tabs>
          <w:tab w:leader="none" w:pos="22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00" w:hanging="1139"/>
        <w:spacing w:after="0"/>
        <w:tabs>
          <w:tab w:leader="none" w:pos="22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60" w:hanging="620"/>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60" w:right="7560" w:hanging="620"/>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Citizenship or Place of Organization U.S. Citizen</w:t>
      </w:r>
    </w:p>
    <w:p>
      <w:pPr>
        <w:spacing w:after="0" w:line="399" w:lineRule="exact"/>
        <w:rPr>
          <w:rFonts w:ascii="Arial" w:cs="Arial" w:eastAsia="Arial" w:hAnsi="Arial"/>
          <w:sz w:val="18"/>
          <w:szCs w:val="18"/>
          <w:color w:val="auto"/>
        </w:rPr>
      </w:pPr>
    </w:p>
    <w:p>
      <w:pPr>
        <w:ind w:left="2740" w:right="7160" w:hanging="1085"/>
        <w:spacing w:after="0" w:line="277" w:lineRule="auto"/>
        <w:tabs>
          <w:tab w:leader="none" w:pos="2740" w:val="left"/>
        </w:tabs>
        <w:numPr>
          <w:ilvl w:val="2"/>
          <w:numId w:val="22"/>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14605</wp:posOffset>
            </wp:positionV>
            <wp:extent cx="54349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434965"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-542290</wp:posOffset>
            </wp:positionV>
            <wp:extent cx="64979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-1099185</wp:posOffset>
            </wp:positionV>
            <wp:extent cx="64979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-1519555</wp:posOffset>
            </wp:positionV>
            <wp:extent cx="57689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68975" cy="8255"/>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-1733550</wp:posOffset>
            </wp:positionV>
            <wp:extent cx="57689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68975" cy="8255"/>
                    </a:xfrm>
                    <a:prstGeom prst="rect">
                      <a:avLst/>
                    </a:prstGeom>
                    <a:noFill/>
                  </pic:spPr>
                </pic:pic>
              </a:graphicData>
            </a:graphic>
          </wp:anchor>
        </w:drawing>
      </w: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1380" w:type="dxa"/>
            <w:vAlign w:val="bottom"/>
            <w:vMerge w:val="restart"/>
          </w:tcPr>
          <w:p>
            <w:pPr>
              <w:jc w:val="right"/>
              <w:ind w:right="790"/>
              <w:spacing w:after="0"/>
              <w:rPr>
                <w:sz w:val="20"/>
                <w:szCs w:val="20"/>
                <w:color w:val="auto"/>
              </w:rPr>
            </w:pPr>
            <w:r>
              <w:rPr>
                <w:rFonts w:ascii="Arial" w:cs="Arial" w:eastAsia="Arial" w:hAnsi="Arial"/>
                <w:sz w:val="18"/>
                <w:szCs w:val="18"/>
                <w:color w:val="auto"/>
              </w:rPr>
              <w:t>6.</w:t>
            </w:r>
          </w:p>
        </w:tc>
        <w:tc>
          <w:tcPr>
            <w:tcW w:w="856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380" w:type="dxa"/>
            <w:vAlign w:val="bottom"/>
            <w:vMerge w:val="continue"/>
          </w:tcPr>
          <w:p>
            <w:pPr>
              <w:spacing w:after="0"/>
              <w:rPr>
                <w:sz w:val="9"/>
                <w:szCs w:val="9"/>
                <w:color w:val="auto"/>
              </w:rPr>
            </w:pPr>
          </w:p>
        </w:tc>
        <w:tc>
          <w:tcPr>
            <w:tcW w:w="8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8560" w:type="dxa"/>
            <w:vAlign w:val="bottom"/>
            <w:vMerge w:val="restart"/>
          </w:tcPr>
          <w:p>
            <w:pPr>
              <w:ind w:left="60"/>
              <w:spacing w:after="0"/>
              <w:rPr>
                <w:sz w:val="20"/>
                <w:szCs w:val="20"/>
                <w:color w:val="auto"/>
              </w:rPr>
            </w:pPr>
            <w:r>
              <w:rPr>
                <w:rFonts w:ascii="Arial" w:cs="Arial" w:eastAsia="Arial" w:hAnsi="Arial"/>
                <w:sz w:val="18"/>
                <w:szCs w:val="18"/>
                <w:color w:val="auto"/>
              </w:rPr>
              <w:t>5,516,272 shares of common stock</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380" w:type="dxa"/>
            <w:vAlign w:val="bottom"/>
          </w:tcPr>
          <w:p>
            <w:pPr>
              <w:spacing w:after="0"/>
              <w:rPr>
                <w:sz w:val="10"/>
                <w:szCs w:val="10"/>
                <w:color w:val="auto"/>
              </w:rPr>
            </w:pPr>
          </w:p>
        </w:tc>
        <w:tc>
          <w:tcPr>
            <w:tcW w:w="8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1380" w:type="dxa"/>
            <w:vAlign w:val="bottom"/>
          </w:tcPr>
          <w:p>
            <w:pPr>
              <w:spacing w:after="0"/>
              <w:rPr>
                <w:sz w:val="4"/>
                <w:szCs w:val="4"/>
                <w:color w:val="auto"/>
              </w:rPr>
            </w:pPr>
          </w:p>
        </w:tc>
        <w:tc>
          <w:tcPr>
            <w:tcW w:w="8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380" w:type="dxa"/>
            <w:vAlign w:val="bottom"/>
          </w:tcPr>
          <w:p>
            <w:pPr>
              <w:spacing w:after="0"/>
              <w:rPr>
                <w:sz w:val="20"/>
                <w:szCs w:val="20"/>
                <w:color w:val="auto"/>
              </w:rPr>
            </w:pPr>
          </w:p>
        </w:tc>
        <w:tc>
          <w:tcPr>
            <w:tcW w:w="8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380" w:type="dxa"/>
            <w:vAlign w:val="bottom"/>
            <w:vMerge w:val="restart"/>
          </w:tcPr>
          <w:p>
            <w:pPr>
              <w:jc w:val="right"/>
              <w:ind w:right="790"/>
              <w:spacing w:after="0"/>
              <w:rPr>
                <w:sz w:val="20"/>
                <w:szCs w:val="20"/>
                <w:color w:val="auto"/>
              </w:rPr>
            </w:pPr>
            <w:r>
              <w:rPr>
                <w:rFonts w:ascii="Arial" w:cs="Arial" w:eastAsia="Arial" w:hAnsi="Arial"/>
                <w:sz w:val="18"/>
                <w:szCs w:val="18"/>
                <w:color w:val="auto"/>
              </w:rPr>
              <w:t>7.</w:t>
            </w:r>
          </w:p>
        </w:tc>
        <w:tc>
          <w:tcPr>
            <w:tcW w:w="856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8"/>
        </w:trPr>
        <w:tc>
          <w:tcPr>
            <w:tcW w:w="1240" w:type="dxa"/>
            <w:vAlign w:val="bottom"/>
          </w:tcPr>
          <w:p>
            <w:pPr>
              <w:spacing w:after="0" w:line="138" w:lineRule="exact"/>
              <w:rPr>
                <w:sz w:val="20"/>
                <w:szCs w:val="20"/>
                <w:color w:val="auto"/>
              </w:rPr>
            </w:pPr>
            <w:r>
              <w:rPr>
                <w:rFonts w:ascii="Arial" w:cs="Arial" w:eastAsia="Arial" w:hAnsi="Arial"/>
                <w:sz w:val="15"/>
                <w:szCs w:val="15"/>
                <w:color w:val="auto"/>
              </w:rPr>
              <w:t>Reporting</w:t>
            </w:r>
          </w:p>
        </w:tc>
        <w:tc>
          <w:tcPr>
            <w:tcW w:w="1380" w:type="dxa"/>
            <w:vAlign w:val="bottom"/>
            <w:vMerge w:val="continue"/>
          </w:tcPr>
          <w:p>
            <w:pPr>
              <w:spacing w:after="0"/>
              <w:rPr>
                <w:sz w:val="11"/>
                <w:szCs w:val="11"/>
                <w:color w:val="auto"/>
              </w:rPr>
            </w:pPr>
          </w:p>
        </w:tc>
        <w:tc>
          <w:tcPr>
            <w:tcW w:w="8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262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8560" w:type="dxa"/>
            <w:vAlign w:val="bottom"/>
          </w:tcPr>
          <w:p>
            <w:pPr>
              <w:jc w:val="right"/>
              <w:ind w:right="833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8"/>
        </w:trPr>
        <w:tc>
          <w:tcPr>
            <w:tcW w:w="2620" w:type="dxa"/>
            <w:vAlign w:val="bottom"/>
            <w:vMerge w:val="continue"/>
          </w:tcPr>
          <w:p>
            <w:pPr>
              <w:spacing w:after="0"/>
              <w:rPr>
                <w:sz w:val="3"/>
                <w:szCs w:val="3"/>
                <w:color w:val="auto"/>
              </w:rPr>
            </w:pPr>
          </w:p>
        </w:tc>
        <w:tc>
          <w:tcPr>
            <w:tcW w:w="8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2740" w:hanging="1085"/>
        <w:spacing w:after="0"/>
        <w:tabs>
          <w:tab w:leader="none" w:pos="2740" w:val="left"/>
        </w:tabs>
        <w:numPr>
          <w:ilvl w:val="2"/>
          <w:numId w:val="2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2740"/>
        <w:spacing w:after="0"/>
        <w:rPr>
          <w:rFonts w:ascii="Arial" w:cs="Arial" w:eastAsia="Arial" w:hAnsi="Arial"/>
          <w:sz w:val="18"/>
          <w:szCs w:val="18"/>
          <w:color w:val="auto"/>
        </w:rPr>
      </w:pPr>
      <w:r>
        <w:rPr>
          <w:rFonts w:ascii="Arial" w:cs="Arial" w:eastAsia="Arial" w:hAnsi="Arial"/>
          <w:sz w:val="18"/>
          <w:szCs w:val="18"/>
          <w:color w:val="auto"/>
        </w:rPr>
        <w:t>5,516,272 shares of common stock</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60" w:right="5380" w:hanging="620"/>
        <w:spacing w:after="0" w:line="277" w:lineRule="auto"/>
        <w:tabs>
          <w:tab w:leader="none" w:pos="10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5,516,272 shares of common stock (1)</w:t>
      </w:r>
    </w:p>
    <w:p>
      <w:pPr>
        <w:spacing w:after="0" w:line="399" w:lineRule="exact"/>
        <w:rPr>
          <w:rFonts w:ascii="Arial" w:cs="Arial" w:eastAsia="Arial" w:hAnsi="Arial"/>
          <w:sz w:val="18"/>
          <w:szCs w:val="18"/>
          <w:color w:val="auto"/>
        </w:rPr>
      </w:pPr>
    </w:p>
    <w:p>
      <w:pPr>
        <w:ind w:left="1060" w:hanging="620"/>
        <w:spacing w:after="0"/>
        <w:tabs>
          <w:tab w:leader="none" w:pos="10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60" w:hanging="620"/>
        <w:spacing w:after="0"/>
        <w:tabs>
          <w:tab w:leader="none" w:pos="10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60" w:right="180"/>
        <w:spacing w:after="0" w:line="260" w:lineRule="auto"/>
        <w:rPr>
          <w:rFonts w:ascii="Arial" w:cs="Arial" w:eastAsia="Arial" w:hAnsi="Arial"/>
          <w:sz w:val="18"/>
          <w:szCs w:val="18"/>
          <w:color w:val="auto"/>
        </w:rPr>
      </w:pPr>
      <w:r>
        <w:rPr>
          <w:rFonts w:ascii="Arial" w:cs="Arial" w:eastAsia="Arial" w:hAnsi="Arial"/>
          <w:sz w:val="18"/>
          <w:szCs w:val="18"/>
          <w:color w:val="auto"/>
        </w:rPr>
        <w:t>Approximately 15.5% (based on 35,504,757 shares of common stock issued and outstanding as of October 30, 2020 pursuant to the CECO Environmental Corp. Form 10-Q filed with the SEC on November 4, 2020)</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60" w:right="8320" w:hanging="620"/>
        <w:spacing w:after="0" w:line="277" w:lineRule="auto"/>
        <w:tabs>
          <w:tab w:leader="none" w:pos="10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Type of Reporting Person IN/HC</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260" w:hanging="252"/>
        <w:spacing w:after="0"/>
        <w:tabs>
          <w:tab w:leader="none" w:pos="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Reporting Person disclaims beneficial ownership of the shares reported in this Schedule 13G, except to the extent of his pecuniary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-405765</wp:posOffset>
            </wp:positionV>
            <wp:extent cx="64979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-963295</wp:posOffset>
            </wp:positionV>
            <wp:extent cx="64979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-1657350</wp:posOffset>
            </wp:positionV>
            <wp:extent cx="64979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-2077720</wp:posOffset>
            </wp:positionV>
            <wp:extent cx="64979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-2626360</wp:posOffset>
            </wp:positionV>
            <wp:extent cx="54349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349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-191770</wp:posOffset>
            </wp:positionV>
            <wp:extent cx="18002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 w:name="page6"/>
    <w:bookmarkEnd w:id="5"/>
    <w:p>
      <w:pPr>
        <w:spacing w:after="0"/>
        <w:tabs>
          <w:tab w:leader="none" w:pos="510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6"/>
          <w:szCs w:val="16"/>
          <w:color w:val="auto"/>
        </w:rPr>
        <w:t>Schedule 13G</w:t>
      </w:r>
    </w:p>
    <w:p>
      <w:pPr>
        <w:spacing w:after="0" w:line="279" w:lineRule="exact"/>
        <w:rPr>
          <w:sz w:val="20"/>
          <w:szCs w:val="20"/>
          <w:color w:val="auto"/>
        </w:rPr>
      </w:pPr>
    </w:p>
    <w:p>
      <w:pPr>
        <w:ind w:left="1060" w:hanging="620"/>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60" w:right="6660"/>
        <w:spacing w:after="0" w:line="260" w:lineRule="auto"/>
        <w:rPr>
          <w:rFonts w:ascii="Arial" w:cs="Arial" w:eastAsia="Arial" w:hAnsi="Arial"/>
          <w:sz w:val="18"/>
          <w:szCs w:val="18"/>
          <w:color w:val="auto"/>
        </w:rPr>
      </w:pPr>
      <w:r>
        <w:rPr>
          <w:rFonts w:ascii="Arial" w:cs="Arial" w:eastAsia="Arial" w:hAnsi="Arial"/>
          <w:sz w:val="18"/>
          <w:szCs w:val="18"/>
          <w:color w:val="auto"/>
        </w:rPr>
        <w:t>S.S. or I.R.S. Identification No. of Above Person Bradley F. Simon</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60" w:hanging="620"/>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-370205</wp:posOffset>
            </wp:positionV>
            <wp:extent cx="64979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97" w:lineRule="exact"/>
        <w:rPr>
          <w:sz w:val="20"/>
          <w:szCs w:val="20"/>
          <w:color w:val="auto"/>
        </w:rPr>
      </w:pPr>
    </w:p>
    <w:p>
      <w:pPr>
        <w:ind w:left="2200" w:hanging="1139"/>
        <w:spacing w:after="0"/>
        <w:tabs>
          <w:tab w:leader="none" w:pos="22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00" w:hanging="1139"/>
        <w:spacing w:after="0"/>
        <w:tabs>
          <w:tab w:leader="none" w:pos="22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60" w:hanging="620"/>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60" w:right="7560" w:hanging="620"/>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Citizenship or Place of Organization U.S. Citizen</w:t>
      </w:r>
    </w:p>
    <w:p>
      <w:pPr>
        <w:spacing w:after="0" w:line="399" w:lineRule="exact"/>
        <w:rPr>
          <w:rFonts w:ascii="Arial" w:cs="Arial" w:eastAsia="Arial" w:hAnsi="Arial"/>
          <w:sz w:val="18"/>
          <w:szCs w:val="18"/>
          <w:color w:val="auto"/>
        </w:rPr>
      </w:pPr>
    </w:p>
    <w:p>
      <w:pPr>
        <w:ind w:left="2740" w:right="7160" w:hanging="1085"/>
        <w:spacing w:after="0" w:line="277" w:lineRule="auto"/>
        <w:tabs>
          <w:tab w:leader="none" w:pos="2740" w:val="left"/>
        </w:tabs>
        <w:numPr>
          <w:ilvl w:val="2"/>
          <w:numId w:val="28"/>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14605</wp:posOffset>
            </wp:positionV>
            <wp:extent cx="54349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434965"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-542290</wp:posOffset>
            </wp:positionV>
            <wp:extent cx="64979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-1099185</wp:posOffset>
            </wp:positionV>
            <wp:extent cx="64979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-1519555</wp:posOffset>
            </wp:positionV>
            <wp:extent cx="576897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68975" cy="8255"/>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-1733550</wp:posOffset>
            </wp:positionV>
            <wp:extent cx="57689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68975" cy="8255"/>
                    </a:xfrm>
                    <a:prstGeom prst="rect">
                      <a:avLst/>
                    </a:prstGeom>
                    <a:noFill/>
                  </pic:spPr>
                </pic:pic>
              </a:graphicData>
            </a:graphic>
          </wp:anchor>
        </w:drawing>
      </w: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1380" w:type="dxa"/>
            <w:vAlign w:val="bottom"/>
            <w:vMerge w:val="restart"/>
          </w:tcPr>
          <w:p>
            <w:pPr>
              <w:jc w:val="right"/>
              <w:ind w:right="790"/>
              <w:spacing w:after="0"/>
              <w:rPr>
                <w:sz w:val="20"/>
                <w:szCs w:val="20"/>
                <w:color w:val="auto"/>
              </w:rPr>
            </w:pPr>
            <w:r>
              <w:rPr>
                <w:rFonts w:ascii="Arial" w:cs="Arial" w:eastAsia="Arial" w:hAnsi="Arial"/>
                <w:sz w:val="18"/>
                <w:szCs w:val="18"/>
                <w:color w:val="auto"/>
              </w:rPr>
              <w:t>6.</w:t>
            </w:r>
          </w:p>
        </w:tc>
        <w:tc>
          <w:tcPr>
            <w:tcW w:w="856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380" w:type="dxa"/>
            <w:vAlign w:val="bottom"/>
            <w:vMerge w:val="continue"/>
          </w:tcPr>
          <w:p>
            <w:pPr>
              <w:spacing w:after="0"/>
              <w:rPr>
                <w:sz w:val="9"/>
                <w:szCs w:val="9"/>
                <w:color w:val="auto"/>
              </w:rPr>
            </w:pPr>
          </w:p>
        </w:tc>
        <w:tc>
          <w:tcPr>
            <w:tcW w:w="8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8560" w:type="dxa"/>
            <w:vAlign w:val="bottom"/>
            <w:vMerge w:val="restart"/>
          </w:tcPr>
          <w:p>
            <w:pPr>
              <w:ind w:left="60"/>
              <w:spacing w:after="0"/>
              <w:rPr>
                <w:sz w:val="20"/>
                <w:szCs w:val="20"/>
                <w:color w:val="auto"/>
              </w:rPr>
            </w:pPr>
            <w:r>
              <w:rPr>
                <w:rFonts w:ascii="Arial" w:cs="Arial" w:eastAsia="Arial" w:hAnsi="Arial"/>
                <w:sz w:val="18"/>
                <w:szCs w:val="18"/>
                <w:color w:val="auto"/>
              </w:rPr>
              <w:t>5,516,272 shares of common stock</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380" w:type="dxa"/>
            <w:vAlign w:val="bottom"/>
          </w:tcPr>
          <w:p>
            <w:pPr>
              <w:spacing w:after="0"/>
              <w:rPr>
                <w:sz w:val="10"/>
                <w:szCs w:val="10"/>
                <w:color w:val="auto"/>
              </w:rPr>
            </w:pPr>
          </w:p>
        </w:tc>
        <w:tc>
          <w:tcPr>
            <w:tcW w:w="8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1380" w:type="dxa"/>
            <w:vAlign w:val="bottom"/>
          </w:tcPr>
          <w:p>
            <w:pPr>
              <w:spacing w:after="0"/>
              <w:rPr>
                <w:sz w:val="4"/>
                <w:szCs w:val="4"/>
                <w:color w:val="auto"/>
              </w:rPr>
            </w:pPr>
          </w:p>
        </w:tc>
        <w:tc>
          <w:tcPr>
            <w:tcW w:w="8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380" w:type="dxa"/>
            <w:vAlign w:val="bottom"/>
          </w:tcPr>
          <w:p>
            <w:pPr>
              <w:spacing w:after="0"/>
              <w:rPr>
                <w:sz w:val="20"/>
                <w:szCs w:val="20"/>
                <w:color w:val="auto"/>
              </w:rPr>
            </w:pPr>
          </w:p>
        </w:tc>
        <w:tc>
          <w:tcPr>
            <w:tcW w:w="8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380" w:type="dxa"/>
            <w:vAlign w:val="bottom"/>
            <w:vMerge w:val="restart"/>
          </w:tcPr>
          <w:p>
            <w:pPr>
              <w:jc w:val="right"/>
              <w:ind w:right="790"/>
              <w:spacing w:after="0"/>
              <w:rPr>
                <w:sz w:val="20"/>
                <w:szCs w:val="20"/>
                <w:color w:val="auto"/>
              </w:rPr>
            </w:pPr>
            <w:r>
              <w:rPr>
                <w:rFonts w:ascii="Arial" w:cs="Arial" w:eastAsia="Arial" w:hAnsi="Arial"/>
                <w:sz w:val="18"/>
                <w:szCs w:val="18"/>
                <w:color w:val="auto"/>
              </w:rPr>
              <w:t>7.</w:t>
            </w:r>
          </w:p>
        </w:tc>
        <w:tc>
          <w:tcPr>
            <w:tcW w:w="856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8"/>
        </w:trPr>
        <w:tc>
          <w:tcPr>
            <w:tcW w:w="1240" w:type="dxa"/>
            <w:vAlign w:val="bottom"/>
          </w:tcPr>
          <w:p>
            <w:pPr>
              <w:spacing w:after="0" w:line="138" w:lineRule="exact"/>
              <w:rPr>
                <w:sz w:val="20"/>
                <w:szCs w:val="20"/>
                <w:color w:val="auto"/>
              </w:rPr>
            </w:pPr>
            <w:r>
              <w:rPr>
                <w:rFonts w:ascii="Arial" w:cs="Arial" w:eastAsia="Arial" w:hAnsi="Arial"/>
                <w:sz w:val="15"/>
                <w:szCs w:val="15"/>
                <w:color w:val="auto"/>
              </w:rPr>
              <w:t>Reporting</w:t>
            </w:r>
          </w:p>
        </w:tc>
        <w:tc>
          <w:tcPr>
            <w:tcW w:w="1380" w:type="dxa"/>
            <w:vAlign w:val="bottom"/>
            <w:vMerge w:val="continue"/>
          </w:tcPr>
          <w:p>
            <w:pPr>
              <w:spacing w:after="0"/>
              <w:rPr>
                <w:sz w:val="11"/>
                <w:szCs w:val="11"/>
                <w:color w:val="auto"/>
              </w:rPr>
            </w:pPr>
          </w:p>
        </w:tc>
        <w:tc>
          <w:tcPr>
            <w:tcW w:w="8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262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8560" w:type="dxa"/>
            <w:vAlign w:val="bottom"/>
          </w:tcPr>
          <w:p>
            <w:pPr>
              <w:jc w:val="right"/>
              <w:ind w:right="833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8"/>
        </w:trPr>
        <w:tc>
          <w:tcPr>
            <w:tcW w:w="2620" w:type="dxa"/>
            <w:vAlign w:val="bottom"/>
            <w:vMerge w:val="continue"/>
          </w:tcPr>
          <w:p>
            <w:pPr>
              <w:spacing w:after="0"/>
              <w:rPr>
                <w:sz w:val="3"/>
                <w:szCs w:val="3"/>
                <w:color w:val="auto"/>
              </w:rPr>
            </w:pPr>
          </w:p>
        </w:tc>
        <w:tc>
          <w:tcPr>
            <w:tcW w:w="8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2740" w:hanging="1085"/>
        <w:spacing w:after="0"/>
        <w:tabs>
          <w:tab w:leader="none" w:pos="2740" w:val="left"/>
        </w:tabs>
        <w:numPr>
          <w:ilvl w:val="2"/>
          <w:numId w:val="29"/>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2740"/>
        <w:spacing w:after="0"/>
        <w:rPr>
          <w:rFonts w:ascii="Arial" w:cs="Arial" w:eastAsia="Arial" w:hAnsi="Arial"/>
          <w:sz w:val="18"/>
          <w:szCs w:val="18"/>
          <w:color w:val="auto"/>
        </w:rPr>
      </w:pPr>
      <w:r>
        <w:rPr>
          <w:rFonts w:ascii="Arial" w:cs="Arial" w:eastAsia="Arial" w:hAnsi="Arial"/>
          <w:sz w:val="18"/>
          <w:szCs w:val="18"/>
          <w:color w:val="auto"/>
        </w:rPr>
        <w:t>5,516,272 shares of common stock</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60" w:right="5380" w:hanging="620"/>
        <w:spacing w:after="0" w:line="277" w:lineRule="auto"/>
        <w:tabs>
          <w:tab w:leader="none" w:pos="10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5,516,272 shares of common stock (1)</w:t>
      </w:r>
    </w:p>
    <w:p>
      <w:pPr>
        <w:spacing w:after="0" w:line="399" w:lineRule="exact"/>
        <w:rPr>
          <w:rFonts w:ascii="Arial" w:cs="Arial" w:eastAsia="Arial" w:hAnsi="Arial"/>
          <w:sz w:val="18"/>
          <w:szCs w:val="18"/>
          <w:color w:val="auto"/>
        </w:rPr>
      </w:pPr>
    </w:p>
    <w:p>
      <w:pPr>
        <w:ind w:left="1060" w:hanging="620"/>
        <w:spacing w:after="0"/>
        <w:tabs>
          <w:tab w:leader="none" w:pos="10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60" w:hanging="620"/>
        <w:spacing w:after="0"/>
        <w:tabs>
          <w:tab w:leader="none" w:pos="10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60" w:right="180"/>
        <w:spacing w:after="0" w:line="260" w:lineRule="auto"/>
        <w:rPr>
          <w:rFonts w:ascii="Arial" w:cs="Arial" w:eastAsia="Arial" w:hAnsi="Arial"/>
          <w:sz w:val="18"/>
          <w:szCs w:val="18"/>
          <w:color w:val="auto"/>
        </w:rPr>
      </w:pPr>
      <w:r>
        <w:rPr>
          <w:rFonts w:ascii="Arial" w:cs="Arial" w:eastAsia="Arial" w:hAnsi="Arial"/>
          <w:sz w:val="18"/>
          <w:szCs w:val="18"/>
          <w:color w:val="auto"/>
        </w:rPr>
        <w:t>Approximately 15.5% (based on 35,504,757 shares of common stock issued and outstanding as of October 30, 2020 pursuant to the CECO Environmental Corp. Form 10-Q filed with the SEC on November 4, 2020)</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60" w:right="8320" w:hanging="620"/>
        <w:spacing w:after="0" w:line="277" w:lineRule="auto"/>
        <w:tabs>
          <w:tab w:leader="none" w:pos="10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Type of Reporting Person IN/HC</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260" w:hanging="252"/>
        <w:spacing w:after="0"/>
        <w:tabs>
          <w:tab w:leader="none" w:pos="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Reporting Person disclaims beneficial ownership of the shares reported in this Schedule 13G, except to the extent of his pecuniary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-405765</wp:posOffset>
            </wp:positionV>
            <wp:extent cx="64979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-963295</wp:posOffset>
            </wp:positionV>
            <wp:extent cx="64979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-1657350</wp:posOffset>
            </wp:positionV>
            <wp:extent cx="64979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-2077720</wp:posOffset>
            </wp:positionV>
            <wp:extent cx="64979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-2626360</wp:posOffset>
            </wp:positionV>
            <wp:extent cx="54349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4349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-191770</wp:posOffset>
            </wp:positionV>
            <wp:extent cx="18002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spacing w:after="0"/>
        <w:tabs>
          <w:tab w:leader="none" w:pos="510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6"/>
          <w:szCs w:val="16"/>
          <w:color w:val="auto"/>
        </w:rPr>
        <w:t>Schedule 13G</w:t>
      </w:r>
    </w:p>
    <w:p>
      <w:pPr>
        <w:spacing w:after="0" w:line="279" w:lineRule="exact"/>
        <w:rPr>
          <w:sz w:val="20"/>
          <w:szCs w:val="20"/>
          <w:color w:val="auto"/>
        </w:rPr>
      </w:pPr>
    </w:p>
    <w:p>
      <w:pPr>
        <w:ind w:left="1060" w:hanging="620"/>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60" w:right="6660"/>
        <w:spacing w:after="0" w:line="260" w:lineRule="auto"/>
        <w:rPr>
          <w:rFonts w:ascii="Arial" w:cs="Arial" w:eastAsia="Arial" w:hAnsi="Arial"/>
          <w:sz w:val="18"/>
          <w:szCs w:val="18"/>
          <w:color w:val="auto"/>
        </w:rPr>
      </w:pPr>
      <w:r>
        <w:rPr>
          <w:rFonts w:ascii="Arial" w:cs="Arial" w:eastAsia="Arial" w:hAnsi="Arial"/>
          <w:sz w:val="18"/>
          <w:szCs w:val="18"/>
          <w:color w:val="auto"/>
        </w:rPr>
        <w:t>S.S. or I.R.S. Identification No. of Above Person Steven R. Monieson</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60" w:hanging="620"/>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-370205</wp:posOffset>
            </wp:positionV>
            <wp:extent cx="64979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97" w:lineRule="exact"/>
        <w:rPr>
          <w:sz w:val="20"/>
          <w:szCs w:val="20"/>
          <w:color w:val="auto"/>
        </w:rPr>
      </w:pPr>
    </w:p>
    <w:p>
      <w:pPr>
        <w:ind w:left="2200" w:hanging="1139"/>
        <w:spacing w:after="0"/>
        <w:tabs>
          <w:tab w:leader="none" w:pos="22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00" w:hanging="1139"/>
        <w:spacing w:after="0"/>
        <w:tabs>
          <w:tab w:leader="none" w:pos="22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60" w:hanging="620"/>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60" w:right="7560" w:hanging="620"/>
        <w:spacing w:after="0" w:line="277"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Citizenship or Place of Organization U.S. Citizen</w:t>
      </w:r>
    </w:p>
    <w:p>
      <w:pPr>
        <w:spacing w:after="0" w:line="399" w:lineRule="exact"/>
        <w:rPr>
          <w:rFonts w:ascii="Arial" w:cs="Arial" w:eastAsia="Arial" w:hAnsi="Arial"/>
          <w:sz w:val="18"/>
          <w:szCs w:val="18"/>
          <w:color w:val="auto"/>
        </w:rPr>
      </w:pPr>
    </w:p>
    <w:p>
      <w:pPr>
        <w:ind w:left="2740" w:right="7160" w:hanging="1085"/>
        <w:spacing w:after="0" w:line="277" w:lineRule="auto"/>
        <w:tabs>
          <w:tab w:leader="none" w:pos="2740" w:val="left"/>
        </w:tabs>
        <w:numPr>
          <w:ilvl w:val="2"/>
          <w:numId w:val="34"/>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14605</wp:posOffset>
            </wp:positionV>
            <wp:extent cx="54349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434965"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-542290</wp:posOffset>
            </wp:positionV>
            <wp:extent cx="64979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-1099185</wp:posOffset>
            </wp:positionV>
            <wp:extent cx="64979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-1519555</wp:posOffset>
            </wp:positionV>
            <wp:extent cx="576897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68975" cy="8255"/>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-1733550</wp:posOffset>
            </wp:positionV>
            <wp:extent cx="576897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68975" cy="8255"/>
                    </a:xfrm>
                    <a:prstGeom prst="rect">
                      <a:avLst/>
                    </a:prstGeom>
                    <a:noFill/>
                  </pic:spPr>
                </pic:pic>
              </a:graphicData>
            </a:graphic>
          </wp:anchor>
        </w:drawing>
      </w: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1380" w:type="dxa"/>
            <w:vAlign w:val="bottom"/>
            <w:vMerge w:val="restart"/>
          </w:tcPr>
          <w:p>
            <w:pPr>
              <w:jc w:val="right"/>
              <w:ind w:right="790"/>
              <w:spacing w:after="0"/>
              <w:rPr>
                <w:sz w:val="20"/>
                <w:szCs w:val="20"/>
                <w:color w:val="auto"/>
              </w:rPr>
            </w:pPr>
            <w:r>
              <w:rPr>
                <w:rFonts w:ascii="Arial" w:cs="Arial" w:eastAsia="Arial" w:hAnsi="Arial"/>
                <w:sz w:val="18"/>
                <w:szCs w:val="18"/>
                <w:color w:val="auto"/>
              </w:rPr>
              <w:t>6.</w:t>
            </w:r>
          </w:p>
        </w:tc>
        <w:tc>
          <w:tcPr>
            <w:tcW w:w="856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380" w:type="dxa"/>
            <w:vAlign w:val="bottom"/>
            <w:vMerge w:val="continue"/>
          </w:tcPr>
          <w:p>
            <w:pPr>
              <w:spacing w:after="0"/>
              <w:rPr>
                <w:sz w:val="9"/>
                <w:szCs w:val="9"/>
                <w:color w:val="auto"/>
              </w:rPr>
            </w:pPr>
          </w:p>
        </w:tc>
        <w:tc>
          <w:tcPr>
            <w:tcW w:w="8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8560" w:type="dxa"/>
            <w:vAlign w:val="bottom"/>
            <w:vMerge w:val="restart"/>
          </w:tcPr>
          <w:p>
            <w:pPr>
              <w:ind w:left="60"/>
              <w:spacing w:after="0"/>
              <w:rPr>
                <w:sz w:val="20"/>
                <w:szCs w:val="20"/>
                <w:color w:val="auto"/>
              </w:rPr>
            </w:pPr>
            <w:r>
              <w:rPr>
                <w:rFonts w:ascii="Arial" w:cs="Arial" w:eastAsia="Arial" w:hAnsi="Arial"/>
                <w:sz w:val="18"/>
                <w:szCs w:val="18"/>
                <w:color w:val="auto"/>
              </w:rPr>
              <w:t>5,516,272 shares of common stock</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380" w:type="dxa"/>
            <w:vAlign w:val="bottom"/>
          </w:tcPr>
          <w:p>
            <w:pPr>
              <w:spacing w:after="0"/>
              <w:rPr>
                <w:sz w:val="10"/>
                <w:szCs w:val="10"/>
                <w:color w:val="auto"/>
              </w:rPr>
            </w:pPr>
          </w:p>
        </w:tc>
        <w:tc>
          <w:tcPr>
            <w:tcW w:w="8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1380" w:type="dxa"/>
            <w:vAlign w:val="bottom"/>
          </w:tcPr>
          <w:p>
            <w:pPr>
              <w:spacing w:after="0"/>
              <w:rPr>
                <w:sz w:val="4"/>
                <w:szCs w:val="4"/>
                <w:color w:val="auto"/>
              </w:rPr>
            </w:pPr>
          </w:p>
        </w:tc>
        <w:tc>
          <w:tcPr>
            <w:tcW w:w="8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380" w:type="dxa"/>
            <w:vAlign w:val="bottom"/>
          </w:tcPr>
          <w:p>
            <w:pPr>
              <w:spacing w:after="0"/>
              <w:rPr>
                <w:sz w:val="20"/>
                <w:szCs w:val="20"/>
                <w:color w:val="auto"/>
              </w:rPr>
            </w:pPr>
          </w:p>
        </w:tc>
        <w:tc>
          <w:tcPr>
            <w:tcW w:w="8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380" w:type="dxa"/>
            <w:vAlign w:val="bottom"/>
            <w:vMerge w:val="restart"/>
          </w:tcPr>
          <w:p>
            <w:pPr>
              <w:jc w:val="right"/>
              <w:ind w:right="790"/>
              <w:spacing w:after="0"/>
              <w:rPr>
                <w:sz w:val="20"/>
                <w:szCs w:val="20"/>
                <w:color w:val="auto"/>
              </w:rPr>
            </w:pPr>
            <w:r>
              <w:rPr>
                <w:rFonts w:ascii="Arial" w:cs="Arial" w:eastAsia="Arial" w:hAnsi="Arial"/>
                <w:sz w:val="18"/>
                <w:szCs w:val="18"/>
                <w:color w:val="auto"/>
              </w:rPr>
              <w:t>7.</w:t>
            </w:r>
          </w:p>
        </w:tc>
        <w:tc>
          <w:tcPr>
            <w:tcW w:w="856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8"/>
        </w:trPr>
        <w:tc>
          <w:tcPr>
            <w:tcW w:w="1240" w:type="dxa"/>
            <w:vAlign w:val="bottom"/>
          </w:tcPr>
          <w:p>
            <w:pPr>
              <w:spacing w:after="0" w:line="138" w:lineRule="exact"/>
              <w:rPr>
                <w:sz w:val="20"/>
                <w:szCs w:val="20"/>
                <w:color w:val="auto"/>
              </w:rPr>
            </w:pPr>
            <w:r>
              <w:rPr>
                <w:rFonts w:ascii="Arial" w:cs="Arial" w:eastAsia="Arial" w:hAnsi="Arial"/>
                <w:sz w:val="15"/>
                <w:szCs w:val="15"/>
                <w:color w:val="auto"/>
              </w:rPr>
              <w:t>Reporting</w:t>
            </w:r>
          </w:p>
        </w:tc>
        <w:tc>
          <w:tcPr>
            <w:tcW w:w="1380" w:type="dxa"/>
            <w:vAlign w:val="bottom"/>
            <w:vMerge w:val="continue"/>
          </w:tcPr>
          <w:p>
            <w:pPr>
              <w:spacing w:after="0"/>
              <w:rPr>
                <w:sz w:val="11"/>
                <w:szCs w:val="11"/>
                <w:color w:val="auto"/>
              </w:rPr>
            </w:pPr>
          </w:p>
        </w:tc>
        <w:tc>
          <w:tcPr>
            <w:tcW w:w="8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262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8560" w:type="dxa"/>
            <w:vAlign w:val="bottom"/>
          </w:tcPr>
          <w:p>
            <w:pPr>
              <w:jc w:val="right"/>
              <w:ind w:right="833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8"/>
        </w:trPr>
        <w:tc>
          <w:tcPr>
            <w:tcW w:w="2620" w:type="dxa"/>
            <w:vAlign w:val="bottom"/>
            <w:vMerge w:val="continue"/>
          </w:tcPr>
          <w:p>
            <w:pPr>
              <w:spacing w:after="0"/>
              <w:rPr>
                <w:sz w:val="3"/>
                <w:szCs w:val="3"/>
                <w:color w:val="auto"/>
              </w:rPr>
            </w:pPr>
          </w:p>
        </w:tc>
        <w:tc>
          <w:tcPr>
            <w:tcW w:w="8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2740" w:hanging="1085"/>
        <w:spacing w:after="0"/>
        <w:tabs>
          <w:tab w:leader="none" w:pos="2740" w:val="left"/>
        </w:tabs>
        <w:numPr>
          <w:ilvl w:val="2"/>
          <w:numId w:val="35"/>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2740"/>
        <w:spacing w:after="0"/>
        <w:rPr>
          <w:rFonts w:ascii="Arial" w:cs="Arial" w:eastAsia="Arial" w:hAnsi="Arial"/>
          <w:sz w:val="18"/>
          <w:szCs w:val="18"/>
          <w:color w:val="auto"/>
        </w:rPr>
      </w:pPr>
      <w:r>
        <w:rPr>
          <w:rFonts w:ascii="Arial" w:cs="Arial" w:eastAsia="Arial" w:hAnsi="Arial"/>
          <w:sz w:val="18"/>
          <w:szCs w:val="18"/>
          <w:color w:val="auto"/>
        </w:rPr>
        <w:t>5,516,272 shares of common stock</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60" w:right="5380" w:hanging="620"/>
        <w:spacing w:after="0" w:line="277" w:lineRule="auto"/>
        <w:tabs>
          <w:tab w:leader="none" w:pos="10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5,516,272 shares of common stock (1)</w:t>
      </w:r>
    </w:p>
    <w:p>
      <w:pPr>
        <w:spacing w:after="0" w:line="399" w:lineRule="exact"/>
        <w:rPr>
          <w:rFonts w:ascii="Arial" w:cs="Arial" w:eastAsia="Arial" w:hAnsi="Arial"/>
          <w:sz w:val="18"/>
          <w:szCs w:val="18"/>
          <w:color w:val="auto"/>
        </w:rPr>
      </w:pPr>
    </w:p>
    <w:p>
      <w:pPr>
        <w:ind w:left="1060" w:hanging="620"/>
        <w:spacing w:after="0"/>
        <w:tabs>
          <w:tab w:leader="none" w:pos="10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60" w:hanging="620"/>
        <w:spacing w:after="0"/>
        <w:tabs>
          <w:tab w:leader="none" w:pos="10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60" w:right="180"/>
        <w:spacing w:after="0" w:line="260" w:lineRule="auto"/>
        <w:rPr>
          <w:rFonts w:ascii="Arial" w:cs="Arial" w:eastAsia="Arial" w:hAnsi="Arial"/>
          <w:sz w:val="18"/>
          <w:szCs w:val="18"/>
          <w:color w:val="auto"/>
        </w:rPr>
      </w:pPr>
      <w:r>
        <w:rPr>
          <w:rFonts w:ascii="Arial" w:cs="Arial" w:eastAsia="Arial" w:hAnsi="Arial"/>
          <w:sz w:val="18"/>
          <w:szCs w:val="18"/>
          <w:color w:val="auto"/>
        </w:rPr>
        <w:t>Approximately 15.5% (based on 35,504,757 shares of common stock issued and outstanding as of October 30, 2020 pursuant to the CECO Environmental Corp. Form 10-Q filed with the SEC on November 4, 2020)</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060" w:right="8320" w:hanging="620"/>
        <w:spacing w:after="0" w:line="277" w:lineRule="auto"/>
        <w:tabs>
          <w:tab w:leader="none" w:pos="10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Type of Reporting Person IN/HC</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260" w:hanging="252"/>
        <w:spacing w:after="0"/>
        <w:tabs>
          <w:tab w:leader="none" w:pos="2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Reporting Person disclaims beneficial ownership of the shares reported in this Schedule 13G, except to the extent of his pecuniary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-405765</wp:posOffset>
            </wp:positionV>
            <wp:extent cx="64979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-963295</wp:posOffset>
            </wp:positionV>
            <wp:extent cx="64979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-1657350</wp:posOffset>
            </wp:positionV>
            <wp:extent cx="64979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-2077720</wp:posOffset>
            </wp:positionV>
            <wp:extent cx="64979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-2626360</wp:posOffset>
            </wp:positionV>
            <wp:extent cx="54349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4349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-191770</wp:posOffset>
            </wp:positionV>
            <wp:extent cx="18002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CUSIP No. 125141101</w:t>
            </w:r>
          </w:p>
        </w:tc>
        <w:tc>
          <w:tcPr>
            <w:tcW w:w="6200" w:type="dxa"/>
            <w:vAlign w:val="bottom"/>
          </w:tcPr>
          <w:p>
            <w:pPr>
              <w:ind w:left="80"/>
              <w:spacing w:after="0"/>
              <w:rPr>
                <w:sz w:val="20"/>
                <w:szCs w:val="20"/>
                <w:color w:val="auto"/>
              </w:rPr>
            </w:pPr>
            <w:r>
              <w:rPr>
                <w:rFonts w:ascii="Arial" w:cs="Arial" w:eastAsia="Arial" w:hAnsi="Arial"/>
                <w:sz w:val="18"/>
                <w:szCs w:val="18"/>
                <w:color w:val="auto"/>
              </w:rPr>
              <w:t>Schedule 13G</w:t>
            </w:r>
          </w:p>
        </w:tc>
        <w:tc>
          <w:tcPr>
            <w:tcW w:w="0" w:type="dxa"/>
            <w:vAlign w:val="bottom"/>
          </w:tcPr>
          <w:p>
            <w:pPr>
              <w:spacing w:after="0"/>
              <w:rPr>
                <w:sz w:val="1"/>
                <w:szCs w:val="1"/>
                <w:color w:val="auto"/>
              </w:rPr>
            </w:pPr>
          </w:p>
        </w:tc>
      </w:tr>
      <w:tr>
        <w:trPr>
          <w:trHeight w:val="472"/>
        </w:trPr>
        <w:tc>
          <w:tcPr>
            <w:tcW w:w="1420" w:type="dxa"/>
            <w:vAlign w:val="bottom"/>
          </w:tcPr>
          <w:p>
            <w:pPr>
              <w:ind w:left="120"/>
              <w:spacing w:after="0"/>
              <w:rPr>
                <w:sz w:val="20"/>
                <w:szCs w:val="20"/>
                <w:color w:val="auto"/>
              </w:rPr>
            </w:pPr>
            <w:r>
              <w:rPr>
                <w:rFonts w:ascii="Arial" w:cs="Arial" w:eastAsia="Arial" w:hAnsi="Arial"/>
                <w:sz w:val="18"/>
                <w:szCs w:val="18"/>
                <w:b w:val="1"/>
                <w:bCs w:val="1"/>
                <w:color w:val="auto"/>
              </w:rPr>
              <w:t>Item 1(a)</w:t>
            </w:r>
          </w:p>
        </w:tc>
        <w:tc>
          <w:tcPr>
            <w:tcW w:w="3620" w:type="dxa"/>
            <w:vAlign w:val="bottom"/>
          </w:tcPr>
          <w:p>
            <w:pPr>
              <w:ind w:left="60"/>
              <w:spacing w:after="0"/>
              <w:rPr>
                <w:sz w:val="20"/>
                <w:szCs w:val="20"/>
                <w:color w:val="auto"/>
              </w:rPr>
            </w:pPr>
            <w:r>
              <w:rPr>
                <w:rFonts w:ascii="Arial" w:cs="Arial" w:eastAsia="Arial" w:hAnsi="Arial"/>
                <w:sz w:val="18"/>
                <w:szCs w:val="18"/>
                <w:color w:val="auto"/>
              </w:rPr>
              <w:t>Name of Issuer:</w:t>
            </w:r>
          </w:p>
        </w:tc>
        <w:tc>
          <w:tcPr>
            <w:tcW w:w="6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3620" w:type="dxa"/>
            <w:vAlign w:val="bottom"/>
          </w:tcPr>
          <w:p>
            <w:pPr>
              <w:ind w:left="60"/>
              <w:spacing w:after="0"/>
              <w:rPr>
                <w:sz w:val="20"/>
                <w:szCs w:val="20"/>
                <w:color w:val="auto"/>
              </w:rPr>
            </w:pPr>
            <w:r>
              <w:rPr>
                <w:rFonts w:ascii="Arial" w:cs="Arial" w:eastAsia="Arial" w:hAnsi="Arial"/>
                <w:sz w:val="18"/>
                <w:szCs w:val="18"/>
                <w:color w:val="auto"/>
              </w:rPr>
              <w:t>CECO Environmental Corp.</w:t>
            </w:r>
          </w:p>
        </w:tc>
        <w:tc>
          <w:tcPr>
            <w:tcW w:w="6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Item 1(b)</w:t>
            </w:r>
          </w:p>
        </w:tc>
        <w:tc>
          <w:tcPr>
            <w:tcW w:w="3620" w:type="dxa"/>
            <w:vAlign w:val="bottom"/>
            <w:tcBorders>
              <w:bottom w:val="single" w:sz="8" w:color="auto"/>
            </w:tcBorders>
          </w:tcPr>
          <w:p>
            <w:pPr>
              <w:spacing w:after="0"/>
              <w:rPr>
                <w:sz w:val="4"/>
                <w:szCs w:val="4"/>
                <w:color w:val="auto"/>
              </w:rPr>
            </w:pPr>
          </w:p>
        </w:tc>
        <w:tc>
          <w:tcPr>
            <w:tcW w:w="6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1420" w:type="dxa"/>
            <w:vAlign w:val="bottom"/>
            <w:vMerge w:val="continue"/>
          </w:tcPr>
          <w:p>
            <w:pPr>
              <w:spacing w:after="0"/>
              <w:rPr>
                <w:sz w:val="21"/>
                <w:szCs w:val="21"/>
                <w:color w:val="auto"/>
              </w:rPr>
            </w:pPr>
          </w:p>
        </w:tc>
        <w:tc>
          <w:tcPr>
            <w:tcW w:w="3620" w:type="dxa"/>
            <w:vAlign w:val="bottom"/>
          </w:tcPr>
          <w:p>
            <w:pPr>
              <w:ind w:left="60"/>
              <w:spacing w:after="0"/>
              <w:rPr>
                <w:sz w:val="20"/>
                <w:szCs w:val="20"/>
                <w:color w:val="auto"/>
              </w:rPr>
            </w:pPr>
            <w:r>
              <w:rPr>
                <w:rFonts w:ascii="Arial" w:cs="Arial" w:eastAsia="Arial" w:hAnsi="Arial"/>
                <w:sz w:val="18"/>
                <w:szCs w:val="18"/>
                <w:color w:val="auto"/>
                <w:w w:val="94"/>
              </w:rPr>
              <w:t>Address of Issuer’s Principal Executive Offices:</w:t>
            </w:r>
          </w:p>
        </w:tc>
        <w:tc>
          <w:tcPr>
            <w:tcW w:w="6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3620" w:type="dxa"/>
            <w:vAlign w:val="bottom"/>
          </w:tcPr>
          <w:p>
            <w:pPr>
              <w:ind w:left="60"/>
              <w:spacing w:after="0"/>
              <w:rPr>
                <w:sz w:val="20"/>
                <w:szCs w:val="20"/>
                <w:color w:val="auto"/>
              </w:rPr>
            </w:pPr>
            <w:r>
              <w:rPr>
                <w:rFonts w:ascii="Arial" w:cs="Arial" w:eastAsia="Arial" w:hAnsi="Arial"/>
                <w:sz w:val="18"/>
                <w:szCs w:val="18"/>
                <w:color w:val="auto"/>
              </w:rPr>
              <w:t>14651 North Dallas Parkway</w:t>
            </w:r>
          </w:p>
        </w:tc>
        <w:tc>
          <w:tcPr>
            <w:tcW w:w="6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3620" w:type="dxa"/>
            <w:vAlign w:val="bottom"/>
          </w:tcPr>
          <w:p>
            <w:pPr>
              <w:ind w:left="60"/>
              <w:spacing w:after="0"/>
              <w:rPr>
                <w:sz w:val="20"/>
                <w:szCs w:val="20"/>
                <w:color w:val="auto"/>
              </w:rPr>
            </w:pPr>
            <w:r>
              <w:rPr>
                <w:rFonts w:ascii="Arial" w:cs="Arial" w:eastAsia="Arial" w:hAnsi="Arial"/>
                <w:sz w:val="18"/>
                <w:szCs w:val="18"/>
                <w:color w:val="auto"/>
              </w:rPr>
              <w:t>Dallas, Texas 75254</w:t>
            </w:r>
          </w:p>
        </w:tc>
        <w:tc>
          <w:tcPr>
            <w:tcW w:w="6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Item 2(a)</w:t>
            </w:r>
          </w:p>
        </w:tc>
        <w:tc>
          <w:tcPr>
            <w:tcW w:w="3620" w:type="dxa"/>
            <w:vAlign w:val="bottom"/>
            <w:tcBorders>
              <w:bottom w:val="single" w:sz="8" w:color="auto"/>
            </w:tcBorders>
          </w:tcPr>
          <w:p>
            <w:pPr>
              <w:spacing w:after="0"/>
              <w:rPr>
                <w:sz w:val="4"/>
                <w:szCs w:val="4"/>
                <w:color w:val="auto"/>
              </w:rPr>
            </w:pPr>
          </w:p>
        </w:tc>
        <w:tc>
          <w:tcPr>
            <w:tcW w:w="6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1420" w:type="dxa"/>
            <w:vAlign w:val="bottom"/>
            <w:vMerge w:val="continue"/>
          </w:tcPr>
          <w:p>
            <w:pPr>
              <w:spacing w:after="0"/>
              <w:rPr>
                <w:sz w:val="24"/>
                <w:szCs w:val="24"/>
                <w:color w:val="auto"/>
              </w:rPr>
            </w:pPr>
          </w:p>
        </w:tc>
        <w:tc>
          <w:tcPr>
            <w:tcW w:w="3620" w:type="dxa"/>
            <w:vAlign w:val="bottom"/>
          </w:tcPr>
          <w:p>
            <w:pPr>
              <w:ind w:left="60"/>
              <w:spacing w:after="0"/>
              <w:rPr>
                <w:sz w:val="20"/>
                <w:szCs w:val="20"/>
                <w:color w:val="auto"/>
              </w:rPr>
            </w:pPr>
            <w:r>
              <w:rPr>
                <w:rFonts w:ascii="Arial" w:cs="Arial" w:eastAsia="Arial" w:hAnsi="Arial"/>
                <w:sz w:val="18"/>
                <w:szCs w:val="18"/>
                <w:color w:val="auto"/>
              </w:rPr>
              <w:t>Name of Person Filing</w:t>
            </w:r>
          </w:p>
        </w:tc>
        <w:tc>
          <w:tcPr>
            <w:tcW w:w="6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3620" w:type="dxa"/>
            <w:vAlign w:val="bottom"/>
          </w:tcPr>
          <w:p>
            <w:pPr>
              <w:ind w:left="60"/>
              <w:spacing w:after="0"/>
              <w:rPr>
                <w:sz w:val="20"/>
                <w:szCs w:val="20"/>
                <w:color w:val="auto"/>
              </w:rPr>
            </w:pPr>
            <w:r>
              <w:rPr>
                <w:rFonts w:ascii="Arial" w:cs="Arial" w:eastAsia="Arial" w:hAnsi="Arial"/>
                <w:sz w:val="18"/>
                <w:szCs w:val="18"/>
                <w:color w:val="auto"/>
              </w:rPr>
              <w:t>See Item 2(c)</w:t>
            </w:r>
          </w:p>
        </w:tc>
        <w:tc>
          <w:tcPr>
            <w:tcW w:w="6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34290</wp:posOffset>
            </wp:positionV>
            <wp:extent cx="62318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p>
      <w:pPr>
        <w:spacing w:after="0" w:line="90"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Item 2(b)</w:t>
      </w:r>
    </w:p>
    <w:p>
      <w:pPr>
        <w:spacing w:after="0" w:line="358"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Item 2(c)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Item 2(d)</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Address of Principal Business Office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See Item 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40005</wp:posOffset>
            </wp:positionV>
            <wp:extent cx="62318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Citizenship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Trigran Investments,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630 Dundee Road, Suite 230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Northbrook, IL 60062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Illinois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Douglas Granat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630 Dundee Road, Suite 230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Northbrook, IL 60062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Citizen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Lawrence A. Oberman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630 Dundee Road, Suite 230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Northbrook, IL 60062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Citizen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Steven G. Simon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630 Dundee Road, Suite 230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Northbrook, IL 60062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Citizen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Bradley F. Simon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630 Dundee Road, Suite 230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Northbrook, Illinois 60062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Citizen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Steven R. Monieson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630 Dundee Road, Suite 230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Northbrook, Illinois 60062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Citizen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40005</wp:posOffset>
            </wp:positionV>
            <wp:extent cx="62318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Title of Class of Securities: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Common Stock, par value of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54610</wp:posOffset>
            </wp:positionV>
            <wp:extent cx="62318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31890" cy="8890"/>
                    </a:xfrm>
                    <a:prstGeom prst="rect">
                      <a:avLst/>
                    </a:prstGeom>
                    <a:noFill/>
                  </pic:spPr>
                </pic:pic>
              </a:graphicData>
            </a:graphic>
          </wp:anchor>
        </w:drawing>
      </w:r>
    </w:p>
    <w:p>
      <w:pPr>
        <w:spacing w:after="0" w:line="122" w:lineRule="exact"/>
        <w:rPr>
          <w:sz w:val="20"/>
          <w:szCs w:val="20"/>
          <w:color w:val="auto"/>
        </w:rPr>
      </w:pPr>
    </w:p>
    <w:p>
      <w:pPr>
        <w:sectPr>
          <w:pgSz w:w="11900" w:h="16838" w:orient="portrait"/>
          <w:cols w:equalWidth="0" w:num="2">
            <w:col w:w="840" w:space="640"/>
            <w:col w:w="9760"/>
          </w:cols>
          <w:pgMar w:left="320" w:top="341" w:right="339" w:bottom="1440" w:gutter="0" w:footer="0" w:header="0"/>
          <w:type w:val="continuous"/>
        </w:sectPr>
      </w:pPr>
    </w:p>
    <w:tbl>
      <w:tblPr>
        <w:tblLayout w:type="fixed"/>
        <w:tblInd w:w="120" w:type="dxa"/>
        <w:tblCellMar>
          <w:top w:w="0" w:type="dxa"/>
          <w:left w:w="0" w:type="dxa"/>
          <w:bottom w:w="0" w:type="dxa"/>
          <w:right w:w="0" w:type="dxa"/>
        </w:tblCellMar>
      </w:tblPr>
      <w:tr>
        <w:trPr>
          <w:trHeight w:val="233"/>
        </w:trPr>
        <w:tc>
          <w:tcPr>
            <w:tcW w:w="130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9820" w:type="dxa"/>
            <w:vAlign w:val="bottom"/>
          </w:tcPr>
          <w:p>
            <w:pPr>
              <w:ind w:left="60"/>
              <w:spacing w:after="0"/>
              <w:rPr>
                <w:sz w:val="20"/>
                <w:szCs w:val="20"/>
                <w:color w:val="auto"/>
              </w:rPr>
            </w:pPr>
            <w:r>
              <w:rPr>
                <w:rFonts w:ascii="Arial" w:cs="Arial" w:eastAsia="Arial" w:hAnsi="Arial"/>
                <w:sz w:val="18"/>
                <w:szCs w:val="18"/>
                <w:color w:val="auto"/>
              </w:rPr>
              <w:t>CUSIP Number:</w:t>
            </w:r>
          </w:p>
        </w:tc>
      </w:tr>
      <w:tr>
        <w:trPr>
          <w:trHeight w:val="230"/>
        </w:trPr>
        <w:tc>
          <w:tcPr>
            <w:tcW w:w="1300" w:type="dxa"/>
            <w:vAlign w:val="bottom"/>
          </w:tcPr>
          <w:p>
            <w:pPr>
              <w:spacing w:after="0"/>
              <w:rPr>
                <w:sz w:val="20"/>
                <w:szCs w:val="20"/>
                <w:color w:val="auto"/>
              </w:rPr>
            </w:pPr>
          </w:p>
        </w:tc>
        <w:tc>
          <w:tcPr>
            <w:tcW w:w="9820" w:type="dxa"/>
            <w:vAlign w:val="bottom"/>
          </w:tcPr>
          <w:p>
            <w:pPr>
              <w:ind w:left="60"/>
              <w:spacing w:after="0"/>
              <w:rPr>
                <w:sz w:val="20"/>
                <w:szCs w:val="20"/>
                <w:color w:val="auto"/>
              </w:rPr>
            </w:pPr>
            <w:r>
              <w:rPr>
                <w:rFonts w:ascii="Arial" w:cs="Arial" w:eastAsia="Arial" w:hAnsi="Arial"/>
                <w:sz w:val="18"/>
                <w:szCs w:val="18"/>
                <w:color w:val="auto"/>
              </w:rPr>
              <w:t>125141101</w:t>
            </w:r>
          </w:p>
        </w:tc>
      </w:tr>
      <w:tr>
        <w:trPr>
          <w:trHeight w:val="54"/>
        </w:trPr>
        <w:tc>
          <w:tcPr>
            <w:tcW w:w="1300" w:type="dxa"/>
            <w:vAlign w:val="bottom"/>
          </w:tcPr>
          <w:p>
            <w:pPr>
              <w:spacing w:after="0"/>
              <w:rPr>
                <w:sz w:val="4"/>
                <w:szCs w:val="4"/>
                <w:color w:val="auto"/>
              </w:rPr>
            </w:pPr>
          </w:p>
        </w:tc>
        <w:tc>
          <w:tcPr>
            <w:tcW w:w="9820" w:type="dxa"/>
            <w:vAlign w:val="bottom"/>
            <w:tcBorders>
              <w:bottom w:val="single" w:sz="8" w:color="auto"/>
            </w:tcBorders>
          </w:tcPr>
          <w:p>
            <w:pPr>
              <w:spacing w:after="0"/>
              <w:rPr>
                <w:sz w:val="4"/>
                <w:szCs w:val="4"/>
                <w:color w:val="auto"/>
              </w:rPr>
            </w:pPr>
          </w:p>
        </w:tc>
      </w:tr>
    </w:tbl>
    <w:p>
      <w:pPr>
        <w:spacing w:after="0" w:line="346"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Rules 13d-1(b), or 13d-2(b) or (c), check whether the person filing is a:</w:t>
      </w:r>
    </w:p>
    <w:p>
      <w:pPr>
        <w:spacing w:after="0" w:line="121" w:lineRule="exact"/>
        <w:rPr>
          <w:sz w:val="20"/>
          <w:szCs w:val="20"/>
          <w:color w:val="auto"/>
        </w:rPr>
      </w:pPr>
    </w:p>
    <w:p>
      <w:pPr>
        <w:ind w:left="1480" w:hanging="487"/>
        <w:spacing w:after="0"/>
        <w:tabs>
          <w:tab w:leader="none" w:pos="1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Exchange Act;</w:t>
      </w:r>
    </w:p>
    <w:p>
      <w:pPr>
        <w:spacing w:after="0" w:line="117" w:lineRule="exact"/>
        <w:rPr>
          <w:rFonts w:ascii="Arial" w:cs="Arial" w:eastAsia="Arial" w:hAnsi="Arial"/>
          <w:sz w:val="18"/>
          <w:szCs w:val="18"/>
          <w:color w:val="auto"/>
        </w:rPr>
      </w:pPr>
    </w:p>
    <w:p>
      <w:pPr>
        <w:ind w:left="1480" w:hanging="487"/>
        <w:spacing w:after="0"/>
        <w:tabs>
          <w:tab w:leader="none" w:pos="1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Exchange Act;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1820" w:type="dxa"/>
            <w:vAlign w:val="bottom"/>
            <w:gridSpan w:val="2"/>
          </w:tcPr>
          <w:p>
            <w:pPr>
              <w:spacing w:after="0"/>
              <w:rPr>
                <w:sz w:val="20"/>
                <w:szCs w:val="20"/>
                <w:color w:val="auto"/>
              </w:rPr>
            </w:pPr>
            <w:r>
              <w:rPr>
                <w:rFonts w:ascii="Arial" w:cs="Arial" w:eastAsia="Arial" w:hAnsi="Arial"/>
                <w:sz w:val="18"/>
                <w:szCs w:val="18"/>
                <w:color w:val="auto"/>
                <w:w w:val="98"/>
              </w:rPr>
              <w:t>CUSIP No. 125141101</w:t>
            </w:r>
          </w:p>
        </w:tc>
        <w:tc>
          <w:tcPr>
            <w:tcW w:w="1020" w:type="dxa"/>
            <w:vAlign w:val="bottom"/>
          </w:tcPr>
          <w:p>
            <w:pPr>
              <w:spacing w:after="0"/>
              <w:rPr>
                <w:sz w:val="20"/>
                <w:szCs w:val="20"/>
                <w:color w:val="auto"/>
              </w:rPr>
            </w:pPr>
          </w:p>
        </w:tc>
        <w:tc>
          <w:tcPr>
            <w:tcW w:w="7860" w:type="dxa"/>
            <w:vAlign w:val="bottom"/>
            <w:gridSpan w:val="3"/>
          </w:tcPr>
          <w:p>
            <w:pPr>
              <w:ind w:left="2280"/>
              <w:spacing w:after="0"/>
              <w:rPr>
                <w:sz w:val="20"/>
                <w:szCs w:val="20"/>
                <w:color w:val="auto"/>
              </w:rPr>
            </w:pPr>
            <w:r>
              <w:rPr>
                <w:rFonts w:ascii="Arial" w:cs="Arial" w:eastAsia="Arial" w:hAnsi="Arial"/>
                <w:sz w:val="18"/>
                <w:szCs w:val="18"/>
                <w:color w:val="auto"/>
              </w:rPr>
              <w:t>Schedule 13G</w:t>
            </w:r>
          </w:p>
        </w:tc>
        <w:tc>
          <w:tcPr>
            <w:tcW w:w="0" w:type="dxa"/>
            <w:vAlign w:val="bottom"/>
          </w:tcPr>
          <w:p>
            <w:pPr>
              <w:spacing w:after="0"/>
              <w:rPr>
                <w:sz w:val="1"/>
                <w:szCs w:val="1"/>
                <w:color w:val="auto"/>
              </w:rPr>
            </w:pPr>
          </w:p>
        </w:tc>
      </w:tr>
      <w:tr>
        <w:trPr>
          <w:trHeight w:val="486"/>
        </w:trPr>
        <w:tc>
          <w:tcPr>
            <w:tcW w:w="780" w:type="dxa"/>
            <w:vAlign w:val="bottom"/>
          </w:tcPr>
          <w:p>
            <w:pPr>
              <w:spacing w:after="0"/>
              <w:rPr>
                <w:sz w:val="24"/>
                <w:szCs w:val="24"/>
                <w:color w:val="auto"/>
              </w:rPr>
            </w:pPr>
          </w:p>
        </w:tc>
        <w:tc>
          <w:tcPr>
            <w:tcW w:w="1040" w:type="dxa"/>
            <w:vAlign w:val="bottom"/>
          </w:tcPr>
          <w:p>
            <w:pPr>
              <w:ind w:left="220"/>
              <w:spacing w:after="0"/>
              <w:rPr>
                <w:sz w:val="20"/>
                <w:szCs w:val="20"/>
                <w:color w:val="auto"/>
              </w:rPr>
            </w:pPr>
            <w:r>
              <w:rPr>
                <w:rFonts w:ascii="Arial" w:cs="Arial" w:eastAsia="Arial" w:hAnsi="Arial"/>
                <w:sz w:val="18"/>
                <w:szCs w:val="18"/>
                <w:color w:val="auto"/>
              </w:rPr>
              <w:t>(c)</w:t>
            </w:r>
          </w:p>
        </w:tc>
        <w:tc>
          <w:tcPr>
            <w:tcW w:w="1020" w:type="dxa"/>
            <w:vAlign w:val="bottom"/>
          </w:tcPr>
          <w:p>
            <w:pPr>
              <w:ind w:left="140"/>
              <w:spacing w:after="0"/>
              <w:rPr>
                <w:sz w:val="20"/>
                <w:szCs w:val="20"/>
                <w:color w:val="auto"/>
              </w:rPr>
            </w:pPr>
            <w:r>
              <w:rPr>
                <w:rFonts w:ascii="Arial" w:cs="Arial" w:eastAsia="Arial" w:hAnsi="Arial"/>
                <w:sz w:val="18"/>
                <w:szCs w:val="18"/>
                <w:color w:val="auto"/>
              </w:rPr>
              <w:t>o</w:t>
            </w:r>
          </w:p>
        </w:tc>
        <w:tc>
          <w:tcPr>
            <w:tcW w:w="7860" w:type="dxa"/>
            <w:vAlign w:val="bottom"/>
            <w:gridSpan w:val="3"/>
          </w:tcPr>
          <w:p>
            <w:pPr>
              <w:ind w:left="220"/>
              <w:spacing w:after="0"/>
              <w:rPr>
                <w:sz w:val="20"/>
                <w:szCs w:val="20"/>
                <w:color w:val="auto"/>
              </w:rPr>
            </w:pPr>
            <w:r>
              <w:rPr>
                <w:rFonts w:ascii="Arial" w:cs="Arial" w:eastAsia="Arial" w:hAnsi="Arial"/>
                <w:sz w:val="18"/>
                <w:szCs w:val="18"/>
                <w:color w:val="auto"/>
              </w:rPr>
              <w:t>Insurance company as defined in section 3(a)(19) of the Exchange Act;</w:t>
            </w:r>
          </w:p>
        </w:tc>
        <w:tc>
          <w:tcPr>
            <w:tcW w:w="0" w:type="dxa"/>
            <w:vAlign w:val="bottom"/>
          </w:tcPr>
          <w:p>
            <w:pPr>
              <w:spacing w:after="0"/>
              <w:rPr>
                <w:sz w:val="1"/>
                <w:szCs w:val="1"/>
                <w:color w:val="auto"/>
              </w:rPr>
            </w:pPr>
          </w:p>
        </w:tc>
      </w:tr>
      <w:tr>
        <w:trPr>
          <w:trHeight w:val="324"/>
        </w:trPr>
        <w:tc>
          <w:tcPr>
            <w:tcW w:w="780" w:type="dxa"/>
            <w:vAlign w:val="bottom"/>
          </w:tcPr>
          <w:p>
            <w:pPr>
              <w:spacing w:after="0"/>
              <w:rPr>
                <w:sz w:val="24"/>
                <w:szCs w:val="24"/>
                <w:color w:val="auto"/>
              </w:rPr>
            </w:pPr>
          </w:p>
        </w:tc>
        <w:tc>
          <w:tcPr>
            <w:tcW w:w="1040" w:type="dxa"/>
            <w:vAlign w:val="bottom"/>
          </w:tcPr>
          <w:p>
            <w:pPr>
              <w:ind w:left="220"/>
              <w:spacing w:after="0"/>
              <w:rPr>
                <w:sz w:val="20"/>
                <w:szCs w:val="20"/>
                <w:color w:val="auto"/>
              </w:rPr>
            </w:pPr>
            <w:r>
              <w:rPr>
                <w:rFonts w:ascii="Arial" w:cs="Arial" w:eastAsia="Arial" w:hAnsi="Arial"/>
                <w:sz w:val="18"/>
                <w:szCs w:val="18"/>
                <w:color w:val="auto"/>
              </w:rPr>
              <w:t>(d)</w:t>
            </w:r>
          </w:p>
        </w:tc>
        <w:tc>
          <w:tcPr>
            <w:tcW w:w="1020" w:type="dxa"/>
            <w:vAlign w:val="bottom"/>
          </w:tcPr>
          <w:p>
            <w:pPr>
              <w:ind w:left="140"/>
              <w:spacing w:after="0"/>
              <w:rPr>
                <w:sz w:val="20"/>
                <w:szCs w:val="20"/>
                <w:color w:val="auto"/>
              </w:rPr>
            </w:pPr>
            <w:r>
              <w:rPr>
                <w:rFonts w:ascii="Arial" w:cs="Arial" w:eastAsia="Arial" w:hAnsi="Arial"/>
                <w:sz w:val="18"/>
                <w:szCs w:val="18"/>
                <w:color w:val="auto"/>
              </w:rPr>
              <w:t>o</w:t>
            </w:r>
          </w:p>
        </w:tc>
        <w:tc>
          <w:tcPr>
            <w:tcW w:w="7860" w:type="dxa"/>
            <w:vAlign w:val="bottom"/>
            <w:gridSpan w:val="3"/>
          </w:tcPr>
          <w:p>
            <w:pPr>
              <w:ind w:left="220"/>
              <w:spacing w:after="0"/>
              <w:rPr>
                <w:sz w:val="20"/>
                <w:szCs w:val="20"/>
                <w:color w:val="auto"/>
              </w:rPr>
            </w:pPr>
            <w:r>
              <w:rPr>
                <w:rFonts w:ascii="Arial" w:cs="Arial" w:eastAsia="Arial" w:hAnsi="Arial"/>
                <w:sz w:val="18"/>
                <w:szCs w:val="18"/>
                <w:color w:val="auto"/>
              </w:rPr>
              <w:t>Investment company registered under section 8 of the Investment Company Act;</w:t>
            </w:r>
          </w:p>
        </w:tc>
        <w:tc>
          <w:tcPr>
            <w:tcW w:w="0" w:type="dxa"/>
            <w:vAlign w:val="bottom"/>
          </w:tcPr>
          <w:p>
            <w:pPr>
              <w:spacing w:after="0"/>
              <w:rPr>
                <w:sz w:val="1"/>
                <w:szCs w:val="1"/>
                <w:color w:val="auto"/>
              </w:rPr>
            </w:pPr>
          </w:p>
        </w:tc>
      </w:tr>
      <w:tr>
        <w:trPr>
          <w:trHeight w:val="324"/>
        </w:trPr>
        <w:tc>
          <w:tcPr>
            <w:tcW w:w="780" w:type="dxa"/>
            <w:vAlign w:val="bottom"/>
          </w:tcPr>
          <w:p>
            <w:pPr>
              <w:spacing w:after="0"/>
              <w:rPr>
                <w:sz w:val="24"/>
                <w:szCs w:val="24"/>
                <w:color w:val="auto"/>
              </w:rPr>
            </w:pPr>
          </w:p>
        </w:tc>
        <w:tc>
          <w:tcPr>
            <w:tcW w:w="1040" w:type="dxa"/>
            <w:vAlign w:val="bottom"/>
          </w:tcPr>
          <w:p>
            <w:pPr>
              <w:ind w:left="220"/>
              <w:spacing w:after="0"/>
              <w:rPr>
                <w:sz w:val="20"/>
                <w:szCs w:val="20"/>
                <w:color w:val="auto"/>
              </w:rPr>
            </w:pPr>
            <w:r>
              <w:rPr>
                <w:rFonts w:ascii="Arial" w:cs="Arial" w:eastAsia="Arial" w:hAnsi="Arial"/>
                <w:sz w:val="18"/>
                <w:szCs w:val="18"/>
                <w:color w:val="auto"/>
              </w:rPr>
              <w:t>(e)</w:t>
            </w:r>
          </w:p>
        </w:tc>
        <w:tc>
          <w:tcPr>
            <w:tcW w:w="1020" w:type="dxa"/>
            <w:vAlign w:val="bottom"/>
          </w:tcPr>
          <w:p>
            <w:pPr>
              <w:ind w:left="140"/>
              <w:spacing w:after="0"/>
              <w:rPr>
                <w:sz w:val="20"/>
                <w:szCs w:val="20"/>
                <w:color w:val="auto"/>
              </w:rPr>
            </w:pPr>
            <w:r>
              <w:rPr>
                <w:rFonts w:ascii="Arial" w:cs="Arial" w:eastAsia="Arial" w:hAnsi="Arial"/>
                <w:sz w:val="18"/>
                <w:szCs w:val="18"/>
                <w:color w:val="auto"/>
              </w:rPr>
              <w:t>x</w:t>
            </w:r>
          </w:p>
        </w:tc>
        <w:tc>
          <w:tcPr>
            <w:tcW w:w="7860" w:type="dxa"/>
            <w:vAlign w:val="bottom"/>
            <w:gridSpan w:val="3"/>
          </w:tcPr>
          <w:p>
            <w:pPr>
              <w:ind w:left="220"/>
              <w:spacing w:after="0"/>
              <w:rPr>
                <w:sz w:val="20"/>
                <w:szCs w:val="20"/>
                <w:color w:val="auto"/>
              </w:rPr>
            </w:pPr>
            <w:r>
              <w:rPr>
                <w:rFonts w:ascii="Arial" w:cs="Arial" w:eastAsia="Arial" w:hAnsi="Arial"/>
                <w:sz w:val="18"/>
                <w:szCs w:val="18"/>
                <w:color w:val="auto"/>
              </w:rPr>
              <w:t>An investment adviser in accordance with Rule 13d-1(b)(1)(ii)(E);</w:t>
            </w:r>
          </w:p>
        </w:tc>
        <w:tc>
          <w:tcPr>
            <w:tcW w:w="0" w:type="dxa"/>
            <w:vAlign w:val="bottom"/>
          </w:tcPr>
          <w:p>
            <w:pPr>
              <w:spacing w:after="0"/>
              <w:rPr>
                <w:sz w:val="1"/>
                <w:szCs w:val="1"/>
                <w:color w:val="auto"/>
              </w:rPr>
            </w:pPr>
          </w:p>
        </w:tc>
      </w:tr>
      <w:tr>
        <w:trPr>
          <w:trHeight w:val="324"/>
        </w:trPr>
        <w:tc>
          <w:tcPr>
            <w:tcW w:w="780" w:type="dxa"/>
            <w:vAlign w:val="bottom"/>
          </w:tcPr>
          <w:p>
            <w:pPr>
              <w:spacing w:after="0"/>
              <w:rPr>
                <w:sz w:val="24"/>
                <w:szCs w:val="24"/>
                <w:color w:val="auto"/>
              </w:rPr>
            </w:pPr>
          </w:p>
        </w:tc>
        <w:tc>
          <w:tcPr>
            <w:tcW w:w="1040" w:type="dxa"/>
            <w:vAlign w:val="bottom"/>
          </w:tcPr>
          <w:p>
            <w:pPr>
              <w:ind w:left="220"/>
              <w:spacing w:after="0"/>
              <w:rPr>
                <w:sz w:val="20"/>
                <w:szCs w:val="20"/>
                <w:color w:val="auto"/>
              </w:rPr>
            </w:pPr>
            <w:r>
              <w:rPr>
                <w:rFonts w:ascii="Arial" w:cs="Arial" w:eastAsia="Arial" w:hAnsi="Arial"/>
                <w:sz w:val="18"/>
                <w:szCs w:val="18"/>
                <w:color w:val="auto"/>
              </w:rPr>
              <w:t>(f)</w:t>
            </w:r>
          </w:p>
        </w:tc>
        <w:tc>
          <w:tcPr>
            <w:tcW w:w="1020" w:type="dxa"/>
            <w:vAlign w:val="bottom"/>
          </w:tcPr>
          <w:p>
            <w:pPr>
              <w:ind w:left="140"/>
              <w:spacing w:after="0"/>
              <w:rPr>
                <w:sz w:val="20"/>
                <w:szCs w:val="20"/>
                <w:color w:val="auto"/>
              </w:rPr>
            </w:pPr>
            <w:r>
              <w:rPr>
                <w:rFonts w:ascii="Arial" w:cs="Arial" w:eastAsia="Arial" w:hAnsi="Arial"/>
                <w:sz w:val="18"/>
                <w:szCs w:val="18"/>
                <w:color w:val="auto"/>
              </w:rPr>
              <w:t>o</w:t>
            </w:r>
          </w:p>
        </w:tc>
        <w:tc>
          <w:tcPr>
            <w:tcW w:w="7860" w:type="dxa"/>
            <w:vAlign w:val="bottom"/>
            <w:gridSpan w:val="3"/>
          </w:tcPr>
          <w:p>
            <w:pPr>
              <w:ind w:left="220"/>
              <w:spacing w:after="0"/>
              <w:rPr>
                <w:sz w:val="20"/>
                <w:szCs w:val="20"/>
                <w:color w:val="auto"/>
              </w:rPr>
            </w:pPr>
            <w:r>
              <w:rPr>
                <w:rFonts w:ascii="Arial" w:cs="Arial" w:eastAsia="Arial" w:hAnsi="Arial"/>
                <w:sz w:val="18"/>
                <w:szCs w:val="18"/>
                <w:color w:val="auto"/>
              </w:rPr>
              <w:t>An employee benefit plan or endowment fund in accordance with Rule 13d-1(b)(1)(ii)(F);</w:t>
            </w:r>
          </w:p>
        </w:tc>
        <w:tc>
          <w:tcPr>
            <w:tcW w:w="0" w:type="dxa"/>
            <w:vAlign w:val="bottom"/>
          </w:tcPr>
          <w:p>
            <w:pPr>
              <w:spacing w:after="0"/>
              <w:rPr>
                <w:sz w:val="1"/>
                <w:szCs w:val="1"/>
                <w:color w:val="auto"/>
              </w:rPr>
            </w:pPr>
          </w:p>
        </w:tc>
      </w:tr>
      <w:tr>
        <w:trPr>
          <w:trHeight w:val="324"/>
        </w:trPr>
        <w:tc>
          <w:tcPr>
            <w:tcW w:w="780" w:type="dxa"/>
            <w:vAlign w:val="bottom"/>
          </w:tcPr>
          <w:p>
            <w:pPr>
              <w:spacing w:after="0"/>
              <w:rPr>
                <w:sz w:val="24"/>
                <w:szCs w:val="24"/>
                <w:color w:val="auto"/>
              </w:rPr>
            </w:pPr>
          </w:p>
        </w:tc>
        <w:tc>
          <w:tcPr>
            <w:tcW w:w="1040" w:type="dxa"/>
            <w:vAlign w:val="bottom"/>
          </w:tcPr>
          <w:p>
            <w:pPr>
              <w:ind w:left="220"/>
              <w:spacing w:after="0"/>
              <w:rPr>
                <w:sz w:val="20"/>
                <w:szCs w:val="20"/>
                <w:color w:val="auto"/>
              </w:rPr>
            </w:pPr>
            <w:r>
              <w:rPr>
                <w:rFonts w:ascii="Arial" w:cs="Arial" w:eastAsia="Arial" w:hAnsi="Arial"/>
                <w:sz w:val="18"/>
                <w:szCs w:val="18"/>
                <w:color w:val="auto"/>
              </w:rPr>
              <w:t>(g)</w:t>
            </w:r>
          </w:p>
        </w:tc>
        <w:tc>
          <w:tcPr>
            <w:tcW w:w="1020" w:type="dxa"/>
            <w:vAlign w:val="bottom"/>
          </w:tcPr>
          <w:p>
            <w:pPr>
              <w:ind w:left="140"/>
              <w:spacing w:after="0"/>
              <w:rPr>
                <w:sz w:val="20"/>
                <w:szCs w:val="20"/>
                <w:color w:val="auto"/>
              </w:rPr>
            </w:pPr>
            <w:r>
              <w:rPr>
                <w:rFonts w:ascii="Arial" w:cs="Arial" w:eastAsia="Arial" w:hAnsi="Arial"/>
                <w:sz w:val="18"/>
                <w:szCs w:val="18"/>
                <w:color w:val="auto"/>
              </w:rPr>
              <w:t>x</w:t>
            </w:r>
          </w:p>
        </w:tc>
        <w:tc>
          <w:tcPr>
            <w:tcW w:w="7860" w:type="dxa"/>
            <w:vAlign w:val="bottom"/>
            <w:gridSpan w:val="3"/>
          </w:tcPr>
          <w:p>
            <w:pPr>
              <w:ind w:left="220"/>
              <w:spacing w:after="0"/>
              <w:rPr>
                <w:sz w:val="20"/>
                <w:szCs w:val="20"/>
                <w:color w:val="auto"/>
              </w:rPr>
            </w:pPr>
            <w:r>
              <w:rPr>
                <w:rFonts w:ascii="Arial" w:cs="Arial" w:eastAsia="Arial" w:hAnsi="Arial"/>
                <w:sz w:val="18"/>
                <w:szCs w:val="18"/>
                <w:color w:val="auto"/>
              </w:rPr>
              <w:t>A parent holding company or control person in accordance with Rule 13d-1(b)(1)(ii)(G);</w:t>
            </w:r>
          </w:p>
        </w:tc>
        <w:tc>
          <w:tcPr>
            <w:tcW w:w="0" w:type="dxa"/>
            <w:vAlign w:val="bottom"/>
          </w:tcPr>
          <w:p>
            <w:pPr>
              <w:spacing w:after="0"/>
              <w:rPr>
                <w:sz w:val="1"/>
                <w:szCs w:val="1"/>
                <w:color w:val="auto"/>
              </w:rPr>
            </w:pPr>
          </w:p>
        </w:tc>
      </w:tr>
      <w:tr>
        <w:trPr>
          <w:trHeight w:val="324"/>
        </w:trPr>
        <w:tc>
          <w:tcPr>
            <w:tcW w:w="780" w:type="dxa"/>
            <w:vAlign w:val="bottom"/>
          </w:tcPr>
          <w:p>
            <w:pPr>
              <w:spacing w:after="0"/>
              <w:rPr>
                <w:sz w:val="24"/>
                <w:szCs w:val="24"/>
                <w:color w:val="auto"/>
              </w:rPr>
            </w:pPr>
          </w:p>
        </w:tc>
        <w:tc>
          <w:tcPr>
            <w:tcW w:w="1040" w:type="dxa"/>
            <w:vAlign w:val="bottom"/>
          </w:tcPr>
          <w:p>
            <w:pPr>
              <w:ind w:left="220"/>
              <w:spacing w:after="0"/>
              <w:rPr>
                <w:sz w:val="20"/>
                <w:szCs w:val="20"/>
                <w:color w:val="auto"/>
              </w:rPr>
            </w:pPr>
            <w:r>
              <w:rPr>
                <w:rFonts w:ascii="Arial" w:cs="Arial" w:eastAsia="Arial" w:hAnsi="Arial"/>
                <w:sz w:val="18"/>
                <w:szCs w:val="18"/>
                <w:color w:val="auto"/>
              </w:rPr>
              <w:t>(h)</w:t>
            </w:r>
          </w:p>
        </w:tc>
        <w:tc>
          <w:tcPr>
            <w:tcW w:w="1020" w:type="dxa"/>
            <w:vAlign w:val="bottom"/>
          </w:tcPr>
          <w:p>
            <w:pPr>
              <w:ind w:left="140"/>
              <w:spacing w:after="0"/>
              <w:rPr>
                <w:sz w:val="20"/>
                <w:szCs w:val="20"/>
                <w:color w:val="auto"/>
              </w:rPr>
            </w:pPr>
            <w:r>
              <w:rPr>
                <w:rFonts w:ascii="Arial" w:cs="Arial" w:eastAsia="Arial" w:hAnsi="Arial"/>
                <w:sz w:val="18"/>
                <w:szCs w:val="18"/>
                <w:color w:val="auto"/>
              </w:rPr>
              <w:t>o</w:t>
            </w:r>
          </w:p>
        </w:tc>
        <w:tc>
          <w:tcPr>
            <w:tcW w:w="7860" w:type="dxa"/>
            <w:vAlign w:val="bottom"/>
            <w:gridSpan w:val="3"/>
          </w:tcPr>
          <w:p>
            <w:pPr>
              <w:ind w:left="220"/>
              <w:spacing w:after="0"/>
              <w:rPr>
                <w:sz w:val="20"/>
                <w:szCs w:val="20"/>
                <w:color w:val="auto"/>
              </w:rPr>
            </w:pPr>
            <w:r>
              <w:rPr>
                <w:rFonts w:ascii="Arial" w:cs="Arial" w:eastAsia="Arial" w:hAnsi="Arial"/>
                <w:sz w:val="18"/>
                <w:szCs w:val="18"/>
                <w:color w:val="auto"/>
              </w:rPr>
              <w:t>A savings association as defined in Section 3(b) of the Federal Deposit Insurance Act;</w:t>
            </w:r>
          </w:p>
        </w:tc>
        <w:tc>
          <w:tcPr>
            <w:tcW w:w="0" w:type="dxa"/>
            <w:vAlign w:val="bottom"/>
          </w:tcPr>
          <w:p>
            <w:pPr>
              <w:spacing w:after="0"/>
              <w:rPr>
                <w:sz w:val="1"/>
                <w:szCs w:val="1"/>
                <w:color w:val="auto"/>
              </w:rPr>
            </w:pPr>
          </w:p>
        </w:tc>
      </w:tr>
      <w:tr>
        <w:trPr>
          <w:trHeight w:val="310"/>
        </w:trPr>
        <w:tc>
          <w:tcPr>
            <w:tcW w:w="780" w:type="dxa"/>
            <w:vAlign w:val="bottom"/>
          </w:tcPr>
          <w:p>
            <w:pPr>
              <w:spacing w:after="0"/>
              <w:rPr>
                <w:sz w:val="24"/>
                <w:szCs w:val="24"/>
                <w:color w:val="auto"/>
              </w:rPr>
            </w:pPr>
          </w:p>
        </w:tc>
        <w:tc>
          <w:tcPr>
            <w:tcW w:w="1040" w:type="dxa"/>
            <w:vAlign w:val="bottom"/>
          </w:tcPr>
          <w:p>
            <w:pPr>
              <w:ind w:left="220"/>
              <w:spacing w:after="0"/>
              <w:rPr>
                <w:sz w:val="20"/>
                <w:szCs w:val="20"/>
                <w:color w:val="auto"/>
              </w:rPr>
            </w:pPr>
            <w:r>
              <w:rPr>
                <w:rFonts w:ascii="Arial" w:cs="Arial" w:eastAsia="Arial" w:hAnsi="Arial"/>
                <w:sz w:val="18"/>
                <w:szCs w:val="18"/>
                <w:color w:val="auto"/>
              </w:rPr>
              <w:t>(i)</w:t>
            </w:r>
          </w:p>
        </w:tc>
        <w:tc>
          <w:tcPr>
            <w:tcW w:w="1020" w:type="dxa"/>
            <w:vAlign w:val="bottom"/>
          </w:tcPr>
          <w:p>
            <w:pPr>
              <w:ind w:left="140"/>
              <w:spacing w:after="0"/>
              <w:rPr>
                <w:sz w:val="20"/>
                <w:szCs w:val="20"/>
                <w:color w:val="auto"/>
              </w:rPr>
            </w:pPr>
            <w:r>
              <w:rPr>
                <w:rFonts w:ascii="Arial" w:cs="Arial" w:eastAsia="Arial" w:hAnsi="Arial"/>
                <w:sz w:val="18"/>
                <w:szCs w:val="18"/>
                <w:color w:val="auto"/>
              </w:rPr>
              <w:t>o</w:t>
            </w:r>
          </w:p>
        </w:tc>
        <w:tc>
          <w:tcPr>
            <w:tcW w:w="7860" w:type="dxa"/>
            <w:vAlign w:val="bottom"/>
            <w:gridSpan w:val="3"/>
          </w:tcPr>
          <w:p>
            <w:pPr>
              <w:ind w:left="220"/>
              <w:spacing w:after="0"/>
              <w:rPr>
                <w:sz w:val="20"/>
                <w:szCs w:val="20"/>
                <w:color w:val="auto"/>
              </w:rPr>
            </w:pPr>
            <w:r>
              <w:rPr>
                <w:rFonts w:ascii="Arial" w:cs="Arial" w:eastAsia="Arial" w:hAnsi="Arial"/>
                <w:sz w:val="18"/>
                <w:szCs w:val="18"/>
                <w:color w:val="auto"/>
                <w:w w:val="91"/>
              </w:rPr>
              <w:t>A church plan that is excluded from the definition of an investment company under section 3(c)(14) of the</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860" w:type="dxa"/>
            <w:vAlign w:val="bottom"/>
            <w:gridSpan w:val="3"/>
          </w:tcPr>
          <w:p>
            <w:pPr>
              <w:ind w:left="220"/>
              <w:spacing w:after="0"/>
              <w:rPr>
                <w:sz w:val="20"/>
                <w:szCs w:val="20"/>
                <w:color w:val="auto"/>
              </w:rPr>
            </w:pPr>
            <w:r>
              <w:rPr>
                <w:rFonts w:ascii="Arial" w:cs="Arial" w:eastAsia="Arial" w:hAnsi="Arial"/>
                <w:sz w:val="18"/>
                <w:szCs w:val="18"/>
                <w:color w:val="auto"/>
              </w:rPr>
              <w:t>Investment Company Act;</w:t>
            </w:r>
          </w:p>
        </w:tc>
        <w:tc>
          <w:tcPr>
            <w:tcW w:w="0" w:type="dxa"/>
            <w:vAlign w:val="bottom"/>
          </w:tcPr>
          <w:p>
            <w:pPr>
              <w:spacing w:after="0"/>
              <w:rPr>
                <w:sz w:val="1"/>
                <w:szCs w:val="1"/>
                <w:color w:val="auto"/>
              </w:rPr>
            </w:pPr>
          </w:p>
        </w:tc>
      </w:tr>
      <w:tr>
        <w:trPr>
          <w:trHeight w:val="324"/>
        </w:trPr>
        <w:tc>
          <w:tcPr>
            <w:tcW w:w="780" w:type="dxa"/>
            <w:vAlign w:val="bottom"/>
          </w:tcPr>
          <w:p>
            <w:pPr>
              <w:spacing w:after="0"/>
              <w:rPr>
                <w:sz w:val="24"/>
                <w:szCs w:val="24"/>
                <w:color w:val="auto"/>
              </w:rPr>
            </w:pPr>
          </w:p>
        </w:tc>
        <w:tc>
          <w:tcPr>
            <w:tcW w:w="1040" w:type="dxa"/>
            <w:vAlign w:val="bottom"/>
          </w:tcPr>
          <w:p>
            <w:pPr>
              <w:ind w:left="220"/>
              <w:spacing w:after="0"/>
              <w:rPr>
                <w:sz w:val="20"/>
                <w:szCs w:val="20"/>
                <w:color w:val="auto"/>
              </w:rPr>
            </w:pPr>
            <w:r>
              <w:rPr>
                <w:rFonts w:ascii="Arial" w:cs="Arial" w:eastAsia="Arial" w:hAnsi="Arial"/>
                <w:sz w:val="18"/>
                <w:szCs w:val="18"/>
                <w:color w:val="auto"/>
              </w:rPr>
              <w:t>(j)</w:t>
            </w:r>
          </w:p>
        </w:tc>
        <w:tc>
          <w:tcPr>
            <w:tcW w:w="1020" w:type="dxa"/>
            <w:vAlign w:val="bottom"/>
          </w:tcPr>
          <w:p>
            <w:pPr>
              <w:ind w:left="140"/>
              <w:spacing w:after="0"/>
              <w:rPr>
                <w:sz w:val="20"/>
                <w:szCs w:val="20"/>
                <w:color w:val="auto"/>
              </w:rPr>
            </w:pPr>
            <w:r>
              <w:rPr>
                <w:rFonts w:ascii="Arial" w:cs="Arial" w:eastAsia="Arial" w:hAnsi="Arial"/>
                <w:sz w:val="18"/>
                <w:szCs w:val="18"/>
                <w:color w:val="auto"/>
              </w:rPr>
              <w:t>o</w:t>
            </w:r>
          </w:p>
        </w:tc>
        <w:tc>
          <w:tcPr>
            <w:tcW w:w="7860" w:type="dxa"/>
            <w:vAlign w:val="bottom"/>
            <w:gridSpan w:val="3"/>
          </w:tcPr>
          <w:p>
            <w:pPr>
              <w:ind w:left="220"/>
              <w:spacing w:after="0"/>
              <w:rPr>
                <w:sz w:val="20"/>
                <w:szCs w:val="20"/>
                <w:color w:val="auto"/>
              </w:rPr>
            </w:pPr>
            <w:r>
              <w:rPr>
                <w:rFonts w:ascii="Arial" w:cs="Arial" w:eastAsia="Arial" w:hAnsi="Arial"/>
                <w:sz w:val="18"/>
                <w:szCs w:val="18"/>
                <w:color w:val="auto"/>
              </w:rPr>
              <w:t>A non-U.S. institution in accordance with Rule 13d–1(b)(1)(ii)(J);</w:t>
            </w:r>
          </w:p>
        </w:tc>
        <w:tc>
          <w:tcPr>
            <w:tcW w:w="0" w:type="dxa"/>
            <w:vAlign w:val="bottom"/>
          </w:tcPr>
          <w:p>
            <w:pPr>
              <w:spacing w:after="0"/>
              <w:rPr>
                <w:sz w:val="1"/>
                <w:szCs w:val="1"/>
                <w:color w:val="auto"/>
              </w:rPr>
            </w:pPr>
          </w:p>
        </w:tc>
      </w:tr>
      <w:tr>
        <w:trPr>
          <w:trHeight w:val="310"/>
        </w:trPr>
        <w:tc>
          <w:tcPr>
            <w:tcW w:w="780" w:type="dxa"/>
            <w:vAlign w:val="bottom"/>
          </w:tcPr>
          <w:p>
            <w:pPr>
              <w:spacing w:after="0"/>
              <w:rPr>
                <w:sz w:val="24"/>
                <w:szCs w:val="24"/>
                <w:color w:val="auto"/>
              </w:rPr>
            </w:pPr>
          </w:p>
        </w:tc>
        <w:tc>
          <w:tcPr>
            <w:tcW w:w="1040" w:type="dxa"/>
            <w:vAlign w:val="bottom"/>
            <w:vMerge w:val="restart"/>
          </w:tcPr>
          <w:p>
            <w:pPr>
              <w:ind w:left="220"/>
              <w:spacing w:after="0"/>
              <w:rPr>
                <w:sz w:val="20"/>
                <w:szCs w:val="20"/>
                <w:color w:val="auto"/>
              </w:rPr>
            </w:pPr>
            <w:r>
              <w:rPr>
                <w:rFonts w:ascii="Arial" w:cs="Arial" w:eastAsia="Arial" w:hAnsi="Arial"/>
                <w:sz w:val="18"/>
                <w:szCs w:val="18"/>
                <w:color w:val="auto"/>
              </w:rPr>
              <w:t>(k)</w:t>
            </w:r>
          </w:p>
        </w:tc>
        <w:tc>
          <w:tcPr>
            <w:tcW w:w="1020" w:type="dxa"/>
            <w:vAlign w:val="bottom"/>
            <w:vMerge w:val="restart"/>
          </w:tcPr>
          <w:p>
            <w:pPr>
              <w:ind w:left="140"/>
              <w:spacing w:after="0"/>
              <w:rPr>
                <w:sz w:val="20"/>
                <w:szCs w:val="20"/>
                <w:color w:val="auto"/>
              </w:rPr>
            </w:pPr>
            <w:r>
              <w:rPr>
                <w:rFonts w:ascii="Arial" w:cs="Arial" w:eastAsia="Arial" w:hAnsi="Arial"/>
                <w:sz w:val="18"/>
                <w:szCs w:val="18"/>
                <w:color w:val="auto"/>
              </w:rPr>
              <w:t>o</w:t>
            </w:r>
          </w:p>
        </w:tc>
        <w:tc>
          <w:tcPr>
            <w:tcW w:w="7860" w:type="dxa"/>
            <w:vAlign w:val="bottom"/>
            <w:gridSpan w:val="3"/>
          </w:tcPr>
          <w:p>
            <w:pPr>
              <w:ind w:left="220"/>
              <w:spacing w:after="0"/>
              <w:rPr>
                <w:sz w:val="20"/>
                <w:szCs w:val="20"/>
                <w:color w:val="auto"/>
              </w:rPr>
            </w:pPr>
            <w:r>
              <w:rPr>
                <w:rFonts w:ascii="Arial" w:cs="Arial" w:eastAsia="Arial" w:hAnsi="Arial"/>
                <w:sz w:val="18"/>
                <w:szCs w:val="18"/>
                <w:color w:val="auto"/>
                <w:w w:val="94"/>
              </w:rPr>
              <w:t>Group, in accordance with Rule 13d-1(b)(1)(ii)(K). If filing as a non-U.S. institution in accordance with</w:t>
            </w:r>
          </w:p>
        </w:tc>
        <w:tc>
          <w:tcPr>
            <w:tcW w:w="0" w:type="dxa"/>
            <w:vAlign w:val="bottom"/>
          </w:tcPr>
          <w:p>
            <w:pPr>
              <w:spacing w:after="0"/>
              <w:rPr>
                <w:sz w:val="1"/>
                <w:szCs w:val="1"/>
                <w:color w:val="auto"/>
              </w:rPr>
            </w:pPr>
          </w:p>
        </w:tc>
      </w:tr>
      <w:tr>
        <w:trPr>
          <w:trHeight w:val="122"/>
        </w:trPr>
        <w:tc>
          <w:tcPr>
            <w:tcW w:w="7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860" w:type="dxa"/>
            <w:vAlign w:val="bottom"/>
            <w:gridSpan w:val="3"/>
            <w:vMerge w:val="restart"/>
          </w:tcPr>
          <w:p>
            <w:pPr>
              <w:ind w:left="220"/>
              <w:spacing w:after="0" w:line="190" w:lineRule="exact"/>
              <w:rPr>
                <w:sz w:val="20"/>
                <w:szCs w:val="20"/>
                <w:color w:val="auto"/>
              </w:rPr>
            </w:pPr>
            <w:r>
              <w:rPr>
                <w:rFonts w:ascii="Arial" w:cs="Arial" w:eastAsia="Arial" w:hAnsi="Arial"/>
                <w:sz w:val="18"/>
                <w:szCs w:val="18"/>
                <w:color w:val="auto"/>
              </w:rPr>
              <w:t>Rule 13d–1(b)(1)(ii)(J), please specify the type of institution:</w:t>
            </w:r>
          </w:p>
        </w:tc>
        <w:tc>
          <w:tcPr>
            <w:tcW w:w="0" w:type="dxa"/>
            <w:vAlign w:val="bottom"/>
          </w:tcPr>
          <w:p>
            <w:pPr>
              <w:spacing w:after="0"/>
              <w:rPr>
                <w:sz w:val="1"/>
                <w:szCs w:val="1"/>
                <w:color w:val="auto"/>
              </w:rPr>
            </w:pPr>
          </w:p>
        </w:tc>
      </w:tr>
      <w:tr>
        <w:trPr>
          <w:trHeight w:val="68"/>
        </w:trPr>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8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5"/>
        </w:trPr>
        <w:tc>
          <w:tcPr>
            <w:tcW w:w="7460" w:type="dxa"/>
            <w:vAlign w:val="bottom"/>
            <w:gridSpan w:val="4"/>
          </w:tcPr>
          <w:p>
            <w:pPr>
              <w:ind w:left="420"/>
              <w:spacing w:after="0"/>
              <w:rPr>
                <w:sz w:val="20"/>
                <w:szCs w:val="20"/>
                <w:color w:val="auto"/>
              </w:rPr>
            </w:pPr>
            <w:r>
              <w:rPr>
                <w:rFonts w:ascii="Arial" w:cs="Arial" w:eastAsia="Arial" w:hAnsi="Arial"/>
                <w:sz w:val="18"/>
                <w:szCs w:val="18"/>
                <w:color w:val="auto"/>
              </w:rPr>
              <w:t>If this statement is filed pursuant to Rule 13d-1(c), check this box. o</w:t>
            </w:r>
          </w:p>
        </w:tc>
        <w:tc>
          <w:tcPr>
            <w:tcW w:w="640" w:type="dxa"/>
            <w:vAlign w:val="bottom"/>
            <w:tcBorders>
              <w:top w:val="single" w:sz="8" w:color="auto"/>
            </w:tcBorders>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780" w:type="dxa"/>
            <w:vAlign w:val="bottom"/>
          </w:tcPr>
          <w:p>
            <w:pPr>
              <w:ind w:left="60"/>
              <w:spacing w:after="0"/>
              <w:rPr>
                <w:sz w:val="20"/>
                <w:szCs w:val="20"/>
                <w:color w:val="auto"/>
              </w:rPr>
            </w:pPr>
            <w:r>
              <w:rPr>
                <w:rFonts w:ascii="Arial" w:cs="Arial" w:eastAsia="Arial" w:hAnsi="Arial"/>
                <w:sz w:val="18"/>
                <w:szCs w:val="18"/>
                <w:b w:val="1"/>
                <w:bCs w:val="1"/>
                <w:color w:val="auto"/>
              </w:rPr>
              <w:t>Item 4</w:t>
            </w:r>
          </w:p>
        </w:tc>
        <w:tc>
          <w:tcPr>
            <w:tcW w:w="2060" w:type="dxa"/>
            <w:vAlign w:val="bottom"/>
            <w:gridSpan w:val="2"/>
          </w:tcPr>
          <w:p>
            <w:pPr>
              <w:ind w:left="720"/>
              <w:spacing w:after="0"/>
              <w:rPr>
                <w:sz w:val="20"/>
                <w:szCs w:val="20"/>
                <w:color w:val="auto"/>
              </w:rPr>
            </w:pPr>
            <w:r>
              <w:rPr>
                <w:rFonts w:ascii="Arial" w:cs="Arial" w:eastAsia="Arial" w:hAnsi="Arial"/>
                <w:sz w:val="18"/>
                <w:szCs w:val="18"/>
                <w:b w:val="1"/>
                <w:bCs w:val="1"/>
                <w:color w:val="auto"/>
              </w:rPr>
              <w:t>Ownership:(2)</w:t>
            </w:r>
          </w:p>
        </w:tc>
        <w:tc>
          <w:tcPr>
            <w:tcW w:w="4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460" w:hanging="635"/>
        <w:spacing w:after="0"/>
        <w:tabs>
          <w:tab w:leader="none" w:pos="2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3" w:lineRule="exact"/>
        <w:rPr>
          <w:rFonts w:ascii="Arial" w:cs="Arial" w:eastAsia="Arial" w:hAnsi="Arial"/>
          <w:sz w:val="18"/>
          <w:szCs w:val="18"/>
          <w:color w:val="auto"/>
        </w:rPr>
      </w:pPr>
    </w:p>
    <w:p>
      <w:pPr>
        <w:ind w:left="2460"/>
        <w:spacing w:after="0"/>
        <w:rPr>
          <w:rFonts w:ascii="Arial" w:cs="Arial" w:eastAsia="Arial" w:hAnsi="Arial"/>
          <w:sz w:val="18"/>
          <w:szCs w:val="18"/>
          <w:color w:val="auto"/>
        </w:rPr>
      </w:pPr>
      <w:r>
        <w:rPr>
          <w:rFonts w:ascii="Arial" w:cs="Arial" w:eastAsia="Arial" w:hAnsi="Arial"/>
          <w:sz w:val="18"/>
          <w:szCs w:val="18"/>
          <w:color w:val="auto"/>
        </w:rPr>
        <w:t>Incorporated by reference to Item 9 of the cover page pertaining to each reporting person.</w:t>
      </w:r>
    </w:p>
    <w:p>
      <w:pPr>
        <w:spacing w:after="0" w:line="116" w:lineRule="exact"/>
        <w:rPr>
          <w:rFonts w:ascii="Arial" w:cs="Arial" w:eastAsia="Arial" w:hAnsi="Arial"/>
          <w:sz w:val="18"/>
          <w:szCs w:val="18"/>
          <w:color w:val="auto"/>
        </w:rPr>
      </w:pPr>
    </w:p>
    <w:p>
      <w:pPr>
        <w:ind w:left="2460" w:hanging="640"/>
        <w:spacing w:after="0"/>
        <w:tabs>
          <w:tab w:leader="none" w:pos="2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3" w:lineRule="exact"/>
        <w:rPr>
          <w:rFonts w:ascii="Arial" w:cs="Arial" w:eastAsia="Arial" w:hAnsi="Arial"/>
          <w:sz w:val="18"/>
          <w:szCs w:val="18"/>
          <w:color w:val="auto"/>
        </w:rPr>
      </w:pPr>
    </w:p>
    <w:p>
      <w:pPr>
        <w:ind w:left="2460"/>
        <w:spacing w:after="0"/>
        <w:rPr>
          <w:rFonts w:ascii="Arial" w:cs="Arial" w:eastAsia="Arial" w:hAnsi="Arial"/>
          <w:sz w:val="18"/>
          <w:szCs w:val="18"/>
          <w:color w:val="auto"/>
        </w:rPr>
      </w:pPr>
      <w:r>
        <w:rPr>
          <w:rFonts w:ascii="Arial" w:cs="Arial" w:eastAsia="Arial" w:hAnsi="Arial"/>
          <w:sz w:val="18"/>
          <w:szCs w:val="18"/>
          <w:color w:val="auto"/>
        </w:rPr>
        <w:t>Incorporated by reference to Item 11 of the cover page pertaining to each reporting person.</w:t>
      </w:r>
    </w:p>
    <w:p>
      <w:pPr>
        <w:spacing w:after="0" w:line="116" w:lineRule="exact"/>
        <w:rPr>
          <w:rFonts w:ascii="Arial" w:cs="Arial" w:eastAsia="Arial" w:hAnsi="Arial"/>
          <w:sz w:val="18"/>
          <w:szCs w:val="18"/>
          <w:color w:val="auto"/>
        </w:rPr>
      </w:pPr>
    </w:p>
    <w:p>
      <w:pPr>
        <w:ind w:left="2460" w:hanging="635"/>
        <w:spacing w:after="0"/>
        <w:tabs>
          <w:tab w:leader="none" w:pos="2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186055</wp:posOffset>
            </wp:positionV>
            <wp:extent cx="56146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14670" cy="8255"/>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-164465</wp:posOffset>
            </wp:positionV>
            <wp:extent cx="56146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14670" cy="8255"/>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-516255</wp:posOffset>
            </wp:positionV>
            <wp:extent cx="56146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14670" cy="8255"/>
                    </a:xfrm>
                    <a:prstGeom prst="rect">
                      <a:avLst/>
                    </a:prstGeom>
                    <a:noFill/>
                  </pic:spPr>
                </pic:pic>
              </a:graphicData>
            </a:graphic>
          </wp:anchor>
        </w:drawing>
      </w:r>
    </w:p>
    <w:p>
      <w:pPr>
        <w:spacing w:after="0" w:line="327" w:lineRule="exact"/>
        <w:rPr>
          <w:sz w:val="20"/>
          <w:szCs w:val="20"/>
          <w:color w:val="auto"/>
        </w:rPr>
      </w:pPr>
    </w:p>
    <w:p>
      <w:pPr>
        <w:ind w:left="3300" w:hanging="562"/>
        <w:spacing w:after="0"/>
        <w:tabs>
          <w:tab w:leader="none" w:pos="3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3" w:lineRule="exact"/>
        <w:rPr>
          <w:rFonts w:ascii="Arial" w:cs="Arial" w:eastAsia="Arial" w:hAnsi="Arial"/>
          <w:sz w:val="18"/>
          <w:szCs w:val="18"/>
          <w:color w:val="auto"/>
        </w:rPr>
      </w:pPr>
    </w:p>
    <w:p>
      <w:pPr>
        <w:ind w:left="3300"/>
        <w:spacing w:after="0"/>
        <w:rPr>
          <w:rFonts w:ascii="Arial" w:cs="Arial" w:eastAsia="Arial" w:hAnsi="Arial"/>
          <w:sz w:val="18"/>
          <w:szCs w:val="18"/>
          <w:color w:val="auto"/>
        </w:rPr>
      </w:pPr>
      <w:r>
        <w:rPr>
          <w:rFonts w:ascii="Arial" w:cs="Arial" w:eastAsia="Arial" w:hAnsi="Arial"/>
          <w:sz w:val="18"/>
          <w:szCs w:val="18"/>
          <w:color w:val="auto"/>
        </w:rPr>
        <w:t>Incorporated by reference to Item 5 of the cover page pertaining to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40005</wp:posOffset>
            </wp:positionV>
            <wp:extent cx="50749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074920" cy="8255"/>
                    </a:xfrm>
                    <a:prstGeom prst="rect">
                      <a:avLst/>
                    </a:prstGeom>
                    <a:noFill/>
                  </pic:spPr>
                </pic:pic>
              </a:graphicData>
            </a:graphic>
          </wp:anchor>
        </w:drawing>
      </w:r>
    </w:p>
    <w:p>
      <w:pPr>
        <w:spacing w:after="0" w:line="96" w:lineRule="exact"/>
        <w:rPr>
          <w:sz w:val="20"/>
          <w:szCs w:val="20"/>
          <w:color w:val="auto"/>
        </w:rPr>
      </w:pPr>
    </w:p>
    <w:p>
      <w:pPr>
        <w:ind w:left="3300" w:hanging="587"/>
        <w:spacing w:after="0"/>
        <w:tabs>
          <w:tab w:leader="none" w:pos="3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3" w:lineRule="exact"/>
        <w:rPr>
          <w:rFonts w:ascii="Arial" w:cs="Arial" w:eastAsia="Arial" w:hAnsi="Arial"/>
          <w:sz w:val="18"/>
          <w:szCs w:val="18"/>
          <w:color w:val="auto"/>
        </w:rPr>
      </w:pPr>
    </w:p>
    <w:p>
      <w:pPr>
        <w:ind w:left="3300"/>
        <w:spacing w:after="0"/>
        <w:rPr>
          <w:rFonts w:ascii="Arial" w:cs="Arial" w:eastAsia="Arial" w:hAnsi="Arial"/>
          <w:sz w:val="18"/>
          <w:szCs w:val="18"/>
          <w:color w:val="auto"/>
        </w:rPr>
      </w:pPr>
      <w:r>
        <w:rPr>
          <w:rFonts w:ascii="Arial" w:cs="Arial" w:eastAsia="Arial" w:hAnsi="Arial"/>
          <w:sz w:val="18"/>
          <w:szCs w:val="18"/>
          <w:color w:val="auto"/>
        </w:rPr>
        <w:t>Incorporated by reference to Item 6 of the cover page pertaining to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40005</wp:posOffset>
            </wp:positionV>
            <wp:extent cx="50749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074920" cy="8890"/>
                    </a:xfrm>
                    <a:prstGeom prst="rect">
                      <a:avLst/>
                    </a:prstGeom>
                    <a:noFill/>
                  </pic:spPr>
                </pic:pic>
              </a:graphicData>
            </a:graphic>
          </wp:anchor>
        </w:drawing>
      </w:r>
    </w:p>
    <w:p>
      <w:pPr>
        <w:spacing w:after="0" w:line="96" w:lineRule="exact"/>
        <w:rPr>
          <w:sz w:val="20"/>
          <w:szCs w:val="20"/>
          <w:color w:val="auto"/>
        </w:rPr>
      </w:pPr>
    </w:p>
    <w:p>
      <w:pPr>
        <w:ind w:left="3300" w:hanging="612"/>
        <w:spacing w:after="0"/>
        <w:tabs>
          <w:tab w:leader="none" w:pos="3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3" w:lineRule="exact"/>
        <w:rPr>
          <w:rFonts w:ascii="Arial" w:cs="Arial" w:eastAsia="Arial" w:hAnsi="Arial"/>
          <w:sz w:val="18"/>
          <w:szCs w:val="18"/>
          <w:color w:val="auto"/>
        </w:rPr>
      </w:pPr>
    </w:p>
    <w:p>
      <w:pPr>
        <w:ind w:left="3300"/>
        <w:spacing w:after="0"/>
        <w:rPr>
          <w:rFonts w:ascii="Arial" w:cs="Arial" w:eastAsia="Arial" w:hAnsi="Arial"/>
          <w:sz w:val="18"/>
          <w:szCs w:val="18"/>
          <w:color w:val="auto"/>
        </w:rPr>
      </w:pPr>
      <w:r>
        <w:rPr>
          <w:rFonts w:ascii="Arial" w:cs="Arial" w:eastAsia="Arial" w:hAnsi="Arial"/>
          <w:sz w:val="18"/>
          <w:szCs w:val="18"/>
          <w:color w:val="auto"/>
        </w:rPr>
        <w:t>Incorporated by reference to Item 7 of the cover page pertaining to each reporting person.</w:t>
      </w:r>
    </w:p>
    <w:p>
      <w:pPr>
        <w:spacing w:after="0" w:line="116" w:lineRule="exact"/>
        <w:rPr>
          <w:rFonts w:ascii="Arial" w:cs="Arial" w:eastAsia="Arial" w:hAnsi="Arial"/>
          <w:sz w:val="18"/>
          <w:szCs w:val="18"/>
          <w:color w:val="auto"/>
        </w:rPr>
      </w:pPr>
    </w:p>
    <w:p>
      <w:pPr>
        <w:ind w:left="3300" w:hanging="607"/>
        <w:spacing w:after="0"/>
        <w:tabs>
          <w:tab w:leader="none" w:pos="3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3" w:lineRule="exact"/>
        <w:rPr>
          <w:rFonts w:ascii="Arial" w:cs="Arial" w:eastAsia="Arial" w:hAnsi="Arial"/>
          <w:sz w:val="18"/>
          <w:szCs w:val="18"/>
          <w:color w:val="auto"/>
        </w:rPr>
      </w:pPr>
    </w:p>
    <w:p>
      <w:pPr>
        <w:ind w:left="3300"/>
        <w:spacing w:after="0"/>
        <w:rPr>
          <w:rFonts w:ascii="Arial" w:cs="Arial" w:eastAsia="Arial" w:hAnsi="Arial"/>
          <w:sz w:val="18"/>
          <w:szCs w:val="18"/>
          <w:color w:val="auto"/>
        </w:rPr>
      </w:pPr>
      <w:r>
        <w:rPr>
          <w:rFonts w:ascii="Arial" w:cs="Arial" w:eastAsia="Arial" w:hAnsi="Arial"/>
          <w:sz w:val="18"/>
          <w:szCs w:val="18"/>
          <w:color w:val="auto"/>
        </w:rPr>
        <w:t>Incorporated by reference to Item 8 of the cover page pertaining to each reporting person.</w:t>
      </w:r>
    </w:p>
    <w:p>
      <w:pPr>
        <w:spacing w:after="0" w:line="200" w:lineRule="exact"/>
        <w:rPr>
          <w:rFonts w:ascii="Arial" w:cs="Arial" w:eastAsia="Arial" w:hAnsi="Arial"/>
          <w:sz w:val="18"/>
          <w:szCs w:val="18"/>
          <w:color w:val="auto"/>
        </w:rPr>
      </w:pPr>
    </w:p>
    <w:p>
      <w:pPr>
        <w:spacing w:after="0" w:line="348" w:lineRule="exact"/>
        <w:rPr>
          <w:rFonts w:ascii="Arial" w:cs="Arial" w:eastAsia="Arial" w:hAnsi="Arial"/>
          <w:sz w:val="18"/>
          <w:szCs w:val="18"/>
          <w:color w:val="auto"/>
        </w:rPr>
      </w:pPr>
    </w:p>
    <w:p>
      <w:pPr>
        <w:ind w:left="60" w:firstLine="2"/>
        <w:spacing w:after="0" w:line="308" w:lineRule="auto"/>
        <w:tabs>
          <w:tab w:leader="none" w:pos="3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Douglas Granat, Lawrence A. Oberman, Steven G. Simon, Bradley F. Simon, and Steven R. Monieson are the controlling shareholders and officers of Trigran Investments, Inc. and thus may be considered the beneficial owners of shares beneficially owned by Trigran Investments,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-386080</wp:posOffset>
            </wp:positionV>
            <wp:extent cx="17830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-626110</wp:posOffset>
            </wp:positionV>
            <wp:extent cx="50749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074920"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-977265</wp:posOffset>
            </wp:positionV>
            <wp:extent cx="50749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074920" cy="8255"/>
                    </a:xfrm>
                    <a:prstGeom prst="rect">
                      <a:avLst/>
                    </a:prstGeom>
                    <a:noFill/>
                  </pic:spPr>
                </pic:pic>
              </a:graphicData>
            </a:graphic>
          </wp:anchor>
        </w:drawing>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9" w:name="page10"/>
    <w:bookmarkEnd w:id="9"/>
    <w:p>
      <w:pPr>
        <w:spacing w:after="0"/>
        <w:tabs>
          <w:tab w:leader="none" w:pos="510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6"/>
          <w:szCs w:val="16"/>
          <w:color w:val="auto"/>
        </w:rPr>
        <w:t>Schedule 13G</w:t>
      </w:r>
    </w:p>
    <w:p>
      <w:pPr>
        <w:spacing w:after="0" w:line="275"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60" w:right="80"/>
        <w:spacing w:after="0" w:line="263" w:lineRule="auto"/>
        <w:rPr>
          <w:sz w:val="20"/>
          <w:szCs w:val="20"/>
          <w:color w:val="auto"/>
        </w:rPr>
      </w:pPr>
      <w:r>
        <w:rPr>
          <w:rFonts w:ascii="Arial" w:cs="Arial" w:eastAsia="Arial" w:hAnsi="Arial"/>
          <w:sz w:val="18"/>
          <w:szCs w:val="18"/>
          <w:color w:val="auto"/>
        </w:rPr>
        <w:t>Owners of accounts managed by Trigran Investments, Inc. have or may have the right to receive or the power to direct the receipt of dividends from, or the proceeds from the sale of, securities held in their accounts. No such account has such power with respect to more than five percent of the class of securities to which this Schedule 13G relates.</w:t>
      </w:r>
    </w:p>
    <w:p>
      <w:pPr>
        <w:spacing w:after="0" w:line="76" w:lineRule="exact"/>
        <w:rPr>
          <w:sz w:val="20"/>
          <w:szCs w:val="20"/>
          <w:color w:val="auto"/>
        </w:rPr>
      </w:pPr>
    </w:p>
    <w:p>
      <w:pPr>
        <w:ind w:left="60"/>
        <w:spacing w:after="0" w:line="259" w:lineRule="auto"/>
        <w:rPr>
          <w:sz w:val="20"/>
          <w:szCs w:val="20"/>
          <w:color w:val="auto"/>
        </w:rPr>
      </w:pPr>
      <w:r>
        <w:rPr>
          <w:rFonts w:ascii="Arial" w:cs="Arial" w:eastAsia="Arial" w:hAnsi="Arial"/>
          <w:sz w:val="18"/>
          <w:szCs w:val="18"/>
          <w:color w:val="auto"/>
        </w:rPr>
        <w:t>Trigran Investments, Inc. provides investment advisory services to Trigran Investments, L.P., a private investment partnership for which Trigran Investments, Inc. has sole investment discretion and voting authority. Trigran Investments, L.P. beneficially owns more than five percent of the class of securities to which this Schedule 13G relates and has separately filed a Schedule 13G to disclose its holdings. The shares beneficially owned by Trigran Investments, L.P. are also included in the total number of shares referenced in this Schedule 13G.</w:t>
      </w:r>
    </w:p>
    <w:p>
      <w:pPr>
        <w:sectPr>
          <w:pgSz w:w="11900" w:h="16838" w:orient="portrait"/>
          <w:cols w:equalWidth="0" w:num="1">
            <w:col w:w="11040"/>
          </w:cols>
          <w:pgMar w:left="320" w:top="341" w:right="539" w:bottom="1440" w:gutter="0" w:footer="0" w:header="0"/>
        </w:sectPr>
      </w:pPr>
    </w:p>
    <w:p>
      <w:pPr>
        <w:spacing w:after="0" w:line="291"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58" w:lineRule="exact"/>
        <w:rPr>
          <w:sz w:val="20"/>
          <w:szCs w:val="20"/>
          <w:color w:val="auto"/>
        </w:rPr>
      </w:pPr>
    </w:p>
    <w:p>
      <w:pPr>
        <w:sectPr>
          <w:pgSz w:w="11900" w:h="16838" w:orient="portrait"/>
          <w:cols w:equalWidth="0" w:num="2">
            <w:col w:w="560" w:space="600"/>
            <w:col w:w="9880"/>
          </w:cols>
          <w:pgMar w:left="320" w:top="341" w:right="539" w:bottom="1440" w:gutter="0" w:footer="0" w:header="0"/>
          <w:type w:val="continuous"/>
        </w:sectPr>
      </w:pPr>
    </w:p>
    <w:p>
      <w:pPr>
        <w:ind w:left="242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040"/>
          </w:cols>
          <w:pgMar w:left="320" w:top="341" w:right="539" w:bottom="1440" w:gutter="0" w:footer="0" w:header="0"/>
          <w:type w:val="continuous"/>
        </w:sectPr>
      </w:pPr>
    </w:p>
    <w:p>
      <w:pPr>
        <w:spacing w:after="0" w:line="200" w:lineRule="exact"/>
        <w:rPr>
          <w:sz w:val="20"/>
          <w:szCs w:val="20"/>
          <w:color w:val="auto"/>
        </w:rPr>
      </w:pPr>
    </w:p>
    <w:p>
      <w:pPr>
        <w:spacing w:after="0" w:line="26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Identification and Classification of Members of the Group:</w:t>
      </w:r>
    </w:p>
    <w:p>
      <w:pPr>
        <w:spacing w:after="0" w:line="144" w:lineRule="exact"/>
        <w:rPr>
          <w:sz w:val="20"/>
          <w:szCs w:val="20"/>
          <w:color w:val="auto"/>
        </w:rPr>
      </w:pPr>
    </w:p>
    <w:p>
      <w:pPr>
        <w:sectPr>
          <w:pgSz w:w="11900" w:h="16838" w:orient="portrait"/>
          <w:cols w:equalWidth="0" w:num="2">
            <w:col w:w="560" w:space="600"/>
            <w:col w:w="9880"/>
          </w:cols>
          <w:pgMar w:left="320" w:top="341" w:right="539" w:bottom="1440" w:gutter="0" w:footer="0" w:header="0"/>
          <w:type w:val="continuous"/>
        </w:sectPr>
      </w:pPr>
    </w:p>
    <w:p>
      <w:pPr>
        <w:ind w:left="242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040"/>
          </w:cols>
          <w:pgMar w:left="320" w:top="341" w:right="539" w:bottom="1440" w:gutter="0" w:footer="0" w:header="0"/>
          <w:type w:val="continuous"/>
        </w:sectPr>
      </w:pPr>
    </w:p>
    <w:p>
      <w:pPr>
        <w:spacing w:after="0" w:line="200" w:lineRule="exact"/>
        <w:rPr>
          <w:sz w:val="20"/>
          <w:szCs w:val="20"/>
          <w:color w:val="auto"/>
        </w:rPr>
      </w:pPr>
    </w:p>
    <w:p>
      <w:pPr>
        <w:spacing w:after="0" w:line="26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 of Dissolution of Group:</w:t>
      </w:r>
    </w:p>
    <w:p>
      <w:pPr>
        <w:spacing w:after="0" w:line="144" w:lineRule="exact"/>
        <w:rPr>
          <w:sz w:val="20"/>
          <w:szCs w:val="20"/>
          <w:color w:val="auto"/>
        </w:rPr>
      </w:pPr>
    </w:p>
    <w:p>
      <w:pPr>
        <w:sectPr>
          <w:pgSz w:w="11900" w:h="16838" w:orient="portrait"/>
          <w:cols w:equalWidth="0" w:num="2">
            <w:col w:w="560" w:space="600"/>
            <w:col w:w="9880"/>
          </w:cols>
          <w:pgMar w:left="320" w:top="341" w:right="539" w:bottom="1440" w:gutter="0" w:footer="0" w:header="0"/>
          <w:type w:val="continuous"/>
        </w:sectPr>
      </w:pPr>
    </w:p>
    <w:p>
      <w:pPr>
        <w:ind w:left="242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040"/>
          </w:cols>
          <w:pgMar w:left="320" w:top="341" w:right="539" w:bottom="1440" w:gutter="0" w:footer="0" w:header="0"/>
          <w:type w:val="continuous"/>
        </w:sectPr>
      </w:pPr>
    </w:p>
    <w:p>
      <w:pPr>
        <w:spacing w:after="0" w:line="200" w:lineRule="exact"/>
        <w:rPr>
          <w:sz w:val="20"/>
          <w:szCs w:val="20"/>
          <w:color w:val="auto"/>
        </w:rPr>
      </w:pPr>
    </w:p>
    <w:p>
      <w:pPr>
        <w:spacing w:after="0" w:line="26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Certification:</w:t>
      </w:r>
    </w:p>
    <w:p>
      <w:pPr>
        <w:spacing w:after="0" w:line="144" w:lineRule="exact"/>
        <w:rPr>
          <w:sz w:val="20"/>
          <w:szCs w:val="20"/>
          <w:color w:val="auto"/>
        </w:rPr>
      </w:pPr>
    </w:p>
    <w:p>
      <w:pPr>
        <w:sectPr>
          <w:pgSz w:w="11900" w:h="16838" w:orient="portrait"/>
          <w:cols w:equalWidth="0" w:num="2">
            <w:col w:w="640" w:space="520"/>
            <w:col w:w="9880"/>
          </w:cols>
          <w:pgMar w:left="320" w:top="341" w:right="539" w:bottom="1440" w:gutter="0" w:footer="0" w:header="0"/>
          <w:type w:val="continuous"/>
        </w:sectPr>
      </w:pPr>
    </w:p>
    <w:p>
      <w:pPr>
        <w:jc w:val="both"/>
        <w:ind w:left="60" w:right="80" w:firstLine="1307"/>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040"/>
          </w:cols>
          <w:pgMar w:left="320" w:top="341" w:right="539" w:bottom="1440" w:gutter="0" w:footer="0" w:header="0"/>
          <w:type w:val="continuous"/>
        </w:sectPr>
      </w:pPr>
    </w:p>
    <w:bookmarkStart w:id="10" w:name="page11"/>
    <w:bookmarkEnd w:id="10"/>
    <w:p>
      <w:pPr>
        <w:spacing w:after="0"/>
        <w:tabs>
          <w:tab w:leader="none" w:pos="510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6"/>
          <w:szCs w:val="16"/>
          <w:color w:val="auto"/>
        </w:rPr>
        <w:t>Schedule 13G</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reasonable inquiry and to the best of its knowledge and belief, the undersigned Reporting Persons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11,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TRIGRAN INVESTMENTS,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Lawrence A. Oberman</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Lawrence A. Oberman</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Executive Vice 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Douglas Granat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585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Douglas Granat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Lawrence A. Oberman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585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Lawrence A. Oberman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Steven G.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585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Steven G. Simon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Bradley F.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585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6258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Bradley F. Simon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Steven R. Monieson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585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Steven R. Monieson</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CUSIP No. 125141101</w:t>
            </w:r>
          </w:p>
        </w:tc>
        <w:tc>
          <w:tcPr>
            <w:tcW w:w="6920" w:type="dxa"/>
            <w:vAlign w:val="bottom"/>
            <w:gridSpan w:val="3"/>
          </w:tcPr>
          <w:p>
            <w:pPr>
              <w:jc w:val="center"/>
              <w:ind w:right="4380"/>
              <w:spacing w:after="0"/>
              <w:rPr>
                <w:sz w:val="20"/>
                <w:szCs w:val="20"/>
                <w:color w:val="auto"/>
              </w:rPr>
            </w:pPr>
            <w:r>
              <w:rPr>
                <w:rFonts w:ascii="Arial" w:cs="Arial" w:eastAsia="Arial" w:hAnsi="Arial"/>
                <w:sz w:val="18"/>
                <w:szCs w:val="18"/>
                <w:color w:val="auto"/>
                <w:w w:val="89"/>
              </w:rPr>
              <w:t>Schedule 13G</w:t>
            </w:r>
          </w:p>
        </w:tc>
      </w:tr>
      <w:tr>
        <w:trPr>
          <w:trHeight w:val="392"/>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INDEX TO EXHIBITS</w:t>
            </w:r>
          </w:p>
        </w:tc>
        <w:tc>
          <w:tcPr>
            <w:tcW w:w="5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5"/>
        </w:trPr>
        <w:tc>
          <w:tcPr>
            <w:tcW w:w="1800" w:type="dxa"/>
            <w:vAlign w:val="bottom"/>
            <w:tcBorders>
              <w:top w:val="single" w:sz="8" w:color="auto"/>
            </w:tcBorders>
          </w:tcPr>
          <w:p>
            <w:pPr>
              <w:spacing w:after="0"/>
              <w:rPr>
                <w:sz w:val="24"/>
                <w:szCs w:val="24"/>
                <w:color w:val="auto"/>
              </w:rPr>
            </w:pPr>
          </w:p>
        </w:tc>
        <w:tc>
          <w:tcPr>
            <w:tcW w:w="256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26"/>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EXHIBIT 1: Agreement to Make a Joint Filing</w:t>
            </w:r>
          </w:p>
        </w:tc>
        <w:tc>
          <w:tcPr>
            <w:tcW w:w="69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w:t>
            </w:r>
          </w:p>
        </w:tc>
      </w:tr>
      <w:tr>
        <w:trPr>
          <w:trHeight w:val="432"/>
        </w:trPr>
        <w:tc>
          <w:tcPr>
            <w:tcW w:w="18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880" w:type="dxa"/>
            <w:vAlign w:val="bottom"/>
          </w:tcPr>
          <w:p>
            <w:pPr>
              <w:jc w:val="right"/>
              <w:ind w:right="4430"/>
              <w:spacing w:after="0"/>
              <w:rPr>
                <w:sz w:val="20"/>
                <w:szCs w:val="20"/>
                <w:color w:val="auto"/>
              </w:rPr>
            </w:pPr>
            <w:r>
              <w:rPr>
                <w:rFonts w:ascii="Arial" w:cs="Arial" w:eastAsia="Arial" w:hAnsi="Arial"/>
                <w:sz w:val="18"/>
                <w:szCs w:val="18"/>
                <w:color w:val="auto"/>
              </w:rPr>
              <w:t>12</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800" w:type="dxa"/>
            <w:vAlign w:val="bottom"/>
            <w:tcBorders>
              <w:bottom w:val="single" w:sz="8" w:color="808080"/>
            </w:tcBorders>
          </w:tcPr>
          <w:p>
            <w:pPr>
              <w:spacing w:after="0"/>
              <w:rPr>
                <w:sz w:val="11"/>
                <w:szCs w:val="11"/>
                <w:color w:val="auto"/>
              </w:rPr>
            </w:pPr>
          </w:p>
        </w:tc>
        <w:tc>
          <w:tcPr>
            <w:tcW w:w="2560" w:type="dxa"/>
            <w:vAlign w:val="bottom"/>
            <w:tcBorders>
              <w:bottom w:val="single" w:sz="8" w:color="808080"/>
            </w:tcBorders>
          </w:tcPr>
          <w:p>
            <w:pPr>
              <w:spacing w:after="0"/>
              <w:rPr>
                <w:sz w:val="11"/>
                <w:szCs w:val="11"/>
                <w:color w:val="auto"/>
              </w:rPr>
            </w:pPr>
          </w:p>
        </w:tc>
        <w:tc>
          <w:tcPr>
            <w:tcW w:w="588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1 TO SCHEDULE 13G</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11, 2021</w:t>
      </w:r>
    </w:p>
    <w:p>
      <w:pPr>
        <w:spacing w:after="0" w:line="225"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In accordance with Rule 13d-1(k)(1) under the Securities Exchange Act of 1934, as amended, TRIGRAN INVESTMENTS, INC., DOUGLAS GRANAT, LAWRENCE A. OBERMAN, STEVEN G. SIMON, BRADLEY F. SIMON and STEVEN R. MONIESON each hereby agree to the joint filing of this statement on Schedule 13G (including any and all amendments hereto). In addition, each party to this Agreement expressly authorizes each other party to this Agreement to file on its behalf any and all amendments to such Statement on Schedule 13G. A copy of this Agreement shall be attached as an exhibit to the Statement on Schedule 13G filed on behalf of each of the parties hereto, to which this Agreement relates.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may be executed in multiple counterparts, each of which shall constitute an original, one and the same instrument.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TRIGRAN INVESTMENTS,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Lawrence A. Oberman</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Lawrence A. Oberman</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Executive Vice 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Douglas Granat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585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6258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Douglas Granat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Lawrence A. Oberman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585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Lawrence A. Oberman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Steven G.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585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Steven G. Simon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Bradley F.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585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6258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Bradley F. Simon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Steven R. Monieson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585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Steven R. Monieson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x"/>
      <w:numFmt w:val="bullet"/>
      <w:start w:val="1"/>
    </w:lvl>
  </w:abstractNum>
  <w:abstractNum w:abstractNumId="1">
    <w:nsid w:val="2443A858"/>
    <w:multiLevelType w:val="hybridMultilevel"/>
    <w:lvl w:ilvl="0">
      <w:lvlJc w:val="left"/>
      <w:lvlText w:val="%1."/>
      <w:numFmt w:val="decimal"/>
      <w:start w:val="1"/>
    </w:lvl>
  </w:abstractNum>
  <w:abstractNum w:abstractNumId="2">
    <w:nsid w:val="2D1D5AE9"/>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3">
    <w:nsid w:val="6763845E"/>
    <w:multiLevelType w:val="hybridMultilevel"/>
    <w:lvl w:ilvl="0">
      <w:lvlJc w:val="left"/>
      <w:lvlText w:val="%1."/>
      <w:numFmt w:val="decimal"/>
      <w:start w:val="3"/>
    </w:lvl>
    <w:lvl w:ilvl="1">
      <w:lvlJc w:val="left"/>
      <w:lvlText w:val="%2"/>
      <w:numFmt w:val="lowerLetter"/>
      <w:start w:val="1"/>
    </w:lvl>
    <w:lvl w:ilvl="2">
      <w:lvlJc w:val="left"/>
      <w:lvlText w:val="%3."/>
      <w:numFmt w:val="decimal"/>
      <w:start w:val="5"/>
    </w:lvl>
  </w:abstractNum>
  <w:abstractNum w:abstractNumId="4">
    <w:nsid w:val="75A2A8D4"/>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5">
    <w:nsid w:val="8EDBDAB"/>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6">
    <w:nsid w:val="79838CB2"/>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9">
    <w:nsid w:val="189A769B"/>
    <w:multiLevelType w:val="hybridMultilevel"/>
    <w:lvl w:ilvl="0">
      <w:lvlJc w:val="left"/>
      <w:lvlText w:val="%1."/>
      <w:numFmt w:val="decimal"/>
      <w:start w:val="3"/>
    </w:lvl>
    <w:lvl w:ilvl="1">
      <w:lvlJc w:val="left"/>
      <w:lvlText w:val="%2"/>
      <w:numFmt w:val="lowerLetter"/>
      <w:start w:val="1"/>
    </w:lvl>
    <w:lvl w:ilvl="2">
      <w:lvlJc w:val="left"/>
      <w:lvlText w:val="%3."/>
      <w:numFmt w:val="decimal"/>
      <w:start w:val="5"/>
    </w:lvl>
  </w:abstractNum>
  <w:abstractNum w:abstractNumId="10">
    <w:nsid w:val="54E49EB4"/>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11">
    <w:nsid w:val="71F32454"/>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12">
    <w:nsid w:val="2CA88611"/>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5">
    <w:nsid w:val="3A95F874"/>
    <w:multiLevelType w:val="hybridMultilevel"/>
    <w:lvl w:ilvl="0">
      <w:lvlJc w:val="left"/>
      <w:lvlText w:val="%1."/>
      <w:numFmt w:val="decimal"/>
      <w:start w:val="3"/>
    </w:lvl>
    <w:lvl w:ilvl="1">
      <w:lvlJc w:val="left"/>
      <w:lvlText w:val="%2"/>
      <w:numFmt w:val="lowerLetter"/>
      <w:start w:val="1"/>
    </w:lvl>
    <w:lvl w:ilvl="2">
      <w:lvlJc w:val="left"/>
      <w:lvlText w:val="%3."/>
      <w:numFmt w:val="decimal"/>
      <w:start w:val="5"/>
    </w:lvl>
  </w:abstractNum>
  <w:abstractNum w:abstractNumId="16">
    <w:nsid w:val="8138641"/>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17">
    <w:nsid w:val="1E7FF521"/>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18">
    <w:nsid w:val="7C3DBD3D"/>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9">
    <w:nsid w:val="737B8DDC"/>
    <w:multiLevelType w:val="hybridMultilevel"/>
    <w:lvl w:ilvl="0">
      <w:lvlJc w:val="left"/>
      <w:lvlText w:val="%1."/>
      <w:numFmt w:val="decimal"/>
      <w:start w:val="1"/>
    </w:lvl>
  </w:abstractNum>
  <w:abstractNum w:abstractNumId="20">
    <w:nsid w:val="6CEAF087"/>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21">
    <w:nsid w:val="22221A70"/>
    <w:multiLevelType w:val="hybridMultilevel"/>
    <w:lvl w:ilvl="0">
      <w:lvlJc w:val="left"/>
      <w:lvlText w:val="%1."/>
      <w:numFmt w:val="decimal"/>
      <w:start w:val="3"/>
    </w:lvl>
    <w:lvl w:ilvl="1">
      <w:lvlJc w:val="left"/>
      <w:lvlText w:val="%2"/>
      <w:numFmt w:val="lowerLetter"/>
      <w:start w:val="1"/>
    </w:lvl>
    <w:lvl w:ilvl="2">
      <w:lvlJc w:val="left"/>
      <w:lvlText w:val="%3."/>
      <w:numFmt w:val="decimal"/>
      <w:start w:val="5"/>
    </w:lvl>
  </w:abstractNum>
  <w:abstractNum w:abstractNumId="22">
    <w:nsid w:val="4516DDE9"/>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23">
    <w:nsid w:val="3006C83E"/>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24">
    <w:nsid w:val="614FD4A1"/>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5">
    <w:nsid w:val="419AC241"/>
    <w:multiLevelType w:val="hybridMultilevel"/>
    <w:lvl w:ilvl="0">
      <w:lvlJc w:val="left"/>
      <w:lvlText w:val="%1."/>
      <w:numFmt w:val="decimal"/>
      <w:start w:val="1"/>
    </w:lvl>
  </w:abstractNum>
  <w:abstractNum w:abstractNumId="26">
    <w:nsid w:val="5577F8E1"/>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27">
    <w:nsid w:val="440BADFC"/>
    <w:multiLevelType w:val="hybridMultilevel"/>
    <w:lvl w:ilvl="0">
      <w:lvlJc w:val="left"/>
      <w:lvlText w:val="%1."/>
      <w:numFmt w:val="decimal"/>
      <w:start w:val="3"/>
    </w:lvl>
    <w:lvl w:ilvl="1">
      <w:lvlJc w:val="left"/>
      <w:lvlText w:val="%2"/>
      <w:numFmt w:val="lowerLetter"/>
      <w:start w:val="1"/>
    </w:lvl>
    <w:lvl w:ilvl="2">
      <w:lvlJc w:val="left"/>
      <w:lvlText w:val="%3."/>
      <w:numFmt w:val="decimal"/>
      <w:start w:val="5"/>
    </w:lvl>
  </w:abstractNum>
  <w:abstractNum w:abstractNumId="28">
    <w:nsid w:val="5072367"/>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29">
    <w:nsid w:val="3804823E"/>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30">
    <w:nsid w:val="77465F01"/>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31">
    <w:nsid w:val="7724C67E"/>
    <w:multiLevelType w:val="hybridMultilevel"/>
    <w:lvl w:ilvl="0">
      <w:lvlJc w:val="left"/>
      <w:lvlText w:val="%1."/>
      <w:numFmt w:val="decimal"/>
      <w:start w:val="1"/>
    </w:lvl>
  </w:abstractNum>
  <w:abstractNum w:abstractNumId="32">
    <w:nsid w:val="5C482A97"/>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33">
    <w:nsid w:val="2463B9EA"/>
    <w:multiLevelType w:val="hybridMultilevel"/>
    <w:lvl w:ilvl="0">
      <w:lvlJc w:val="left"/>
      <w:lvlText w:val="%1."/>
      <w:numFmt w:val="decimal"/>
      <w:start w:val="3"/>
    </w:lvl>
    <w:lvl w:ilvl="1">
      <w:lvlJc w:val="left"/>
      <w:lvlText w:val="%2"/>
      <w:numFmt w:val="lowerLetter"/>
      <w:start w:val="1"/>
    </w:lvl>
    <w:lvl w:ilvl="2">
      <w:lvlJc w:val="left"/>
      <w:lvlText w:val="%3."/>
      <w:numFmt w:val="decimal"/>
      <w:start w:val="5"/>
    </w:lvl>
  </w:abstractNum>
  <w:abstractNum w:abstractNumId="34">
    <w:nsid w:val="5E884ADC"/>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35">
    <w:nsid w:val="51EAD36B"/>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36">
    <w:nsid w:val="2D517796"/>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37">
    <w:nsid w:val="580BD78F"/>
    <w:multiLevelType w:val="hybridMultilevel"/>
    <w:lvl w:ilvl="0">
      <w:lvlJc w:val="left"/>
      <w:lvlText w:val="(%1)"/>
      <w:numFmt w:val="lowerLetter"/>
      <w:start w:val="1"/>
    </w:lvl>
  </w:abstractNum>
  <w:abstractNum w:abstractNumId="38">
    <w:nsid w:val="153EA438"/>
    <w:multiLevelType w:val="hybridMultilevel"/>
    <w:lvl w:ilvl="0">
      <w:lvlJc w:val="left"/>
      <w:lvlText w:val="(%1)"/>
      <w:numFmt w:val="lowerLetter"/>
      <w:start w:val="1"/>
    </w:lvl>
  </w:abstractNum>
  <w:abstractNum w:abstractNumId="39">
    <w:nsid w:val="3855585C"/>
    <w:multiLevelType w:val="hybridMultilevel"/>
    <w:lvl w:ilvl="0">
      <w:lvlJc w:val="left"/>
      <w:lvlText w:val="(%1)"/>
      <w:numFmt w:val="lowerRoman"/>
      <w:start w:val="1"/>
    </w:lvl>
  </w:abstractNum>
  <w:abstractNum w:abstractNumId="40">
    <w:nsid w:val="70A64E2A"/>
    <w:multiLevelType w:val="hybridMultilevel"/>
    <w:lvl w:ilvl="0">
      <w:lvlJc w:val="left"/>
      <w:lvlText w:val="(%1)"/>
      <w:numFmt w:val="lowerRoman"/>
      <w:start w:val="2"/>
    </w:lvl>
  </w:abstractNum>
  <w:abstractNum w:abstractNumId="41">
    <w:nsid w:val="6A2342EC"/>
    <w:multiLevelType w:val="hybridMultilevel"/>
    <w:lvl w:ilvl="0">
      <w:lvlJc w:val="left"/>
      <w:lvlText w:val="%1"/>
      <w:numFmt w:val="decimal"/>
      <w:start w:val="1"/>
    </w:lvl>
    <w:lvl w:ilvl="1">
      <w:lvlJc w:val="left"/>
      <w:lvlText w:val="(%2)"/>
      <w:numFmt w:val="lowerRoman"/>
      <w:start w:val="3"/>
    </w:lvl>
  </w:abstractNum>
  <w:abstractNum w:abstractNumId="42">
    <w:nsid w:val="2A487CB0"/>
    <w:multiLevelType w:val="hybridMultilevel"/>
    <w:lvl w:ilvl="0">
      <w:lvlJc w:val="left"/>
      <w:lvlText w:val="(%1)"/>
      <w:numFmt w:val="decimal"/>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2021-02-11T05:39:05Z</dcterms:created>
  <dcterms:modified xsi:type="dcterms:W3CDTF">2021-02-11T05:39:05Z</dcterms:modified>
</cp:coreProperties>
</file>