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179705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194945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39" w:lineRule="exact"/>
        <w:rPr>
          <w:sz w:val="24"/>
          <w:szCs w:val="24"/>
          <w:color w:val="auto"/>
        </w:rPr>
      </w:pPr>
    </w:p>
    <w:p>
      <w:pPr>
        <w:jc w:val="center"/>
        <w:ind w:right="-84"/>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8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113030</wp:posOffset>
            </wp:positionV>
            <wp:extent cx="16510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1000" cy="7620"/>
                    </a:xfrm>
                    <a:prstGeom prst="rect">
                      <a:avLst/>
                    </a:prstGeom>
                    <a:noFill/>
                  </pic:spPr>
                </pic:pic>
              </a:graphicData>
            </a:graphic>
          </wp:anchor>
        </w:drawing>
      </w:r>
    </w:p>
    <w:p>
      <w:pPr>
        <w:spacing w:after="0" w:line="285" w:lineRule="exact"/>
        <w:rPr>
          <w:sz w:val="24"/>
          <w:szCs w:val="24"/>
          <w:color w:val="auto"/>
        </w:rPr>
      </w:pPr>
    </w:p>
    <w:p>
      <w:pPr>
        <w:jc w:val="center"/>
        <w:ind w:right="-84"/>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138430</wp:posOffset>
            </wp:positionV>
            <wp:extent cx="16510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1000" cy="7620"/>
                    </a:xfrm>
                    <a:prstGeom prst="rect">
                      <a:avLst/>
                    </a:prstGeom>
                    <a:noFill/>
                  </pic:spPr>
                </pic:pic>
              </a:graphicData>
            </a:graphic>
          </wp:anchor>
        </w:drawing>
      </w:r>
    </w:p>
    <w:p>
      <w:pPr>
        <w:spacing w:after="0" w:line="328" w:lineRule="exact"/>
        <w:rPr>
          <w:sz w:val="24"/>
          <w:szCs w:val="24"/>
          <w:color w:val="auto"/>
        </w:rPr>
      </w:pPr>
    </w:p>
    <w:p>
      <w:pPr>
        <w:jc w:val="center"/>
        <w:ind w:right="-84"/>
        <w:spacing w:after="0"/>
        <w:rPr>
          <w:sz w:val="20"/>
          <w:szCs w:val="20"/>
          <w:color w:val="auto"/>
        </w:rPr>
      </w:pPr>
      <w:r>
        <w:rPr>
          <w:rFonts w:ascii="Arial" w:cs="Arial" w:eastAsia="Arial" w:hAnsi="Arial"/>
          <w:sz w:val="19"/>
          <w:szCs w:val="19"/>
          <w:b w:val="1"/>
          <w:bCs w:val="1"/>
          <w:color w:val="auto"/>
        </w:rPr>
        <w:t>CURRENT REPORT</w:t>
      </w:r>
    </w:p>
    <w:p>
      <w:pPr>
        <w:spacing w:after="0" w:line="14" w:lineRule="exact"/>
        <w:rPr>
          <w:sz w:val="24"/>
          <w:szCs w:val="24"/>
          <w:color w:val="auto"/>
        </w:rPr>
      </w:pPr>
    </w:p>
    <w:p>
      <w:pPr>
        <w:jc w:val="center"/>
        <w:ind w:right="-84"/>
        <w:spacing w:after="0"/>
        <w:rPr>
          <w:sz w:val="20"/>
          <w:szCs w:val="20"/>
          <w:color w:val="auto"/>
        </w:rPr>
      </w:pPr>
      <w:r>
        <w:rPr>
          <w:rFonts w:ascii="Arial" w:cs="Arial" w:eastAsia="Arial" w:hAnsi="Arial"/>
          <w:sz w:val="19"/>
          <w:szCs w:val="19"/>
          <w:b w:val="1"/>
          <w:bCs w:val="1"/>
          <w:color w:val="auto"/>
        </w:rPr>
        <w:t>Pursuant to Section 13 or 15(d)</w:t>
      </w:r>
    </w:p>
    <w:p>
      <w:pPr>
        <w:jc w:val="center"/>
        <w:ind w:right="-84"/>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46" w:lineRule="exact"/>
        <w:rPr>
          <w:sz w:val="24"/>
          <w:szCs w:val="24"/>
          <w:color w:val="auto"/>
        </w:rPr>
      </w:pPr>
    </w:p>
    <w:p>
      <w:pPr>
        <w:jc w:val="center"/>
        <w:ind w:right="-84"/>
        <w:spacing w:after="0"/>
        <w:rPr>
          <w:sz w:val="20"/>
          <w:szCs w:val="20"/>
          <w:color w:val="auto"/>
        </w:rPr>
      </w:pPr>
      <w:r>
        <w:rPr>
          <w:rFonts w:ascii="Arial" w:cs="Arial" w:eastAsia="Arial" w:hAnsi="Arial"/>
          <w:sz w:val="18"/>
          <w:szCs w:val="18"/>
          <w:b w:val="1"/>
          <w:bCs w:val="1"/>
          <w:color w:val="auto"/>
        </w:rPr>
        <w:t>Date of Report (Date of earliest event reported):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134620</wp:posOffset>
            </wp:positionV>
            <wp:extent cx="16510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1000" cy="7620"/>
                    </a:xfrm>
                    <a:prstGeom prst="rect">
                      <a:avLst/>
                    </a:prstGeom>
                    <a:noFill/>
                  </pic:spPr>
                </pic:pic>
              </a:graphicData>
            </a:graphic>
          </wp:anchor>
        </w:drawing>
      </w:r>
    </w:p>
    <w:p>
      <w:pPr>
        <w:spacing w:after="0" w:line="310" w:lineRule="exact"/>
        <w:rPr>
          <w:sz w:val="24"/>
          <w:szCs w:val="24"/>
          <w:color w:val="auto"/>
        </w:rPr>
      </w:pPr>
    </w:p>
    <w:p>
      <w:pPr>
        <w:jc w:val="center"/>
        <w:ind w:right="-84"/>
        <w:spacing w:after="0"/>
        <w:rPr>
          <w:sz w:val="20"/>
          <w:szCs w:val="20"/>
          <w:color w:val="auto"/>
        </w:rPr>
      </w:pPr>
      <w:r>
        <w:rPr>
          <w:rFonts w:ascii="Arial" w:cs="Arial" w:eastAsia="Arial" w:hAnsi="Arial"/>
          <w:sz w:val="29"/>
          <w:szCs w:val="29"/>
          <w:b w:val="1"/>
          <w:bCs w:val="1"/>
          <w:color w:val="auto"/>
        </w:rPr>
        <w:t>CECO ENVIRONMENTAL CORP.</w:t>
      </w:r>
    </w:p>
    <w:p>
      <w:pPr>
        <w:spacing w:after="0" w:line="27" w:lineRule="exact"/>
        <w:rPr>
          <w:sz w:val="24"/>
          <w:szCs w:val="24"/>
          <w:color w:val="auto"/>
        </w:rPr>
      </w:pPr>
    </w:p>
    <w:p>
      <w:pPr>
        <w:jc w:val="center"/>
        <w:ind w:right="-84"/>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116840</wp:posOffset>
            </wp:positionV>
            <wp:extent cx="16510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1000" cy="7620"/>
                    </a:xfrm>
                    <a:prstGeom prst="rect">
                      <a:avLst/>
                    </a:prstGeom>
                    <a:noFill/>
                  </pic:spPr>
                </pic:pic>
              </a:graphicData>
            </a:graphic>
          </wp:anchor>
        </w:drawing>
      </w:r>
    </w:p>
    <w:p>
      <w:pPr>
        <w:sectPr>
          <w:pgSz w:w="11900" w:h="16838" w:orient="portrait"/>
          <w:cols w:equalWidth="0" w:num="1">
            <w:col w:w="11165"/>
          </w:cols>
          <w:pgMar w:left="315" w:top="362" w:right="419" w:bottom="1440" w:gutter="0" w:footer="0" w:header="0"/>
        </w:sectPr>
      </w:pPr>
    </w:p>
    <w:p>
      <w:pPr>
        <w:spacing w:after="0" w:line="358" w:lineRule="exact"/>
        <w:rPr>
          <w:sz w:val="24"/>
          <w:szCs w:val="24"/>
          <w:color w:val="auto"/>
        </w:rPr>
      </w:pPr>
    </w:p>
    <w:p>
      <w:pPr>
        <w:ind w:left="148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ind w:right="2400"/>
        <w:spacing w:after="0"/>
        <w:rPr>
          <w:sz w:val="20"/>
          <w:szCs w:val="20"/>
          <w:color w:val="auto"/>
        </w:rPr>
      </w:pPr>
      <w:r>
        <w:rPr>
          <w:rFonts w:ascii="Arial" w:cs="Arial" w:eastAsia="Arial" w:hAnsi="Arial"/>
          <w:sz w:val="14"/>
          <w:szCs w:val="14"/>
          <w:b w:val="1"/>
          <w:bCs w:val="1"/>
          <w:color w:val="auto"/>
        </w:rPr>
        <w:t>000-7099</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13-2566064</w:t>
      </w:r>
    </w:p>
    <w:p>
      <w:pPr>
        <w:spacing w:after="0" w:line="22" w:lineRule="exact"/>
        <w:rPr>
          <w:sz w:val="24"/>
          <w:szCs w:val="24"/>
          <w:color w:val="auto"/>
        </w:rPr>
      </w:pPr>
    </w:p>
    <w:p>
      <w:pPr>
        <w:sectPr>
          <w:pgSz w:w="11900" w:h="16838" w:orient="portrait"/>
          <w:cols w:equalWidth="0" w:num="3">
            <w:col w:w="4625" w:space="720"/>
            <w:col w:w="3000" w:space="720"/>
            <w:col w:w="2100"/>
          </w:cols>
          <w:pgMar w:left="315" w:top="362" w:right="419" w:bottom="1440" w:gutter="0" w:footer="0" w:header="0"/>
          <w:type w:val="continuous"/>
        </w:sectPr>
      </w:pPr>
    </w:p>
    <w:p>
      <w:pPr>
        <w:spacing w:after="0" w:line="23" w:lineRule="exact"/>
        <w:rPr>
          <w:sz w:val="24"/>
          <w:szCs w:val="24"/>
          <w:color w:val="auto"/>
        </w:rPr>
      </w:pPr>
    </w:p>
    <w:p>
      <w:pPr>
        <w:jc w:val="center"/>
        <w:ind w:right="955"/>
        <w:spacing w:after="0"/>
        <w:rPr>
          <w:sz w:val="20"/>
          <w:szCs w:val="20"/>
          <w:color w:val="auto"/>
        </w:rPr>
      </w:pPr>
      <w:r>
        <w:rPr>
          <w:rFonts w:ascii="Arial" w:cs="Arial" w:eastAsia="Arial" w:hAnsi="Arial"/>
          <w:sz w:val="11"/>
          <w:szCs w:val="11"/>
          <w:b w:val="1"/>
          <w:bCs w:val="1"/>
          <w:color w:val="auto"/>
        </w:rPr>
        <w:t>(State or other jurisdiction</w:t>
      </w:r>
    </w:p>
    <w:p>
      <w:pPr>
        <w:jc w:val="center"/>
        <w:ind w:right="955"/>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3"/>
          <w:szCs w:val="13"/>
          <w:b w:val="1"/>
          <w:bCs w:val="1"/>
          <w:color w:val="auto"/>
        </w:rPr>
        <w:t>(IRS Employer</w:t>
      </w:r>
    </w:p>
    <w:p>
      <w:pPr>
        <w:jc w:val="center"/>
        <w:ind w:right="1220"/>
        <w:spacing w:after="0"/>
        <w:rPr>
          <w:sz w:val="20"/>
          <w:szCs w:val="20"/>
          <w:color w:val="auto"/>
        </w:rPr>
      </w:pPr>
      <w:r>
        <w:rPr>
          <w:rFonts w:ascii="Arial" w:cs="Arial" w:eastAsia="Arial" w:hAnsi="Arial"/>
          <w:sz w:val="11"/>
          <w:szCs w:val="11"/>
          <w:b w:val="1"/>
          <w:bCs w:val="1"/>
          <w:color w:val="auto"/>
        </w:rPr>
        <w:t>Identification No.)</w:t>
      </w:r>
    </w:p>
    <w:p>
      <w:pPr>
        <w:spacing w:after="0" w:line="185" w:lineRule="exact"/>
        <w:rPr>
          <w:sz w:val="24"/>
          <w:szCs w:val="24"/>
          <w:color w:val="auto"/>
        </w:rPr>
      </w:pPr>
    </w:p>
    <w:p>
      <w:pPr>
        <w:sectPr>
          <w:pgSz w:w="11900" w:h="16838" w:orient="portrait"/>
          <w:cols w:equalWidth="0" w:num="3">
            <w:col w:w="4565" w:space="720"/>
            <w:col w:w="2960" w:space="720"/>
            <w:col w:w="2200"/>
          </w:cols>
          <w:pgMar w:left="315" w:top="362" w:right="419" w:bottom="1440" w:gutter="0" w:footer="0" w:header="0"/>
          <w:type w:val="continuous"/>
        </w:sectPr>
      </w:pPr>
    </w:p>
    <w:p>
      <w:pPr>
        <w:jc w:val="center"/>
        <w:ind w:right="5635"/>
        <w:spacing w:after="0"/>
        <w:rPr>
          <w:sz w:val="20"/>
          <w:szCs w:val="20"/>
          <w:color w:val="auto"/>
        </w:rPr>
      </w:pPr>
      <w:r>
        <w:rPr>
          <w:rFonts w:ascii="Arial" w:cs="Arial" w:eastAsia="Arial" w:hAnsi="Arial"/>
          <w:sz w:val="14"/>
          <w:szCs w:val="14"/>
          <w:b w:val="1"/>
          <w:bCs w:val="1"/>
          <w:color w:val="auto"/>
        </w:rPr>
        <w:t>14651 North Dallas Parkway</w:t>
      </w:r>
    </w:p>
    <w:p>
      <w:pPr>
        <w:spacing w:after="0" w:line="47" w:lineRule="exact"/>
        <w:rPr>
          <w:sz w:val="24"/>
          <w:szCs w:val="24"/>
          <w:color w:val="auto"/>
        </w:rPr>
      </w:pPr>
    </w:p>
    <w:p>
      <w:pPr>
        <w:jc w:val="center"/>
        <w:ind w:right="5635"/>
        <w:spacing w:after="0"/>
        <w:rPr>
          <w:sz w:val="20"/>
          <w:szCs w:val="20"/>
          <w:color w:val="auto"/>
        </w:rPr>
      </w:pPr>
      <w:r>
        <w:rPr>
          <w:rFonts w:ascii="Arial" w:cs="Arial" w:eastAsia="Arial" w:hAnsi="Arial"/>
          <w:sz w:val="16"/>
          <w:szCs w:val="16"/>
          <w:b w:val="1"/>
          <w:bCs w:val="1"/>
          <w:color w:val="auto"/>
        </w:rPr>
        <w:t>Suite 500</w:t>
      </w:r>
    </w:p>
    <w:p>
      <w:pPr>
        <w:sectPr>
          <w:pgSz w:w="11900" w:h="16838" w:orient="portrait"/>
          <w:cols w:equalWidth="0" w:num="1">
            <w:col w:w="11165"/>
          </w:cols>
          <w:pgMar w:left="315" w:top="362" w:right="419" w:bottom="1440" w:gutter="0" w:footer="0" w:header="0"/>
          <w:type w:val="continuous"/>
        </w:sectPr>
      </w:pPr>
    </w:p>
    <w:p>
      <w:pPr>
        <w:spacing w:after="0" w:line="7"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Dallas</w:t>
      </w:r>
      <w:r>
        <w:rPr>
          <w:rFonts w:ascii="Arial" w:cs="Arial" w:eastAsia="Arial" w:hAnsi="Arial"/>
          <w:sz w:val="16"/>
          <w:szCs w:val="16"/>
          <w:b w:val="1"/>
          <w:bCs w:val="1"/>
          <w:color w:val="auto"/>
        </w:rPr>
        <w:t>,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75254</w:t>
      </w:r>
    </w:p>
    <w:p>
      <w:pPr>
        <w:spacing w:after="0" w:line="45" w:lineRule="exact"/>
        <w:rPr>
          <w:sz w:val="24"/>
          <w:szCs w:val="24"/>
          <w:color w:val="auto"/>
        </w:rPr>
      </w:pPr>
    </w:p>
    <w:p>
      <w:pPr>
        <w:sectPr>
          <w:pgSz w:w="11900" w:h="16838" w:orient="portrait"/>
          <w:cols w:equalWidth="0" w:num="2">
            <w:col w:w="7585" w:space="720"/>
            <w:col w:w="2860"/>
          </w:cols>
          <w:pgMar w:left="315" w:top="362" w:right="419" w:bottom="1440" w:gutter="0" w:footer="0" w:header="0"/>
          <w:type w:val="continuous"/>
        </w:sectPr>
      </w:pPr>
    </w:p>
    <w:p>
      <w:pPr>
        <w:ind w:left="1705"/>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15" w:lineRule="exact"/>
        <w:rPr>
          <w:sz w:val="24"/>
          <w:szCs w:val="24"/>
          <w:color w:val="auto"/>
        </w:rPr>
      </w:pPr>
    </w:p>
    <w:p>
      <w:pPr>
        <w:sectPr>
          <w:pgSz w:w="11900" w:h="16838" w:orient="portrait"/>
          <w:cols w:equalWidth="0" w:num="2">
            <w:col w:w="7485" w:space="720"/>
            <w:col w:w="2960"/>
          </w:cols>
          <w:pgMar w:left="315" w:top="362" w:right="419" w:bottom="1440" w:gutter="0" w:footer="0" w:header="0"/>
          <w:type w:val="continuous"/>
        </w:sectPr>
      </w:pPr>
    </w:p>
    <w:p>
      <w:pPr>
        <w:ind w:left="3345"/>
        <w:spacing w:after="0"/>
        <w:rPr>
          <w:sz w:val="20"/>
          <w:szCs w:val="20"/>
          <w:color w:val="auto"/>
        </w:rPr>
      </w:pPr>
      <w:r>
        <w:rPr>
          <w:rFonts w:ascii="Arial" w:cs="Arial" w:eastAsia="Arial" w:hAnsi="Arial"/>
          <w:sz w:val="16"/>
          <w:szCs w:val="16"/>
          <w:b w:val="1"/>
          <w:bCs w:val="1"/>
          <w:color w:val="auto"/>
        </w:rPr>
        <w:t>Registrant’s telephone number, including area code: (214) 357-6181</w:t>
      </w:r>
    </w:p>
    <w:p>
      <w:pPr>
        <w:spacing w:after="0" w:line="154"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85" w:hanging="585"/>
        <w:spacing w:after="0"/>
        <w:tabs>
          <w:tab w:leader="none" w:pos="5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0" w:lineRule="exact"/>
        <w:rPr>
          <w:rFonts w:ascii="MS PGothic" w:cs="MS PGothic" w:eastAsia="MS PGothic" w:hAnsi="MS PGothic"/>
          <w:sz w:val="16"/>
          <w:szCs w:val="16"/>
          <w:color w:val="auto"/>
        </w:rPr>
      </w:pPr>
    </w:p>
    <w:p>
      <w:pPr>
        <w:ind w:left="585" w:hanging="585"/>
        <w:spacing w:after="0"/>
        <w:tabs>
          <w:tab w:leader="none" w:pos="5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0" w:lineRule="exact"/>
        <w:rPr>
          <w:rFonts w:ascii="MS PGothic" w:cs="MS PGothic" w:eastAsia="MS PGothic" w:hAnsi="MS PGothic"/>
          <w:sz w:val="16"/>
          <w:szCs w:val="16"/>
          <w:color w:val="auto"/>
        </w:rPr>
      </w:pPr>
    </w:p>
    <w:p>
      <w:pPr>
        <w:ind w:left="585" w:hanging="585"/>
        <w:spacing w:after="0"/>
        <w:tabs>
          <w:tab w:leader="none" w:pos="5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0" w:lineRule="exact"/>
        <w:rPr>
          <w:rFonts w:ascii="MS PGothic" w:cs="MS PGothic" w:eastAsia="MS PGothic" w:hAnsi="MS PGothic"/>
          <w:sz w:val="16"/>
          <w:szCs w:val="16"/>
          <w:color w:val="auto"/>
        </w:rPr>
      </w:pPr>
    </w:p>
    <w:p>
      <w:pPr>
        <w:ind w:left="3805" w:right="3480" w:hanging="3805"/>
        <w:spacing w:after="0" w:line="433" w:lineRule="auto"/>
        <w:tabs>
          <w:tab w:leader="none" w:pos="592"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245" w:type="dxa"/>
        <w:tblCellMar>
          <w:top w:w="0" w:type="dxa"/>
          <w:left w:w="0" w:type="dxa"/>
          <w:bottom w:w="0" w:type="dxa"/>
          <w:right w:w="0" w:type="dxa"/>
        </w:tblCellMar>
      </w:tblPr>
      <w:tr>
        <w:trPr>
          <w:trHeight w:val="161"/>
        </w:trPr>
        <w:tc>
          <w:tcPr>
            <w:tcW w:w="2900" w:type="dxa"/>
            <w:vAlign w:val="bottom"/>
          </w:tcPr>
          <w:p>
            <w:pPr>
              <w:jc w:val="center"/>
              <w:ind w:right="696"/>
              <w:spacing w:after="0"/>
              <w:rPr>
                <w:sz w:val="20"/>
                <w:szCs w:val="20"/>
                <w:color w:val="auto"/>
              </w:rPr>
            </w:pPr>
            <w:r>
              <w:rPr>
                <w:rFonts w:ascii="Arial" w:cs="Arial" w:eastAsia="Arial" w:hAnsi="Arial"/>
                <w:sz w:val="13"/>
                <w:szCs w:val="13"/>
                <w:color w:val="auto"/>
                <w:w w:val="86"/>
              </w:rPr>
              <w:t>Title of each class</w:t>
            </w:r>
          </w:p>
        </w:tc>
        <w:tc>
          <w:tcPr>
            <w:tcW w:w="2500" w:type="dxa"/>
            <w:vAlign w:val="bottom"/>
          </w:tcPr>
          <w:p>
            <w:pPr>
              <w:jc w:val="center"/>
              <w:ind w:right="56"/>
              <w:spacing w:after="0"/>
              <w:rPr>
                <w:sz w:val="20"/>
                <w:szCs w:val="20"/>
                <w:color w:val="auto"/>
              </w:rPr>
            </w:pPr>
            <w:r>
              <w:rPr>
                <w:rFonts w:ascii="Arial" w:cs="Arial" w:eastAsia="Arial" w:hAnsi="Arial"/>
                <w:sz w:val="13"/>
                <w:szCs w:val="13"/>
                <w:color w:val="auto"/>
                <w:w w:val="90"/>
              </w:rPr>
              <w:t>Trading Symbol</w:t>
            </w:r>
          </w:p>
        </w:tc>
        <w:tc>
          <w:tcPr>
            <w:tcW w:w="3140" w:type="dxa"/>
            <w:vAlign w:val="bottom"/>
          </w:tcPr>
          <w:p>
            <w:pPr>
              <w:jc w:val="center"/>
              <w:ind w:left="816"/>
              <w:spacing w:after="0"/>
              <w:rPr>
                <w:sz w:val="20"/>
                <w:szCs w:val="20"/>
                <w:color w:val="auto"/>
              </w:rPr>
            </w:pPr>
            <w:r>
              <w:rPr>
                <w:rFonts w:ascii="Arial" w:cs="Arial" w:eastAsia="Arial" w:hAnsi="Arial"/>
                <w:sz w:val="13"/>
                <w:szCs w:val="13"/>
                <w:color w:val="auto"/>
                <w:w w:val="87"/>
              </w:rPr>
              <w:t>Name of each exchange on which registered</w:t>
            </w:r>
          </w:p>
        </w:tc>
      </w:tr>
      <w:tr>
        <w:trPr>
          <w:trHeight w:val="179"/>
        </w:trPr>
        <w:tc>
          <w:tcPr>
            <w:tcW w:w="2900" w:type="dxa"/>
            <w:vAlign w:val="bottom"/>
          </w:tcPr>
          <w:p>
            <w:pPr>
              <w:jc w:val="center"/>
              <w:ind w:right="696"/>
              <w:spacing w:after="0"/>
              <w:rPr>
                <w:sz w:val="20"/>
                <w:szCs w:val="20"/>
                <w:color w:val="auto"/>
              </w:rPr>
            </w:pPr>
            <w:r>
              <w:rPr>
                <w:rFonts w:ascii="Arial" w:cs="Arial" w:eastAsia="Arial" w:hAnsi="Arial"/>
                <w:sz w:val="13"/>
                <w:szCs w:val="13"/>
                <w:color w:val="auto"/>
                <w:w w:val="87"/>
              </w:rPr>
              <w:t>Common Stock, par value $0.01 per share</w:t>
            </w:r>
          </w:p>
        </w:tc>
        <w:tc>
          <w:tcPr>
            <w:tcW w:w="2500" w:type="dxa"/>
            <w:vAlign w:val="bottom"/>
          </w:tcPr>
          <w:p>
            <w:pPr>
              <w:jc w:val="center"/>
              <w:ind w:right="56"/>
              <w:spacing w:after="0"/>
              <w:rPr>
                <w:sz w:val="20"/>
                <w:szCs w:val="20"/>
                <w:color w:val="auto"/>
              </w:rPr>
            </w:pPr>
            <w:r>
              <w:rPr>
                <w:rFonts w:ascii="Arial" w:cs="Arial" w:eastAsia="Arial" w:hAnsi="Arial"/>
                <w:sz w:val="13"/>
                <w:szCs w:val="13"/>
                <w:color w:val="auto"/>
                <w:w w:val="94"/>
              </w:rPr>
              <w:t>CECE</w:t>
            </w:r>
          </w:p>
        </w:tc>
        <w:tc>
          <w:tcPr>
            <w:tcW w:w="3140" w:type="dxa"/>
            <w:vAlign w:val="bottom"/>
          </w:tcPr>
          <w:p>
            <w:pPr>
              <w:jc w:val="center"/>
              <w:ind w:left="816"/>
              <w:spacing w:after="0"/>
              <w:rPr>
                <w:sz w:val="20"/>
                <w:szCs w:val="20"/>
                <w:color w:val="auto"/>
              </w:rPr>
            </w:pPr>
            <w:r>
              <w:rPr>
                <w:rFonts w:ascii="Arial" w:cs="Arial" w:eastAsia="Arial" w:hAnsi="Arial"/>
                <w:sz w:val="13"/>
                <w:szCs w:val="13"/>
                <w:color w:val="auto"/>
                <w:w w:val="92"/>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-212725</wp:posOffset>
            </wp:positionV>
            <wp:extent cx="6739255" cy="234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9255" cy="234950"/>
                    </a:xfrm>
                    <a:prstGeom prst="rect">
                      <a:avLst/>
                    </a:prstGeom>
                    <a:noFill/>
                  </pic:spPr>
                </pic:pic>
              </a:graphicData>
            </a:graphic>
          </wp:anchor>
        </w:drawing>
      </w:r>
    </w:p>
    <w:p>
      <w:pPr>
        <w:spacing w:after="0" w:line="144" w:lineRule="exact"/>
        <w:rPr>
          <w:sz w:val="24"/>
          <w:szCs w:val="24"/>
          <w:color w:val="auto"/>
        </w:rPr>
      </w:pPr>
    </w:p>
    <w:p>
      <w:pPr>
        <w:ind w:left="5"/>
        <w:spacing w:after="0" w:line="27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7"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5" w:right="120"/>
        <w:spacing w:after="0" w:line="212"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7148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262255</wp:posOffset>
            </wp:positionV>
            <wp:extent cx="71481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318135</wp:posOffset>
            </wp:positionV>
            <wp:extent cx="717359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165"/>
          </w:cols>
          <w:pgMar w:left="315" w:top="362" w:right="419" w:bottom="1440" w:gutter="0" w:footer="0" w:header="0"/>
          <w:type w:val="continuous"/>
        </w:sectPr>
      </w:pPr>
    </w:p>
    <w:bookmarkStart w:id="1" w:name="page2"/>
    <w:bookmarkEnd w:id="1"/>
    <w:p>
      <w:pPr>
        <w:ind w:left="5"/>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06" w:lineRule="exact"/>
        <w:rPr>
          <w:sz w:val="20"/>
          <w:szCs w:val="20"/>
          <w:color w:val="auto"/>
        </w:rPr>
      </w:pPr>
    </w:p>
    <w:p>
      <w:pPr>
        <w:ind w:left="5" w:right="180"/>
        <w:spacing w:after="0" w:line="274" w:lineRule="auto"/>
        <w:rPr>
          <w:sz w:val="20"/>
          <w:szCs w:val="20"/>
          <w:color w:val="auto"/>
        </w:rPr>
      </w:pPr>
      <w:r>
        <w:rPr>
          <w:rFonts w:ascii="Arial" w:cs="Arial" w:eastAsia="Arial" w:hAnsi="Arial"/>
          <w:sz w:val="16"/>
          <w:szCs w:val="16"/>
          <w:color w:val="auto"/>
        </w:rPr>
        <w:t>On August 3, 2021, CECO Environmental Corp., a Delaware corporation (the “Company”), issued a press release announcing its financial results for the three and six months ended June 30, 2021. A copy of the press release is furnished as Exhibit 99.1 to this report and is incorporated herein by reference.</w:t>
      </w:r>
    </w:p>
    <w:p>
      <w:pPr>
        <w:spacing w:after="0" w:line="152" w:lineRule="exact"/>
        <w:rPr>
          <w:sz w:val="20"/>
          <w:szCs w:val="20"/>
          <w:color w:val="auto"/>
        </w:rPr>
      </w:pPr>
    </w:p>
    <w:p>
      <w:pPr>
        <w:ind w:left="5" w:right="40"/>
        <w:spacing w:after="0" w:line="261" w:lineRule="auto"/>
        <w:rPr>
          <w:sz w:val="20"/>
          <w:szCs w:val="20"/>
          <w:color w:val="auto"/>
        </w:rPr>
      </w:pPr>
      <w:r>
        <w:rPr>
          <w:rFonts w:ascii="Arial" w:cs="Arial" w:eastAsia="Arial" w:hAnsi="Arial"/>
          <w:sz w:val="16"/>
          <w:szCs w:val="16"/>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4"/>
          <w:szCs w:val="14"/>
          <w:color w:val="auto"/>
        </w:rPr>
        <w:t>On August 3, 2021, the Company issued a press release announcing that its Board of Directors authorized the repurchase of up to $5.0 million of the Company’s common stock.</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press release is furnished herewith as Exhibit 99.2.</w:t>
      </w:r>
    </w:p>
    <w:p>
      <w:pPr>
        <w:spacing w:after="0" w:line="185" w:lineRule="exact"/>
        <w:rPr>
          <w:sz w:val="20"/>
          <w:szCs w:val="20"/>
          <w:color w:val="auto"/>
        </w:rPr>
      </w:pPr>
    </w:p>
    <w:p>
      <w:pPr>
        <w:ind w:left="5" w:right="280"/>
        <w:spacing w:after="0" w:line="308" w:lineRule="auto"/>
        <w:rPr>
          <w:sz w:val="20"/>
          <w:szCs w:val="20"/>
          <w:color w:val="auto"/>
        </w:rPr>
      </w:pPr>
      <w:r>
        <w:rPr>
          <w:rFonts w:ascii="Arial" w:cs="Arial" w:eastAsia="Arial" w:hAnsi="Arial"/>
          <w:sz w:val="15"/>
          <w:szCs w:val="15"/>
          <w:color w:val="auto"/>
        </w:rPr>
        <w:t>The information furnished under Item 7.01 in this Form 8-K shall not be deemed “filed” for purposes of Section 18 of the Exchange Act, or incorporated by reference in any filing under the Securities Act of 1933, as amended, or the Exchange Act, except as shall be expressly set forth by specific reference in such filing.</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6" w:lineRule="exact"/>
        <w:rPr>
          <w:sz w:val="20"/>
          <w:szCs w:val="20"/>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Exhibit</w:t>
            </w:r>
          </w:p>
        </w:tc>
        <w:tc>
          <w:tcPr>
            <w:tcW w:w="10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Exhibit Title</w:t>
            </w:r>
          </w:p>
        </w:tc>
        <w:tc>
          <w:tcPr>
            <w:tcW w:w="0" w:type="dxa"/>
            <w:vAlign w:val="bottom"/>
          </w:tcPr>
          <w:p>
            <w:pPr>
              <w:spacing w:after="0"/>
              <w:rPr>
                <w:sz w:val="1"/>
                <w:szCs w:val="1"/>
                <w:color w:val="auto"/>
              </w:rPr>
            </w:pPr>
          </w:p>
        </w:tc>
      </w:tr>
      <w:tr>
        <w:trPr>
          <w:trHeight w:val="151"/>
        </w:trPr>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Number</w:t>
            </w:r>
          </w:p>
        </w:tc>
        <w:tc>
          <w:tcPr>
            <w:tcW w:w="102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9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5900" w:type="dxa"/>
            <w:vAlign w:val="bottom"/>
            <w:tcBorders>
              <w:top w:val="single" w:sz="8" w:color="auto"/>
              <w:bottom w:val="single" w:sz="8" w:color="0000EE"/>
            </w:tcBorders>
            <w:gridSpan w:val="2"/>
          </w:tcPr>
          <w:p>
            <w:pPr>
              <w:spacing w:after="0"/>
              <w:rPr>
                <w:rFonts w:ascii="Arial" w:cs="Arial" w:eastAsia="Arial" w:hAnsi="Arial"/>
                <w:sz w:val="16"/>
                <w:szCs w:val="16"/>
                <w:color w:val="0000EE"/>
                <w:w w:val="88"/>
              </w:rPr>
            </w:pPr>
            <w:hyperlink w:anchor="page4">
              <w:r>
                <w:rPr>
                  <w:rFonts w:ascii="Arial" w:cs="Arial" w:eastAsia="Arial" w:hAnsi="Arial"/>
                  <w:sz w:val="16"/>
                  <w:szCs w:val="16"/>
                  <w:color w:val="0000EE"/>
                  <w:w w:val="88"/>
                </w:rPr>
                <w:t>Press Release, CECO Environmental Reports Second Quarter and Year-to-date 2021 Results</w:t>
              </w:r>
            </w:hyperlink>
          </w:p>
        </w:tc>
        <w:tc>
          <w:tcPr>
            <w:tcW w:w="4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4"/>
                <w:szCs w:val="24"/>
                <w:color w:val="auto"/>
              </w:rPr>
            </w:pPr>
          </w:p>
        </w:tc>
        <w:tc>
          <w:tcPr>
            <w:tcW w:w="10260" w:type="dxa"/>
            <w:vAlign w:val="bottom"/>
            <w:gridSpan w:val="3"/>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 xml:space="preserve">Press Release, CECO Environmental Announces </w:t>
              </w:r>
              <w:r>
                <w:rPr>
                  <w:rFonts w:ascii="Arial" w:cs="Arial" w:eastAsia="Arial" w:hAnsi="Arial"/>
                  <w:sz w:val="16"/>
                  <w:szCs w:val="16"/>
                  <w:u w:val="single" w:color="auto"/>
                  <w:color w:val="0000EE"/>
                </w:rPr>
                <w:t>$</w:t>
              </w:r>
              <w:r>
                <w:rPr>
                  <w:rFonts w:ascii="Arial" w:cs="Arial" w:eastAsia="Arial" w:hAnsi="Arial"/>
                  <w:sz w:val="16"/>
                  <w:szCs w:val="16"/>
                  <w:color w:val="0000EE"/>
                </w:rPr>
                <w:t>5 Million Share Repurchase Program</w:t>
              </w:r>
            </w:hyperlink>
          </w:p>
        </w:tc>
        <w:tc>
          <w:tcPr>
            <w:tcW w:w="0" w:type="dxa"/>
            <w:vAlign w:val="bottom"/>
          </w:tcPr>
          <w:p>
            <w:pPr>
              <w:spacing w:after="0"/>
              <w:rPr>
                <w:sz w:val="1"/>
                <w:szCs w:val="1"/>
                <w:color w:val="auto"/>
              </w:rPr>
            </w:pPr>
          </w:p>
        </w:tc>
      </w:tr>
      <w:tr>
        <w:trPr>
          <w:trHeight w:val="398"/>
        </w:trPr>
        <w:tc>
          <w:tcPr>
            <w:tcW w:w="90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5600" w:type="dxa"/>
            <w:vAlign w:val="bottom"/>
            <w:tcBorders>
              <w:top w:val="single" w:sz="8" w:color="0000EE"/>
            </w:tcBorders>
          </w:tcPr>
          <w:p>
            <w:pPr>
              <w:spacing w:after="0"/>
              <w:rPr>
                <w:sz w:val="20"/>
                <w:szCs w:val="20"/>
                <w:color w:val="auto"/>
              </w:rPr>
            </w:pPr>
            <w:r>
              <w:rPr>
                <w:rFonts w:ascii="Arial" w:cs="Arial" w:eastAsia="Arial" w:hAnsi="Arial"/>
                <w:sz w:val="16"/>
                <w:szCs w:val="16"/>
                <w:color w:val="auto"/>
                <w:w w:val="99"/>
              </w:rPr>
              <w:t>Cover Page Interactive Data File (embedded within the Inline XBRL document).</w:t>
            </w:r>
          </w:p>
        </w:tc>
        <w:tc>
          <w:tcPr>
            <w:tcW w:w="4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326"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August 3, 2021</w:t>
      </w:r>
      <w:r>
        <w:rPr>
          <w:sz w:val="20"/>
          <w:szCs w:val="20"/>
          <w:color w:val="auto"/>
        </w:rPr>
        <w:tab/>
      </w:r>
      <w:r>
        <w:rPr>
          <w:rFonts w:ascii="Arial" w:cs="Arial" w:eastAsia="Arial" w:hAnsi="Arial"/>
          <w:sz w:val="14"/>
          <w:szCs w:val="14"/>
          <w:color w:val="auto"/>
        </w:rPr>
        <w:t>CECO Environmental Corp.</w:t>
      </w:r>
    </w:p>
    <w:p>
      <w:pPr>
        <w:spacing w:after="0" w:line="198"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6"/>
          <w:szCs w:val="16"/>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12065</wp:posOffset>
            </wp:positionV>
            <wp:extent cx="2567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7305" cy="7620"/>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6"/>
          <w:szCs w:val="16"/>
          <w:color w:val="auto"/>
        </w:rPr>
        <w:t>Matthew Eckl</w:t>
      </w:r>
    </w:p>
    <w:p>
      <w:pPr>
        <w:spacing w:after="0" w:line="19"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0800"/>
          </w:cols>
          <w:pgMar w:left="320" w:top="326"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969010" cy="45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CECO Environmental Reports Second Quarter and Year-to-date 2021 Results;</w:t>
      </w:r>
    </w:p>
    <w:p>
      <w:pPr>
        <w:spacing w:after="0" w:line="37" w:lineRule="exact"/>
        <w:rPr>
          <w:sz w:val="20"/>
          <w:szCs w:val="20"/>
          <w:color w:val="auto"/>
        </w:rPr>
      </w:pPr>
    </w:p>
    <w:p>
      <w:pPr>
        <w:ind w:left="360" w:hanging="221"/>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Continued Growth in Backlog and Increases in Revenue Support Second Half Momentum</w:t>
      </w:r>
    </w:p>
    <w:p>
      <w:pPr>
        <w:spacing w:after="0" w:line="23" w:lineRule="exact"/>
        <w:rPr>
          <w:rFonts w:ascii="Arial" w:cs="Arial" w:eastAsia="Arial" w:hAnsi="Arial"/>
          <w:sz w:val="17"/>
          <w:szCs w:val="17"/>
          <w:color w:val="auto"/>
        </w:rPr>
      </w:pPr>
    </w:p>
    <w:p>
      <w:pPr>
        <w:ind w:left="360" w:hanging="221"/>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Company Announces Share Buyback Plan</w:t>
      </w:r>
    </w:p>
    <w:p>
      <w:pPr>
        <w:spacing w:after="0" w:line="224" w:lineRule="exact"/>
        <w:rPr>
          <w:sz w:val="20"/>
          <w:szCs w:val="20"/>
          <w:color w:val="auto"/>
        </w:rPr>
      </w:pPr>
    </w:p>
    <w:p>
      <w:pPr>
        <w:ind w:left="100" w:right="80"/>
        <w:spacing w:after="0" w:line="279" w:lineRule="auto"/>
        <w:rPr>
          <w:sz w:val="20"/>
          <w:szCs w:val="20"/>
          <w:color w:val="auto"/>
        </w:rPr>
      </w:pPr>
      <w:r>
        <w:rPr>
          <w:rFonts w:ascii="Arial" w:cs="Arial" w:eastAsia="Arial" w:hAnsi="Arial"/>
          <w:sz w:val="17"/>
          <w:szCs w:val="17"/>
          <w:b w:val="1"/>
          <w:bCs w:val="1"/>
          <w:color w:val="auto"/>
        </w:rPr>
        <w:t xml:space="preserve">DALLAS, Texas, August 3, 2021 -- CECO Environmental Corp. (Nasdaq: CECE), </w:t>
      </w:r>
      <w:r>
        <w:rPr>
          <w:rFonts w:ascii="Arial" w:cs="Arial" w:eastAsia="Arial" w:hAnsi="Arial"/>
          <w:sz w:val="17"/>
          <w:szCs w:val="17"/>
          <w:color w:val="auto"/>
        </w:rPr>
        <w:t>a leading global air quality and fluid handling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serving the energy, industrial and other niche markets, today reported its financial results for the second quarter of 2021.</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Highlights of the Second Quarter 2021*</w:t>
      </w:r>
    </w:p>
    <w:p>
      <w:pPr>
        <w:spacing w:after="0" w:line="3" w:lineRule="exact"/>
        <w:rPr>
          <w:sz w:val="20"/>
          <w:szCs w:val="20"/>
          <w:color w:val="auto"/>
        </w:rPr>
      </w:pPr>
    </w:p>
    <w:p>
      <w:pPr>
        <w:ind w:left="740" w:hanging="375"/>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of $78.7 million, compared with $75.2 million</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of $25.2 million (32.1% margin), compared with $25.8 million (34.3% margin)</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of $2.1 million, compared with $4.4 million</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Non-GAAP operating income of $4.7 million, compared with $7.4 million</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income of $0.3 million, compared with $3.3 million</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Non-GAAP net income of $3.1 million, compared with $5.1 million</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EBITDA of $6.4 million, compared with $8.2 million</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Bookings of $85.5 million, compared with $60.0 million</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Backlog of $210.0 million, compared with $183.1 million as of December 31, 2020</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Earnings per diluted share of $0.01, compared with $0.09</w:t>
      </w:r>
    </w:p>
    <w:p>
      <w:pPr>
        <w:ind w:left="740" w:hanging="375"/>
        <w:spacing w:after="0" w:line="23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Non-GAAP earnings per diluted share of $0.09, compared with $0.14</w:t>
      </w:r>
    </w:p>
    <w:p>
      <w:pPr>
        <w:ind w:left="740" w:hanging="375"/>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Bank Debt of $68.6 million, compared with $74.0 million as of December 31, 2020</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*All comparisons are versus the comparable prior-year period, unless otherwise stated</w:t>
      </w:r>
    </w:p>
    <w:p>
      <w:pPr>
        <w:spacing w:after="0" w:line="186" w:lineRule="exact"/>
        <w:rPr>
          <w:sz w:val="20"/>
          <w:szCs w:val="20"/>
          <w:color w:val="auto"/>
        </w:rPr>
      </w:pPr>
    </w:p>
    <w:p>
      <w:pPr>
        <w:ind w:left="200" w:right="200"/>
        <w:spacing w:after="0" w:line="243" w:lineRule="auto"/>
        <w:rPr>
          <w:sz w:val="20"/>
          <w:szCs w:val="20"/>
          <w:color w:val="auto"/>
        </w:rPr>
      </w:pPr>
      <w:r>
        <w:rPr>
          <w:rFonts w:ascii="Arial" w:cs="Arial" w:eastAsia="Arial" w:hAnsi="Arial"/>
          <w:sz w:val="17"/>
          <w:szCs w:val="17"/>
          <w:color w:val="auto"/>
        </w:rPr>
        <w:t>Today the company also announced that its Board of Directors approved a new share repurchase program. Under this program, the company intends to repurchase up to $5 million of outstanding CECO Environmental common stock. The repurchase program will terminate at the end of calendar year 2021.</w:t>
      </w:r>
    </w:p>
    <w:p>
      <w:pPr>
        <w:spacing w:after="0" w:line="181" w:lineRule="exact"/>
        <w:rPr>
          <w:sz w:val="20"/>
          <w:szCs w:val="20"/>
          <w:color w:val="auto"/>
        </w:rPr>
      </w:pPr>
    </w:p>
    <w:p>
      <w:pPr>
        <w:ind w:left="200" w:right="320"/>
        <w:spacing w:after="0"/>
        <w:rPr>
          <w:sz w:val="20"/>
          <w:szCs w:val="20"/>
          <w:color w:val="auto"/>
        </w:rPr>
      </w:pPr>
      <w:r>
        <w:rPr>
          <w:rFonts w:ascii="Arial" w:cs="Arial" w:eastAsia="Arial" w:hAnsi="Arial"/>
          <w:sz w:val="17"/>
          <w:szCs w:val="17"/>
          <w:color w:val="auto"/>
        </w:rPr>
        <w:t>Todd Gleason, Chief Executive Officer, commented, “I am very pleased with our second quarter and first half 2021 results which continues to build a strong backlog for future revenue. Demand for our environmental solutions across a diversified set of industrial markets gives us conviction that we will deliver renewed revenue growth in the coming periods. Year-to-date our bookings were up over 30 percent, and our opportunity pipeline remains strong and broad based.”</w:t>
      </w:r>
    </w:p>
    <w:p>
      <w:pPr>
        <w:spacing w:after="0" w:line="184" w:lineRule="exact"/>
        <w:rPr>
          <w:sz w:val="20"/>
          <w:szCs w:val="20"/>
          <w:color w:val="auto"/>
        </w:rPr>
      </w:pPr>
    </w:p>
    <w:p>
      <w:pPr>
        <w:ind w:left="200" w:right="440"/>
        <w:spacing w:after="0" w:line="243" w:lineRule="auto"/>
        <w:rPr>
          <w:sz w:val="20"/>
          <w:szCs w:val="20"/>
          <w:color w:val="auto"/>
        </w:rPr>
      </w:pPr>
      <w:r>
        <w:rPr>
          <w:rFonts w:ascii="Arial" w:cs="Arial" w:eastAsia="Arial" w:hAnsi="Arial"/>
          <w:sz w:val="17"/>
          <w:szCs w:val="17"/>
          <w:color w:val="auto"/>
        </w:rPr>
        <w:t>Mr. Gleason added, “Today’s stock buyback announcement reflects our confidence in CECO’s business and our expectations that we will execute our strategic growth plans to deliver strong shareholder value. Our improved business performance and healthy balance sheet has positioned CECO to drive strategic acquisitions, invest in our core businesses and return cash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71481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495935</wp:posOffset>
            </wp:positionV>
            <wp:extent cx="71481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18883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auto"/>
        </w:rPr>
        <w:t>Exhibit 99.1</w:t>
      </w:r>
    </w:p>
    <w:p>
      <w:pPr>
        <w:spacing w:after="0" w:line="38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CONFERENCE CALL</w:t>
      </w:r>
    </w:p>
    <w:p>
      <w:pPr>
        <w:spacing w:after="0" w:line="220" w:lineRule="exact"/>
        <w:rPr>
          <w:sz w:val="20"/>
          <w:szCs w:val="20"/>
          <w:color w:val="auto"/>
        </w:rPr>
      </w:pPr>
    </w:p>
    <w:p>
      <w:pPr>
        <w:ind w:left="100"/>
        <w:spacing w:after="0" w:line="252" w:lineRule="auto"/>
        <w:rPr>
          <w:sz w:val="20"/>
          <w:szCs w:val="20"/>
          <w:color w:val="auto"/>
        </w:rPr>
      </w:pPr>
      <w:r>
        <w:rPr>
          <w:rFonts w:ascii="Arial" w:cs="Arial" w:eastAsia="Arial" w:hAnsi="Arial"/>
          <w:sz w:val="17"/>
          <w:szCs w:val="17"/>
          <w:color w:val="auto"/>
        </w:rPr>
        <w:t>A conference call is scheduled for today at 8:30 a.m. ET to discuss the second quarter 2021 financial results. The conference call may also be accessed by dialing (888) 346-4547 (Toll-Free) within the U.S., (855) 669-9657 (Toll-Free) within Canada or Toll/International (412) 317-5251.</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The live webcast and slides can also be accessed at </w:t>
      </w:r>
      <w:r>
        <w:rPr>
          <w:rFonts w:ascii="Arial" w:cs="Arial" w:eastAsia="Arial" w:hAnsi="Arial"/>
          <w:sz w:val="17"/>
          <w:szCs w:val="17"/>
          <w:u w:val="single" w:color="auto"/>
          <w:color w:val="auto"/>
        </w:rPr>
        <w:t>https://investors.cecoenviro.com/events-webcasts-and-presentations</w:t>
      </w:r>
    </w:p>
    <w:p>
      <w:pPr>
        <w:spacing w:after="0" w:line="198" w:lineRule="exact"/>
        <w:rPr>
          <w:sz w:val="20"/>
          <w:szCs w:val="20"/>
          <w:color w:val="auto"/>
        </w:rPr>
      </w:pPr>
    </w:p>
    <w:p>
      <w:pPr>
        <w:ind w:left="100" w:right="220"/>
        <w:spacing w:after="0" w:line="243" w:lineRule="auto"/>
        <w:rPr>
          <w:sz w:val="20"/>
          <w:szCs w:val="20"/>
          <w:color w:val="auto"/>
        </w:rPr>
      </w:pPr>
      <w:r>
        <w:rPr>
          <w:rFonts w:ascii="Arial" w:cs="Arial" w:eastAsia="Arial" w:hAnsi="Arial"/>
          <w:sz w:val="17"/>
          <w:szCs w:val="17"/>
          <w:color w:val="auto"/>
        </w:rPr>
        <w:t>A live and archived replay of the conference call will be available on the Company's website for 90 days. The telephone replay will be available one hour after the call ends through August 10, 2021. To access the replay, please dial (877) 344-7529 (Toll-Free) within the U.S., (855) 669-9658 (Toll-Free) within Canada, or Toll/International (412) 317-0088 and entering access code 10158155.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1481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245745</wp:posOffset>
            </wp:positionV>
            <wp:extent cx="71481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18883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color w:val="auto"/>
        </w:rPr>
        <w:t>Exhibit 99.1</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ABOUT CECO ENVIRONMENTAL</w:t>
      </w:r>
    </w:p>
    <w:p>
      <w:pPr>
        <w:spacing w:after="0" w:line="198" w:lineRule="exact"/>
        <w:rPr>
          <w:sz w:val="20"/>
          <w:szCs w:val="20"/>
          <w:color w:val="auto"/>
        </w:rPr>
      </w:pPr>
    </w:p>
    <w:p>
      <w:pPr>
        <w:jc w:val="both"/>
        <w:ind w:left="105" w:right="100"/>
        <w:spacing w:after="0" w:line="237" w:lineRule="auto"/>
        <w:rPr>
          <w:sz w:val="20"/>
          <w:szCs w:val="20"/>
          <w:color w:val="auto"/>
        </w:rPr>
      </w:pPr>
      <w:r>
        <w:rPr>
          <w:rFonts w:ascii="Arial" w:cs="Arial" w:eastAsia="Arial" w:hAnsi="Arial"/>
          <w:sz w:val="17"/>
          <w:szCs w:val="17"/>
          <w:color w:val="auto"/>
        </w:rPr>
        <w:t>CECO Environmental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www.cecoenviro.com.</w:t>
      </w:r>
    </w:p>
    <w:p>
      <w:pPr>
        <w:spacing w:after="0" w:line="187" w:lineRule="exact"/>
        <w:rPr>
          <w:sz w:val="20"/>
          <w:szCs w:val="20"/>
          <w:color w:val="auto"/>
        </w:rPr>
      </w:pPr>
    </w:p>
    <w:p>
      <w:pPr>
        <w:ind w:left="5"/>
        <w:spacing w:after="0"/>
        <w:rPr>
          <w:sz w:val="20"/>
          <w:szCs w:val="20"/>
          <w:color w:val="auto"/>
        </w:rPr>
      </w:pPr>
      <w:r>
        <w:rPr>
          <w:rFonts w:ascii="Arial" w:cs="Arial" w:eastAsia="Arial" w:hAnsi="Arial"/>
          <w:sz w:val="17"/>
          <w:szCs w:val="17"/>
          <w:color w:val="auto"/>
        </w:rPr>
        <w:t>Contact:</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7"/>
          <w:szCs w:val="17"/>
          <w:color w:val="auto"/>
        </w:rPr>
        <w:t>Matthew Eckl, Chief Financial Officer</w:t>
      </w:r>
    </w:p>
    <w:p>
      <w:pPr>
        <w:ind w:left="5" w:right="8740" w:hanging="5"/>
        <w:spacing w:after="0" w:line="252" w:lineRule="auto"/>
        <w:tabs>
          <w:tab w:leader="none" w:pos="461"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990-6670 </w:t>
      </w:r>
      <w:r>
        <w:rPr>
          <w:rFonts w:ascii="Arial" w:cs="Arial" w:eastAsia="Arial" w:hAnsi="Arial"/>
          <w:sz w:val="17"/>
          <w:szCs w:val="17"/>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4739005</wp:posOffset>
            </wp:positionV>
            <wp:extent cx="71481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4875530</wp:posOffset>
            </wp:positionV>
            <wp:extent cx="71481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184150</wp:posOffset>
            </wp:positionV>
            <wp:extent cx="718883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265"/>
          </w:cols>
          <w:pgMar w:left="315" w:top="127"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Exhibit 99.1</w:t>
            </w:r>
          </w:p>
        </w:tc>
        <w:tc>
          <w:tcPr>
            <w:tcW w:w="0" w:type="dxa"/>
            <w:vAlign w:val="bottom"/>
          </w:tcPr>
          <w:p>
            <w:pPr>
              <w:spacing w:after="0"/>
              <w:rPr>
                <w:sz w:val="1"/>
                <w:szCs w:val="1"/>
                <w:color w:val="auto"/>
              </w:rPr>
            </w:pPr>
          </w:p>
        </w:tc>
      </w:tr>
      <w:tr>
        <w:trPr>
          <w:trHeight w:val="567"/>
        </w:trPr>
        <w:tc>
          <w:tcPr>
            <w:tcW w:w="7760" w:type="dxa"/>
            <w:vAlign w:val="bottom"/>
            <w:gridSpan w:val="3"/>
          </w:tcPr>
          <w:p>
            <w:pPr>
              <w:ind w:left="3620"/>
              <w:spacing w:after="0"/>
              <w:rPr>
                <w:sz w:val="20"/>
                <w:szCs w:val="20"/>
                <w:color w:val="auto"/>
              </w:rPr>
            </w:pPr>
            <w:r>
              <w:rPr>
                <w:rFonts w:ascii="Arial" w:cs="Arial" w:eastAsia="Arial" w:hAnsi="Arial"/>
                <w:sz w:val="16"/>
                <w:szCs w:val="16"/>
                <w:b w:val="1"/>
                <w:bCs w:val="1"/>
                <w:color w:val="auto"/>
              </w:rPr>
              <w:t>CECO ENVIRONMENTAL CORP. AND SUBSIDIARIES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760" w:type="dxa"/>
            <w:vAlign w:val="bottom"/>
            <w:gridSpan w:val="3"/>
          </w:tcPr>
          <w:p>
            <w:pPr>
              <w:ind w:left="3720"/>
              <w:spacing w:after="0"/>
              <w:rPr>
                <w:sz w:val="20"/>
                <w:szCs w:val="20"/>
                <w:color w:val="auto"/>
              </w:rPr>
            </w:pPr>
            <w:r>
              <w:rPr>
                <w:rFonts w:ascii="Arial" w:cs="Arial" w:eastAsia="Arial" w:hAnsi="Arial"/>
                <w:sz w:val="16"/>
                <w:szCs w:val="16"/>
                <w:b w:val="1"/>
                <w:bCs w:val="1"/>
                <w:color w:val="auto"/>
              </w:rPr>
              <w:t>CONDENSED CONSOLIDATED BALANCE SHEETS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5"/>
        </w:trPr>
        <w:tc>
          <w:tcPr>
            <w:tcW w:w="638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 except per share data)</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w w:val="97"/>
              </w:rPr>
              <w:t>December 31, 2020</w:t>
            </w:r>
          </w:p>
        </w:tc>
        <w:tc>
          <w:tcPr>
            <w:tcW w:w="0" w:type="dxa"/>
            <w:vAlign w:val="bottom"/>
          </w:tcPr>
          <w:p>
            <w:pPr>
              <w:spacing w:after="0"/>
              <w:rPr>
                <w:sz w:val="1"/>
                <w:szCs w:val="1"/>
                <w:color w:val="auto"/>
              </w:rPr>
            </w:pPr>
          </w:p>
        </w:tc>
      </w:tr>
      <w:tr>
        <w:trPr>
          <w:trHeight w:val="151"/>
        </w:trPr>
        <w:tc>
          <w:tcPr>
            <w:tcW w:w="63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June 30, 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380" w:type="dxa"/>
            <w:vAlign w:val="bottom"/>
            <w:tcBorders>
              <w:top w:val="single" w:sz="8" w:color="CFF0FC"/>
            </w:tcBorders>
            <w:shd w:val="clear" w:color="auto" w:fill="CFF0FC"/>
          </w:tcPr>
          <w:p>
            <w:pPr>
              <w:ind w:left="3340"/>
              <w:spacing w:after="0"/>
              <w:rPr>
                <w:sz w:val="20"/>
                <w:szCs w:val="20"/>
                <w:color w:val="auto"/>
              </w:rPr>
            </w:pPr>
            <w:r>
              <w:rPr>
                <w:rFonts w:ascii="Arial" w:cs="Arial" w:eastAsia="Arial" w:hAnsi="Arial"/>
                <w:sz w:val="16"/>
                <w:szCs w:val="16"/>
                <w:b w:val="1"/>
                <w:bCs w:val="1"/>
                <w:color w:val="auto"/>
              </w:rPr>
              <w:t>ASSETS</w:t>
            </w:r>
          </w:p>
        </w:tc>
        <w:tc>
          <w:tcPr>
            <w:tcW w:w="104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1380" w:type="dxa"/>
            <w:vAlign w:val="bottom"/>
            <w:gridSpan w:val="2"/>
            <w:shd w:val="clear" w:color="auto" w:fill="CFF0FC"/>
          </w:tcPr>
          <w:p>
            <w:pPr>
              <w:jc w:val="right"/>
              <w:ind w:right="186"/>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32,229</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6"/>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35,992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 net</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65,650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46,839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45,498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Inventories, net</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17,271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17,343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income taxes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Arial" w:cs="Arial" w:eastAsia="Arial" w:hAnsi="Arial"/>
                <w:sz w:val="16"/>
                <w:szCs w:val="16"/>
                <w:color w:val="auto"/>
              </w:rPr>
              <w:t>Assets held for sale</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8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Total current assets</w:t>
            </w:r>
          </w:p>
        </w:tc>
        <w:tc>
          <w:tcPr>
            <w:tcW w:w="104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180,225</w:t>
            </w: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183,485</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15,895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16,228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from operating leases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161,782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161,820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 finite life, net</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Intangible assets – indefinite life</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12,937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Deferred charges and other assets</w:t>
            </w:r>
          </w:p>
        </w:tc>
        <w:tc>
          <w:tcPr>
            <w:tcW w:w="10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assets</w:t>
            </w:r>
          </w:p>
        </w:tc>
        <w:tc>
          <w:tcPr>
            <w:tcW w:w="10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410,702</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419,314</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380" w:type="dxa"/>
            <w:vAlign w:val="bottom"/>
            <w:shd w:val="clear" w:color="auto" w:fill="CFF0FC"/>
          </w:tcPr>
          <w:p>
            <w:pPr>
              <w:ind w:left="1900"/>
              <w:spacing w:after="0" w:line="178" w:lineRule="exact"/>
              <w:rPr>
                <w:sz w:val="20"/>
                <w:szCs w:val="20"/>
                <w:color w:val="auto"/>
              </w:rPr>
            </w:pPr>
            <w:r>
              <w:rPr>
                <w:rFonts w:ascii="Arial" w:cs="Arial" w:eastAsia="Arial" w:hAnsi="Arial"/>
                <w:sz w:val="16"/>
                <w:szCs w:val="16"/>
                <w:b w:val="1"/>
                <w:bCs w:val="1"/>
                <w:color w:val="auto"/>
              </w:rPr>
              <w:t>LIABILITIES AND SHAREHOLDERS’ EQUITY</w:t>
            </w: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Current liabilities: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Current portion of debt</w:t>
            </w:r>
          </w:p>
        </w:tc>
        <w:tc>
          <w:tcPr>
            <w:tcW w:w="1380" w:type="dxa"/>
            <w:vAlign w:val="bottom"/>
            <w:gridSpan w:val="2"/>
            <w:shd w:val="clear" w:color="auto" w:fill="CFF0FC"/>
          </w:tcPr>
          <w:p>
            <w:pPr>
              <w:jc w:val="right"/>
              <w:ind w:right="186"/>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6"/>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81,938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84,997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19,232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20,691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8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Total current liabilities</w:t>
            </w:r>
          </w:p>
        </w:tc>
        <w:tc>
          <w:tcPr>
            <w:tcW w:w="104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104,920</w:t>
            </w: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109,356</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Other liabilities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19,645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20,576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Debt, less current portion</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63,720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69,491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Deferred income tax liability, net</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10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liabilities</w:t>
            </w:r>
          </w:p>
        </w:tc>
        <w:tc>
          <w:tcPr>
            <w:tcW w:w="104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203,869</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215,703</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w:t>
            </w:r>
          </w:p>
        </w:tc>
        <w:tc>
          <w:tcPr>
            <w:tcW w:w="10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Arial" w:cs="Arial" w:eastAsia="Arial" w:hAnsi="Arial"/>
                <w:sz w:val="16"/>
                <w:szCs w:val="16"/>
                <w:color w:val="auto"/>
              </w:rPr>
              <w:t>Shareholders’ equity:</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Preferred stock, $.01 par value; 10,000 shares authorized, none issued</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Arial" w:cs="Arial" w:eastAsia="Arial" w:hAnsi="Arial"/>
                <w:sz w:val="16"/>
                <w:szCs w:val="16"/>
                <w:color w:val="auto"/>
              </w:rPr>
              <w:t>Common stock, $.01 par value; 100,000,000 shares authorized, 35,749,488</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80" w:type="dxa"/>
            <w:vAlign w:val="bottom"/>
          </w:tcPr>
          <w:p>
            <w:pPr>
              <w:ind w:left="460"/>
              <w:spacing w:after="0"/>
              <w:rPr>
                <w:sz w:val="20"/>
                <w:szCs w:val="20"/>
                <w:color w:val="auto"/>
              </w:rPr>
            </w:pPr>
            <w:r>
              <w:rPr>
                <w:rFonts w:ascii="Arial" w:cs="Arial" w:eastAsia="Arial" w:hAnsi="Arial"/>
                <w:sz w:val="16"/>
                <w:szCs w:val="16"/>
                <w:color w:val="auto"/>
              </w:rPr>
              <w:t>and 35,504,757 shares issued and outstanding at June 30, 2021 and</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460"/>
              <w:spacing w:after="0"/>
              <w:rPr>
                <w:sz w:val="20"/>
                <w:szCs w:val="20"/>
                <w:color w:val="auto"/>
              </w:rPr>
            </w:pPr>
            <w:r>
              <w:rPr>
                <w:rFonts w:ascii="Arial" w:cs="Arial" w:eastAsia="Arial" w:hAnsi="Arial"/>
                <w:sz w:val="16"/>
                <w:szCs w:val="16"/>
                <w:color w:val="auto"/>
              </w:rPr>
              <w:t>December 31, 2020, respectively</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 in excess of par value</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256,598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255,296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20"/>
              <w:spacing w:after="0"/>
              <w:rPr>
                <w:sz w:val="20"/>
                <w:szCs w:val="20"/>
                <w:color w:val="auto"/>
              </w:rPr>
            </w:pPr>
            <w:r>
              <w:rPr>
                <w:rFonts w:ascii="Arial" w:cs="Arial" w:eastAsia="Arial" w:hAnsi="Arial"/>
                <w:sz w:val="16"/>
                <w:szCs w:val="16"/>
                <w:color w:val="auto"/>
              </w:rPr>
              <w:t>Accumulated loss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(36,667)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6"/>
                <w:szCs w:val="16"/>
                <w:color w:val="auto"/>
              </w:rPr>
              <w:t>(38,141)</w:t>
            </w: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(14,151)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(14,496)</w:t>
            </w:r>
          </w:p>
        </w:tc>
        <w:tc>
          <w:tcPr>
            <w:tcW w:w="0" w:type="dxa"/>
            <w:vAlign w:val="bottom"/>
          </w:tcPr>
          <w:p>
            <w:pPr>
              <w:spacing w:after="0"/>
              <w:rPr>
                <w:sz w:val="1"/>
                <w:szCs w:val="1"/>
                <w:color w:val="auto"/>
              </w:rPr>
            </w:pPr>
          </w:p>
        </w:tc>
      </w:tr>
      <w:tr>
        <w:trPr>
          <w:trHeight w:val="195"/>
        </w:trPr>
        <w:tc>
          <w:tcPr>
            <w:tcW w:w="6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206,137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Less treasury stock, at cost, 137,920 shares at June 30, 2021 and December 31, 2020</w:t>
            </w: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CECO shareholders' equity</w:t>
            </w:r>
          </w:p>
        </w:tc>
        <w:tc>
          <w:tcPr>
            <w:tcW w:w="1040" w:type="dxa"/>
            <w:vAlign w:val="bottom"/>
            <w:tcBorders>
              <w:bottom w:val="single" w:sz="8" w:color="CFF0F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205,781</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202,658</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Noncontrolling interest</w:t>
            </w:r>
          </w:p>
        </w:tc>
        <w:tc>
          <w:tcPr>
            <w:tcW w:w="10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shareholders' equity</w:t>
            </w:r>
          </w:p>
        </w:tc>
        <w:tc>
          <w:tcPr>
            <w:tcW w:w="10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206,833</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203,611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8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6"/>
                <w:szCs w:val="16"/>
                <w:color w:val="auto"/>
              </w:rPr>
              <w:t>Total liabilities and shareholders' equity</w:t>
            </w:r>
          </w:p>
        </w:tc>
        <w:tc>
          <w:tcPr>
            <w:tcW w:w="10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410,702</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419,314</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380" w:type="dxa"/>
            <w:vAlign w:val="bottom"/>
            <w:tcBorders>
              <w:bottom w:val="single" w:sz="8" w:color="D9D9D9"/>
            </w:tcBorders>
          </w:tcPr>
          <w:p>
            <w:pPr>
              <w:spacing w:after="0"/>
              <w:rPr>
                <w:sz w:val="14"/>
                <w:szCs w:val="14"/>
                <w:color w:val="auto"/>
              </w:rPr>
            </w:pPr>
          </w:p>
        </w:tc>
        <w:tc>
          <w:tcPr>
            <w:tcW w:w="1040" w:type="dxa"/>
            <w:vAlign w:val="bottom"/>
            <w:tcBorders>
              <w:bottom w:val="single" w:sz="8" w:color="D9D9D9"/>
            </w:tcBorders>
          </w:tcPr>
          <w:p>
            <w:pPr>
              <w:spacing w:after="0"/>
              <w:rPr>
                <w:sz w:val="14"/>
                <w:szCs w:val="14"/>
                <w:color w:val="auto"/>
              </w:rPr>
            </w:pPr>
          </w:p>
        </w:tc>
        <w:tc>
          <w:tcPr>
            <w:tcW w:w="340" w:type="dxa"/>
            <w:vAlign w:val="bottom"/>
            <w:tcBorders>
              <w:bottom w:val="single" w:sz="8" w:color="D9D9D9"/>
            </w:tcBorders>
          </w:tcPr>
          <w:p>
            <w:pPr>
              <w:spacing w:after="0"/>
              <w:rPr>
                <w:sz w:val="14"/>
                <w:szCs w:val="14"/>
                <w:color w:val="auto"/>
              </w:rPr>
            </w:pPr>
          </w:p>
        </w:tc>
        <w:tc>
          <w:tcPr>
            <w:tcW w:w="1380" w:type="dxa"/>
            <w:vAlign w:val="bottom"/>
            <w:tcBorders>
              <w:bottom w:val="single" w:sz="8" w:color="D9D9D9"/>
            </w:tcBorders>
          </w:tcPr>
          <w:p>
            <w:pPr>
              <w:spacing w:after="0"/>
              <w:rPr>
                <w:sz w:val="14"/>
                <w:szCs w:val="14"/>
                <w:color w:val="auto"/>
              </w:rPr>
            </w:pPr>
          </w:p>
        </w:tc>
        <w:tc>
          <w:tcPr>
            <w:tcW w:w="160" w:type="dxa"/>
            <w:vAlign w:val="bottom"/>
            <w:tcBorders>
              <w:bottom w:val="single" w:sz="8" w:color="D9D9D9"/>
            </w:tcBorders>
          </w:tcPr>
          <w:p>
            <w:pPr>
              <w:spacing w:after="0"/>
              <w:rPr>
                <w:sz w:val="14"/>
                <w:szCs w:val="14"/>
                <w:color w:val="auto"/>
              </w:rPr>
            </w:pPr>
          </w:p>
        </w:tc>
        <w:tc>
          <w:tcPr>
            <w:tcW w:w="100" w:type="dxa"/>
            <w:vAlign w:val="bottom"/>
            <w:tcBorders>
              <w:bottom w:val="single" w:sz="8" w:color="D9D9D9"/>
            </w:tcBorders>
          </w:tcPr>
          <w:p>
            <w:pPr>
              <w:spacing w:after="0"/>
              <w:rPr>
                <w:sz w:val="14"/>
                <w:szCs w:val="14"/>
                <w:color w:val="auto"/>
              </w:rPr>
            </w:pPr>
          </w:p>
        </w:tc>
        <w:tc>
          <w:tcPr>
            <w:tcW w:w="220" w:type="dxa"/>
            <w:vAlign w:val="bottom"/>
            <w:tcBorders>
              <w:bottom w:val="single" w:sz="8" w:color="D9D9D9"/>
            </w:tcBorders>
          </w:tcPr>
          <w:p>
            <w:pPr>
              <w:spacing w:after="0"/>
              <w:rPr>
                <w:sz w:val="14"/>
                <w:szCs w:val="14"/>
                <w:color w:val="auto"/>
              </w:rPr>
            </w:pPr>
          </w:p>
        </w:tc>
        <w:tc>
          <w:tcPr>
            <w:tcW w:w="1520" w:type="dxa"/>
            <w:vAlign w:val="bottom"/>
            <w:tcBorders>
              <w:bottom w:val="single" w:sz="8" w:color="D9D9D9"/>
            </w:tcBorders>
          </w:tcPr>
          <w:p>
            <w:pPr>
              <w:spacing w:after="0"/>
              <w:rPr>
                <w:sz w:val="14"/>
                <w:szCs w:val="14"/>
                <w:color w:val="auto"/>
              </w:rPr>
            </w:pPr>
          </w:p>
        </w:tc>
        <w:tc>
          <w:tcPr>
            <w:tcW w:w="120" w:type="dxa"/>
            <w:vAlign w:val="bottom"/>
            <w:tcBorders>
              <w:bottom w:val="single" w:sz="8" w:color="D9D9D9"/>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80" w:type="dxa"/>
            <w:vAlign w:val="bottom"/>
            <w:tcBorders>
              <w:bottom w:val="single" w:sz="8" w:color="D9D9D9"/>
            </w:tcBorders>
          </w:tcPr>
          <w:p>
            <w:pPr>
              <w:spacing w:after="0"/>
              <w:rPr>
                <w:sz w:val="16"/>
                <w:szCs w:val="16"/>
                <w:color w:val="auto"/>
              </w:rPr>
            </w:pPr>
          </w:p>
        </w:tc>
        <w:tc>
          <w:tcPr>
            <w:tcW w:w="1040" w:type="dxa"/>
            <w:vAlign w:val="bottom"/>
            <w:tcBorders>
              <w:bottom w:val="single" w:sz="8" w:color="D9D9D9"/>
            </w:tcBorders>
          </w:tcPr>
          <w:p>
            <w:pPr>
              <w:spacing w:after="0"/>
              <w:rPr>
                <w:sz w:val="16"/>
                <w:szCs w:val="16"/>
                <w:color w:val="auto"/>
              </w:rPr>
            </w:pPr>
          </w:p>
        </w:tc>
        <w:tc>
          <w:tcPr>
            <w:tcW w:w="340" w:type="dxa"/>
            <w:vAlign w:val="bottom"/>
            <w:tcBorders>
              <w:bottom w:val="single" w:sz="8" w:color="D9D9D9"/>
            </w:tcBorders>
          </w:tcPr>
          <w:p>
            <w:pPr>
              <w:spacing w:after="0"/>
              <w:rPr>
                <w:sz w:val="16"/>
                <w:szCs w:val="16"/>
                <w:color w:val="auto"/>
              </w:rPr>
            </w:pPr>
          </w:p>
        </w:tc>
        <w:tc>
          <w:tcPr>
            <w:tcW w:w="1380" w:type="dxa"/>
            <w:vAlign w:val="bottom"/>
            <w:tcBorders>
              <w:bottom w:val="single" w:sz="8" w:color="D9D9D9"/>
            </w:tcBorders>
          </w:tcPr>
          <w:p>
            <w:pPr>
              <w:spacing w:after="0"/>
              <w:rPr>
                <w:sz w:val="16"/>
                <w:szCs w:val="16"/>
                <w:color w:val="auto"/>
              </w:rPr>
            </w:pPr>
          </w:p>
        </w:tc>
        <w:tc>
          <w:tcPr>
            <w:tcW w:w="16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22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spacing w:after="0"/>
              <w:rPr>
                <w:sz w:val="16"/>
                <w:szCs w:val="16"/>
                <w:color w:val="auto"/>
              </w:rPr>
            </w:pPr>
          </w:p>
        </w:tc>
        <w:tc>
          <w:tcPr>
            <w:tcW w:w="1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18883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CECO ENVIRONMENTAL CORP.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6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 except per share data)</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Three months ended June 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5"/>
        </w:trPr>
        <w:tc>
          <w:tcPr>
            <w:tcW w:w="4560" w:type="dxa"/>
            <w:vAlign w:val="bottom"/>
            <w:tcBorders>
              <w:bottom w:val="single" w:sz="8" w:color="CFF0FC"/>
            </w:tcBorders>
            <w:vMerge w:val="continue"/>
          </w:tcPr>
          <w:p>
            <w:pPr>
              <w:spacing w:after="0"/>
              <w:rPr>
                <w:sz w:val="11"/>
                <w:szCs w:val="11"/>
                <w:color w:val="auto"/>
              </w:rPr>
            </w:pPr>
          </w:p>
        </w:tc>
        <w:tc>
          <w:tcPr>
            <w:tcW w:w="840" w:type="dxa"/>
            <w:vAlign w:val="bottom"/>
            <w:tcBorders>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22"/>
              <w:spacing w:after="0" w:line="135"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41"/>
              <w:spacing w:after="0" w:line="135"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22"/>
              <w:spacing w:after="0" w:line="135"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41"/>
              <w:spacing w:after="0" w:line="135"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78,680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75,170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150,572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155,656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8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53,426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100,910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101,561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25,816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49,662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39,965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40,383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Amortization and earnout expenses</w:t>
            </w: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Restructuring expenses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Acquisition and integration expenses</w:t>
            </w:r>
          </w:p>
        </w:tc>
        <w:tc>
          <w:tcPr>
            <w:tcW w:w="8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220"/>
              <w:spacing w:after="0"/>
              <w:rPr>
                <w:sz w:val="20"/>
                <w:szCs w:val="20"/>
                <w:color w:val="auto"/>
              </w:rPr>
            </w:pPr>
            <w:r>
              <w:rPr>
                <w:rFonts w:ascii="Arial" w:cs="Arial" w:eastAsia="Arial" w:hAnsi="Arial"/>
                <w:sz w:val="16"/>
                <w:szCs w:val="16"/>
                <w:color w:val="auto"/>
              </w:rPr>
              <w:t>Income from operations</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 net</w:t>
            </w: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(860)</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(1,339)</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Interest expense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(704)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(1,430)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195"/>
        </w:trPr>
        <w:tc>
          <w:tcPr>
            <w:tcW w:w="45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Income before income taxes</w:t>
            </w:r>
          </w:p>
        </w:tc>
        <w:tc>
          <w:tcPr>
            <w:tcW w:w="8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3,822</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2,430</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8,013</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8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5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income attributable to CECO Environmental Corp.</w:t>
            </w:r>
          </w:p>
        </w:tc>
        <w:tc>
          <w:tcPr>
            <w:tcW w:w="8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3,258</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Arial" w:cs="Arial" w:eastAsia="Arial" w:hAnsi="Arial"/>
                <w:sz w:val="16"/>
                <w:szCs w:val="16"/>
                <w:color w:val="auto"/>
              </w:rPr>
              <w:t>Earnings per share:</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Basic</w:t>
            </w:r>
          </w:p>
        </w:tc>
        <w:tc>
          <w:tcPr>
            <w:tcW w:w="1120" w:type="dxa"/>
            <w:vAlign w:val="bottom"/>
            <w:gridSpan w:val="2"/>
            <w:shd w:val="clear" w:color="auto" w:fill="CFF0FC"/>
          </w:tcPr>
          <w:p>
            <w:pPr>
              <w:jc w:val="right"/>
              <w:ind w:right="126"/>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6"/>
                <w:szCs w:val="16"/>
                <w:color w:val="auto"/>
              </w:rPr>
              <w:t>Diluted</w:t>
            </w:r>
          </w:p>
        </w:tc>
        <w:tc>
          <w:tcPr>
            <w:tcW w:w="8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60" w:type="dxa"/>
            <w:vAlign w:val="bottom"/>
            <w:tcBorders>
              <w:bottom w:val="single" w:sz="8" w:color="CFF0FC"/>
            </w:tcBorders>
            <w:vMerge w:val="continue"/>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0.01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0.09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0.04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56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Weighted average number of common shares outstanding:</w:t>
            </w: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20"/>
              <w:spacing w:after="0"/>
              <w:rPr>
                <w:sz w:val="20"/>
                <w:szCs w:val="20"/>
                <w:color w:val="auto"/>
              </w:rPr>
            </w:pPr>
            <w:r>
              <w:rPr>
                <w:rFonts w:ascii="Arial" w:cs="Arial" w:eastAsia="Arial" w:hAnsi="Arial"/>
                <w:sz w:val="16"/>
                <w:szCs w:val="16"/>
                <w:color w:val="auto"/>
              </w:rPr>
              <w:t>Basic</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35,491,725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35,275,729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35,444,477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35,215,553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Diluted</w:t>
            </w: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35,819,269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35,410,182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35,797,001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35,402,524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71481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499745</wp:posOffset>
            </wp:positionV>
            <wp:extent cx="71481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18883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8" w:name="page9"/>
    <w:bookmarkEnd w:id="8"/>
    <w:p>
      <w:pPr>
        <w:jc w:val="right"/>
        <w:ind w:right="80"/>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CECO ENVIRONMENTAL CORP. AND SUBSIDIARIES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RECONCILIATION OF GAAP TO NON-GAAP MEASURES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80" w:type="dxa"/>
            <w:vAlign w:val="bottom"/>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520" w:type="dxa"/>
            <w:vAlign w:val="bottom"/>
            <w:tcBorders>
              <w:bottom w:val="single" w:sz="8" w:color="auto"/>
            </w:tcBorders>
            <w:gridSpan w:val="5"/>
          </w:tcPr>
          <w:p>
            <w:pPr>
              <w:jc w:val="right"/>
              <w:ind w:right="6"/>
              <w:spacing w:after="0"/>
              <w:rPr>
                <w:sz w:val="20"/>
                <w:szCs w:val="20"/>
                <w:color w:val="auto"/>
              </w:rPr>
            </w:pPr>
            <w:r>
              <w:rPr>
                <w:rFonts w:ascii="Arial" w:cs="Arial" w:eastAsia="Arial" w:hAnsi="Arial"/>
                <w:sz w:val="13"/>
                <w:szCs w:val="13"/>
                <w:b w:val="1"/>
                <w:bCs w:val="1"/>
                <w:color w:val="auto"/>
              </w:rPr>
              <w:t>THREE MONTHS ENDED JUNE 30,</w:t>
            </w:r>
          </w:p>
        </w:tc>
        <w:tc>
          <w:tcPr>
            <w:tcW w:w="3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3"/>
                <w:szCs w:val="13"/>
                <w:b w:val="1"/>
                <w:bCs w:val="1"/>
                <w:color w:val="auto"/>
              </w:rPr>
              <w:t>SIX MONTHS ENDED JUNE 30</w:t>
            </w:r>
          </w:p>
        </w:tc>
        <w:tc>
          <w:tcPr>
            <w:tcW w:w="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380" w:type="dxa"/>
            <w:vAlign w:val="bottom"/>
            <w:vMerge w:val="continue"/>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166"/>
              <w:spacing w:after="0" w:line="135" w:lineRule="exact"/>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as reported in accordance with GAAP</w:t>
            </w:r>
          </w:p>
        </w:tc>
        <w:tc>
          <w:tcPr>
            <w:tcW w:w="880" w:type="dxa"/>
            <w:vAlign w:val="bottom"/>
            <w:tcBorders>
              <w:top w:val="single" w:sz="8" w:color="auto"/>
            </w:tcBorders>
            <w:shd w:val="clear" w:color="auto" w:fill="CFF0FC"/>
          </w:tcPr>
          <w:p>
            <w:pPr>
              <w:jc w:val="right"/>
              <w:ind w:right="73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w w:val="89"/>
              </w:rPr>
              <w:t>4.4</w:t>
            </w:r>
          </w:p>
        </w:tc>
        <w:tc>
          <w:tcPr>
            <w:tcW w:w="30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ind w:right="71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w w:val="89"/>
              </w:rPr>
              <w:t>5.2</w:t>
            </w:r>
          </w:p>
        </w:tc>
        <w:tc>
          <w:tcPr>
            <w:tcW w:w="24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20"/>
              <w:spacing w:after="0"/>
              <w:rPr>
                <w:sz w:val="20"/>
                <w:szCs w:val="20"/>
                <w:color w:val="auto"/>
              </w:rPr>
            </w:pPr>
            <w:r>
              <w:rPr>
                <w:rFonts w:ascii="Arial" w:cs="Arial" w:eastAsia="Arial" w:hAnsi="Arial"/>
                <w:sz w:val="16"/>
                <w:szCs w:val="16"/>
                <w:i w:val="1"/>
                <w:iCs w:val="1"/>
                <w:color w:val="auto"/>
              </w:rPr>
              <w:t>Operating margin in accordance with GAAP</w:t>
            </w:r>
          </w:p>
        </w:tc>
        <w:tc>
          <w:tcPr>
            <w:tcW w:w="8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2.7%</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gridSpan w:val="2"/>
          </w:tcPr>
          <w:p>
            <w:pPr>
              <w:ind w:left="80"/>
              <w:spacing w:after="0"/>
              <w:rPr>
                <w:sz w:val="20"/>
                <w:szCs w:val="20"/>
                <w:color w:val="auto"/>
              </w:rPr>
            </w:pPr>
            <w:r>
              <w:rPr>
                <w:rFonts w:ascii="Arial" w:cs="Arial" w:eastAsia="Arial" w:hAnsi="Arial"/>
                <w:sz w:val="16"/>
                <w:szCs w:val="16"/>
                <w:i w:val="1"/>
                <w:iCs w:val="1"/>
                <w:color w:val="auto"/>
              </w:rPr>
              <w:t>5.9%</w:t>
            </w:r>
          </w:p>
        </w:tc>
        <w:tc>
          <w:tcPr>
            <w:tcW w:w="860" w:type="dxa"/>
            <w:vAlign w:val="bottom"/>
          </w:tcPr>
          <w:p>
            <w:pPr>
              <w:spacing w:after="0"/>
              <w:rPr>
                <w:sz w:val="17"/>
                <w:szCs w:val="17"/>
                <w:color w:val="auto"/>
              </w:rPr>
            </w:pPr>
          </w:p>
        </w:tc>
        <w:tc>
          <w:tcPr>
            <w:tcW w:w="600" w:type="dxa"/>
            <w:vAlign w:val="bottom"/>
            <w:gridSpan w:val="2"/>
          </w:tcPr>
          <w:p>
            <w:pPr>
              <w:ind w:left="140"/>
              <w:spacing w:after="0"/>
              <w:rPr>
                <w:sz w:val="20"/>
                <w:szCs w:val="20"/>
                <w:color w:val="auto"/>
              </w:rPr>
            </w:pPr>
            <w:r>
              <w:rPr>
                <w:rFonts w:ascii="Arial" w:cs="Arial" w:eastAsia="Arial" w:hAnsi="Arial"/>
                <w:sz w:val="16"/>
                <w:szCs w:val="16"/>
                <w:i w:val="1"/>
                <w:iCs w:val="1"/>
                <w:color w:val="auto"/>
              </w:rPr>
              <w:t>3.5%</w:t>
            </w:r>
          </w:p>
        </w:tc>
        <w:tc>
          <w:tcPr>
            <w:tcW w:w="8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5.5%</w:t>
            </w: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Amortization and earnout expenses</w:t>
            </w: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ind w:left="80"/>
              <w:spacing w:after="0"/>
              <w:rPr>
                <w:sz w:val="20"/>
                <w:szCs w:val="20"/>
                <w:color w:val="auto"/>
              </w:rPr>
            </w:pPr>
            <w:r>
              <w:rPr>
                <w:rFonts w:ascii="Arial" w:cs="Arial" w:eastAsia="Arial" w:hAnsi="Arial"/>
                <w:sz w:val="16"/>
                <w:szCs w:val="16"/>
                <w:color w:val="auto"/>
                <w:w w:val="89"/>
              </w:rPr>
              <w:t>1.8</w:t>
            </w: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ind w:left="140"/>
              <w:spacing w:after="0"/>
              <w:rPr>
                <w:sz w:val="20"/>
                <w:szCs w:val="20"/>
                <w:color w:val="auto"/>
              </w:rPr>
            </w:pPr>
            <w:r>
              <w:rPr>
                <w:rFonts w:ascii="Arial" w:cs="Arial" w:eastAsia="Arial" w:hAnsi="Arial"/>
                <w:sz w:val="16"/>
                <w:szCs w:val="16"/>
                <w:color w:val="auto"/>
                <w:w w:val="89"/>
              </w:rPr>
              <w:t>4.1</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Restructuring expenses</w:t>
            </w:r>
          </w:p>
        </w:tc>
        <w:tc>
          <w:tcPr>
            <w:tcW w:w="8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w w:val="89"/>
              </w:rPr>
              <w:t>0.5</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ind w:left="140"/>
              <w:spacing w:after="0"/>
              <w:rPr>
                <w:sz w:val="20"/>
                <w:szCs w:val="20"/>
                <w:color w:val="auto"/>
              </w:rPr>
            </w:pPr>
            <w:r>
              <w:rPr>
                <w:rFonts w:ascii="Arial" w:cs="Arial" w:eastAsia="Arial" w:hAnsi="Arial"/>
                <w:sz w:val="16"/>
                <w:szCs w:val="16"/>
                <w:color w:val="auto"/>
                <w:w w:val="89"/>
              </w:rPr>
              <w:t>0.3</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Acquisition and integration expenses</w:t>
            </w:r>
          </w:p>
        </w:tc>
        <w:tc>
          <w:tcPr>
            <w:tcW w:w="8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ind w:left="80"/>
              <w:spacing w:after="0"/>
              <w:rPr>
                <w:sz w:val="20"/>
                <w:szCs w:val="20"/>
                <w:color w:val="auto"/>
              </w:rPr>
            </w:pPr>
            <w:r>
              <w:rPr>
                <w:rFonts w:ascii="Arial" w:cs="Arial" w:eastAsia="Arial" w:hAnsi="Arial"/>
                <w:sz w:val="16"/>
                <w:szCs w:val="16"/>
                <w:color w:val="auto"/>
                <w:w w:val="89"/>
              </w:rPr>
              <w:t>0.7</w:t>
            </w: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ind w:left="140"/>
              <w:spacing w:after="0"/>
              <w:rPr>
                <w:sz w:val="20"/>
                <w:szCs w:val="20"/>
                <w:color w:val="auto"/>
              </w:rPr>
            </w:pPr>
            <w:r>
              <w:rPr>
                <w:rFonts w:ascii="Arial" w:cs="Arial" w:eastAsia="Arial" w:hAnsi="Arial"/>
                <w:sz w:val="16"/>
                <w:szCs w:val="16"/>
                <w:color w:val="auto"/>
                <w:w w:val="89"/>
              </w:rPr>
              <w:t>0.1</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20"/>
              <w:spacing w:after="0"/>
              <w:rPr>
                <w:sz w:val="20"/>
                <w:szCs w:val="20"/>
                <w:color w:val="auto"/>
              </w:rPr>
            </w:pPr>
            <w:r>
              <w:rPr>
                <w:rFonts w:ascii="Arial" w:cs="Arial" w:eastAsia="Arial" w:hAnsi="Arial"/>
                <w:sz w:val="16"/>
                <w:szCs w:val="16"/>
                <w:color w:val="auto"/>
              </w:rPr>
              <w:t>Non-GAAP operating income</w:t>
            </w:r>
          </w:p>
        </w:tc>
        <w:tc>
          <w:tcPr>
            <w:tcW w:w="880" w:type="dxa"/>
            <w:vAlign w:val="bottom"/>
            <w:tcBorders>
              <w:top w:val="single" w:sz="8" w:color="auto"/>
            </w:tcBorders>
          </w:tcPr>
          <w:p>
            <w:pPr>
              <w:jc w:val="right"/>
              <w:ind w:right="73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w w:val="89"/>
              </w:rPr>
              <w:t>7.4</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ind w:right="71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w w:val="89"/>
              </w:rPr>
              <w:t>9.7</w:t>
            </w:r>
          </w:p>
        </w:tc>
        <w:tc>
          <w:tcPr>
            <w:tcW w:w="240" w:type="dxa"/>
            <w:vAlign w:val="bottom"/>
          </w:tcPr>
          <w:p>
            <w:pPr>
              <w:spacing w:after="0"/>
              <w:rPr>
                <w:sz w:val="16"/>
                <w:szCs w:val="16"/>
                <w:color w:val="auto"/>
              </w:rPr>
            </w:pPr>
          </w:p>
        </w:tc>
        <w:tc>
          <w:tcPr>
            <w:tcW w:w="860" w:type="dxa"/>
            <w:vAlign w:val="bottom"/>
            <w:tcBorders>
              <w:top w:val="single" w:sz="8" w:color="auto"/>
            </w:tcBorders>
          </w:tcPr>
          <w:p>
            <w:pPr>
              <w:jc w:val="right"/>
              <w:ind w:right="71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ind w:left="220"/>
              <w:spacing w:after="0"/>
              <w:rPr>
                <w:sz w:val="20"/>
                <w:szCs w:val="20"/>
                <w:color w:val="auto"/>
              </w:rPr>
            </w:pPr>
            <w:r>
              <w:rPr>
                <w:rFonts w:ascii="Arial" w:cs="Arial" w:eastAsia="Arial" w:hAnsi="Arial"/>
                <w:sz w:val="16"/>
                <w:szCs w:val="16"/>
                <w:i w:val="1"/>
                <w:iCs w:val="1"/>
                <w:color w:val="auto"/>
              </w:rPr>
              <w:t>Non-GAAP operating margin</w:t>
            </w:r>
          </w:p>
        </w:tc>
        <w:tc>
          <w:tcPr>
            <w:tcW w:w="8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i w:val="1"/>
                <w:iCs w:val="1"/>
                <w:color w:val="auto"/>
              </w:rPr>
              <w:t>6.0%</w:t>
            </w:r>
          </w:p>
        </w:tc>
        <w:tc>
          <w:tcPr>
            <w:tcW w:w="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ind w:left="80"/>
              <w:spacing w:after="0"/>
              <w:rPr>
                <w:sz w:val="20"/>
                <w:szCs w:val="20"/>
                <w:color w:val="auto"/>
              </w:rPr>
            </w:pPr>
            <w:r>
              <w:rPr>
                <w:rFonts w:ascii="Arial" w:cs="Arial" w:eastAsia="Arial" w:hAnsi="Arial"/>
                <w:sz w:val="16"/>
                <w:szCs w:val="16"/>
                <w:i w:val="1"/>
                <w:iCs w:val="1"/>
                <w:color w:val="auto"/>
              </w:rPr>
              <w:t>9.8%</w:t>
            </w:r>
          </w:p>
        </w:tc>
        <w:tc>
          <w:tcPr>
            <w:tcW w:w="8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6"/>
                <w:szCs w:val="16"/>
                <w:i w:val="1"/>
                <w:iCs w:val="1"/>
                <w:color w:val="auto"/>
              </w:rPr>
              <w:t>6.4%</w:t>
            </w:r>
          </w:p>
        </w:tc>
        <w:tc>
          <w:tcPr>
            <w:tcW w:w="8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i w:val="1"/>
                <w:iCs w:val="1"/>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340" w:type="dxa"/>
            <w:vAlign w:val="bottom"/>
            <w:vMerge w:val="restart"/>
          </w:tcPr>
          <w:p>
            <w:pPr>
              <w:spacing w:after="0"/>
              <w:rPr>
                <w:sz w:val="20"/>
                <w:szCs w:val="20"/>
                <w:color w:val="auto"/>
              </w:rPr>
            </w:pPr>
            <w:r>
              <w:rPr>
                <w:rFonts w:ascii="Arial" w:cs="Arial" w:eastAsia="Arial" w:hAnsi="Arial"/>
                <w:sz w:val="13"/>
                <w:szCs w:val="13"/>
                <w:color w:val="auto"/>
              </w:rPr>
              <w:t>(dollars in millions)</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THREE MONTHS ENDED JUNE 30,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5"/>
        </w:trPr>
        <w:tc>
          <w:tcPr>
            <w:tcW w:w="4340" w:type="dxa"/>
            <w:vAlign w:val="bottom"/>
            <w:tcBorders>
              <w:bottom w:val="single" w:sz="8" w:color="CFF0FC"/>
            </w:tcBorders>
            <w:vMerge w:val="continue"/>
          </w:tcPr>
          <w:p>
            <w:pPr>
              <w:spacing w:after="0"/>
              <w:rPr>
                <w:sz w:val="11"/>
                <w:szCs w:val="11"/>
                <w:color w:val="auto"/>
              </w:rPr>
            </w:pPr>
          </w:p>
        </w:tc>
        <w:tc>
          <w:tcPr>
            <w:tcW w:w="114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442"/>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CFF0FC"/>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21"/>
              <w:spacing w:after="0" w:line="135"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22"/>
              <w:spacing w:after="0" w:line="135"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CFF0FC"/>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21"/>
              <w:spacing w:after="0" w:line="135"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Net income as reported in accordance with GAAP</w:t>
            </w: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440"/>
              <w:spacing w:after="0"/>
              <w:rPr>
                <w:sz w:val="20"/>
                <w:szCs w:val="20"/>
                <w:color w:val="auto"/>
              </w:rPr>
            </w:pPr>
            <w:r>
              <w:rPr>
                <w:rFonts w:ascii="Arial" w:cs="Arial" w:eastAsia="Arial" w:hAnsi="Arial"/>
                <w:sz w:val="16"/>
                <w:szCs w:val="16"/>
                <w:color w:val="auto"/>
              </w:rPr>
              <w:t>Amortization and earnout expenses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Restructuring expenses</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440"/>
              <w:spacing w:after="0"/>
              <w:rPr>
                <w:sz w:val="20"/>
                <w:szCs w:val="20"/>
                <w:color w:val="auto"/>
              </w:rPr>
            </w:pPr>
            <w:r>
              <w:rPr>
                <w:rFonts w:ascii="Arial" w:cs="Arial" w:eastAsia="Arial" w:hAnsi="Arial"/>
                <w:sz w:val="16"/>
                <w:szCs w:val="16"/>
                <w:color w:val="auto"/>
              </w:rPr>
              <w:t>Acquisition and integration expenses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Foreign currency remeasurement</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(0.6)</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4340" w:type="dxa"/>
            <w:vAlign w:val="bottom"/>
          </w:tcPr>
          <w:p>
            <w:pPr>
              <w:ind w:left="440"/>
              <w:spacing w:after="0"/>
              <w:rPr>
                <w:sz w:val="20"/>
                <w:szCs w:val="20"/>
                <w:color w:val="auto"/>
              </w:rPr>
            </w:pPr>
            <w:r>
              <w:rPr>
                <w:rFonts w:ascii="Arial" w:cs="Arial" w:eastAsia="Arial" w:hAnsi="Arial"/>
                <w:sz w:val="16"/>
                <w:szCs w:val="16"/>
                <w:color w:val="auto"/>
              </w:rPr>
              <w:t>Tax benefit of adjustments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5"/>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Non-GAAP net income</w:t>
            </w:r>
          </w:p>
        </w:tc>
        <w:tc>
          <w:tcPr>
            <w:tcW w:w="11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440"/>
              <w:spacing w:after="0"/>
              <w:rPr>
                <w:sz w:val="20"/>
                <w:szCs w:val="20"/>
                <w:color w:val="auto"/>
              </w:rPr>
            </w:pPr>
            <w:r>
              <w:rPr>
                <w:rFonts w:ascii="Arial" w:cs="Arial" w:eastAsia="Arial" w:hAnsi="Arial"/>
                <w:sz w:val="16"/>
                <w:szCs w:val="16"/>
                <w:color w:val="auto"/>
              </w:rPr>
              <w:t>Depreciation</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Non-cash stock compensation</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440"/>
              <w:spacing w:after="0"/>
              <w:rPr>
                <w:sz w:val="20"/>
                <w:szCs w:val="20"/>
                <w:color w:val="auto"/>
              </w:rPr>
            </w:pPr>
            <w:r>
              <w:rPr>
                <w:rFonts w:ascii="Arial" w:cs="Arial" w:eastAsia="Arial" w:hAnsi="Arial"/>
                <w:sz w:val="16"/>
                <w:szCs w:val="16"/>
                <w:color w:val="auto"/>
              </w:rPr>
              <w:t>Other (income) expense</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Interest expense</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Income tax expense</w:t>
            </w:r>
          </w:p>
        </w:tc>
        <w:tc>
          <w:tcPr>
            <w:tcW w:w="1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Adjusted EBITDA</w:t>
            </w: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Earnings per share:</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440"/>
              <w:spacing w:after="0"/>
              <w:rPr>
                <w:sz w:val="20"/>
                <w:szCs w:val="20"/>
                <w:color w:val="auto"/>
              </w:rPr>
            </w:pPr>
            <w:r>
              <w:rPr>
                <w:rFonts w:ascii="Arial" w:cs="Arial" w:eastAsia="Arial" w:hAnsi="Arial"/>
                <w:sz w:val="16"/>
                <w:szCs w:val="16"/>
                <w:color w:val="auto"/>
              </w:rPr>
              <w:t>Basic</w:t>
            </w:r>
          </w:p>
        </w:tc>
        <w:tc>
          <w:tcPr>
            <w:tcW w:w="13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7"/>
                <w:szCs w:val="17"/>
                <w:color w:val="auto"/>
              </w:rPr>
            </w:pPr>
          </w:p>
        </w:tc>
        <w:tc>
          <w:tcPr>
            <w:tcW w:w="40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17"/>
                <w:szCs w:val="17"/>
                <w:color w:val="auto"/>
              </w:rPr>
            </w:pPr>
          </w:p>
        </w:tc>
        <w:tc>
          <w:tcPr>
            <w:tcW w:w="340" w:type="dxa"/>
            <w:vAlign w:val="bottom"/>
            <w:gridSpan w:val="2"/>
          </w:tcPr>
          <w:p>
            <w:pPr>
              <w:jc w:val="right"/>
              <w:ind w:right="106"/>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40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Diluted</w:t>
            </w:r>
          </w:p>
        </w:tc>
        <w:tc>
          <w:tcPr>
            <w:tcW w:w="1340" w:type="dxa"/>
            <w:vAlign w:val="bottom"/>
            <w:gridSpan w:val="2"/>
            <w:shd w:val="clear" w:color="auto" w:fill="CFF0FC"/>
          </w:tcPr>
          <w:p>
            <w:pPr>
              <w:jc w:val="right"/>
              <w:ind w:right="4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06"/>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Non-GAAP net income per share:</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440"/>
              <w:spacing w:after="0"/>
              <w:rPr>
                <w:sz w:val="20"/>
                <w:szCs w:val="20"/>
                <w:color w:val="auto"/>
              </w:rPr>
            </w:pPr>
            <w:r>
              <w:rPr>
                <w:rFonts w:ascii="Arial" w:cs="Arial" w:eastAsia="Arial" w:hAnsi="Arial"/>
                <w:sz w:val="16"/>
                <w:szCs w:val="16"/>
                <w:color w:val="auto"/>
              </w:rPr>
              <w:t>Basic</w:t>
            </w:r>
          </w:p>
        </w:tc>
        <w:tc>
          <w:tcPr>
            <w:tcW w:w="13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40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0.14</w:t>
            </w:r>
          </w:p>
        </w:tc>
        <w:tc>
          <w:tcPr>
            <w:tcW w:w="140" w:type="dxa"/>
            <w:vAlign w:val="bottom"/>
          </w:tcPr>
          <w:p>
            <w:pPr>
              <w:spacing w:after="0"/>
              <w:rPr>
                <w:sz w:val="17"/>
                <w:szCs w:val="17"/>
                <w:color w:val="auto"/>
              </w:rPr>
            </w:pPr>
          </w:p>
        </w:tc>
        <w:tc>
          <w:tcPr>
            <w:tcW w:w="340" w:type="dxa"/>
            <w:vAlign w:val="bottom"/>
            <w:gridSpan w:val="2"/>
          </w:tcPr>
          <w:p>
            <w:pPr>
              <w:jc w:val="right"/>
              <w:ind w:right="106"/>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7"/>
                <w:szCs w:val="17"/>
                <w:color w:val="auto"/>
              </w:rPr>
            </w:pPr>
          </w:p>
        </w:tc>
        <w:tc>
          <w:tcPr>
            <w:tcW w:w="40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440"/>
              <w:spacing w:after="0"/>
              <w:rPr>
                <w:sz w:val="20"/>
                <w:szCs w:val="20"/>
                <w:color w:val="auto"/>
              </w:rPr>
            </w:pPr>
            <w:r>
              <w:rPr>
                <w:rFonts w:ascii="Arial" w:cs="Arial" w:eastAsia="Arial" w:hAnsi="Arial"/>
                <w:sz w:val="16"/>
                <w:szCs w:val="16"/>
                <w:color w:val="auto"/>
              </w:rPr>
              <w:t>Diluted</w:t>
            </w:r>
          </w:p>
        </w:tc>
        <w:tc>
          <w:tcPr>
            <w:tcW w:w="1340" w:type="dxa"/>
            <w:vAlign w:val="bottom"/>
            <w:gridSpan w:val="2"/>
            <w:shd w:val="clear" w:color="auto" w:fill="CFF0FC"/>
          </w:tcPr>
          <w:p>
            <w:pPr>
              <w:jc w:val="right"/>
              <w:ind w:right="4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06"/>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340" w:type="dxa"/>
            <w:vAlign w:val="bottom"/>
            <w:tcBorders>
              <w:bottom w:val="single" w:sz="8" w:color="D9D9D9"/>
            </w:tcBorders>
          </w:tcPr>
          <w:p>
            <w:pPr>
              <w:spacing w:after="0"/>
              <w:rPr>
                <w:sz w:val="16"/>
                <w:szCs w:val="16"/>
                <w:color w:val="auto"/>
              </w:rPr>
            </w:pPr>
          </w:p>
        </w:tc>
        <w:tc>
          <w:tcPr>
            <w:tcW w:w="1140" w:type="dxa"/>
            <w:vAlign w:val="bottom"/>
            <w:tcBorders>
              <w:bottom w:val="single" w:sz="8" w:color="D9D9D9"/>
            </w:tcBorders>
          </w:tcPr>
          <w:p>
            <w:pPr>
              <w:spacing w:after="0"/>
              <w:rPr>
                <w:sz w:val="16"/>
                <w:szCs w:val="16"/>
                <w:color w:val="auto"/>
              </w:rPr>
            </w:pPr>
          </w:p>
        </w:tc>
        <w:tc>
          <w:tcPr>
            <w:tcW w:w="200" w:type="dxa"/>
            <w:vAlign w:val="bottom"/>
            <w:tcBorders>
              <w:bottom w:val="single" w:sz="8" w:color="D9D9D9"/>
            </w:tcBorders>
          </w:tcPr>
          <w:p>
            <w:pPr>
              <w:spacing w:after="0"/>
              <w:rPr>
                <w:sz w:val="16"/>
                <w:szCs w:val="16"/>
                <w:color w:val="auto"/>
              </w:rPr>
            </w:pPr>
          </w:p>
        </w:tc>
        <w:tc>
          <w:tcPr>
            <w:tcW w:w="106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300" w:type="dxa"/>
            <w:vAlign w:val="bottom"/>
            <w:tcBorders>
              <w:bottom w:val="single" w:sz="8" w:color="D9D9D9"/>
            </w:tcBorders>
          </w:tcPr>
          <w:p>
            <w:pPr>
              <w:spacing w:after="0"/>
              <w:rPr>
                <w:sz w:val="16"/>
                <w:szCs w:val="16"/>
                <w:color w:val="auto"/>
              </w:rPr>
            </w:pPr>
          </w:p>
        </w:tc>
        <w:tc>
          <w:tcPr>
            <w:tcW w:w="960" w:type="dxa"/>
            <w:vAlign w:val="bottom"/>
            <w:tcBorders>
              <w:bottom w:val="single" w:sz="8" w:color="D9D9D9"/>
            </w:tcBorders>
          </w:tcPr>
          <w:p>
            <w:pPr>
              <w:spacing w:after="0"/>
              <w:rPr>
                <w:sz w:val="16"/>
                <w:szCs w:val="16"/>
                <w:color w:val="auto"/>
              </w:rPr>
            </w:pPr>
          </w:p>
        </w:tc>
        <w:tc>
          <w:tcPr>
            <w:tcW w:w="140" w:type="dxa"/>
            <w:vAlign w:val="bottom"/>
            <w:tcBorders>
              <w:bottom w:val="single" w:sz="8" w:color="D9D9D9"/>
            </w:tcBorders>
          </w:tcPr>
          <w:p>
            <w:pPr>
              <w:spacing w:after="0"/>
              <w:rPr>
                <w:sz w:val="16"/>
                <w:szCs w:val="16"/>
                <w:color w:val="auto"/>
              </w:rPr>
            </w:pPr>
          </w:p>
        </w:tc>
        <w:tc>
          <w:tcPr>
            <w:tcW w:w="80" w:type="dxa"/>
            <w:vAlign w:val="bottom"/>
            <w:tcBorders>
              <w:bottom w:val="single" w:sz="8" w:color="D9D9D9"/>
            </w:tcBorders>
          </w:tcPr>
          <w:p>
            <w:pPr>
              <w:spacing w:after="0"/>
              <w:rPr>
                <w:sz w:val="16"/>
                <w:szCs w:val="16"/>
                <w:color w:val="auto"/>
              </w:rPr>
            </w:pPr>
          </w:p>
        </w:tc>
        <w:tc>
          <w:tcPr>
            <w:tcW w:w="260" w:type="dxa"/>
            <w:vAlign w:val="bottom"/>
            <w:tcBorders>
              <w:bottom w:val="single" w:sz="8" w:color="D9D9D9"/>
            </w:tcBorders>
          </w:tcPr>
          <w:p>
            <w:pPr>
              <w:spacing w:after="0"/>
              <w:rPr>
                <w:sz w:val="16"/>
                <w:szCs w:val="16"/>
                <w:color w:val="auto"/>
              </w:rPr>
            </w:pPr>
          </w:p>
        </w:tc>
        <w:tc>
          <w:tcPr>
            <w:tcW w:w="980" w:type="dxa"/>
            <w:vAlign w:val="bottom"/>
            <w:tcBorders>
              <w:bottom w:val="single" w:sz="8" w:color="D9D9D9"/>
            </w:tcBorders>
          </w:tcPr>
          <w:p>
            <w:pPr>
              <w:spacing w:after="0"/>
              <w:rPr>
                <w:sz w:val="16"/>
                <w:szCs w:val="16"/>
                <w:color w:val="auto"/>
              </w:rPr>
            </w:pPr>
          </w:p>
        </w:tc>
        <w:tc>
          <w:tcPr>
            <w:tcW w:w="12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300" w:type="dxa"/>
            <w:vAlign w:val="bottom"/>
            <w:tcBorders>
              <w:bottom w:val="single" w:sz="8" w:color="D9D9D9"/>
            </w:tcBorders>
          </w:tcPr>
          <w:p>
            <w:pPr>
              <w:spacing w:after="0"/>
              <w:rPr>
                <w:sz w:val="16"/>
                <w:szCs w:val="16"/>
                <w:color w:val="auto"/>
              </w:rPr>
            </w:pPr>
          </w:p>
        </w:tc>
        <w:tc>
          <w:tcPr>
            <w:tcW w:w="960" w:type="dxa"/>
            <w:vAlign w:val="bottom"/>
            <w:tcBorders>
              <w:bottom w:val="single" w:sz="8" w:color="D9D9D9"/>
            </w:tcBorders>
          </w:tcPr>
          <w:p>
            <w:pPr>
              <w:spacing w:after="0"/>
              <w:rPr>
                <w:sz w:val="16"/>
                <w:szCs w:val="16"/>
                <w:color w:val="auto"/>
              </w:rPr>
            </w:pPr>
          </w:p>
        </w:tc>
        <w:tc>
          <w:tcPr>
            <w:tcW w:w="1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D9D9D9"/>
            </w:tcBorders>
          </w:tcPr>
          <w:p>
            <w:pPr>
              <w:spacing w:after="0"/>
              <w:rPr>
                <w:sz w:val="16"/>
                <w:szCs w:val="16"/>
                <w:color w:val="auto"/>
              </w:rPr>
            </w:pPr>
          </w:p>
        </w:tc>
        <w:tc>
          <w:tcPr>
            <w:tcW w:w="1140" w:type="dxa"/>
            <w:vAlign w:val="bottom"/>
            <w:tcBorders>
              <w:bottom w:val="single" w:sz="8" w:color="D9D9D9"/>
            </w:tcBorders>
          </w:tcPr>
          <w:p>
            <w:pPr>
              <w:spacing w:after="0"/>
              <w:rPr>
                <w:sz w:val="16"/>
                <w:szCs w:val="16"/>
                <w:color w:val="auto"/>
              </w:rPr>
            </w:pPr>
          </w:p>
        </w:tc>
        <w:tc>
          <w:tcPr>
            <w:tcW w:w="200" w:type="dxa"/>
            <w:vAlign w:val="bottom"/>
            <w:tcBorders>
              <w:bottom w:val="single" w:sz="8" w:color="D9D9D9"/>
            </w:tcBorders>
          </w:tcPr>
          <w:p>
            <w:pPr>
              <w:spacing w:after="0"/>
              <w:rPr>
                <w:sz w:val="16"/>
                <w:szCs w:val="16"/>
                <w:color w:val="auto"/>
              </w:rPr>
            </w:pPr>
          </w:p>
        </w:tc>
        <w:tc>
          <w:tcPr>
            <w:tcW w:w="106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300" w:type="dxa"/>
            <w:vAlign w:val="bottom"/>
            <w:tcBorders>
              <w:bottom w:val="single" w:sz="8" w:color="D9D9D9"/>
            </w:tcBorders>
          </w:tcPr>
          <w:p>
            <w:pPr>
              <w:spacing w:after="0"/>
              <w:rPr>
                <w:sz w:val="16"/>
                <w:szCs w:val="16"/>
                <w:color w:val="auto"/>
              </w:rPr>
            </w:pPr>
          </w:p>
        </w:tc>
        <w:tc>
          <w:tcPr>
            <w:tcW w:w="960" w:type="dxa"/>
            <w:vAlign w:val="bottom"/>
            <w:tcBorders>
              <w:bottom w:val="single" w:sz="8" w:color="D9D9D9"/>
            </w:tcBorders>
          </w:tcPr>
          <w:p>
            <w:pPr>
              <w:spacing w:after="0"/>
              <w:rPr>
                <w:sz w:val="16"/>
                <w:szCs w:val="16"/>
                <w:color w:val="auto"/>
              </w:rPr>
            </w:pPr>
          </w:p>
        </w:tc>
        <w:tc>
          <w:tcPr>
            <w:tcW w:w="140" w:type="dxa"/>
            <w:vAlign w:val="bottom"/>
            <w:tcBorders>
              <w:bottom w:val="single" w:sz="8" w:color="D9D9D9"/>
            </w:tcBorders>
          </w:tcPr>
          <w:p>
            <w:pPr>
              <w:spacing w:after="0"/>
              <w:rPr>
                <w:sz w:val="16"/>
                <w:szCs w:val="16"/>
                <w:color w:val="auto"/>
              </w:rPr>
            </w:pPr>
          </w:p>
        </w:tc>
        <w:tc>
          <w:tcPr>
            <w:tcW w:w="80" w:type="dxa"/>
            <w:vAlign w:val="bottom"/>
            <w:tcBorders>
              <w:bottom w:val="single" w:sz="8" w:color="D9D9D9"/>
            </w:tcBorders>
          </w:tcPr>
          <w:p>
            <w:pPr>
              <w:spacing w:after="0"/>
              <w:rPr>
                <w:sz w:val="16"/>
                <w:szCs w:val="16"/>
                <w:color w:val="auto"/>
              </w:rPr>
            </w:pPr>
          </w:p>
        </w:tc>
        <w:tc>
          <w:tcPr>
            <w:tcW w:w="260" w:type="dxa"/>
            <w:vAlign w:val="bottom"/>
            <w:tcBorders>
              <w:bottom w:val="single" w:sz="8" w:color="D9D9D9"/>
            </w:tcBorders>
          </w:tcPr>
          <w:p>
            <w:pPr>
              <w:spacing w:after="0"/>
              <w:rPr>
                <w:sz w:val="16"/>
                <w:szCs w:val="16"/>
                <w:color w:val="auto"/>
              </w:rPr>
            </w:pPr>
          </w:p>
        </w:tc>
        <w:tc>
          <w:tcPr>
            <w:tcW w:w="980" w:type="dxa"/>
            <w:vAlign w:val="bottom"/>
            <w:tcBorders>
              <w:bottom w:val="single" w:sz="8" w:color="D9D9D9"/>
            </w:tcBorders>
          </w:tcPr>
          <w:p>
            <w:pPr>
              <w:spacing w:after="0"/>
              <w:rPr>
                <w:sz w:val="16"/>
                <w:szCs w:val="16"/>
                <w:color w:val="auto"/>
              </w:rPr>
            </w:pPr>
          </w:p>
        </w:tc>
        <w:tc>
          <w:tcPr>
            <w:tcW w:w="12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300" w:type="dxa"/>
            <w:vAlign w:val="bottom"/>
            <w:tcBorders>
              <w:bottom w:val="single" w:sz="8" w:color="D9D9D9"/>
            </w:tcBorders>
          </w:tcPr>
          <w:p>
            <w:pPr>
              <w:spacing w:after="0"/>
              <w:rPr>
                <w:sz w:val="16"/>
                <w:szCs w:val="16"/>
                <w:color w:val="auto"/>
              </w:rPr>
            </w:pPr>
          </w:p>
        </w:tc>
        <w:tc>
          <w:tcPr>
            <w:tcW w:w="960" w:type="dxa"/>
            <w:vAlign w:val="bottom"/>
            <w:tcBorders>
              <w:bottom w:val="single" w:sz="8" w:color="D9D9D9"/>
            </w:tcBorders>
          </w:tcPr>
          <w:p>
            <w:pPr>
              <w:spacing w:after="0"/>
              <w:rPr>
                <w:sz w:val="16"/>
                <w:szCs w:val="16"/>
                <w:color w:val="auto"/>
              </w:rPr>
            </w:pPr>
          </w:p>
        </w:tc>
        <w:tc>
          <w:tcPr>
            <w:tcW w:w="1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18883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color w:val="auto"/>
        </w:rPr>
        <w:t>Exhibit 99.1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 REGARDING NON-GAAP FINANCIAL MEASURES</w:t>
      </w:r>
    </w:p>
    <w:p>
      <w:pPr>
        <w:spacing w:after="0" w:line="196"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18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Non-GAAP operating income, non-GAAP net income, non-GAAP operating margin, non-GAAP earnings per basic and diluted share and adjusted EBITDA, as we present them in the financial data included in this press release, have been adjusted to exclude the effects of amortization expenses for acquisition related intangible assets, contingent retention and earnout expenses, restructuring expenses primarily relating to severance and legal expenses, acquisition and integration expenses which include retention, legal, accounting, banking, and other expenses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4"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In accordance with the requirements of Regulation G issued by the Securities and Exchange Commission, non-GAAP operating income, non-GAAP net income, non-GAAP operating margin and non-GAAP earnings per basic and diluted share and adjusted EBITDA stated in the tables above are reconciled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230505</wp:posOffset>
            </wp:positionV>
            <wp:extent cx="71481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367030</wp:posOffset>
            </wp:positionV>
            <wp:extent cx="71481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18883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color w:val="auto"/>
        </w:rPr>
        <w:t>Exhibit 99.1</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SAFE HARBOR</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7"/>
          <w:szCs w:val="17"/>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2020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strategic transactions;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71481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556260</wp:posOffset>
            </wp:positionV>
            <wp:extent cx="71481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color w:val="808080"/>
        </w:rPr>
        <w:t>P a g e</w:t>
      </w:r>
    </w:p>
    <w:p>
      <w:pPr>
        <w:sectPr>
          <w:pgSz w:w="11900" w:h="16838" w:orient="portrait"/>
          <w:cols w:equalWidth="0" w:num="1">
            <w:col w:w="11260"/>
          </w:cols>
          <w:pgMar w:left="320" w:top="127" w:right="319" w:bottom="1440" w:gutter="0" w:footer="0" w:header="0"/>
        </w:sectPr>
      </w:pPr>
    </w:p>
    <w:bookmarkStart w:id="11" w:name="page12"/>
    <w:bookmarkEnd w:id="11"/>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4387850</wp:posOffset>
            </wp:positionH>
            <wp:positionV relativeFrom="page">
              <wp:posOffset>88900</wp:posOffset>
            </wp:positionV>
            <wp:extent cx="1143635"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43635" cy="582930"/>
                    </a:xfrm>
                    <a:prstGeom prst="rect">
                      <a:avLst/>
                    </a:prstGeom>
                    <a:noFill/>
                  </pic:spPr>
                </pic:pic>
              </a:graphicData>
            </a:graphic>
          </wp:anchor>
        </w:drawing>
      </w:r>
    </w:p>
    <w:p>
      <w:pPr>
        <w:ind w:left="986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54521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7620"/>
                    </a:xfrm>
                    <a:prstGeom prst="rect">
                      <a:avLst/>
                    </a:prstGeom>
                    <a:noFill/>
                  </pic:spPr>
                </pic:pic>
              </a:graphicData>
            </a:graphic>
          </wp:anchor>
        </w:drawing>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CECO Environmental Announces $5 Million Share Repurchase Program</w:t>
      </w:r>
    </w:p>
    <w:p>
      <w:pPr>
        <w:spacing w:after="0" w:line="200" w:lineRule="exact"/>
        <w:rPr>
          <w:sz w:val="20"/>
          <w:szCs w:val="20"/>
          <w:color w:val="auto"/>
        </w:rPr>
      </w:pPr>
    </w:p>
    <w:p>
      <w:pPr>
        <w:spacing w:after="0" w:line="225" w:lineRule="exact"/>
        <w:rPr>
          <w:sz w:val="20"/>
          <w:szCs w:val="20"/>
          <w:color w:val="auto"/>
        </w:rPr>
      </w:pPr>
    </w:p>
    <w:p>
      <w:pPr>
        <w:jc w:val="both"/>
        <w:ind w:right="20"/>
        <w:spacing w:after="0" w:line="251" w:lineRule="auto"/>
        <w:rPr>
          <w:sz w:val="20"/>
          <w:szCs w:val="20"/>
          <w:color w:val="auto"/>
        </w:rPr>
      </w:pPr>
      <w:r>
        <w:rPr>
          <w:rFonts w:ascii="Arial" w:cs="Arial" w:eastAsia="Arial" w:hAnsi="Arial"/>
          <w:sz w:val="19"/>
          <w:szCs w:val="19"/>
          <w:b w:val="1"/>
          <w:bCs w:val="1"/>
          <w:color w:val="auto"/>
        </w:rPr>
        <w:t xml:space="preserve">DALLAS – August 3, 2021 / PRNewswire / -- CECO Environmental Corp. (Nasdaq: CECE) </w:t>
      </w:r>
      <w:r>
        <w:rPr>
          <w:rFonts w:ascii="Arial" w:cs="Arial" w:eastAsia="Arial" w:hAnsi="Arial"/>
          <w:sz w:val="19"/>
          <w:szCs w:val="19"/>
          <w:color w:val="auto"/>
        </w:rPr>
        <w:t>today announced that its Board of Directors has</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a share repurchase program under which CECO may purchase up to $5 million of its outstanding common shares through December 31, 2021.</w:t>
      </w:r>
    </w:p>
    <w:p>
      <w:pPr>
        <w:spacing w:after="0" w:line="179"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Todd Gleason, CECO’s Chief Executive Officer, commented, “We remain highly confident in our current prospects and excited about our future growth opportunities. We have built a healthy balance sheet, and we believe that our current stock price represents an attractive valuation for our capital allocation strategy. The Board’s approval of our share repurchase program reflects our confidence in CECO’s strategic growth, the strength of our balance sheet, and our heightened commitment to optimizing long-term shareholder returns.”</w:t>
      </w:r>
    </w:p>
    <w:p>
      <w:pPr>
        <w:spacing w:after="0" w:line="169"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The share repurchase program is designed to return value to CECO shareholders, offset dilution from previous share issuances, and reduce share count over time. The $5 million authorization represents approximately 2.0% of outstanding shares based on the closing stock price of $7.04 as of June 30, 2021. The authorization permits the company to repurchase shares in the open market, through accelerated share repurchases, block trades, 10b5-1 plans or through privately negotiated transactions in accordance with applicable laws, rules, and regulations.</w:t>
      </w:r>
    </w:p>
    <w:p>
      <w:pPr>
        <w:spacing w:after="0" w:line="155" w:lineRule="exact"/>
        <w:rPr>
          <w:sz w:val="20"/>
          <w:szCs w:val="20"/>
          <w:color w:val="auto"/>
        </w:rPr>
      </w:pPr>
    </w:p>
    <w:p>
      <w:pPr>
        <w:ind w:right="400"/>
        <w:spacing w:after="0" w:line="292" w:lineRule="auto"/>
        <w:rPr>
          <w:sz w:val="20"/>
          <w:szCs w:val="20"/>
          <w:color w:val="auto"/>
        </w:rPr>
      </w:pPr>
      <w:r>
        <w:rPr>
          <w:rFonts w:ascii="Arial" w:cs="Arial" w:eastAsia="Arial" w:hAnsi="Arial"/>
          <w:sz w:val="17"/>
          <w:szCs w:val="17"/>
          <w:color w:val="auto"/>
        </w:rPr>
        <w:t>The timing and amount of any future repurchases will be determined by the company’s management at its discretion based on several factors, including ongoing assessments of the capital needs of the business, the market price of the company’s common stock, and general market considerations. The repurchase program may be modified, extended, or terminated by the Board of Directors at any time.</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CECO ENVIRONMENTAL</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 xml:space="preserve">CECO Environmental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t>
      </w:r>
      <w:r>
        <w:rPr>
          <w:rFonts w:ascii="Arial" w:cs="Arial" w:eastAsia="Arial" w:hAnsi="Arial"/>
          <w:sz w:val="19"/>
          <w:szCs w:val="19"/>
          <w:u w:val="single" w:color="auto"/>
          <w:color w:val="auto"/>
        </w:rPr>
        <w:t>www.cecoenviro.com</w:t>
      </w:r>
      <w:r>
        <w:rPr>
          <w:rFonts w:ascii="Arial" w:cs="Arial" w:eastAsia="Arial" w:hAnsi="Arial"/>
          <w:sz w:val="19"/>
          <w:szCs w:val="19"/>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Company Contact: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Matthew Eckl</w:t>
      </w:r>
    </w:p>
    <w:p>
      <w:pPr>
        <w:spacing w:after="0" w:line="235" w:lineRule="auto"/>
        <w:rPr>
          <w:sz w:val="20"/>
          <w:szCs w:val="20"/>
          <w:color w:val="auto"/>
        </w:rPr>
      </w:pPr>
      <w:r>
        <w:rPr>
          <w:rFonts w:ascii="Arial" w:cs="Arial" w:eastAsia="Arial" w:hAnsi="Arial"/>
          <w:sz w:val="19"/>
          <w:szCs w:val="19"/>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888-990-6670</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Relations Contact: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Steven Hooser or Hala Elsherbini</w:t>
      </w:r>
    </w:p>
    <w:p>
      <w:pPr>
        <w:spacing w:after="0" w:line="235" w:lineRule="auto"/>
        <w:rPr>
          <w:sz w:val="20"/>
          <w:szCs w:val="20"/>
          <w:color w:val="auto"/>
        </w:rPr>
      </w:pPr>
      <w:r>
        <w:rPr>
          <w:rFonts w:ascii="Arial" w:cs="Arial" w:eastAsia="Arial" w:hAnsi="Arial"/>
          <w:sz w:val="19"/>
          <w:szCs w:val="19"/>
          <w:color w:val="auto"/>
        </w:rPr>
        <w:t>Three Part Advisors</w:t>
      </w:r>
    </w:p>
    <w:p>
      <w:pPr>
        <w:spacing w:after="0" w:line="236" w:lineRule="auto"/>
        <w:rPr>
          <w:sz w:val="20"/>
          <w:szCs w:val="20"/>
          <w:color w:val="auto"/>
        </w:rPr>
      </w:pPr>
      <w:r>
        <w:rPr>
          <w:rFonts w:ascii="Arial" w:cs="Arial" w:eastAsia="Arial" w:hAnsi="Arial"/>
          <w:sz w:val="19"/>
          <w:szCs w:val="19"/>
          <w:color w:val="auto"/>
        </w:rPr>
        <w:t>214-872-2710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304800</wp:posOffset>
            </wp:positionV>
            <wp:extent cx="718883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406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rPr>
          <w:sz w:val="20"/>
          <w:szCs w:val="20"/>
          <w:color w:val="auto"/>
        </w:rPr>
      </w:pPr>
      <w:r>
        <w:rPr>
          <w:rFonts w:ascii="Arial" w:cs="Arial" w:eastAsia="Arial" w:hAnsi="Arial"/>
          <w:sz w:val="19"/>
          <w:szCs w:val="19"/>
          <w:b w:val="1"/>
          <w:bCs w:val="1"/>
          <w:color w:val="auto"/>
        </w:rPr>
        <w:t>SAFE HARBOR</w:t>
      </w:r>
    </w:p>
    <w:p>
      <w:pPr>
        <w:spacing w:after="0" w:line="9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2020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strategic transactions;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2021-08-03T06:04:01Z</dcterms:created>
  <dcterms:modified xsi:type="dcterms:W3CDTF">2021-08-03T06:04:01Z</dcterms:modified>
</cp:coreProperties>
</file>