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95093.htm"/>
      <w:bookmarkStart w:id="1" w:name="ksrrd95093"/>
      <w:bookmarkStart w:id="2" w:name="rrd95093.htm"/>
      <w:bookmarkStart w:id="3" w:name="ksrrd95093"/>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10/20/2005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2"/>
        <w:gridCol w:w="304"/>
        <w:gridCol w:w="3879"/>
      </w:tblGrid>
      <w:tr>
        <w:trPr/>
        <w:tc>
          <w:tcPr>
            <w:tcW w:w="6022"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Incorporation or Organization)</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(Registrants Telephone Number, Including Area Code)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Act(17CFR240.14a-12)</w:t>
        <w:br/>
        <w:br/>
        <w:t>[  ]   Pre-commencement communications pursuant to Rule 14d-2(b) under the Exchange Act(17CFR240.14d-2(b))</w:t>
        <w:br/>
        <w:br/>
        <w:t xml:space="preserve">[  ]   Pre-commencement communications pursuant to Rule 13e-4(c) under the Exchange Act(17CFR240.13e-4(c))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Items to be Included in this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 xml:space="preserve">As disclosed on an 8-K filed June 22, 2005, on June 20, 2005,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Due to time constraints and other projects, Trademark chose to assign the Agreement, with K&amp;B's consent, to a third party that had indicated its desire to purchase the Millworks properties, including K&amp;B's property. Therefore, pursuant to a Third Amendment and Assignment to the Agreement, dated as of October 20,2005, Trademark transferred all of its right, title and interest under the Agreement to Millworks Town Center, LLC. </w:t>
      </w:r>
    </w:p>
    <w:p>
      <w:pPr>
        <w:pStyle w:val="TextBody"/>
        <w:jc w:val="left"/>
        <w:rPr>
          <w:color w:val="000000"/>
        </w:rPr>
      </w:pPr>
      <w:r>
        <w:rPr>
          <w:color w:val="000000"/>
        </w:rPr>
        <w:t>In addition, under the Third Amendment, the closing of Parcel A has been extended until December 31, 2005. Also in connection with the Third Amendment, the refundable deposit of $200,000 that was escrowed was returned to Trademark by the title agent. The extension fees paid by Trademark, totaling $175,000, were retained by K&amp;B in accordance with the terms of the Agreement. The closing of the acquisition is still subject to various customary closing conditions. Additionally, closing is subject to certain special conditions such as the negotiation of a definitive agreement setting forth K&amp;B's post-closing possessory rights.</w:t>
      </w:r>
    </w:p>
    <w:p>
      <w:pPr>
        <w:pStyle w:val="TextBody"/>
        <w:spacing w:before="0" w:after="0"/>
        <w:jc w:val="left"/>
        <w:rPr>
          <w:color w:val="000000"/>
        </w:rPr>
      </w:pPr>
      <w:r>
        <w:rPr>
          <w:color w:val="000000"/>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 fer materially from the forward-looking statements. For a discussion of additional contingencies and uncertainties to which information respecting future events is subject, see CECO's other SEC reports.</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October 25, 2005.</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566</Words>
  <CharactersWithSpaces>3999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