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2018</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189230</wp:posOffset>
            </wp:positionV>
            <wp:extent cx="70294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3"/>
              </w:rPr>
              <w:t>Delaware</w:t>
            </w:r>
          </w:p>
        </w:tc>
        <w:tc>
          <w:tcPr>
            <w:tcW w:w="2920" w:type="dxa"/>
            <w:vAlign w:val="bottom"/>
          </w:tcPr>
          <w:p>
            <w:pPr>
              <w:jc w:val="right"/>
              <w:ind w:right="41"/>
              <w:spacing w:after="0"/>
              <w:rPr>
                <w:sz w:val="20"/>
                <w:szCs w:val="20"/>
                <w:color w:val="auto"/>
              </w:rPr>
            </w:pPr>
            <w:r>
              <w:rPr>
                <w:rFonts w:ascii="Arial" w:cs="Arial" w:eastAsia="Arial" w:hAnsi="Arial"/>
                <w:sz w:val="18"/>
                <w:szCs w:val="18"/>
                <w:b w:val="1"/>
                <w:bCs w:val="1"/>
                <w:color w:val="auto"/>
              </w:rPr>
              <w:t>13-2566064</w:t>
            </w:r>
          </w:p>
        </w:tc>
      </w:tr>
      <w:tr>
        <w:trPr>
          <w:trHeight w:val="149"/>
        </w:trPr>
        <w:tc>
          <w:tcPr>
            <w:tcW w:w="5100" w:type="dxa"/>
            <w:vAlign w:val="bottom"/>
          </w:tcPr>
          <w:p>
            <w:pPr>
              <w:jc w:val="center"/>
              <w:ind w:right="172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92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100" w:type="dxa"/>
            <w:vAlign w:val="bottom"/>
          </w:tcPr>
          <w:p>
            <w:pPr>
              <w:jc w:val="center"/>
              <w:ind w:right="17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300"/>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14651 North Dallas Parkway, Dallas, Texas</w:t>
            </w:r>
          </w:p>
        </w:tc>
        <w:tc>
          <w:tcPr>
            <w:tcW w:w="2920" w:type="dxa"/>
            <w:vAlign w:val="bottom"/>
          </w:tcPr>
          <w:p>
            <w:pPr>
              <w:jc w:val="right"/>
              <w:ind w:right="261"/>
              <w:spacing w:after="0"/>
              <w:rPr>
                <w:sz w:val="20"/>
                <w:szCs w:val="20"/>
                <w:color w:val="auto"/>
              </w:rPr>
            </w:pPr>
            <w:r>
              <w:rPr>
                <w:rFonts w:ascii="Arial" w:cs="Arial" w:eastAsia="Arial" w:hAnsi="Arial"/>
                <w:sz w:val="18"/>
                <w:szCs w:val="18"/>
                <w:b w:val="1"/>
                <w:bCs w:val="1"/>
                <w:color w:val="auto"/>
              </w:rPr>
              <w:t>75254</w:t>
            </w:r>
          </w:p>
        </w:tc>
      </w:tr>
      <w:tr>
        <w:trPr>
          <w:trHeight w:val="186"/>
        </w:trPr>
        <w:tc>
          <w:tcPr>
            <w:tcW w:w="5100" w:type="dxa"/>
            <w:vAlign w:val="bottom"/>
          </w:tcPr>
          <w:p>
            <w:pPr>
              <w:jc w:val="center"/>
              <w:ind w:right="17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0" w:lineRule="exact"/>
        <w:rPr>
          <w:sz w:val="24"/>
          <w:szCs w:val="24"/>
          <w:color w:val="auto"/>
        </w:rPr>
      </w:pPr>
    </w:p>
    <w:p>
      <w:pPr>
        <w:jc w:val="both"/>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87"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20" w:firstLine="518"/>
        <w:spacing w:after="0" w:line="277"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34,911,231 shares of common stock, par value $0.01 per share, as of August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310515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 ended June 30, 2018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2"/>
          </w:tcPr>
          <w:p>
            <w:pPr>
              <w:spacing w:after="0"/>
              <w:rPr>
                <w:sz w:val="20"/>
                <w:szCs w:val="20"/>
                <w:color w:val="auto"/>
              </w:rPr>
            </w:pPr>
            <w:r>
              <w:rPr>
                <w:rFonts w:ascii="Arial" w:cs="Arial" w:eastAsia="Arial" w:hAnsi="Arial"/>
                <w:sz w:val="18"/>
                <w:szCs w:val="18"/>
                <w:color w:val="auto"/>
              </w:rPr>
              <w:t>Part I –</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Information</w:t>
              </w:r>
            </w:hyperlink>
          </w:p>
        </w:tc>
        <w:tc>
          <w:tcPr>
            <w:tcW w:w="8280" w:type="dxa"/>
            <w:vAlign w:val="bottom"/>
            <w:gridSpan w:val="15"/>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Item 1. Financial Statements</w:t>
              </w:r>
            </w:hyperlink>
          </w:p>
        </w:tc>
        <w:tc>
          <w:tcPr>
            <w:tcW w:w="780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2018 and December 31, 201</w:t>
              </w:r>
            </w:hyperlink>
            <w:r>
              <w:rPr>
                <w:rFonts w:ascii="Arial" w:cs="Arial" w:eastAsia="Arial" w:hAnsi="Arial"/>
                <w:sz w:val="18"/>
                <w:szCs w:val="18"/>
                <w:color w:val="000000"/>
              </w:rPr>
              <w:t>7</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three-month and six-month periods ended June 30, 2018 and 2017</w:t>
              </w:r>
            </w:hyperlink>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 for the three-month and six-month periods</w:t>
              </w:r>
            </w:hyperlink>
          </w:p>
        </w:tc>
        <w:tc>
          <w:tcPr>
            <w:tcW w:w="60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ended June 30, 2018 and 2017</w:t>
              </w:r>
            </w:hyperlink>
          </w:p>
        </w:tc>
        <w:tc>
          <w:tcPr>
            <w:tcW w:w="5760" w:type="dxa"/>
            <w:vAlign w:val="bottom"/>
            <w:tcBorders>
              <w:top w:val="single" w:sz="8" w:color="0000EE"/>
            </w:tcBorders>
            <w:gridSpan w:val="8"/>
          </w:tcPr>
          <w:p>
            <w:pPr>
              <w:spacing w:after="0"/>
              <w:rPr>
                <w:sz w:val="17"/>
                <w:szCs w:val="17"/>
                <w:color w:val="auto"/>
              </w:rPr>
            </w:pPr>
          </w:p>
        </w:tc>
        <w:tc>
          <w:tcPr>
            <w:tcW w:w="124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six-month periods ended June 30, 2018 and 2017</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820" w:type="dxa"/>
            <w:vAlign w:val="bottom"/>
            <w:tcBorders>
              <w:top w:val="single" w:sz="8" w:color="0000EE"/>
            </w:tcBorders>
            <w:gridSpan w:val="5"/>
          </w:tcPr>
          <w:p>
            <w:pPr>
              <w:spacing w:after="0"/>
              <w:rPr>
                <w:sz w:val="24"/>
                <w:szCs w:val="24"/>
                <w:color w:val="auto"/>
              </w:rPr>
            </w:pPr>
          </w:p>
        </w:tc>
        <w:tc>
          <w:tcPr>
            <w:tcW w:w="160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 Management’s Discussion and Analysis of Financial Condition and Results of Operations</w:t>
              </w:r>
            </w:hyperlink>
          </w:p>
        </w:tc>
        <w:tc>
          <w:tcPr>
            <w:tcW w:w="284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Borders>
              <w:top w:val="single" w:sz="8" w:color="0000EE"/>
            </w:tcBorders>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500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45"/>
        </w:trPr>
        <w:tc>
          <w:tcPr>
            <w:tcW w:w="1000" w:type="dxa"/>
            <w:vAlign w:val="bottom"/>
            <w:gridSpan w:val="2"/>
          </w:tcPr>
          <w:p>
            <w:pPr>
              <w:spacing w:after="0"/>
              <w:rPr>
                <w:sz w:val="20"/>
                <w:szCs w:val="20"/>
                <w:color w:val="auto"/>
              </w:rPr>
            </w:pPr>
            <w:r>
              <w:rPr>
                <w:rFonts w:ascii="Arial" w:cs="Arial" w:eastAsia="Arial" w:hAnsi="Arial"/>
                <w:sz w:val="18"/>
                <w:szCs w:val="18"/>
                <w:color w:val="auto"/>
              </w:rPr>
              <w:t>Part II –</w:t>
            </w:r>
          </w:p>
        </w:tc>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Other Information</w:t>
              </w:r>
            </w:hyperlink>
          </w:p>
        </w:tc>
        <w:tc>
          <w:tcPr>
            <w:tcW w:w="1000" w:type="dxa"/>
            <w:vAlign w:val="bottom"/>
            <w:tcBorders>
              <w:top w:val="single" w:sz="8" w:color="0000EE"/>
            </w:tcBorders>
            <w:gridSpan w:val="5"/>
          </w:tcPr>
          <w:p>
            <w:pPr>
              <w:spacing w:after="0"/>
              <w:rPr>
                <w:sz w:val="24"/>
                <w:szCs w:val="24"/>
                <w:color w:val="auto"/>
              </w:rPr>
            </w:pPr>
          </w:p>
        </w:tc>
        <w:tc>
          <w:tcPr>
            <w:tcW w:w="754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Borders>
              <w:top w:val="single" w:sz="8" w:color="0000EE"/>
            </w:tcBorders>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798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20"/>
          </w:tcPr>
          <w:p>
            <w:pPr>
              <w:spacing w:after="0"/>
              <w:rPr>
                <w:rFonts w:ascii="Arial" w:cs="Arial" w:eastAsia="Arial" w:hAnsi="Arial"/>
                <w:sz w:val="18"/>
                <w:szCs w:val="18"/>
                <w:color w:val="auto"/>
              </w:rPr>
            </w:pPr>
            <w:r>
              <w:rPr>
                <w:rFonts w:ascii="Arial" w:cs="Arial" w:eastAsia="Arial" w:hAnsi="Arial"/>
                <w:sz w:val="18"/>
                <w:szCs w:val="18"/>
                <w:u w:val="single" w:color="auto"/>
                <w:color w:val="auto"/>
              </w:rPr>
              <w:t>I</w:t>
            </w:r>
            <w:hyperlink w:anchor="page31">
              <w:r>
                <w:rPr>
                  <w:rFonts w:ascii="Arial" w:cs="Arial" w:eastAsia="Arial" w:hAnsi="Arial"/>
                  <w:sz w:val="18"/>
                  <w:szCs w:val="18"/>
                  <w:color w:val="0000EE"/>
                </w:rPr>
                <w:t>tem 2. Unregistered Sales of Equity Securities and Use of Proceeds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Item 3. Defaults Upon Senior Securities</w:t>
              </w:r>
            </w:hyperlink>
          </w:p>
        </w:tc>
        <w:tc>
          <w:tcPr>
            <w:tcW w:w="698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Mine Safety Disclosures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p>
        </w:tc>
        <w:tc>
          <w:tcPr>
            <w:tcW w:w="754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top w:val="single" w:sz="8" w:color="0000EE"/>
            </w:tcBorders>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6. Exhibits</w:t>
              </w:r>
            </w:hyperlink>
          </w:p>
        </w:tc>
        <w:tc>
          <w:tcPr>
            <w:tcW w:w="800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100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ind w:left="3520"/>
              <w:spacing w:after="0"/>
              <w:rPr>
                <w:sz w:val="20"/>
                <w:szCs w:val="20"/>
                <w:color w:val="auto"/>
              </w:rPr>
            </w:pPr>
            <w:r>
              <w:rPr>
                <w:rFonts w:ascii="Arial" w:cs="Arial" w:eastAsia="Arial" w:hAnsi="Arial"/>
                <w:sz w:val="18"/>
                <w:szCs w:val="18"/>
                <w:b w:val="1"/>
                <w:bCs w:val="1"/>
                <w:color w:val="auto"/>
              </w:rPr>
              <w:t>ASSETS</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35,556</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Intangible assets – finite life,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42,444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indefinite life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charges and other assets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421,401</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SHAREHOLDERS’ EQUITY</w:t>
            </w: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Current portion of debt</w:t>
            </w:r>
          </w:p>
        </w:tc>
        <w:tc>
          <w:tcPr>
            <w:tcW w:w="1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payable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109,604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Debt, less current portion</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liability, net</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34,892,193 and</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34,707,924 shares issued and outstanding at June 30, 2018 and December 31, 2017,</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249,674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(47,420)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(52,673)</w:t>
            </w: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(11,020)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191,583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w w:val="99"/>
              </w:rPr>
              <w:t>Less treasury stock, at cost, 137,920 shares at June 30, 2018 and December 31, 2017</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191,227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7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421,401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0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93,870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(2,245)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Loss (gain) on divestitures, net of selling costs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earnings per share: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34,669,810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34,473,688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34,631,519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34,345,317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34,669,810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34,806,808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34,715,141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34,685,687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4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4,862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(3,292)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income</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3,828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164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640" w:type="dxa"/>
            <w:vAlign w:val="bottom"/>
          </w:tcPr>
          <w:p>
            <w:pPr>
              <w:jc w:val="right"/>
              <w:spacing w:after="0"/>
              <w:rPr>
                <w:sz w:val="20"/>
                <w:szCs w:val="20"/>
                <w:color w:val="auto"/>
              </w:rPr>
            </w:pPr>
            <w:r>
              <w:rPr>
                <w:rFonts w:ascii="Arial" w:cs="Arial" w:eastAsia="Arial" w:hAnsi="Arial"/>
                <w:sz w:val="16"/>
                <w:szCs w:val="16"/>
                <w:color w:val="auto"/>
              </w:rPr>
              <w:t>4,862</w:t>
            </w:r>
          </w:p>
        </w:tc>
        <w:tc>
          <w:tcPr>
            <w:tcW w:w="28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 to reconcile net income to net cash provided by operating activities:</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640" w:type="dxa"/>
            <w:vAlign w:val="bottom"/>
          </w:tcPr>
          <w:p>
            <w:pPr>
              <w:jc w:val="right"/>
              <w:spacing w:after="0"/>
              <w:rPr>
                <w:sz w:val="20"/>
                <w:szCs w:val="20"/>
                <w:color w:val="auto"/>
              </w:rPr>
            </w:pPr>
            <w:r>
              <w:rPr>
                <w:rFonts w:ascii="Arial" w:cs="Arial" w:eastAsia="Arial" w:hAnsi="Arial"/>
                <w:sz w:val="16"/>
                <w:szCs w:val="16"/>
                <w:color w:val="auto"/>
              </w:rPr>
              <w:t>6,956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loss (gain)</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Net gain on interest rate swaps</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(104)</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Fair value adjustments to earnout liabilities</w:t>
            </w:r>
          </w:p>
        </w:tc>
        <w:tc>
          <w:tcPr>
            <w:tcW w:w="1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Earnout payments</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(2,050)</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(7,797)</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 loss on sale of property and equipment</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Gain on divestitures</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(11,104)</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Debt discount amortization</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Share-based compensation expense</w:t>
            </w:r>
          </w:p>
        </w:tc>
        <w:tc>
          <w:tcPr>
            <w:tcW w:w="1640" w:type="dxa"/>
            <w:vAlign w:val="bottom"/>
          </w:tcPr>
          <w:p>
            <w:pPr>
              <w:jc w:val="right"/>
              <w:spacing w:after="0"/>
              <w:rPr>
                <w:sz w:val="20"/>
                <w:szCs w:val="20"/>
                <w:color w:val="auto"/>
              </w:rPr>
            </w:pPr>
            <w:r>
              <w:rPr>
                <w:rFonts w:ascii="Arial" w:cs="Arial" w:eastAsia="Arial" w:hAnsi="Arial"/>
                <w:sz w:val="16"/>
                <w:szCs w:val="16"/>
                <w:color w:val="auto"/>
              </w:rPr>
              <w:t>1,488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Bad debt expense</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Inventory reserve expense</w:t>
            </w:r>
          </w:p>
        </w:tc>
        <w:tc>
          <w:tcPr>
            <w:tcW w:w="1640" w:type="dxa"/>
            <w:vAlign w:val="bottom"/>
          </w:tcPr>
          <w:p>
            <w:pPr>
              <w:jc w:val="right"/>
              <w:spacing w:after="0"/>
              <w:rPr>
                <w:sz w:val="20"/>
                <w:szCs w:val="20"/>
                <w:color w:val="auto"/>
              </w:rPr>
            </w:pPr>
            <w:r>
              <w:rPr>
                <w:rFonts w:ascii="Arial" w:cs="Arial" w:eastAsia="Arial" w:hAnsi="Arial"/>
                <w:sz w:val="16"/>
                <w:szCs w:val="16"/>
                <w:color w:val="auto"/>
              </w:rPr>
              <w:t>444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 expense</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(744)</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(6,539)</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(2,911)</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(1,629)</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Prepaid expense and other current assets</w:t>
            </w:r>
          </w:p>
        </w:tc>
        <w:tc>
          <w:tcPr>
            <w:tcW w:w="1640" w:type="dxa"/>
            <w:vAlign w:val="bottom"/>
          </w:tcPr>
          <w:p>
            <w:pPr>
              <w:jc w:val="right"/>
              <w:spacing w:after="0"/>
              <w:rPr>
                <w:sz w:val="20"/>
                <w:szCs w:val="20"/>
                <w:color w:val="auto"/>
              </w:rPr>
            </w:pPr>
            <w:r>
              <w:rPr>
                <w:rFonts w:ascii="Arial" w:cs="Arial" w:eastAsia="Arial" w:hAnsi="Arial"/>
                <w:sz w:val="16"/>
                <w:szCs w:val="16"/>
                <w:color w:val="auto"/>
              </w:rPr>
              <w:t>2,407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charges and other assets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(219)</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1640" w:type="dxa"/>
            <w:vAlign w:val="bottom"/>
          </w:tcPr>
          <w:p>
            <w:pPr>
              <w:jc w:val="right"/>
              <w:spacing w:after="0"/>
              <w:rPr>
                <w:sz w:val="20"/>
                <w:szCs w:val="20"/>
                <w:color w:val="auto"/>
              </w:rPr>
            </w:pPr>
            <w:r>
              <w:rPr>
                <w:rFonts w:ascii="Arial" w:cs="Arial" w:eastAsia="Arial" w:hAnsi="Arial"/>
                <w:sz w:val="16"/>
                <w:szCs w:val="16"/>
                <w:color w:val="auto"/>
              </w:rPr>
              <w:t>12,605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(8,018)</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(11,828)</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1640" w:type="dxa"/>
            <w:vAlign w:val="bottom"/>
          </w:tcPr>
          <w:p>
            <w:pPr>
              <w:jc w:val="right"/>
              <w:spacing w:after="0"/>
              <w:rPr>
                <w:sz w:val="20"/>
                <w:szCs w:val="20"/>
                <w:color w:val="auto"/>
              </w:rPr>
            </w:pPr>
            <w:r>
              <w:rPr>
                <w:rFonts w:ascii="Arial" w:cs="Arial" w:eastAsia="Arial" w:hAnsi="Arial"/>
                <w:sz w:val="16"/>
                <w:szCs w:val="16"/>
                <w:color w:val="auto"/>
              </w:rPr>
              <w:t>1,589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(267)</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9,859</w:t>
            </w:r>
          </w:p>
        </w:tc>
        <w:tc>
          <w:tcPr>
            <w:tcW w:w="28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(591)</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proceeds from divestitures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30,692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30,213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07"/>
        </w:trPr>
        <w:tc>
          <w:tcPr>
            <w:tcW w:w="77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repayments on revolving credit lines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(3,792)</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Repayments of debt</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(30,756)</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(7,656)</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fees paid</w:t>
            </w:r>
          </w:p>
        </w:tc>
        <w:tc>
          <w:tcPr>
            <w:tcW w:w="1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Earnout payments</w:t>
            </w:r>
          </w:p>
        </w:tc>
        <w:tc>
          <w:tcPr>
            <w:tcW w:w="1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(7,396)</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lease financing transaction</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Payments on capital leases and sale-leaseback transactions</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(344)</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employee stock purchase plan, exercise of stock options, and dividend reinvestment plan</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Dividends paid to common shareholders</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(5,173)</w:t>
            </w: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financing activities</w:t>
            </w:r>
          </w:p>
        </w:tc>
        <w:tc>
          <w:tcPr>
            <w:tcW w:w="1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60" w:type="dxa"/>
            <w:vAlign w:val="bottom"/>
            <w:vMerge w:val="continue"/>
            <w:shd w:val="clear" w:color="auto" w:fill="CFF0FC"/>
          </w:tcPr>
          <w:p>
            <w:pPr>
              <w:spacing w:after="0"/>
              <w:rPr>
                <w:sz w:val="18"/>
                <w:szCs w:val="18"/>
                <w:color w:val="auto"/>
              </w:rPr>
            </w:pP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(34,098)</w:t>
            </w: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(20,632)</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60" w:type="dxa"/>
            <w:vAlign w:val="bottom"/>
            <w:vMerge w:val="continue"/>
          </w:tcPr>
          <w:p>
            <w:pPr>
              <w:spacing w:after="0"/>
              <w:rPr>
                <w:sz w:val="17"/>
                <w:szCs w:val="17"/>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(793)</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60" w:type="dxa"/>
            <w:vAlign w:val="bottom"/>
            <w:vMerge w:val="continue"/>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(19,082)</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30,659</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35,840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Cash paid during the period for:</w:t>
            </w: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Interest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260"/>
              <w:spacing w:after="0"/>
              <w:rPr>
                <w:sz w:val="20"/>
                <w:szCs w:val="20"/>
                <w:color w:val="auto"/>
              </w:rPr>
            </w:pPr>
            <w:r>
              <w:rPr>
                <w:rFonts w:ascii="Arial" w:cs="Arial" w:eastAsia="Arial" w:hAnsi="Arial"/>
                <w:sz w:val="16"/>
                <w:szCs w:val="16"/>
                <w:color w:val="auto"/>
              </w:rPr>
              <w:t>Income taxes</w:t>
            </w: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FF0FC"/>
            </w:tcBorders>
            <w:vMerge w:val="continue"/>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c>
          <w:tcPr>
            <w:tcW w:w="2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transactions:</w:t>
            </w: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Net consideration receivable from divestiture and disposal of asset held for sale</w:t>
            </w:r>
          </w:p>
        </w:tc>
        <w:tc>
          <w:tcPr>
            <w:tcW w:w="1640" w:type="dxa"/>
            <w:vAlign w:val="bottom"/>
          </w:tcPr>
          <w:p>
            <w:pPr>
              <w:jc w:val="right"/>
              <w:spacing w:after="0"/>
              <w:rPr>
                <w:sz w:val="20"/>
                <w:szCs w:val="20"/>
                <w:color w:val="auto"/>
              </w:rPr>
            </w:pPr>
            <w:r>
              <w:rPr>
                <w:rFonts w:ascii="Arial" w:cs="Arial" w:eastAsia="Arial" w:hAnsi="Arial"/>
                <w:sz w:val="16"/>
                <w:szCs w:val="16"/>
                <w:color w:val="auto"/>
              </w:rPr>
              <w:t>2,685</w:t>
            </w:r>
          </w:p>
        </w:tc>
        <w:tc>
          <w:tcPr>
            <w:tcW w:w="28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1"/>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(unaudited)</w:t>
      </w:r>
    </w:p>
    <w:p>
      <w:pPr>
        <w:spacing w:after="0" w:line="234" w:lineRule="exact"/>
        <w:rPr>
          <w:sz w:val="20"/>
          <w:szCs w:val="20"/>
          <w:color w:val="auto"/>
        </w:rPr>
      </w:pPr>
    </w:p>
    <w:p>
      <w:pPr>
        <w:ind w:left="512" w:hanging="512"/>
        <w:spacing w:after="0"/>
        <w:tabs>
          <w:tab w:leader="none" w:pos="51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rFonts w:ascii="Arial" w:cs="Arial" w:eastAsia="Arial" w:hAnsi="Arial"/>
          <w:sz w:val="18"/>
          <w:szCs w:val="18"/>
          <w:b w:val="1"/>
          <w:bCs w:val="1"/>
          <w:color w:val="auto"/>
        </w:rPr>
      </w:pPr>
    </w:p>
    <w:p>
      <w:pPr>
        <w:ind w:left="51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CECO Environmental Corp. and its subsidiaries (the “Company”, “we”, “us”, or “our”) have been prepared pursuant to the rules and regulations of the Securities and Exchange Commission (the “SEC”).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June 30, 2018 and the results of operations and cash flows for the three-month and six-month periods ended June 30, 2018 and 2017. The results of operations for the three-month and six-month periods ended June 30, 2018 are not necessarily indicative of the results to be expected for the full year. The balance sheet as of December 31, 2017 has been derived from the audited consolidated financial statements included in the Company’s Annual Report on Form 10-K for the year ended December 31, 2017 as filed with the SEC.</w:t>
      </w:r>
    </w:p>
    <w:p>
      <w:pPr>
        <w:spacing w:after="0" w:line="181" w:lineRule="exact"/>
        <w:rPr>
          <w:rFonts w:ascii="Arial" w:cs="Arial" w:eastAsia="Arial" w:hAnsi="Arial"/>
          <w:sz w:val="18"/>
          <w:szCs w:val="18"/>
          <w:b w:val="1"/>
          <w:bCs w:val="1"/>
          <w:color w:val="auto"/>
        </w:rPr>
      </w:pPr>
    </w:p>
    <w:p>
      <w:pPr>
        <w:ind w:left="512"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6" w:lineRule="exact"/>
        <w:rPr>
          <w:rFonts w:ascii="Arial" w:cs="Arial" w:eastAsia="Arial" w:hAnsi="Arial"/>
          <w:sz w:val="18"/>
          <w:szCs w:val="18"/>
          <w:b w:val="1"/>
          <w:bCs w:val="1"/>
          <w:color w:val="auto"/>
        </w:rPr>
      </w:pPr>
    </w:p>
    <w:p>
      <w:pPr>
        <w:ind w:left="51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Company’s Annual Report on Form 10-K for the year ended December 31, 2017 filed with the SEC.</w:t>
      </w:r>
    </w:p>
    <w:p>
      <w:pPr>
        <w:spacing w:after="0" w:line="170"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Unless otherwise indicated, all balances within tables are in thousands, except per share amounts.</w:t>
      </w: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512" w:right="7380" w:hanging="512"/>
        <w:spacing w:after="0" w:line="566" w:lineRule="auto"/>
        <w:tabs>
          <w:tab w:leader="none" w:pos="50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Adopted in Fiscal 2018</w:t>
      </w:r>
    </w:p>
    <w:p>
      <w:pPr>
        <w:ind w:left="512" w:right="16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In March 2018, the Financial Accounting Standards Board (“FASB”) issued Accounting Standards Update (“ASU”) 2018-05, “Income Taxes (Topic 740): Amendments to SEC Paragraphs Pursuant to SEC Staff Accounting Bulletin No. 118.” The standard relates to the accounting and disclosures around the issuance of the SEC’s Staff Accounting Bulletin No. 118, “Income Tax Accounting Implications of the Tax Cuts and Jobs Act” (“SAB 118”), which the Company has adopted. See Note 12 – Income Taxes for the disclosures related to this amended guidance.</w:t>
      </w:r>
    </w:p>
    <w:p>
      <w:pPr>
        <w:spacing w:after="0" w:line="171" w:lineRule="exact"/>
        <w:rPr>
          <w:rFonts w:ascii="Arial" w:cs="Arial" w:eastAsia="Arial" w:hAnsi="Arial"/>
          <w:sz w:val="16"/>
          <w:szCs w:val="16"/>
          <w:b w:val="1"/>
          <w:bCs w:val="1"/>
          <w:color w:val="auto"/>
        </w:rPr>
      </w:pPr>
    </w:p>
    <w:p>
      <w:pPr>
        <w:ind w:left="512" w:right="2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In February 2018, the FASB issued ASU No. 2018-02, “Income Statement — Reporting Comprehensive Income (Topic 220): Reclassification of Certain Tax Effects from Accumulated Other Comprehensive Income.” The standard allows for reclassification of stranded tax effects on items resulting from the Tax Cuts and Jobs Act (the “Tax Act”) from accumulated other comprehensive income to retained earnings. Tax effects unrelated to the Tax Act are released from accumulated other comprehensive income based on the nature of the underlying item. The Company early adopted the ASU in the first quarter of fiscal 2018, under the prospective method. As a result of the adoption, during the first quarter of fiscal 2018, accumulated loss in the Condensed Consolidated Balance Sheets increased by $1.2 million, with a corresponding decrease to accumulated other comprehensive loss in the Condensed Consolidated Balance Sheets due to the reduction in the corporate tax rate from 35% to 21%. See Note 12 — Income Taxes for additional information about the Tax Act.</w:t>
      </w:r>
    </w:p>
    <w:p>
      <w:pPr>
        <w:spacing w:after="0" w:line="178" w:lineRule="exact"/>
        <w:rPr>
          <w:rFonts w:ascii="Arial" w:cs="Arial" w:eastAsia="Arial" w:hAnsi="Arial"/>
          <w:sz w:val="16"/>
          <w:szCs w:val="16"/>
          <w:b w:val="1"/>
          <w:bCs w:val="1"/>
          <w:color w:val="auto"/>
        </w:rPr>
      </w:pPr>
    </w:p>
    <w:p>
      <w:pPr>
        <w:ind w:left="512" w:right="2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In May 2017, the FASB issued ASU 2017-09, “Compensation – Stock Compensation (Topic 718): Scope of Modification Accounting.” ASU 2017-09 clarifies when changes to the terms or conditions of a share-based payment award must be accounted for as a modification. The new guidance will reduce diversity in practice and result in fewer changes to the terms of an award being accounted for as a modification. Under ASU 2017-09, an entity will not apply modification accounting to a share-based payment award if the award’s fair value, vesting conditions and classification as an equity or liability instrument are the same immediately before and after the change. We adopted ASU 2017-09 on January 1, 2018, under the prospective method. The adoption had no impact on our consolidated financial statements as there were no events requiring management to evaluate for a potential modification to a share-based payment award.</w:t>
      </w:r>
    </w:p>
    <w:p>
      <w:pPr>
        <w:spacing w:after="0" w:line="177" w:lineRule="exact"/>
        <w:rPr>
          <w:rFonts w:ascii="Arial" w:cs="Arial" w:eastAsia="Arial" w:hAnsi="Arial"/>
          <w:sz w:val="16"/>
          <w:szCs w:val="16"/>
          <w:b w:val="1"/>
          <w:bCs w:val="1"/>
          <w:color w:val="auto"/>
        </w:rPr>
      </w:pPr>
    </w:p>
    <w:p>
      <w:pPr>
        <w:ind w:left="512" w:right="5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March 2017, the FASB issued ASU 2017-07, “Compensation – Retirement Benefits (Topic 715): Improving the Presentation of Net Periodic Pension Cost and Net Periodic Postretirement Benefit Cost.” Under existing GAAP, an entity is required to</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t>present all components of net periodic pension cost and net periodic postretirement benefit cost aggregated as a net amount in the income statement, and this net amount may be capitalized as part of an asset where appropriate. ASU 2017-07 requires that an employer report the service cost component in the same line item or items as other compensation costs arising from services rendered by the pertinent employees during the period, and requires the other components of net periodic pension cost and net periodic postretirement benefit cost to be presented in the income statement separately from the service cost component and outside a subtotal of income from operations, if one is presented. Additionally, only the service cost component is eligible for capitalization, when applicable. We adopted ASU 2017-07 on January 1, 2018, under the retrospective method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The adoption resulted in reclassification of other components of net periodic pension cost, other than service cost outside of operating income and the impact was not material. See Note 11 – Pension and Employee Benefit Plans for additional disclosures related to the adoption of the standard.</w:t>
      </w:r>
    </w:p>
    <w:p>
      <w:pPr>
        <w:spacing w:after="0" w:line="18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We adopted ASU 2017-01 on January 1, 2018, under the prospective method. The adoption of the standard’s definition of a business was followed for the Company’s two divestitures that occurred in the first quarter of fiscal year 2018. The divestitures would have been considered a business both before and after the adoption of the standard and, therefore, the provisions of ASU 2017-01 did not have a material effect on the Company’s consolidated financial statements.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will require a change during the period in the total of cash, cash equivalents, and amounts generally described as restricted cash or restricted cash equivalents to be included with cash and cash equivalents when reconciling the beginning-of-period and end-of-period total amounts shown on the statement of cash flows. We adopted ASU 2016-18 on January 1, 2018, under the retrospective method. The prior year statement of cash flows has been reclassified to conform with the standard. The impact of the adoption was not material to the Company. The adoption resulted in the Company presenting restricted cash activity on the Condensed Consolidated Statements of Cash Flows for each period presented.</w:t>
      </w:r>
    </w:p>
    <w:p>
      <w:pPr>
        <w:spacing w:after="0" w:line="21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consider all highly liquid investments with original maturities of three months or less to be cash and cash equivalents. Restricted cash represents cash that is restricted as to withdrawal or usage and consists primarily of cash in support of letters of credit issued by various foreign subsidiaries of the Company. The Company occasionally enters into letters of credit with durations in excess of one year.</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Statements of Cash Flows.</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2017</w:t>
            </w:r>
          </w:p>
        </w:tc>
      </w:tr>
      <w:tr>
        <w:trPr>
          <w:trHeight w:val="223"/>
        </w:trPr>
        <w:tc>
          <w:tcPr>
            <w:tcW w:w="7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35,556</w:t>
            </w:r>
          </w:p>
        </w:tc>
        <w:tc>
          <w:tcPr>
            <w:tcW w:w="4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0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r>
      <w:tr>
        <w:trPr>
          <w:trHeight w:val="243"/>
        </w:trPr>
        <w:tc>
          <w:tcPr>
            <w:tcW w:w="7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included within deferred charges and other assets</w:t>
            </w:r>
          </w:p>
        </w:tc>
        <w:tc>
          <w:tcPr>
            <w:tcW w:w="1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21"/>
                <w:szCs w:val="21"/>
                <w:color w:val="auto"/>
              </w:rPr>
            </w:pPr>
          </w:p>
        </w:tc>
      </w:tr>
      <w:tr>
        <w:trPr>
          <w:trHeight w:val="223"/>
        </w:trPr>
        <w:tc>
          <w:tcPr>
            <w:tcW w:w="7300" w:type="dxa"/>
            <w:vAlign w:val="bottom"/>
          </w:tcPr>
          <w:p>
            <w:pPr>
              <w:ind w:left="240"/>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35,840</w:t>
            </w:r>
          </w:p>
        </w:tc>
        <w:tc>
          <w:tcPr>
            <w:tcW w:w="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28,924</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provides guidance on how certain cash receipts and cash payments are presented and classified in the statement of cash flows. We adopted ASU 2016-15 on January 1, 2018, under the retrospective method. The adoption will result in the reclassification of $1.0 million in 2016 from financing activity to investing activity within the Condensed Consolidated Statements of Cash Flows on the Company’s Annual Report on Form 10-K for the year ending December 31, 2018.</w:t>
      </w:r>
    </w:p>
    <w:p>
      <w:pPr>
        <w:spacing w:after="0" w:line="18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ASU 2014-09 supersedes nearly all existing revenue recognition principles under GAAP. The core principle of ASU 2014-09 is to recognize revenues when promised goods or services are transferred to customers in an amount that reflects the consideration an entity expects to be entitled to for those goods or services using a defined five-step process. In 2016, the FASB issued accounting standards updates to address implementation issues and to clarify the guidance for identifying performance obligations, licenses and determining if a company is the principal or agent in a revenue arrangement.</w:t>
      </w:r>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341" w:right="239" w:bottom="1440" w:gutter="0" w:footer="0" w:header="0"/>
        </w:sectPr>
      </w:pPr>
    </w:p>
    <w:bookmarkStart w:id="8" w:name="page9"/>
    <w:bookmarkEnd w:id="8"/>
    <w:p>
      <w:pPr>
        <w:ind w:left="520" w:right="60"/>
        <w:spacing w:after="0" w:line="257" w:lineRule="auto"/>
        <w:rPr>
          <w:sz w:val="20"/>
          <w:szCs w:val="20"/>
          <w:color w:val="auto"/>
        </w:rPr>
      </w:pPr>
      <w:r>
        <w:rPr>
          <w:rFonts w:ascii="Arial" w:cs="Arial" w:eastAsia="Arial" w:hAnsi="Arial"/>
          <w:sz w:val="18"/>
          <w:szCs w:val="18"/>
          <w:color w:val="auto"/>
        </w:rPr>
        <w:t>We adopted ASU 2014-09 on January 1, 2018, under the modified retrospective method where the cumulative effect is recognized through retained earnings as of the date of adoption. Under the new standard, certain contract arrangements that were historically recognized over time under our previous policies will now be recognized at a point in time upon completion of the contracts. However, based on the Company’s evaluation of existing contracts that were not substantially complete as of January 1, 2018, the cumulative effect adjustment to the opening balance of retained earnings was not material.</w:t>
      </w:r>
    </w:p>
    <w:p>
      <w:pPr>
        <w:spacing w:after="0" w:line="188" w:lineRule="exact"/>
        <w:rPr>
          <w:sz w:val="20"/>
          <w:szCs w:val="20"/>
          <w:color w:val="auto"/>
        </w:rPr>
      </w:pPr>
    </w:p>
    <w:p>
      <w:pPr>
        <w:ind w:left="520" w:right="80"/>
        <w:spacing w:after="0" w:line="257" w:lineRule="auto"/>
        <w:rPr>
          <w:sz w:val="20"/>
          <w:szCs w:val="20"/>
          <w:color w:val="auto"/>
        </w:rPr>
      </w:pPr>
      <w:r>
        <w:rPr>
          <w:rFonts w:ascii="Arial" w:cs="Arial" w:eastAsia="Arial" w:hAnsi="Arial"/>
          <w:sz w:val="18"/>
          <w:szCs w:val="18"/>
          <w:color w:val="auto"/>
        </w:rPr>
        <w:t>Within the Energy Solutions and Industrial Solutions Segments, a significant portion of the Company’s revenue is derived from fixed-price contracts. For each contract, we assess the goods and services promised to a customer and identify a performance obligation for each promised good or service that is distinct. The typical life of our contracts is generally less than 12 months and each contract generally contains only one performance obligation, to provide goods or services to the customer. We recognize revenue over time for the majority of our contracts within the Energy Solutions and Industrial Solutions Segments.</w:t>
      </w:r>
    </w:p>
    <w:p>
      <w:pPr>
        <w:spacing w:after="0" w:line="188" w:lineRule="exact"/>
        <w:rPr>
          <w:sz w:val="20"/>
          <w:szCs w:val="20"/>
          <w:color w:val="auto"/>
        </w:rPr>
      </w:pPr>
    </w:p>
    <w:p>
      <w:pPr>
        <w:ind w:left="520" w:right="760"/>
        <w:spacing w:after="0" w:line="308" w:lineRule="auto"/>
        <w:rPr>
          <w:sz w:val="20"/>
          <w:szCs w:val="20"/>
          <w:color w:val="auto"/>
        </w:rPr>
      </w:pPr>
      <w:r>
        <w:rPr>
          <w:rFonts w:ascii="Arial" w:cs="Arial" w:eastAsia="Arial" w:hAnsi="Arial"/>
          <w:sz w:val="17"/>
          <w:szCs w:val="17"/>
          <w:color w:val="auto"/>
        </w:rPr>
        <w:t>Within the Fluid Handling Solutions Segment a significant portion of our revenue is primarily derived from sales of inventory product and is recognized at the point in time control passes to the customer, which occurs generally upon shipment of the product.</w:t>
      </w:r>
    </w:p>
    <w:p>
      <w:pPr>
        <w:spacing w:after="0" w:line="147"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The revenue streams within the Company are consistent with those disclosed for our reportable segments. For descriptions of our product offerings and segments, see Note 15 - Business Segment Information. For description of our updated revenue recognition policy, see Note 17 – Significant Accounting Policy Updates.</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Accounting Standards Yet to be Adopted</w:t>
      </w:r>
    </w:p>
    <w:p>
      <w:pPr>
        <w:spacing w:after="0" w:line="121" w:lineRule="exact"/>
        <w:rPr>
          <w:sz w:val="20"/>
          <w:szCs w:val="20"/>
          <w:color w:val="auto"/>
        </w:rPr>
      </w:pPr>
    </w:p>
    <w:p>
      <w:pPr>
        <w:ind w:left="520" w:right="140"/>
        <w:spacing w:after="0" w:line="254"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ASU 2017-12 expands an entity’s ability to apply hedge accounting for nonfinancial and financial risk components and allow for a simplified approach for fair value hedging of interest rate risk. ASU 2017-12 eliminates the need to separately measure and report hedge ineffectiveness and generally requires the entire change in fair value of a hedging instrument to be presented in the same income statement line as the hedged item. Additionally, ASU 2017-12 simplifies the hedge documentation and effectiveness assessment under the previous guidance. The guidance is effective for annual periods, and interim periods within those annual periods, beginning after December 15, 2018. Early adoption is permitted. We plan to adopt the standard on January 1, 2019. We do not expect the adoption of this guidance to have a material impact on our consolidated financial statements.</w:t>
      </w:r>
    </w:p>
    <w:p>
      <w:pPr>
        <w:spacing w:after="0" w:line="192" w:lineRule="exact"/>
        <w:rPr>
          <w:sz w:val="20"/>
          <w:szCs w:val="20"/>
          <w:color w:val="auto"/>
        </w:rPr>
      </w:pPr>
    </w:p>
    <w:p>
      <w:pPr>
        <w:ind w:left="520"/>
        <w:spacing w:after="0" w:line="269" w:lineRule="auto"/>
        <w:rPr>
          <w:sz w:val="20"/>
          <w:szCs w:val="20"/>
          <w:color w:val="auto"/>
        </w:rPr>
      </w:pPr>
      <w:r>
        <w:rPr>
          <w:rFonts w:ascii="Arial" w:cs="Arial" w:eastAsia="Arial" w:hAnsi="Arial"/>
          <w:sz w:val="17"/>
          <w:szCs w:val="17"/>
          <w:color w:val="auto"/>
        </w:rPr>
        <w:t>In February 2016, the FASB issued ASU 2016-02, “Leases.”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For public companies, this guidance is effective for annual periods beginning after December 15, 2018. We currently expect to adopt ASU 2016-02 as of January 1, 2019, under the modified prospective method. Our evaluation of ASU 2016-02 is ongoing and not complete. The Company believes that the new standard will have a material impact on its consolidated balance sheet due to the recognition of ROU assets and liabilities for the Company’s operating leases but it will not have a material impact on its income statement or liquidity. We expect our accounting for capital leases to remain substantially unchanged.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Our leasing activity is primarily related to buildings and we have various sale-leaseback transactions. The Company is continuing to evaluate potential impacts to its consolidated financial statements.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w:t>
            </w:r>
          </w:p>
        </w:tc>
        <w:tc>
          <w:tcPr>
            <w:tcW w:w="732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7320" w:type="dxa"/>
            <w:vAlign w:val="bottom"/>
            <w:gridSpan w:val="2"/>
          </w:tcPr>
          <w:p>
            <w:pPr>
              <w:ind w:left="240"/>
              <w:spacing w:after="0"/>
              <w:rPr>
                <w:sz w:val="20"/>
                <w:szCs w:val="20"/>
                <w:color w:val="auto"/>
              </w:rPr>
            </w:pPr>
            <w:r>
              <w:rPr>
                <w:rFonts w:ascii="Arial" w:cs="Arial" w:eastAsia="Arial" w:hAnsi="Arial"/>
                <w:sz w:val="14"/>
                <w:szCs w:val="14"/>
                <w:i w:val="1"/>
                <w:iCs w:val="1"/>
                <w:color w:val="auto"/>
              </w:rPr>
              <w:t>(Table only in thousands)</w:t>
            </w:r>
          </w:p>
        </w:tc>
        <w:tc>
          <w:tcPr>
            <w:tcW w:w="18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June 30, 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receivables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Trade receivables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11,603</w:t>
            </w:r>
          </w:p>
        </w:tc>
        <w:tc>
          <w:tcPr>
            <w:tcW w:w="12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(4,234)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(4,156)</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Total accounts receivable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67,796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67,990</w:t>
            </w:r>
          </w:p>
        </w:tc>
        <w:tc>
          <w:tcPr>
            <w:tcW w:w="1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$2.6 million and $2.5 million at June 30, 2018 and December 31, 2017, respectively. Retainage receivables on contracts in progress are generally collected within a year after contract completion.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520" w:right="20"/>
        <w:spacing w:after="0" w:line="277" w:lineRule="auto"/>
        <w:rPr>
          <w:sz w:val="20"/>
          <w:szCs w:val="20"/>
          <w:color w:val="auto"/>
        </w:rPr>
      </w:pPr>
      <w:r>
        <w:rPr>
          <w:rFonts w:ascii="Arial" w:cs="Arial" w:eastAsia="Arial" w:hAnsi="Arial"/>
          <w:sz w:val="18"/>
          <w:szCs w:val="18"/>
          <w:color w:val="auto"/>
        </w:rPr>
        <w:t>Bad debt expense was $0.5 million and $0.7 million for the three-month periods ended June 30, 2018 and 2017, respectively, and $0.6 million and $1.0 million for the six-month periods ended June 30, 2018 and 2017, respectively.</w:t>
      </w:r>
    </w:p>
    <w:p>
      <w:pPr>
        <w:spacing w:after="0" w:line="356"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Estimated Earnings on Uncompleted Contracts</w:t>
      </w:r>
    </w:p>
    <w:p>
      <w:pPr>
        <w:spacing w:after="0" w:line="229" w:lineRule="exact"/>
        <w:rPr>
          <w:rFonts w:ascii="Arial" w:cs="Arial" w:eastAsia="Arial" w:hAnsi="Arial"/>
          <w:sz w:val="18"/>
          <w:szCs w:val="18"/>
          <w:b w:val="1"/>
          <w:bCs w:val="1"/>
          <w:color w:val="auto"/>
        </w:rPr>
      </w:pPr>
    </w:p>
    <w:p>
      <w:pPr>
        <w:ind w:left="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contracts have various lengths to completion ranging from a few days to several months. We anticipate that a majority of our current contracts will be completed within the next twelve months. A significant amount of our revenue within the Energy Solutions and Industrial Solutions Segments is recognized over a period of time as we perform under the contract because control of the work in process transfers continuously to the customer. The assets and liabilities recognized in association with these contracts are as follows:</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Costs incurred on uncompleted contracts</w:t>
            </w: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161,184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Estimated earnings</w:t>
            </w:r>
          </w:p>
        </w:tc>
        <w:tc>
          <w:tcPr>
            <w:tcW w:w="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gross</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Less billings to date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(208,324)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(217,743)</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Included in the accompanying condensed consolidated</w:t>
            </w: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balance sheets under the following captions: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w w:val="95"/>
              </w:rPr>
              <w:t>Costs and estimated earnings in excess of billings on uncompleted contracts</w:t>
            </w:r>
          </w:p>
        </w:tc>
        <w:tc>
          <w:tcPr>
            <w:tcW w:w="5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w w:val="95"/>
              </w:rPr>
              <w:t>Billings in excess of costs and estimated earnings on uncompleted contracts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(23,340)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(20,469)</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A provision of $0.2 million for estimated losses on uncompleted contracts was recognized as of June 30, 2018. No provision for estimated losses on uncompleted contracts was required as of December 31, 2017.</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73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7320" w:type="dxa"/>
            <w:vAlign w:val="bottom"/>
            <w:gridSpan w:val="2"/>
          </w:tcPr>
          <w:p>
            <w:pPr>
              <w:ind w:left="240"/>
              <w:spacing w:after="0"/>
              <w:rPr>
                <w:sz w:val="20"/>
                <w:szCs w:val="20"/>
                <w:color w:val="auto"/>
              </w:rPr>
            </w:pPr>
            <w:r>
              <w:rPr>
                <w:rFonts w:ascii="Arial" w:cs="Arial" w:eastAsia="Arial" w:hAnsi="Arial"/>
                <w:sz w:val="14"/>
                <w:szCs w:val="14"/>
                <w:i w:val="1"/>
                <w:iCs w:val="1"/>
                <w:color w:val="auto"/>
              </w:rPr>
              <w:t>(Table only in thousands)</w:t>
            </w:r>
          </w:p>
        </w:tc>
        <w:tc>
          <w:tcPr>
            <w:tcW w:w="18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Obsolescence allowance</w:t>
            </w: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(1,597)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0"/>
        <w:spacing w:after="0" w:line="264"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$0.1 million and $0.2 million for the three-month periods ended June 30, 2018 and 2017, respectively, and $0.4 million and $0.3 million for the six-month periods ended June 30, 2018 and 2017, respectively.</w:t>
      </w:r>
    </w:p>
    <w:p>
      <w:pPr>
        <w:spacing w:after="0" w:line="366"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For the Six Months Ended 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w w:val="94"/>
              </w:rPr>
              <w:t>Year ended December 31, 2017</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ind w:left="580"/>
              <w:spacing w:after="0"/>
              <w:rPr>
                <w:sz w:val="20"/>
                <w:szCs w:val="20"/>
                <w:color w:val="auto"/>
              </w:rPr>
            </w:pPr>
            <w:r>
              <w:rPr>
                <w:rFonts w:ascii="Arial" w:cs="Arial" w:eastAsia="Arial" w:hAnsi="Arial"/>
                <w:sz w:val="14"/>
                <w:szCs w:val="14"/>
                <w:i w:val="1"/>
                <w:iCs w:val="1"/>
                <w:color w:val="auto"/>
              </w:rPr>
              <w:t>(Table only in thousands)</w:t>
            </w: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gridSpan w:val="2"/>
          </w:tcPr>
          <w:p>
            <w:pPr>
              <w:ind w:left="580"/>
              <w:spacing w:after="0" w:line="155" w:lineRule="exact"/>
              <w:rPr>
                <w:sz w:val="20"/>
                <w:szCs w:val="20"/>
                <w:color w:val="auto"/>
              </w:rPr>
            </w:pPr>
            <w:r>
              <w:rPr>
                <w:rFonts w:ascii="Arial" w:cs="Arial" w:eastAsia="Arial" w:hAnsi="Arial"/>
                <w:sz w:val="14"/>
                <w:szCs w:val="14"/>
                <w:b w:val="1"/>
                <w:bCs w:val="1"/>
                <w:color w:val="auto"/>
              </w:rPr>
              <w:t>Goodwill / Tradename</w:t>
            </w:r>
          </w:p>
        </w:tc>
        <w:tc>
          <w:tcPr>
            <w:tcW w:w="17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Goodwill</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w w:val="96"/>
              </w:rPr>
              <w:t>Tradename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Goodwill</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w w:val="96"/>
              </w:rPr>
              <w:t>Tradename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170,153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22,042</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Divestitures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(14,317)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6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0" w:name="page11"/>
    <w:bookmarkEnd w:id="10"/>
    <w:tbl>
      <w:tblPr>
        <w:tblLayout w:type="fixed"/>
        <w:tblInd w:w="520" w:type="dxa"/>
        <w:tblCellMar>
          <w:top w:w="0" w:type="dxa"/>
          <w:left w:w="0" w:type="dxa"/>
          <w:bottom w:w="0" w:type="dxa"/>
          <w:right w:w="0" w:type="dxa"/>
        </w:tblCellMar>
      </w:tblPr>
      <w:tr>
        <w:trPr>
          <w:trHeight w:val="171"/>
        </w:trPr>
        <w:tc>
          <w:tcPr>
            <w:tcW w:w="5280" w:type="dxa"/>
            <w:vAlign w:val="bottom"/>
            <w:gridSpan w:val="2"/>
            <w:vMerge w:val="restart"/>
          </w:tcPr>
          <w:p>
            <w:pPr>
              <w:ind w:left="60"/>
              <w:spacing w:after="0"/>
              <w:rPr>
                <w:sz w:val="20"/>
                <w:szCs w:val="20"/>
                <w:color w:val="auto"/>
              </w:rPr>
            </w:pPr>
            <w:r>
              <w:rPr>
                <w:rFonts w:ascii="Arial" w:cs="Arial" w:eastAsia="Arial" w:hAnsi="Arial"/>
                <w:sz w:val="14"/>
                <w:szCs w:val="14"/>
                <w:i w:val="1"/>
                <w:iCs w:val="1"/>
                <w:color w:val="auto"/>
              </w:rPr>
              <w:t>(Table only in thousands)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465"/>
              <w:spacing w:after="0"/>
              <w:rPr>
                <w:sz w:val="20"/>
                <w:szCs w:val="20"/>
                <w:color w:val="auto"/>
              </w:rPr>
            </w:pPr>
            <w:r>
              <w:rPr>
                <w:rFonts w:ascii="Arial" w:cs="Arial" w:eastAsia="Arial" w:hAnsi="Arial"/>
                <w:sz w:val="14"/>
                <w:szCs w:val="14"/>
                <w:b w:val="1"/>
                <w:bCs w:val="1"/>
                <w:color w:val="auto"/>
              </w:rPr>
              <w:t>As of June 30, 2018</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331"/>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1"/>
                <w:szCs w:val="11"/>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8"/>
              </w:rPr>
              <w:t>Accum. Amort.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8"/>
              </w:rPr>
              <w:t>Accum. Amort.</w:t>
            </w:r>
          </w:p>
        </w:tc>
        <w:tc>
          <w:tcPr>
            <w:tcW w:w="0" w:type="dxa"/>
            <w:vAlign w:val="bottom"/>
          </w:tcPr>
          <w:p>
            <w:pPr>
              <w:spacing w:after="0"/>
              <w:rPr>
                <w:sz w:val="1"/>
                <w:szCs w:val="1"/>
                <w:color w:val="auto"/>
              </w:rPr>
            </w:pPr>
          </w:p>
        </w:tc>
      </w:tr>
      <w:tr>
        <w:trPr>
          <w:trHeight w:val="171"/>
        </w:trPr>
        <w:tc>
          <w:tcPr>
            <w:tcW w:w="5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Intangible assets – finite life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8,553</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15,867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Customer lists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72,978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36,328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77,497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Tradename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adjustments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c>
          <w:tcPr>
            <w:tcW w:w="106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45,916</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94,658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3"/>
              </w:rPr>
              <w:t>Activity for the six months ended June 30, 2018 and 2017 is as follows:</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280" w:type="dxa"/>
            <w:vAlign w:val="bottom"/>
            <w:gridSpan w:val="2"/>
          </w:tcPr>
          <w:p>
            <w:pPr>
              <w:ind w:left="60"/>
              <w:spacing w:after="0"/>
              <w:rPr>
                <w:sz w:val="20"/>
                <w:szCs w:val="20"/>
                <w:color w:val="auto"/>
              </w:rPr>
            </w:pPr>
            <w:r>
              <w:rPr>
                <w:rFonts w:ascii="Arial" w:cs="Arial" w:eastAsia="Arial" w:hAnsi="Arial"/>
                <w:sz w:val="14"/>
                <w:szCs w:val="14"/>
                <w:i w:val="1"/>
                <w:iCs w:val="1"/>
                <w:color w:val="auto"/>
              </w:rPr>
              <w:t>(Table only in thousands)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2018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 finite life, net at beginning of period</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49,956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60,728</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Divestitures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Foreign currency adjustments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 finite life, net at end of period</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42,444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55,449</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color w:val="auto"/>
        </w:rPr>
        <w:t>Amortization expense of finite life intangible assets was $2.4 million and $2.9 million for the three-month periods ended June 30, 2018 and 2017, respectively, and $5.0 million and $5.8 million for the six-month periods ended June 30, 2018 and 2017, respectively. Amortization over the next five years for finite life intangibles is expected to be $4.8 million for the remainder of 2018, $8.6 million in 2019, $6.9 million in 2020, $5.7 million in 2021, and $4.7 million in 2022.</w:t>
      </w:r>
    </w:p>
    <w:p>
      <w:pPr>
        <w:spacing w:after="0" w:line="187" w:lineRule="exact"/>
        <w:rPr>
          <w:sz w:val="20"/>
          <w:szCs w:val="20"/>
          <w:color w:val="auto"/>
        </w:rPr>
      </w:pPr>
    </w:p>
    <w:p>
      <w:pPr>
        <w:ind w:left="520" w:right="200"/>
        <w:spacing w:after="0" w:line="264" w:lineRule="auto"/>
        <w:rPr>
          <w:sz w:val="20"/>
          <w:szCs w:val="20"/>
          <w:color w:val="auto"/>
        </w:rPr>
      </w:pPr>
      <w:r>
        <w:rPr>
          <w:rFonts w:ascii="Arial" w:cs="Arial" w:eastAsia="Arial" w:hAnsi="Arial"/>
          <w:sz w:val="18"/>
          <w:szCs w:val="18"/>
          <w:color w:val="auto"/>
        </w:rPr>
        <w:t>The Company did not identify any triggering events during the three-month period ended June 30, 2018 that would require an interim impairment assessment of goodwill or indefinite life intangible assets. The Company concluded there was no impairment of goodwill or indefinite life intangible assets during the three-month and six-month periods ended June 30,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w:t>
            </w:r>
          </w:p>
        </w:tc>
        <w:tc>
          <w:tcPr>
            <w:tcW w:w="720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1"/>
        </w:trPr>
        <w:tc>
          <w:tcPr>
            <w:tcW w:w="340" w:type="dxa"/>
            <w:vAlign w:val="bottom"/>
          </w:tcPr>
          <w:p>
            <w:pPr>
              <w:spacing w:after="0"/>
              <w:rPr>
                <w:sz w:val="24"/>
                <w:szCs w:val="24"/>
                <w:color w:val="auto"/>
              </w:rPr>
            </w:pPr>
          </w:p>
        </w:tc>
        <w:tc>
          <w:tcPr>
            <w:tcW w:w="7200" w:type="dxa"/>
            <w:vAlign w:val="bottom"/>
            <w:gridSpan w:val="2"/>
          </w:tcPr>
          <w:p>
            <w:pPr>
              <w:ind w:left="240"/>
              <w:spacing w:after="0"/>
              <w:rPr>
                <w:sz w:val="20"/>
                <w:szCs w:val="20"/>
                <w:color w:val="auto"/>
              </w:rPr>
            </w:pPr>
            <w:r>
              <w:rPr>
                <w:rFonts w:ascii="Arial" w:cs="Arial" w:eastAsia="Arial" w:hAnsi="Arial"/>
                <w:sz w:val="14"/>
                <w:szCs w:val="14"/>
                <w:i w:val="1"/>
                <w:iCs w:val="1"/>
                <w:color w:val="auto"/>
              </w:rPr>
              <w:t>(Table only in thousands)</w:t>
            </w:r>
          </w:p>
        </w:tc>
        <w:tc>
          <w:tcPr>
            <w:tcW w:w="200" w:type="dxa"/>
            <w:vAlign w:val="bottom"/>
          </w:tcPr>
          <w:p>
            <w:pPr>
              <w:spacing w:after="0"/>
              <w:rPr>
                <w:sz w:val="24"/>
                <w:szCs w:val="24"/>
                <w:color w:val="auto"/>
              </w:rPr>
            </w:pPr>
          </w:p>
        </w:tc>
        <w:tc>
          <w:tcPr>
            <w:tcW w:w="1280" w:type="dxa"/>
            <w:vAlign w:val="bottom"/>
          </w:tcPr>
          <w:p>
            <w:pPr>
              <w:jc w:val="right"/>
              <w:ind w:right="252"/>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accounts payable, including due to subcontractors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earnout liability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10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Accrued warranty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w:t>
            </w:r>
          </w:p>
        </w:tc>
        <w:tc>
          <w:tcPr>
            <w:tcW w:w="100" w:type="dxa"/>
            <w:vAlign w:val="bottom"/>
            <w:tcBorders>
              <w:bottom w:val="single" w:sz="8" w:color="CFF0FC"/>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79,352</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activity in the Company’s current portion of earnout liability and long-term portion of earnout liability was as follows for the six months ended</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June 30, 2018 and 2017:</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Energy Solutions Segment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gridSpan w:val="2"/>
          </w:tcPr>
          <w:p>
            <w:pPr>
              <w:ind w:left="580"/>
              <w:spacing w:after="0"/>
              <w:rPr>
                <w:sz w:val="20"/>
                <w:szCs w:val="20"/>
                <w:color w:val="auto"/>
              </w:rPr>
            </w:pPr>
            <w:r>
              <w:rPr>
                <w:rFonts w:ascii="Arial" w:cs="Arial" w:eastAsia="Arial" w:hAnsi="Arial"/>
                <w:sz w:val="14"/>
                <w:szCs w:val="14"/>
                <w:i w:val="1"/>
                <w:iCs w:val="1"/>
                <w:color w:val="auto"/>
              </w:rPr>
              <w:t>(Table only in thousands)</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Earnout accrued at December 31, 2017</w:t>
            </w:r>
          </w:p>
        </w:tc>
        <w:tc>
          <w:tcPr>
            <w:tcW w:w="10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Compensation expense adjustment</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Payment</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ind w:left="580"/>
              <w:spacing w:after="0"/>
              <w:rPr>
                <w:sz w:val="20"/>
                <w:szCs w:val="20"/>
                <w:color w:val="auto"/>
              </w:rPr>
            </w:pPr>
            <w:r>
              <w:rPr>
                <w:rFonts w:ascii="Arial" w:cs="Arial" w:eastAsia="Arial" w:hAnsi="Arial"/>
                <w:sz w:val="18"/>
                <w:szCs w:val="18"/>
                <w:color w:val="auto"/>
              </w:rPr>
              <w:t>Total earnout liability as of June 30, 2018</w:t>
            </w:r>
          </w:p>
        </w:tc>
        <w:tc>
          <w:tcPr>
            <w:tcW w:w="10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earnout</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Balance of long-term portion of earnout recorded in other liabilities at June 30, 2018</w:t>
            </w:r>
          </w:p>
        </w:tc>
        <w:tc>
          <w:tcPr>
            <w:tcW w:w="10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jc w:val="right"/>
              <w:ind w:right="209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9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7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11" w:name="page12"/>
    <w:bookmarkEnd w:id="11"/>
    <w:tbl>
      <w:tblPr>
        <w:tblLayout w:type="fixed"/>
        <w:tblInd w:w="572"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Energy Solutions</w:t>
            </w:r>
          </w:p>
        </w:tc>
      </w:tr>
      <w:tr>
        <w:trPr>
          <w:trHeight w:val="171"/>
        </w:trPr>
        <w:tc>
          <w:tcPr>
            <w:tcW w:w="858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Segment (a)</w:t>
            </w: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Earnout accrued at December 31, 2016</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(1,755)</w:t>
            </w: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Compensation expense adjustment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FF0FC"/>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Payment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(15,193)</w:t>
            </w: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FF0FC"/>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earnout liability as of June 30, 2017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earnout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(6,970)</w:t>
            </w:r>
          </w:p>
        </w:tc>
      </w:tr>
      <w:tr>
        <w:trPr>
          <w:trHeight w:val="223"/>
        </w:trPr>
        <w:tc>
          <w:tcPr>
            <w:tcW w:w="8580" w:type="dxa"/>
            <w:vAlign w:val="bottom"/>
          </w:tcPr>
          <w:p>
            <w:pPr>
              <w:ind w:left="240"/>
              <w:spacing w:after="0"/>
              <w:rPr>
                <w:sz w:val="20"/>
                <w:szCs w:val="20"/>
                <w:color w:val="auto"/>
              </w:rPr>
            </w:pPr>
            <w:r>
              <w:rPr>
                <w:rFonts w:ascii="Arial" w:cs="Arial" w:eastAsia="Arial" w:hAnsi="Arial"/>
                <w:sz w:val="18"/>
                <w:szCs w:val="18"/>
                <w:color w:val="auto"/>
              </w:rPr>
              <w:t>Balance of long term portion of earnout recorded in other liabilities at June 30, 2017</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792" w:hanging="218"/>
        <w:spacing w:after="0"/>
        <w:tabs>
          <w:tab w:leader="none" w:pos="792"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Fluid Handling Solutions and Industrial Solutions segments do not have any earnout arrangements associated with the segments</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12" w:hanging="512"/>
        <w:spacing w:after="0"/>
        <w:tabs>
          <w:tab w:leader="none" w:pos="5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Senior debt</w:t>
      </w:r>
    </w:p>
    <w:p>
      <w:pPr>
        <w:spacing w:after="0" w:line="121" w:lineRule="exact"/>
        <w:rPr>
          <w:rFonts w:ascii="Arial" w:cs="Arial" w:eastAsia="Arial" w:hAnsi="Arial"/>
          <w:sz w:val="18"/>
          <w:szCs w:val="18"/>
          <w:b w:val="1"/>
          <w:bCs w:val="1"/>
          <w:color w:val="auto"/>
        </w:rPr>
      </w:pPr>
    </w:p>
    <w:p>
      <w:pPr>
        <w:ind w:left="512" w:right="60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Debt consisted of the following at June 30, 2018 and December 31, 2017:</w:t>
      </w:r>
    </w:p>
    <w:p>
      <w:pPr>
        <w:spacing w:after="0" w:line="284" w:lineRule="exact"/>
        <w:rPr>
          <w:sz w:val="20"/>
          <w:szCs w:val="20"/>
          <w:color w:val="auto"/>
        </w:rPr>
      </w:pPr>
    </w:p>
    <w:tbl>
      <w:tblPr>
        <w:tblLayout w:type="fixed"/>
        <w:tblInd w:w="1172" w:type="dxa"/>
        <w:tblCellMar>
          <w:top w:w="0" w:type="dxa"/>
          <w:left w:w="0" w:type="dxa"/>
          <w:bottom w:w="0" w:type="dxa"/>
          <w:right w:w="0" w:type="dxa"/>
        </w:tblCellMar>
      </w:tblPr>
      <w:tr>
        <w:trPr>
          <w:trHeight w:val="171"/>
        </w:trPr>
        <w:tc>
          <w:tcPr>
            <w:tcW w:w="502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2017</w:t>
            </w:r>
          </w:p>
        </w:tc>
      </w:tr>
      <w:tr>
        <w:trPr>
          <w:trHeight w:val="209"/>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Credit Facility (defined below).</w:t>
            </w:r>
          </w:p>
        </w:tc>
        <w:tc>
          <w:tcPr>
            <w:tcW w:w="5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balance due upon maturity in September 2020.</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83,147</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113,903</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U.S. Dollar revolving loans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(2,252)</w:t>
            </w:r>
          </w:p>
        </w:tc>
        <w:tc>
          <w:tcPr>
            <w:tcW w:w="14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(2,834)</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80,895</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112,069</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rPr>
              <w:t>Outstanding borrowings (U.S. dollar equivalent) under</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Aarding Facility (defined below)</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20"/>
                <w:szCs w:val="20"/>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80,895</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11,296</w:t>
            </w:r>
          </w:p>
        </w:tc>
        <w:tc>
          <w:tcPr>
            <w:tcW w:w="80" w:type="dxa"/>
            <w:vAlign w:val="bottom"/>
          </w:tcPr>
          <w:p>
            <w:pPr>
              <w:spacing w:after="0"/>
              <w:rPr>
                <w:sz w:val="19"/>
                <w:szCs w:val="19"/>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less current portion</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left="512" w:right="140"/>
        <w:spacing w:after="0" w:line="259" w:lineRule="auto"/>
        <w:rPr>
          <w:sz w:val="20"/>
          <w:szCs w:val="20"/>
          <w:color w:val="auto"/>
        </w:rPr>
      </w:pPr>
      <w:r>
        <w:rPr>
          <w:rFonts w:ascii="Arial" w:cs="Arial" w:eastAsia="Arial" w:hAnsi="Arial"/>
          <w:sz w:val="18"/>
          <w:szCs w:val="18"/>
          <w:color w:val="auto"/>
        </w:rPr>
        <w:t>During the six-month period ended June 30, 2018, the Company made prepayments of $29.2 million on the outstanding balance of the term loan, in addition to the required payment of $1.6 million for a total repayment of $30.8 million on the outstanding balance of the term loan. Due to the additional prepayments made in 2018, there are no future current maturity payments due until the final scheduled principal payment of $83.1 million, which is due in September 2020.</w:t>
      </w:r>
    </w:p>
    <w:p>
      <w:pPr>
        <w:spacing w:after="0" w:line="295" w:lineRule="exact"/>
        <w:rPr>
          <w:sz w:val="20"/>
          <w:szCs w:val="20"/>
          <w:color w:val="auto"/>
        </w:rPr>
      </w:pPr>
    </w:p>
    <w:p>
      <w:pPr>
        <w:ind w:left="512"/>
        <w:spacing w:after="0"/>
        <w:rPr>
          <w:sz w:val="20"/>
          <w:szCs w:val="20"/>
          <w:color w:val="auto"/>
        </w:rPr>
      </w:pPr>
      <w:r>
        <w:rPr>
          <w:rFonts w:ascii="Arial" w:cs="Arial" w:eastAsia="Arial" w:hAnsi="Arial"/>
          <w:sz w:val="18"/>
          <w:szCs w:val="18"/>
          <w:u w:val="single" w:color="auto"/>
          <w:color w:val="auto"/>
        </w:rPr>
        <w:t>United States Debt</w:t>
      </w:r>
    </w:p>
    <w:p>
      <w:pPr>
        <w:spacing w:after="0" w:line="225" w:lineRule="exact"/>
        <w:rPr>
          <w:sz w:val="20"/>
          <w:szCs w:val="20"/>
          <w:color w:val="auto"/>
        </w:rPr>
      </w:pPr>
    </w:p>
    <w:p>
      <w:pPr>
        <w:ind w:left="512"/>
        <w:spacing w:after="0" w:line="276" w:lineRule="auto"/>
        <w:rPr>
          <w:sz w:val="20"/>
          <w:szCs w:val="20"/>
          <w:color w:val="auto"/>
        </w:rPr>
      </w:pPr>
      <w:r>
        <w:rPr>
          <w:rFonts w:ascii="Arial" w:cs="Arial" w:eastAsia="Arial" w:hAnsi="Arial"/>
          <w:sz w:val="17"/>
          <w:szCs w:val="17"/>
          <w:color w:val="auto"/>
        </w:rPr>
        <w:t>As of June 30, 2018 and December 31, 2017, $21.8 million and $24.4 million of letters of credit were outstanding, respectively. Total unused credit availability under the Company’s senior secured term loan, senior secured U.S. dollar revolving loans with sub-facilities for letters of credit and swing-line loans and senior secured multi-currency revolving credit facility for U.S. dollar and specific foreign currency loans (collectively, the “Credit Facility”) was $58.2 million and $54.6 million at June 30, 2018 and December 31, 2017, respectively. Revolving loans may be borrowed, repaid and reborrowed until September 3, 2020, at which time all amounts borrowed pursuant to the Credit Facility must be repaid.</w:t>
      </w:r>
    </w:p>
    <w:p>
      <w:pPr>
        <w:spacing w:after="0" w:line="173" w:lineRule="exact"/>
        <w:rPr>
          <w:sz w:val="20"/>
          <w:szCs w:val="20"/>
          <w:color w:val="auto"/>
        </w:rPr>
      </w:pPr>
    </w:p>
    <w:p>
      <w:pPr>
        <w:ind w:left="512"/>
        <w:spacing w:after="0"/>
        <w:rPr>
          <w:sz w:val="20"/>
          <w:szCs w:val="20"/>
          <w:color w:val="auto"/>
        </w:rPr>
      </w:pPr>
      <w:r>
        <w:rPr>
          <w:rFonts w:ascii="Arial" w:cs="Arial" w:eastAsia="Arial" w:hAnsi="Arial"/>
          <w:sz w:val="16"/>
          <w:szCs w:val="16"/>
          <w:color w:val="auto"/>
        </w:rPr>
        <w:t>The weighted average stated interest rate on outstanding borrowings was 4.89% and 4.08% at June 30, 2018 and December 31, 2017, respectively.</w:t>
      </w:r>
    </w:p>
    <w:p>
      <w:pPr>
        <w:spacing w:after="0" w:line="248" w:lineRule="exact"/>
        <w:rPr>
          <w:sz w:val="20"/>
          <w:szCs w:val="20"/>
          <w:color w:val="auto"/>
        </w:rPr>
      </w:pPr>
    </w:p>
    <w:p>
      <w:pPr>
        <w:ind w:left="512" w:right="40"/>
        <w:spacing w:after="0" w:line="276" w:lineRule="auto"/>
        <w:rPr>
          <w:sz w:val="20"/>
          <w:szCs w:val="20"/>
          <w:color w:val="auto"/>
        </w:rPr>
      </w:pPr>
      <w:r>
        <w:rPr>
          <w:rFonts w:ascii="Arial" w:cs="Arial" w:eastAsia="Arial" w:hAnsi="Arial"/>
          <w:sz w:val="17"/>
          <w:szCs w:val="17"/>
          <w:color w:val="auto"/>
        </w:rPr>
        <w:t>In accordance with the Credit Facility terms, the Company entered into an interest rate swap to hedge against interest rate exposure related to a portion of the outstanding debt indexed to LIBOR market rates. The fair value of the interest rate swap was an asset of $0.7 million and $0.3 million as of June 30, 2018 and December 31, 2017, respectively, and is classified within the “Deferred charges and other assets” on the Condensed Consolidated Balance Sheets. The Company designated the interest rate swap as an effective hedge; therefore, the changes to the fair value of the interest rate swap have been recorded in other comprehensive income as the hedge is deemed effective.</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12" w:name="page13"/>
    <w:bookmarkEnd w:id="12"/>
    <w:p>
      <w:pPr>
        <w:ind w:left="520" w:right="200"/>
        <w:spacing w:after="0" w:line="273" w:lineRule="auto"/>
        <w:rPr>
          <w:sz w:val="20"/>
          <w:szCs w:val="20"/>
          <w:color w:val="auto"/>
        </w:rPr>
      </w:pPr>
      <w:r>
        <w:rPr>
          <w:rFonts w:ascii="Arial" w:cs="Arial" w:eastAsia="Arial" w:hAnsi="Arial"/>
          <w:sz w:val="17"/>
          <w:szCs w:val="17"/>
          <w:color w:val="auto"/>
        </w:rPr>
        <w:t>The Company amended the Credit Facility as of October 31, 2017. The Credit Facility was amended to, among other things, (a) modify the calculation of Consolidated EBITDA and Consolidated Fixed Charges to exclude certain adjustments related to certain transactions, (b) modify the Consolidated Leverage Ratio covenant and (c) add a covenant restricting the amount of capital expenditures we may make in fiscal years 2018 and 2019. As a result of the amendment to the Credit Facility, the maximum Consolidated Leverage Ratio increased to 3.75 and will remain at this ratio through March 31, 2019, when it is set to decrease to 3.50 through September 30, 2019. The Consolidated Leverage Ratio will then decrease to 3.25, where it will remain until the end of the term of the Credit Facility.</w:t>
      </w:r>
    </w:p>
    <w:p>
      <w:pPr>
        <w:spacing w:after="0" w:line="178"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color w:val="auto"/>
        </w:rPr>
        <w:t>As of June 30, 2018 and December 31, 2017, the Company was in compliance with all related financial and other restrictive covenants under the Credit Facility.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Debt</w:t>
      </w:r>
    </w:p>
    <w:p>
      <w:pPr>
        <w:spacing w:after="0" w:line="117" w:lineRule="exact"/>
        <w:rPr>
          <w:sz w:val="20"/>
          <w:szCs w:val="20"/>
          <w:color w:val="auto"/>
        </w:rPr>
      </w:pPr>
    </w:p>
    <w:p>
      <w:pPr>
        <w:ind w:left="520" w:right="100"/>
        <w:spacing w:after="0" w:line="255" w:lineRule="auto"/>
        <w:rPr>
          <w:sz w:val="20"/>
          <w:szCs w:val="20"/>
          <w:color w:val="auto"/>
        </w:rPr>
      </w:pPr>
      <w:r>
        <w:rPr>
          <w:rFonts w:ascii="Arial" w:cs="Arial" w:eastAsia="Arial" w:hAnsi="Arial"/>
          <w:sz w:val="18"/>
          <w:szCs w:val="18"/>
          <w:color w:val="auto"/>
        </w:rPr>
        <w:t>A subsidiary of the Company located in the Netherlands has a Euro denominated facilities agreement with ING Bank N.V. (“Aarding Facility”) with a total borrowing capacity of $15.2 million. As of June 30, 2018, the borrowers were in compliance with all related financial and other restrictive covenants. As of December 31, 2017, the borrowers were not in compliance with certain financial covenants under the Aarding Facility. As such, the Company settled the outstanding amount of the overdraft facility in the first quarter of 2018. The Company plans to exit this facility and consolidate it with the Credit Facility. As of June 30, 2018, $8.7 million of the bank guarantee and none of the overdraft facility were being used by the borrowers. As of December 31, 2017, $3.9 million of the bank guarantee and $2.8 million of the overdraft facility were being used by the borrowers. There is no stated expiration date on the Aarding Facility.</w:t>
      </w:r>
    </w:p>
    <w:p>
      <w:pPr>
        <w:spacing w:after="0" w:line="17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and Dividends per Share</w:t>
      </w:r>
    </w:p>
    <w:p>
      <w:pPr>
        <w:spacing w:after="0" w:line="121" w:lineRule="exact"/>
        <w:rPr>
          <w:rFonts w:ascii="Arial" w:cs="Arial" w:eastAsia="Arial" w:hAnsi="Arial"/>
          <w:sz w:val="18"/>
          <w:szCs w:val="18"/>
          <w:b w:val="1"/>
          <w:bCs w:val="1"/>
          <w:color w:val="auto"/>
        </w:rPr>
      </w:pPr>
    </w:p>
    <w:p>
      <w:pPr>
        <w:ind w:left="52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computational components of basic and diluted earnings per share for the three-month and six-month periods ended June 30, 2018 and 2017 are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4"/>
          </w:tcPr>
          <w:p>
            <w:pPr>
              <w:jc w:val="center"/>
              <w:spacing w:after="0"/>
              <w:rPr>
                <w:sz w:val="20"/>
                <w:szCs w:val="20"/>
                <w:color w:val="auto"/>
              </w:rPr>
            </w:pPr>
            <w:r>
              <w:rPr>
                <w:rFonts w:ascii="Arial" w:cs="Arial" w:eastAsia="Arial" w:hAnsi="Arial"/>
                <w:sz w:val="14"/>
                <w:szCs w:val="14"/>
                <w:b w:val="1"/>
                <w:bCs w:val="1"/>
                <w:color w:val="auto"/>
                <w:w w:val="93"/>
              </w:rPr>
              <w:t>For the Three Months Ended June 30, 2018</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5"/>
          </w:tcPr>
          <w:p>
            <w:pPr>
              <w:ind w:left="160"/>
              <w:spacing w:after="0" w:line="160" w:lineRule="exact"/>
              <w:rPr>
                <w:sz w:val="20"/>
                <w:szCs w:val="20"/>
                <w:color w:val="auto"/>
              </w:rPr>
            </w:pPr>
            <w:r>
              <w:rPr>
                <w:rFonts w:ascii="Arial" w:cs="Arial" w:eastAsia="Arial" w:hAnsi="Arial"/>
                <w:sz w:val="14"/>
                <w:szCs w:val="14"/>
                <w:b w:val="1"/>
                <w:bCs w:val="1"/>
                <w:color w:val="auto"/>
              </w:rPr>
              <w:t>Numerator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20"/>
              <w:spacing w:after="0" w:line="160" w:lineRule="exact"/>
              <w:rPr>
                <w:sz w:val="20"/>
                <w:szCs w:val="20"/>
                <w:color w:val="auto"/>
              </w:rPr>
            </w:pPr>
            <w:r>
              <w:rPr>
                <w:rFonts w:ascii="Arial" w:cs="Arial" w:eastAsia="Arial" w:hAnsi="Arial"/>
                <w:sz w:val="14"/>
                <w:szCs w:val="14"/>
                <w:b w:val="1"/>
                <w:bCs w:val="1"/>
                <w:color w:val="auto"/>
                <w:w w:val="92"/>
              </w:rPr>
              <w:t>Denominator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tcPr>
          <w:p>
            <w:pPr>
              <w:jc w:val="right"/>
              <w:ind w:right="300"/>
              <w:spacing w:after="0" w:line="160" w:lineRule="exact"/>
              <w:rPr>
                <w:sz w:val="20"/>
                <w:szCs w:val="20"/>
                <w:color w:val="auto"/>
              </w:rPr>
            </w:pPr>
            <w:r>
              <w:rPr>
                <w:rFonts w:ascii="Arial" w:cs="Arial" w:eastAsia="Arial" w:hAnsi="Arial"/>
                <w:sz w:val="14"/>
                <w:szCs w:val="14"/>
                <w:b w:val="1"/>
                <w:bCs w:val="1"/>
                <w:color w:val="auto"/>
              </w:rPr>
              <w:t>Per Share</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ind w:left="32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CFF0FC"/>
            </w:tcBorders>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and loss per share</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FF0FC"/>
          </w:tcPr>
          <w:p>
            <w:pPr>
              <w:ind w:left="220"/>
              <w:spacing w:after="0"/>
              <w:rPr>
                <w:sz w:val="20"/>
                <w:szCs w:val="20"/>
                <w:color w:val="auto"/>
              </w:rPr>
            </w:pPr>
            <w:r>
              <w:rPr>
                <w:rFonts w:ascii="Arial" w:cs="Arial" w:eastAsia="Arial" w:hAnsi="Arial"/>
                <w:sz w:val="18"/>
                <w:szCs w:val="18"/>
                <w:color w:val="auto"/>
                <w:w w:val="95"/>
              </w:rPr>
              <w:t>(901)</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34,670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16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Borders>
              <w:right w:val="single" w:sz="8" w:color="CFF0FC"/>
            </w:tcBorders>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Common stock equivalents arising from stock options,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16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CFF0FC"/>
            </w:tcBorders>
          </w:tcPr>
          <w:p>
            <w:pPr>
              <w:spacing w:after="0"/>
              <w:rPr>
                <w:sz w:val="20"/>
                <w:szCs w:val="20"/>
                <w:color w:val="auto"/>
              </w:rPr>
            </w:pPr>
          </w:p>
        </w:tc>
        <w:tc>
          <w:tcPr>
            <w:tcW w:w="43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0"/>
              </w:rPr>
              <w:t>restricted stock awards, and employee stock purchase plan</w:t>
            </w: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right w:val="single" w:sz="8" w:color="CFF0FC"/>
            </w:tcBorders>
            <w:shd w:val="clear" w:color="auto" w:fill="CFF0FC"/>
          </w:tcPr>
          <w:p>
            <w:pPr>
              <w:spacing w:after="0"/>
              <w:rPr>
                <w:sz w:val="20"/>
                <w:szCs w:val="20"/>
                <w:color w:val="auto"/>
              </w:rPr>
            </w:pPr>
          </w:p>
        </w:tc>
        <w:tc>
          <w:tcPr>
            <w:tcW w:w="1160" w:type="dxa"/>
            <w:vAlign w:val="bottom"/>
            <w:tcBorders>
              <w:left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1120"/>
              <w:spacing w:after="0"/>
              <w:rPr>
                <w:sz w:val="20"/>
                <w:szCs w:val="20"/>
                <w:color w:val="auto"/>
              </w:rPr>
            </w:pPr>
            <w:r>
              <w:rPr>
                <w:rFonts w:ascii="Arial" w:cs="Arial" w:eastAsia="Arial" w:hAnsi="Arial"/>
                <w:sz w:val="18"/>
                <w:szCs w:val="18"/>
                <w:color w:val="auto"/>
              </w:rPr>
              <w:t>Diluted loss and loss per share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w w:val="76"/>
              </w:rPr>
              <w:t>(901)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34,670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89"/>
              </w:rPr>
              <w:t>(0.03)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5"/>
          </w:tcPr>
          <w:p>
            <w:pPr>
              <w:ind w:left="160"/>
              <w:spacing w:after="0"/>
              <w:rPr>
                <w:sz w:val="20"/>
                <w:szCs w:val="20"/>
                <w:color w:val="auto"/>
              </w:rPr>
            </w:pPr>
            <w:r>
              <w:rPr>
                <w:rFonts w:ascii="Arial" w:cs="Arial" w:eastAsia="Arial" w:hAnsi="Arial"/>
                <w:sz w:val="14"/>
                <w:szCs w:val="14"/>
                <w:b w:val="1"/>
                <w:bCs w:val="1"/>
                <w:color w:val="auto"/>
              </w:rPr>
              <w:t>For the Three Months Ended June 30, 2017</w:t>
            </w:r>
          </w:p>
        </w:tc>
        <w:tc>
          <w:tcPr>
            <w:tcW w:w="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w w:val="98"/>
              </w:rPr>
              <w:t>Numerator</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7"/>
          </w:tcPr>
          <w:p>
            <w:pPr>
              <w:jc w:val="right"/>
              <w:ind w:right="580"/>
              <w:spacing w:after="0" w:line="133" w:lineRule="exact"/>
              <w:rPr>
                <w:sz w:val="20"/>
                <w:szCs w:val="20"/>
                <w:color w:val="auto"/>
              </w:rPr>
            </w:pPr>
            <w:r>
              <w:rPr>
                <w:rFonts w:ascii="Arial" w:cs="Arial" w:eastAsia="Arial" w:hAnsi="Arial"/>
                <w:sz w:val="14"/>
                <w:szCs w:val="14"/>
                <w:b w:val="1"/>
                <w:bCs w:val="1"/>
                <w:color w:val="auto"/>
              </w:rPr>
              <w:t>Denominator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1"/>
              </w:rPr>
              <w:t>Per Share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2"/>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CFF0FC"/>
            </w:tcBorders>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and earnings per share</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FF0FC"/>
          </w:tcPr>
          <w:p>
            <w:pPr>
              <w:ind w:left="460"/>
              <w:spacing w:after="0"/>
              <w:rPr>
                <w:sz w:val="20"/>
                <w:szCs w:val="20"/>
                <w:color w:val="auto"/>
              </w:rPr>
            </w:pPr>
            <w:r>
              <w:rPr>
                <w:rFonts w:ascii="Arial" w:cs="Arial" w:eastAsia="Arial" w:hAnsi="Arial"/>
                <w:sz w:val="18"/>
                <w:szCs w:val="18"/>
                <w:color w:val="auto"/>
                <w:w w:val="88"/>
              </w:rPr>
              <w:t>5,486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34,474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8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Borders>
              <w:right w:val="single" w:sz="8" w:color="CFF0FC"/>
            </w:tcBorders>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Common stock equivalents arising from stock options,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CFF0FC"/>
            </w:tcBorders>
          </w:tcPr>
          <w:p>
            <w:pPr>
              <w:spacing w:after="0"/>
              <w:rPr>
                <w:sz w:val="20"/>
                <w:szCs w:val="20"/>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w w:val="92"/>
              </w:rPr>
              <w:t>restricted stock awards, and employee stock purchase plan</w:t>
            </w:r>
          </w:p>
        </w:tc>
        <w:tc>
          <w:tcPr>
            <w:tcW w:w="6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right w:val="single" w:sz="8" w:color="CFF0FC"/>
            </w:tcBorders>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Diluted earnings and earnings per share</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color w:val="auto"/>
                <w:w w:val="88"/>
              </w:rPr>
              <w:t>5,486</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34,807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0.16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4"/>
          </w:tcPr>
          <w:p>
            <w:pPr>
              <w:jc w:val="center"/>
              <w:ind w:right="48"/>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140"/>
              <w:spacing w:after="0" w:line="133" w:lineRule="exact"/>
              <w:rPr>
                <w:sz w:val="20"/>
                <w:szCs w:val="20"/>
                <w:color w:val="auto"/>
              </w:rPr>
            </w:pPr>
            <w:r>
              <w:rPr>
                <w:rFonts w:ascii="Arial" w:cs="Arial" w:eastAsia="Arial" w:hAnsi="Arial"/>
                <w:sz w:val="14"/>
                <w:szCs w:val="14"/>
                <w:b w:val="1"/>
                <w:bCs w:val="1"/>
                <w:color w:val="auto"/>
              </w:rPr>
              <w:t>Numerator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Denominator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and earnings per share</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8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34,632</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528"/>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tcBorders>
              <w:right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1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2"/>
              </w:rPr>
              <w:t>Common stock equivalents arising from stock options, restricted stock</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awards, and employee stock purchase plan</w:t>
            </w: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Diluted earnings and earnings per share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3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4,862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34,715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5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vMerge w:val="restart"/>
          </w:tcPr>
          <w:p>
            <w:pPr>
              <w:jc w:val="right"/>
              <w:ind w:right="3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 w:name="page14"/>
    <w:bookmarkEnd w:id="13"/>
    <w:tbl>
      <w:tblPr>
        <w:tblLayout w:type="fixed"/>
        <w:tblInd w:w="113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For the Six Months Ended June 30, 2017</w:t>
            </w:r>
          </w:p>
        </w:tc>
      </w:tr>
      <w:tr>
        <w:trPr>
          <w:trHeight w:val="133"/>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Numerator</w:t>
            </w:r>
          </w:p>
        </w:tc>
        <w:tc>
          <w:tcPr>
            <w:tcW w:w="126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Denominator</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19"/>
              <w:spacing w:after="0" w:line="133" w:lineRule="exact"/>
              <w:rPr>
                <w:sz w:val="20"/>
                <w:szCs w:val="20"/>
                <w:color w:val="auto"/>
              </w:rPr>
            </w:pPr>
            <w:r>
              <w:rPr>
                <w:rFonts w:ascii="Arial" w:cs="Arial" w:eastAsia="Arial" w:hAnsi="Arial"/>
                <w:sz w:val="14"/>
                <w:szCs w:val="14"/>
                <w:b w:val="1"/>
                <w:bCs w:val="1"/>
                <w:color w:val="auto"/>
                <w:w w:val="94"/>
              </w:rPr>
              <w:t>Per Share</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(Income)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and loss per share</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34,345</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w w:val="93"/>
              </w:rPr>
              <w:t>Common stock equivalents arising from stock options, restricted stock</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awards, and employee stock purchase plan</w:t>
            </w:r>
          </w:p>
        </w:tc>
        <w:tc>
          <w:tcPr>
            <w:tcW w:w="1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Diluted loss and loss per share</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12" w:right="60"/>
        <w:spacing w:after="0" w:line="340" w:lineRule="auto"/>
        <w:rPr>
          <w:sz w:val="20"/>
          <w:szCs w:val="20"/>
          <w:color w:val="auto"/>
        </w:rPr>
      </w:pPr>
      <w:r>
        <w:rPr>
          <w:rFonts w:ascii="Arial" w:cs="Arial" w:eastAsia="Arial" w:hAnsi="Arial"/>
          <w:sz w:val="15"/>
          <w:szCs w:val="15"/>
          <w:color w:val="auto"/>
        </w:rPr>
        <w:t>Options, restricted stock units and warrants included in the computation of diluted earnings per share are calculated using the treasury stock method. For the three-month periods ended June 30, 2018 and 2017, 0.6 million, and during the six-month periods ended June 30, 2018 and 2017, 0.6 million and 0.7 million, respectively, of outstanding options and warrants were excluded from the computation of diluted earnings per share due to their having an anti-dilutive effect.</w:t>
      </w:r>
    </w:p>
    <w:p>
      <w:pPr>
        <w:spacing w:after="0" w:line="131" w:lineRule="exact"/>
        <w:rPr>
          <w:sz w:val="20"/>
          <w:szCs w:val="20"/>
          <w:color w:val="auto"/>
        </w:rPr>
      </w:pPr>
    </w:p>
    <w:p>
      <w:pPr>
        <w:ind w:left="512" w:right="12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53" w:lineRule="exact"/>
        <w:rPr>
          <w:sz w:val="20"/>
          <w:szCs w:val="20"/>
          <w:color w:val="auto"/>
        </w:rPr>
      </w:pPr>
    </w:p>
    <w:p>
      <w:pPr>
        <w:ind w:left="512" w:hanging="512"/>
        <w:spacing w:after="0"/>
        <w:tabs>
          <w:tab w:leader="none" w:pos="5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1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accounts for stock-based compensation in accordance with ASC Topic 718, “Compensation – Stock Compensation,” which requires the Company to recognize compensation expense for stock-based awards, measured at the fair value of the awards at the grant date. The Company recognized $0.8 million and $0.7 million of stock compensation related expense during the three-month periods ended June 30, 2018 and 2017, respectively, and $1.4 million and $0.7 million during the six-month periods ended June 30, 2018 and 2017, respectively. Share based compensation expense was lower in 2017 primarily due to a large amount of forfeitures related to the former Chief Executive Officer’s departure from the Company.</w:t>
      </w:r>
    </w:p>
    <w:p>
      <w:pPr>
        <w:spacing w:after="0" w:line="158" w:lineRule="exact"/>
        <w:rPr>
          <w:rFonts w:ascii="Arial" w:cs="Arial" w:eastAsia="Arial" w:hAnsi="Arial"/>
          <w:sz w:val="18"/>
          <w:szCs w:val="18"/>
          <w:b w:val="1"/>
          <w:bCs w:val="1"/>
          <w:color w:val="auto"/>
        </w:rPr>
      </w:pPr>
    </w:p>
    <w:p>
      <w:pPr>
        <w:ind w:left="512"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granted no options during the three and six-month periods ended June 30, 2018 and granted 128,000 options during the three and six-month periods ended June 30, 2017, respectively.</w:t>
      </w:r>
    </w:p>
    <w:p>
      <w:pPr>
        <w:spacing w:after="0" w:line="170" w:lineRule="exact"/>
        <w:rPr>
          <w:rFonts w:ascii="Arial" w:cs="Arial" w:eastAsia="Arial" w:hAnsi="Arial"/>
          <w:sz w:val="18"/>
          <w:szCs w:val="18"/>
          <w:b w:val="1"/>
          <w:bCs w:val="1"/>
          <w:color w:val="auto"/>
        </w:rPr>
      </w:pPr>
    </w:p>
    <w:p>
      <w:pPr>
        <w:ind w:left="512"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 granted approximately 910,000 and 351,000 restricted stock units during the three-month periods ended June 30, 2018 and 2017, respectively, and approximately 930,000 and 405,000 restricted stock units during the six-month periods ended June 30, 2018 and 2017, respectively. The weighted-average fair value of restricted stock units was estimated at $5.10 and $9.87 per unit granted during the six months ended June 30, 2018 and 2017, respectively. The fair value of the restricted stock units was determined by using the value of stock in the open market on the date of grant.</w:t>
      </w:r>
    </w:p>
    <w:p>
      <w:pPr>
        <w:spacing w:after="0" w:line="154"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6"/>
          <w:szCs w:val="16"/>
          <w:color w:val="auto"/>
        </w:rPr>
        <w:t>The fair value of the stock-based awards granted is recorded as compensation expense on a straight-line basis over the vesting periods of the awards.</w:t>
      </w:r>
    </w:p>
    <w:p>
      <w:pPr>
        <w:spacing w:after="0" w:line="248" w:lineRule="exact"/>
        <w:rPr>
          <w:rFonts w:ascii="Arial" w:cs="Arial" w:eastAsia="Arial" w:hAnsi="Arial"/>
          <w:sz w:val="18"/>
          <w:szCs w:val="18"/>
          <w:b w:val="1"/>
          <w:bCs w:val="1"/>
          <w:color w:val="auto"/>
        </w:rPr>
      </w:pPr>
    </w:p>
    <w:p>
      <w:pPr>
        <w:ind w:left="512"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There were approximately 8,000 and 282,000 options exercised during the six months ended June 30, 2018 and 2017, respectively. The Company received $28,000 and $1.1 million in cash from employees and non-employee directors exercising options during the six months ended June 30, 2018 and 2017, respectively. The intrinsic value of options exercised during the six months ended June 30, 2018 and 2017 was $19,860 and $1.8 million, respectively.</w:t>
      </w:r>
    </w:p>
    <w:p>
      <w:pPr>
        <w:spacing w:after="0" w:line="372" w:lineRule="exact"/>
        <w:rPr>
          <w:rFonts w:ascii="Arial" w:cs="Arial" w:eastAsia="Arial" w:hAnsi="Arial"/>
          <w:sz w:val="18"/>
          <w:szCs w:val="18"/>
          <w:b w:val="1"/>
          <w:bCs w:val="1"/>
          <w:color w:val="auto"/>
        </w:rPr>
      </w:pPr>
    </w:p>
    <w:p>
      <w:pPr>
        <w:ind w:left="512" w:hanging="512"/>
        <w:spacing w:after="0"/>
        <w:tabs>
          <w:tab w:leader="none" w:pos="5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21" w:lineRule="exact"/>
        <w:rPr>
          <w:rFonts w:ascii="Arial" w:cs="Arial" w:eastAsia="Arial" w:hAnsi="Arial"/>
          <w:sz w:val="18"/>
          <w:szCs w:val="18"/>
          <w:b w:val="1"/>
          <w:bCs w:val="1"/>
          <w:color w:val="auto"/>
        </w:rPr>
      </w:pPr>
    </w:p>
    <w:p>
      <w:pPr>
        <w:ind w:left="512" w:right="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rFonts w:ascii="Arial" w:cs="Arial" w:eastAsia="Arial" w:hAnsi="Arial"/>
          <w:sz w:val="18"/>
          <w:szCs w:val="18"/>
          <w:b w:val="1"/>
          <w:bCs w:val="1"/>
          <w:color w:val="auto"/>
        </w:rPr>
      </w:pPr>
    </w:p>
    <w:p>
      <w:pPr>
        <w:ind w:left="51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rFonts w:ascii="Arial" w:cs="Arial" w:eastAsia="Arial" w:hAnsi="Arial"/>
          <w:sz w:val="18"/>
          <w:szCs w:val="18"/>
          <w:b w:val="1"/>
          <w:bCs w:val="1"/>
          <w:color w:val="auto"/>
        </w:rPr>
      </w:pPr>
    </w:p>
    <w:p>
      <w:pPr>
        <w:ind w:left="51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present service cost within cost of sales and selling and administrative expenses depending on where the relevant employees compensation costs are recorded, and we present other components of net periodic benefit cost (gain) within other expense, net on the Condensed Consolidated Statements of Operations.</w:t>
      </w:r>
    </w:p>
    <w:p>
      <w:pPr>
        <w:spacing w:after="0" w:line="181" w:lineRule="exact"/>
        <w:rPr>
          <w:rFonts w:ascii="Arial" w:cs="Arial" w:eastAsia="Arial" w:hAnsi="Arial"/>
          <w:sz w:val="18"/>
          <w:szCs w:val="18"/>
          <w:b w:val="1"/>
          <w:bCs w:val="1"/>
          <w:color w:val="auto"/>
        </w:rPr>
      </w:pPr>
    </w:p>
    <w:p>
      <w:pPr>
        <w:ind w:left="51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130" w:right="279" w:bottom="1440" w:gutter="0" w:footer="0" w:header="0"/>
        </w:sectPr>
      </w:pPr>
    </w:p>
    <w:bookmarkStart w:id="14" w:name="page15"/>
    <w:bookmarkEnd w:id="14"/>
    <w:tbl>
      <w:tblPr>
        <w:tblLayout w:type="fixed"/>
        <w:tblInd w:w="572" w:type="dxa"/>
        <w:tblCellMar>
          <w:top w:w="0" w:type="dxa"/>
          <w:left w:w="0" w:type="dxa"/>
          <w:bottom w:w="0" w:type="dxa"/>
          <w:right w:w="0" w:type="dxa"/>
        </w:tblCellMar>
      </w:tblPr>
      <w:tr>
        <w:trPr>
          <w:trHeight w:val="171"/>
        </w:trPr>
        <w:tc>
          <w:tcPr>
            <w:tcW w:w="384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56"/>
        </w:trPr>
        <w:tc>
          <w:tcPr>
            <w:tcW w:w="38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Pension plan:</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Service cost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w:t>
            </w:r>
          </w:p>
        </w:tc>
        <w:tc>
          <w:tcPr>
            <w:tcW w:w="1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r>
      <w:tr>
        <w:trPr>
          <w:trHeight w:val="26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periodic benefit cost (gain)</w:t>
            </w:r>
          </w:p>
        </w:tc>
        <w:tc>
          <w:tcPr>
            <w:tcW w:w="14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FF0FC"/>
            </w:tcBorders>
          </w:tcPr>
          <w:p>
            <w:pPr>
              <w:spacing w:after="0"/>
              <w:rPr>
                <w:sz w:val="22"/>
                <w:szCs w:val="22"/>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Health care plan:</w:t>
            </w: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Interest cost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loss</w:t>
            </w:r>
          </w:p>
        </w:tc>
        <w:tc>
          <w:tcPr>
            <w:tcW w:w="1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12" w:right="340"/>
        <w:spacing w:after="0" w:line="259" w:lineRule="auto"/>
        <w:rPr>
          <w:sz w:val="20"/>
          <w:szCs w:val="20"/>
          <w:color w:val="auto"/>
        </w:rPr>
      </w:pPr>
      <w:r>
        <w:rPr>
          <w:rFonts w:ascii="Arial" w:cs="Arial" w:eastAsia="Arial" w:hAnsi="Arial"/>
          <w:sz w:val="18"/>
          <w:szCs w:val="18"/>
          <w:color w:val="auto"/>
        </w:rPr>
        <w:t>We made contributions to our defined benefit plans during the six months ended June 30, 2018 and 2017 totaling $0.6 million and $0.3 million, respectively. We anticipate $0.2 million and $24,000 of further contributions to fund the pension plan and the retiree health care plan, respectively, during the remainder of 2018. The unfunded liability of the plans of $9.1 million and $9.6 million as of June 30, 2018 and December 31, 2017, respectively, is included in Other liabilities on our Condensed Consolidated Balance Sheets.</w:t>
      </w:r>
    </w:p>
    <w:p>
      <w:pPr>
        <w:spacing w:after="0" w:line="372" w:lineRule="exact"/>
        <w:rPr>
          <w:sz w:val="20"/>
          <w:szCs w:val="20"/>
          <w:color w:val="auto"/>
        </w:rPr>
      </w:pPr>
    </w:p>
    <w:p>
      <w:pPr>
        <w:ind w:left="512" w:hanging="512"/>
        <w:spacing w:after="0"/>
        <w:tabs>
          <w:tab w:leader="none" w:pos="5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512"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calculate our provision for federal, state and international income taxes based on current tax law. The Tax Act, which was enacted on December 22, 2017, included several key provisions impacting accounting for and reporting of income taxes. The most significant provisions, effective for periods beginning after December 31, 2017, are the global intangible low-taxed income (“GILTI”) provision and the reduction of the U.S. corporate statutory tax rate from 35% to 21%.</w:t>
      </w:r>
    </w:p>
    <w:p>
      <w:pPr>
        <w:spacing w:after="0" w:line="186" w:lineRule="exact"/>
        <w:rPr>
          <w:rFonts w:ascii="Arial" w:cs="Arial" w:eastAsia="Arial" w:hAnsi="Arial"/>
          <w:sz w:val="18"/>
          <w:szCs w:val="18"/>
          <w:b w:val="1"/>
          <w:bCs w:val="1"/>
          <w:color w:val="auto"/>
        </w:rPr>
      </w:pPr>
    </w:p>
    <w:p>
      <w:pPr>
        <w:ind w:left="512"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in various federal, state and local jurisdictions. Tax years from 2014 forward remain open for examination by Federal authorities. Tax years from 2012 forward remain open for all significant state and foreign authorities.</w:t>
      </w:r>
    </w:p>
    <w:p>
      <w:pPr>
        <w:spacing w:after="0" w:line="170" w:lineRule="exact"/>
        <w:rPr>
          <w:rFonts w:ascii="Arial" w:cs="Arial" w:eastAsia="Arial" w:hAnsi="Arial"/>
          <w:sz w:val="18"/>
          <w:szCs w:val="18"/>
          <w:b w:val="1"/>
          <w:bCs w:val="1"/>
          <w:color w:val="auto"/>
        </w:rPr>
      </w:pPr>
    </w:p>
    <w:p>
      <w:pPr>
        <w:ind w:left="51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account for uncertain tax positions pursuant to ASC Topic 740, “Income Taxes.” As of June 30, 2018 and December 31, 2017, the liability for uncertain tax positions totaled approximately $0.9 million, which is included in Other liabilities on our Condensed Consolidated Balance Sheets. We recognize accrued interest related to uncertain tax positions and penalties, if any, in income tax expense within the Condensed Consolidated Statements of Operations.</w:t>
      </w:r>
    </w:p>
    <w:p>
      <w:pPr>
        <w:spacing w:after="0" w:line="186" w:lineRule="exact"/>
        <w:rPr>
          <w:rFonts w:ascii="Arial" w:cs="Arial" w:eastAsia="Arial" w:hAnsi="Arial"/>
          <w:sz w:val="18"/>
          <w:szCs w:val="18"/>
          <w:b w:val="1"/>
          <w:bCs w:val="1"/>
          <w:color w:val="auto"/>
        </w:rPr>
      </w:pPr>
    </w:p>
    <w:p>
      <w:pPr>
        <w:ind w:left="51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Certain of the Company’s undistributed earnings of our foreign subsidiaries are not permanently reinvested. Our cash needs for operating, investing and financing activities have increased in the U.S. Since foreign earnings have already been subject to U.S. income tax in 2017 as a result of the Tax Act, we intend to repatriate foreign-held cash as needed. As of June 30, 2018, and December 31, 2017 we have recorded deferred income taxes of approximately $0.6 million and zero, respectively, on the undistributed earnings of our foreign subsidiaries. This amount is attributable primarily to the foreign withholding taxes that would become payable should we decide to repatriate cash held in our foreign operations.</w:t>
      </w:r>
    </w:p>
    <w:p>
      <w:pPr>
        <w:spacing w:after="0" w:line="158" w:lineRule="exact"/>
        <w:rPr>
          <w:rFonts w:ascii="Arial" w:cs="Arial" w:eastAsia="Arial" w:hAnsi="Arial"/>
          <w:sz w:val="18"/>
          <w:szCs w:val="18"/>
          <w:b w:val="1"/>
          <w:bCs w:val="1"/>
          <w:color w:val="auto"/>
        </w:rPr>
      </w:pPr>
    </w:p>
    <w:p>
      <w:pPr>
        <w:ind w:left="512"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We recognized the provisional tax impacts related to the deemed repatriation of foreign earnings and the benefit for the revaluation of deferred tax assets and liabilities during the year ended December 31, 2017. ASU 2018-05 allows a company to record a provisional amount when it does not have the necessary information available, prepared, or analyzed in reasonable detail to complete its accounting for the change in the tax law. We adjusted our provisional accounting for the impacts of Tax Reform as they relate to the repatriation of foreign cash. No other adjustments were made to these provisional amounts for the three-month and six-month periods ended June 30, 2018. We continue to review and evaluate the provisions of the Tax Act. This review could result in changes to the amounts we have provisionally recorded. We will complete our accounting for the tax effects of the Tax Act before the end of the one-year measurement period allowed by ASU 2018-05, which will be in the fourth quarter of 2018. The amounts recorded in 2018 to account for the impact of the Tax Act for periods beginning after December 31, 2017 are the Company’s best estimates based on the current data and guidance available. We have not yet determined our accounting policy election with respect to recording deferred taxes for basis differences related to the GILTI provisions or to continue to record as a period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30" w:right="239" w:bottom="1440" w:gutter="0" w:footer="0" w:header="0"/>
        </w:sectPr>
      </w:pPr>
    </w:p>
    <w:bookmarkStart w:id="15" w:name="page16"/>
    <w:bookmarkEnd w:id="15"/>
    <w:p>
      <w:pPr>
        <w:ind w:left="512" w:hanging="512"/>
        <w:spacing w:after="0"/>
        <w:tabs>
          <w:tab w:leader="none" w:pos="5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jc w:val="both"/>
        <w:ind w:left="51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financial instruments consist primarily of investments in cash and cash equivalents, receivables and certain other assets, foreign debt and accounts payable, which approximate fair value at June 30, 2018 and December 31, 2017, due to their short-term nature or variable, market-driven interest rates.</w:t>
      </w:r>
    </w:p>
    <w:p>
      <w:pPr>
        <w:spacing w:after="0" w:line="123" w:lineRule="exact"/>
        <w:rPr>
          <w:rFonts w:ascii="Arial" w:cs="Arial" w:eastAsia="Arial" w:hAnsi="Arial"/>
          <w:sz w:val="18"/>
          <w:szCs w:val="18"/>
          <w:b w:val="1"/>
          <w:bCs w:val="1"/>
          <w:color w:val="auto"/>
        </w:rPr>
      </w:pPr>
    </w:p>
    <w:p>
      <w:pPr>
        <w:ind w:left="512" w:right="9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fair value of the debt issued under the Credit Facility was $83.1 million and $114.9 million at June 30, 2018 and December 31, 2017, respectively. The fair value of the note payable was $5.3 million at June 30, 2018 and December 31, 2017, respectively.</w:t>
      </w:r>
    </w:p>
    <w:p>
      <w:pPr>
        <w:spacing w:after="0" w:line="146" w:lineRule="exact"/>
        <w:rPr>
          <w:rFonts w:ascii="Arial" w:cs="Arial" w:eastAsia="Arial" w:hAnsi="Arial"/>
          <w:sz w:val="18"/>
          <w:szCs w:val="18"/>
          <w:b w:val="1"/>
          <w:bCs w:val="1"/>
          <w:color w:val="auto"/>
        </w:rPr>
      </w:pPr>
    </w:p>
    <w:p>
      <w:pPr>
        <w:ind w:left="51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terms of the Credit Facility, the Company entered into an interest rate swap on December 30, 2015 to hedge against interest rate exposure related to a portion of the outstanding debt indexed to LIBOR market rates. See Note 8 for further information regarding the interest rate swap.</w:t>
      </w:r>
    </w:p>
    <w:p>
      <w:pPr>
        <w:spacing w:after="0" w:line="181" w:lineRule="exact"/>
        <w:rPr>
          <w:rFonts w:ascii="Arial" w:cs="Arial" w:eastAsia="Arial" w:hAnsi="Arial"/>
          <w:sz w:val="18"/>
          <w:szCs w:val="18"/>
          <w:b w:val="1"/>
          <w:bCs w:val="1"/>
          <w:color w:val="auto"/>
        </w:rPr>
      </w:pPr>
    </w:p>
    <w:p>
      <w:pPr>
        <w:jc w:val="both"/>
        <w:ind w:left="512" w:righ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June 30, 2018 and December 31, 2017, the Company had cash and cash equivalents of $35.6 million and $29.9 million, respectively, of which $22.6 million and $19.7 million, respectively, was held outside of the United States, principally in the Netherlands, United Kingdom, China, and Canada.</w:t>
      </w:r>
    </w:p>
    <w:p>
      <w:pPr>
        <w:spacing w:after="0" w:line="181" w:lineRule="exact"/>
        <w:rPr>
          <w:rFonts w:ascii="Arial" w:cs="Arial" w:eastAsia="Arial" w:hAnsi="Arial"/>
          <w:sz w:val="18"/>
          <w:szCs w:val="18"/>
          <w:b w:val="1"/>
          <w:bCs w:val="1"/>
          <w:color w:val="auto"/>
        </w:rPr>
      </w:pPr>
    </w:p>
    <w:p>
      <w:pPr>
        <w:ind w:left="512"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Restricted cash is held by the Company to support letters of credit issued in foreign jurisdictions to support Company operations. The Company occasionally enters into letters of credit with durations in excess of one year.</w:t>
      </w:r>
    </w:p>
    <w:p>
      <w:pPr>
        <w:spacing w:after="0" w:line="328" w:lineRule="exact"/>
        <w:rPr>
          <w:rFonts w:ascii="Arial" w:cs="Arial" w:eastAsia="Arial" w:hAnsi="Arial"/>
          <w:sz w:val="18"/>
          <w:szCs w:val="18"/>
          <w:b w:val="1"/>
          <w:bCs w:val="1"/>
          <w:color w:val="auto"/>
        </w:rPr>
      </w:pPr>
    </w:p>
    <w:p>
      <w:pPr>
        <w:ind w:left="512" w:right="7080" w:hanging="512"/>
        <w:spacing w:after="0" w:line="378" w:lineRule="auto"/>
        <w:tabs>
          <w:tab w:leader="none" w:pos="50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ind w:left="512"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June 30, 2018 for cases involving asbestos-related claims were $2.9 million, of which, together with all legal fees other than corporate counsel expenses, $2.8 million has been paid by the Company’s insurers. The average cost per settled claim, excluding legal fees, was approximately $37,000.</w:t>
      </w:r>
    </w:p>
    <w:p>
      <w:pPr>
        <w:spacing w:after="0" w:line="182" w:lineRule="exact"/>
        <w:rPr>
          <w:rFonts w:ascii="Arial" w:cs="Arial" w:eastAsia="Arial" w:hAnsi="Arial"/>
          <w:sz w:val="18"/>
          <w:szCs w:val="18"/>
          <w:b w:val="1"/>
          <w:bCs w:val="1"/>
          <w:color w:val="auto"/>
        </w:rPr>
      </w:pPr>
    </w:p>
    <w:p>
      <w:pPr>
        <w:ind w:left="512" w:right="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Based upon the most recent information available to the Company regarding such claims, there were a total of 203 cases pending against the Company as of June 30, 2018 (with Illinois, New York, Pennsylvania and West Virginia having the largest number of cases), as compared with 218 cases that were pending as of December 31, 2017. During the six months ended June 30, 2018, 53 new cases were filed against the Company, and the Company was dismissed from 29 cases and settled 39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8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Summary</w:t>
      </w:r>
    </w:p>
    <w:p>
      <w:pPr>
        <w:spacing w:after="0" w:line="225" w:lineRule="exact"/>
        <w:rPr>
          <w:rFonts w:ascii="Arial" w:cs="Arial" w:eastAsia="Arial" w:hAnsi="Arial"/>
          <w:sz w:val="18"/>
          <w:szCs w:val="18"/>
          <w:b w:val="1"/>
          <w:bCs w:val="1"/>
          <w:color w:val="auto"/>
        </w:rPr>
      </w:pPr>
    </w:p>
    <w:p>
      <w:pPr>
        <w:ind w:left="51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also a party to routine contract and employment-related litigation matters and routine audits of state and local tax returns arising in the ordinary course of its business.</w:t>
      </w:r>
    </w:p>
    <w:p>
      <w:pPr>
        <w:spacing w:after="0" w:line="170" w:lineRule="exact"/>
        <w:rPr>
          <w:rFonts w:ascii="Arial" w:cs="Arial" w:eastAsia="Arial" w:hAnsi="Arial"/>
          <w:sz w:val="18"/>
          <w:szCs w:val="18"/>
          <w:b w:val="1"/>
          <w:bCs w:val="1"/>
          <w:color w:val="auto"/>
        </w:rPr>
      </w:pPr>
    </w:p>
    <w:p>
      <w:pPr>
        <w:ind w:left="512"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24" w:right="239" w:bottom="1440" w:gutter="0" w:footer="0" w:header="0"/>
        </w:sectPr>
      </w:pPr>
    </w:p>
    <w:bookmarkStart w:id="16" w:name="page17"/>
    <w:bookmarkEnd w:id="16"/>
    <w:p>
      <w:pPr>
        <w:ind w:left="512"/>
        <w:spacing w:after="0"/>
        <w:rPr>
          <w:sz w:val="20"/>
          <w:szCs w:val="20"/>
          <w:color w:val="auto"/>
        </w:rPr>
      </w:pPr>
      <w:r>
        <w:rPr>
          <w:rFonts w:ascii="Arial" w:cs="Arial" w:eastAsia="Arial" w:hAnsi="Arial"/>
          <w:sz w:val="18"/>
          <w:szCs w:val="18"/>
          <w:color w:val="auto"/>
        </w:rPr>
        <w:t>and the amount of the loss, or range of loss, can be reasonably estimated. The Company expenses legal costs as they are incurred.</w:t>
      </w:r>
    </w:p>
    <w:p>
      <w:pPr>
        <w:spacing w:after="0" w:line="225" w:lineRule="exact"/>
        <w:rPr>
          <w:sz w:val="20"/>
          <w:szCs w:val="20"/>
          <w:color w:val="auto"/>
        </w:rPr>
      </w:pPr>
    </w:p>
    <w:p>
      <w:pPr>
        <w:ind w:left="512" w:right="620"/>
        <w:spacing w:after="0" w:line="277" w:lineRule="auto"/>
        <w:rPr>
          <w:sz w:val="20"/>
          <w:szCs w:val="20"/>
          <w:color w:val="auto"/>
        </w:rPr>
      </w:pPr>
      <w:r>
        <w:rPr>
          <w:rFonts w:ascii="Arial" w:cs="Arial" w:eastAsia="Arial" w:hAnsi="Arial"/>
          <w:sz w:val="18"/>
          <w:szCs w:val="18"/>
          <w:color w:val="auto"/>
        </w:rPr>
        <w:t>We are not aware of pending claims or assessments, other than as described above, which may have a material adverse impact on our liquidity, financial position, results of operations, or cash flows.</w:t>
      </w:r>
    </w:p>
    <w:p>
      <w:pPr>
        <w:spacing w:after="0" w:line="356" w:lineRule="exact"/>
        <w:rPr>
          <w:sz w:val="20"/>
          <w:szCs w:val="20"/>
          <w:color w:val="auto"/>
        </w:rPr>
      </w:pPr>
    </w:p>
    <w:p>
      <w:pPr>
        <w:ind w:left="512" w:hanging="512"/>
        <w:spacing w:after="0"/>
        <w:tabs>
          <w:tab w:leader="none" w:pos="5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rFonts w:ascii="Arial" w:cs="Arial" w:eastAsia="Arial" w:hAnsi="Arial"/>
          <w:sz w:val="18"/>
          <w:szCs w:val="18"/>
          <w:b w:val="1"/>
          <w:bCs w:val="1"/>
          <w:color w:val="auto"/>
        </w:rPr>
      </w:pPr>
    </w:p>
    <w:p>
      <w:pPr>
        <w:ind w:left="512"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organized and reviewed by management along its product lines or end market that the segment serves and presented in three reportable segments. During the first quarter of 2018, the Company finalized an overall assessment and recalibration of its strategy. As a part of this assessment and recalibration of this strategy, management determined that a realignment of the Company’s segments was necessary to better reflect the technologies and solutions we provide, and the end markets we serve. As a result of this realignment, the reportable segments of the Company have been renamed utilizing the nomenclature below. Furthermore, we reclassified the operating results of certain business units within the Energy Solutions and Industrial Solutions Segments to have their reportable segment more closely align with our strategy.</w:t>
      </w:r>
    </w:p>
    <w:p>
      <w:pPr>
        <w:spacing w:after="0" w:line="272"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Energy Solutions Segment</w:t>
      </w:r>
    </w:p>
    <w:p>
      <w:pPr>
        <w:spacing w:after="0" w:line="117" w:lineRule="exact"/>
        <w:rPr>
          <w:rFonts w:ascii="Arial" w:cs="Arial" w:eastAsia="Arial" w:hAnsi="Arial"/>
          <w:sz w:val="18"/>
          <w:szCs w:val="18"/>
          <w:b w:val="1"/>
          <w:bCs w:val="1"/>
          <w:color w:val="auto"/>
        </w:rPr>
      </w:pPr>
    </w:p>
    <w:p>
      <w:pPr>
        <w:ind w:left="512"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Our Energy Solutions segment, formerly known as the Energy segment, improves air quality and solves fluid handling needs with market leading, highly engineered and customized solutions for the power generation, oil &amp; gas, and petrochemical industries. Our offerings in this space include solutions such as natural gas turbine exhaust systems, selective catalytic reduction (“SCR”) and selective non-catalytic reduction (“SNCR”) systems, acoustical components and silencers, silencer and precipitator applications, the design and manufacture of technologies for flue gas dampers, diverters, expansion joints, gas and liquid separation and filtration equipment, secondary separators (nuclear plant reactor vessels), and fluid catalytic cracking (“FCC”) unit cyclones for processing in power generation, refining, oil production and petrochemical plants, as well as a variety of other industries.</w:t>
      </w:r>
    </w:p>
    <w:p>
      <w:pPr>
        <w:spacing w:after="0" w:line="272"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Industrial Solutions Segment</w:t>
      </w:r>
    </w:p>
    <w:p>
      <w:pPr>
        <w:spacing w:after="0" w:line="117" w:lineRule="exact"/>
        <w:rPr>
          <w:rFonts w:ascii="Arial" w:cs="Arial" w:eastAsia="Arial" w:hAnsi="Arial"/>
          <w:sz w:val="18"/>
          <w:szCs w:val="18"/>
          <w:b w:val="1"/>
          <w:bCs w:val="1"/>
          <w:color w:val="auto"/>
        </w:rPr>
      </w:pPr>
    </w:p>
    <w:p>
      <w:pPr>
        <w:ind w:left="51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Our Industrial Solutions segment, formerly known as the Environmental segment, improves air quality with a compelling solution set of air pollution control technologies that enable our customers to reduce their carbon footprint, lower energy consumption, minimize waste and meet compliance targets for toxic emissions, fumes, volatile organic compounds, process and industrial odors. With a powerful suite of products and solutions to address air quality needs in the industrial markets, our offerings include chemical and biological scrubbers, fabric filters and cartridge collectors, thermal and catalytic oxidation systems, cyclones, separators, gas absorbers and industrial ventilation systems. This segment also provides component parts for industrial air systems and provides cost effective alternatives to traditional duct components, as well as custom metal engineered fabrication services. These products and services are applicable to a wide variety of industries.</w:t>
      </w:r>
    </w:p>
    <w:p>
      <w:pPr>
        <w:spacing w:after="0" w:line="28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Fluid Handling Solutions Segment</w:t>
      </w:r>
    </w:p>
    <w:p>
      <w:pPr>
        <w:spacing w:after="0" w:line="117" w:lineRule="exact"/>
        <w:rPr>
          <w:rFonts w:ascii="Arial" w:cs="Arial" w:eastAsia="Arial" w:hAnsi="Arial"/>
          <w:sz w:val="18"/>
          <w:szCs w:val="18"/>
          <w:b w:val="1"/>
          <w:bCs w:val="1"/>
          <w:color w:val="auto"/>
        </w:rPr>
      </w:pPr>
    </w:p>
    <w:p>
      <w:pPr>
        <w:ind w:left="512"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Our Fluid Handling Solutions segment, formerly known as the Fluid Handling and Filtration segment, provides solutions for mission-critical applications to a wide variety of industries including, but not limited to, chemical, petrochemical, pharmaceutical, wastewater treatment, desalination, aquarium and aquaculture, plating and metal finishing, and food and beverage. To meet the needs of these markets, we design and manufacture high quality pumps and specialty filtration solutions including centrifugal pumps for corrosive, abrasive and high-temperature liquids, filter products for air and liquid filtration, precious metal recovery systems, carbonate precipitators, and technologically advanced air movement and exhaust systems.</w:t>
      </w:r>
    </w:p>
    <w:p>
      <w:pPr>
        <w:spacing w:after="0" w:line="158" w:lineRule="exact"/>
        <w:rPr>
          <w:rFonts w:ascii="Arial" w:cs="Arial" w:eastAsia="Arial" w:hAnsi="Arial"/>
          <w:sz w:val="18"/>
          <w:szCs w:val="18"/>
          <w:b w:val="1"/>
          <w:bCs w:val="1"/>
          <w:color w:val="auto"/>
        </w:rPr>
      </w:pPr>
    </w:p>
    <w:p>
      <w:pPr>
        <w:ind w:left="512"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Interest income and expense are not included in the measure of segment profit reviewed by management. Income taxes are also not included in the measure of segment operating profit reviewed by management. The operating results of the segments are reviewed through to the “Income from operations” line on the Condensed Consolidated Statements of Operations.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The financial segment information is presented in the following tables: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840" w:type="dxa"/>
            <w:vAlign w:val="bottom"/>
            <w:gridSpan w:val="2"/>
            <w:vMerge w:val="restart"/>
          </w:tcPr>
          <w:p>
            <w:pPr>
              <w:ind w:left="220"/>
              <w:spacing w:after="0"/>
              <w:rPr>
                <w:sz w:val="20"/>
                <w:szCs w:val="20"/>
                <w:color w:val="auto"/>
              </w:rPr>
            </w:pPr>
            <w:r>
              <w:rPr>
                <w:rFonts w:ascii="Arial" w:cs="Arial" w:eastAsia="Arial" w:hAnsi="Arial"/>
                <w:sz w:val="14"/>
                <w:szCs w:val="14"/>
                <w:color w:val="auto"/>
              </w:rPr>
              <w:t>(dollars in thousands)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51,136</w:t>
            </w:r>
          </w:p>
        </w:tc>
        <w:tc>
          <w:tcPr>
            <w:tcW w:w="1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52,499</w:t>
            </w:r>
          </w:p>
        </w:tc>
        <w:tc>
          <w:tcPr>
            <w:tcW w:w="12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91,109</w:t>
            </w:r>
          </w:p>
        </w:tc>
        <w:tc>
          <w:tcPr>
            <w:tcW w:w="1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03"/>
              <w:spacing w:after="0"/>
              <w:rPr>
                <w:sz w:val="20"/>
                <w:szCs w:val="20"/>
                <w:color w:val="auto"/>
              </w:rPr>
            </w:pPr>
            <w:r>
              <w:rPr>
                <w:rFonts w:ascii="Arial" w:cs="Arial" w:eastAsia="Arial" w:hAnsi="Arial"/>
                <w:sz w:val="15"/>
                <w:szCs w:val="15"/>
                <w:color w:val="auto"/>
                <w:w w:val="87"/>
              </w:rPr>
              <w:t>(1)</w:t>
            </w:r>
          </w:p>
        </w:tc>
        <w:tc>
          <w:tcPr>
            <w:tcW w:w="484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adjustment for revenue on intercompany jobs.</w:t>
            </w: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vMerge w:val="continue"/>
          </w:tcPr>
          <w:p>
            <w:pPr>
              <w:spacing w:after="0"/>
              <w:rPr>
                <w:sz w:val="20"/>
                <w:szCs w:val="20"/>
                <w:color w:val="auto"/>
              </w:rPr>
            </w:pPr>
          </w:p>
        </w:tc>
        <w:tc>
          <w:tcPr>
            <w:tcW w:w="484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4840" w:type="dxa"/>
            <w:vAlign w:val="bottom"/>
            <w:gridSpan w:val="2"/>
            <w:vMerge w:val="restart"/>
          </w:tcPr>
          <w:p>
            <w:pPr>
              <w:ind w:left="220"/>
              <w:spacing w:after="0"/>
              <w:rPr>
                <w:sz w:val="20"/>
                <w:szCs w:val="20"/>
                <w:color w:val="auto"/>
              </w:rPr>
            </w:pPr>
            <w:r>
              <w:rPr>
                <w:rFonts w:ascii="Arial" w:cs="Arial" w:eastAsia="Arial" w:hAnsi="Arial"/>
                <w:sz w:val="14"/>
                <w:szCs w:val="14"/>
                <w:color w:val="auto"/>
              </w:rPr>
              <w:t>(dollars in thousands)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5,901</w:t>
            </w:r>
          </w:p>
        </w:tc>
        <w:tc>
          <w:tcPr>
            <w:tcW w:w="1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9,525</w:t>
            </w:r>
          </w:p>
        </w:tc>
        <w:tc>
          <w:tcPr>
            <w:tcW w:w="1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(6,539)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(6,935)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Eliminations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operations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86"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7"/>
          <w:szCs w:val="17"/>
          <w:color w:val="auto"/>
        </w:rPr>
        <w:t>Includes gain on divestitures, net of selling costs, corporate compensation, professional services, information technology, executive transition expenses, acquisition and integration expenses, and other general and administrative corporate expenses. This figure excludes earnout expenses, which are recorded in the segment in which the expense occurs. See Note 7 for the earnout expenses by segment.</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159"/>
              <w:spacing w:after="0"/>
              <w:rPr>
                <w:sz w:val="20"/>
                <w:szCs w:val="20"/>
                <w:color w:val="auto"/>
              </w:rPr>
            </w:pPr>
            <w:r>
              <w:rPr>
                <w:rFonts w:ascii="Arial" w:cs="Arial" w:eastAsia="Arial" w:hAnsi="Arial"/>
                <w:sz w:val="14"/>
                <w:szCs w:val="14"/>
                <w:b w:val="1"/>
                <w:bCs w:val="1"/>
                <w:color w:val="auto"/>
                <w:w w:val="95"/>
              </w:rPr>
              <w:t>Three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10"/>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vMerge w:val="continue"/>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4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Property and equipment additions</w:t>
            </w:r>
          </w:p>
        </w:tc>
        <w:tc>
          <w:tcPr>
            <w:tcW w:w="1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5"/>
          </w:tcPr>
          <w:p>
            <w:pPr>
              <w:jc w:val="right"/>
              <w:ind w:right="159"/>
              <w:spacing w:after="0"/>
              <w:rPr>
                <w:sz w:val="20"/>
                <w:szCs w:val="20"/>
                <w:color w:val="auto"/>
              </w:rPr>
            </w:pPr>
            <w:r>
              <w:rPr>
                <w:rFonts w:ascii="Arial" w:cs="Arial" w:eastAsia="Arial" w:hAnsi="Arial"/>
                <w:sz w:val="14"/>
                <w:szCs w:val="14"/>
                <w:b w:val="1"/>
                <w:bCs w:val="1"/>
                <w:color w:val="auto"/>
                <w:w w:val="95"/>
              </w:rPr>
              <w:t>Three Months Ended June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0"/>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vMerge w:val="continue"/>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2,190</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4,348</w:t>
            </w:r>
          </w:p>
        </w:tc>
        <w:tc>
          <w:tcPr>
            <w:tcW w:w="44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4,030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6,956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7"/>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1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278,901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56,352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75,703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(3)</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12,691</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500"/>
              <w:spacing w:after="0"/>
              <w:rPr>
                <w:sz w:val="20"/>
                <w:szCs w:val="20"/>
                <w:color w:val="auto"/>
              </w:rPr>
            </w:pPr>
            <w:r>
              <w:rPr>
                <w:rFonts w:ascii="Arial" w:cs="Arial" w:eastAsia="Arial" w:hAnsi="Arial"/>
                <w:sz w:val="18"/>
                <w:szCs w:val="18"/>
                <w:color w:val="auto"/>
              </w:rPr>
              <w:t>Identifiable assets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421,401</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438,549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0</wp:posOffset>
            </wp:positionV>
            <wp:extent cx="17837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 w:lineRule="exact"/>
        <w:rPr>
          <w:sz w:val="20"/>
          <w:szCs w:val="20"/>
          <w:color w:val="auto"/>
        </w:rPr>
      </w:pPr>
    </w:p>
    <w:p>
      <w:pPr>
        <w:ind w:left="880" w:hanging="827"/>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8"/>
          <w:szCs w:val="18"/>
          <w:color w:val="auto"/>
        </w:rPr>
        <w:t>Corporate assets primarily consist of cash and income tax related assets.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7"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-678815</wp:posOffset>
            </wp:positionV>
            <wp:extent cx="17837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sectPr>
      </w:pPr>
    </w:p>
    <w:bookmarkStart w:id="18" w:name="page19"/>
    <w:bookmarkEnd w:id="18"/>
    <w:tbl>
      <w:tblPr>
        <w:tblLayout w:type="fixed"/>
        <w:tblInd w:w="572" w:type="dxa"/>
        <w:tblCellMar>
          <w:top w:w="0" w:type="dxa"/>
          <w:left w:w="0" w:type="dxa"/>
          <w:bottom w:w="0" w:type="dxa"/>
          <w:right w:w="0" w:type="dxa"/>
        </w:tblCellMar>
      </w:tblPr>
      <w:tr>
        <w:trPr>
          <w:trHeight w:val="171"/>
        </w:trPr>
        <w:tc>
          <w:tcPr>
            <w:tcW w:w="4880" w:type="dxa"/>
            <w:vAlign w:val="bottom"/>
          </w:tcPr>
          <w:p>
            <w:pPr>
              <w:spacing w:after="0"/>
              <w:rPr>
                <w:sz w:val="20"/>
                <w:szCs w:val="20"/>
                <w:color w:val="auto"/>
              </w:rPr>
            </w:pPr>
            <w:r>
              <w:rPr>
                <w:rFonts w:ascii="Arial" w:cs="Arial" w:eastAsia="Arial" w:hAnsi="Arial"/>
                <w:sz w:val="14"/>
                <w:szCs w:val="14"/>
                <w:color w:val="auto"/>
              </w:rPr>
              <w:t>(dollars in thousands)</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2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98,145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98,408</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22,419</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Fluid Handling Solutions Segment</w:t>
            </w:r>
          </w:p>
        </w:tc>
        <w:tc>
          <w:tcPr>
            <w:tcW w:w="2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46,124</w:t>
            </w:r>
          </w:p>
        </w:tc>
        <w:tc>
          <w:tcPr>
            <w:tcW w:w="10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2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152,371</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12"/>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21" w:lineRule="exact"/>
        <w:rPr>
          <w:sz w:val="20"/>
          <w:szCs w:val="20"/>
          <w:color w:val="auto"/>
        </w:rPr>
      </w:pPr>
    </w:p>
    <w:p>
      <w:pPr>
        <w:ind w:left="512"/>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27"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8"/>
          </w:tcPr>
          <w:p>
            <w:pPr>
              <w:jc w:val="right"/>
              <w:ind w:right="320"/>
              <w:spacing w:after="0"/>
              <w:rPr>
                <w:sz w:val="20"/>
                <w:szCs w:val="20"/>
                <w:color w:val="auto"/>
              </w:rPr>
            </w:pPr>
            <w:r>
              <w:rPr>
                <w:rFonts w:ascii="Arial" w:cs="Arial" w:eastAsia="Arial" w:hAnsi="Arial"/>
                <w:sz w:val="14"/>
                <w:szCs w:val="14"/>
                <w:b w:val="1"/>
                <w:bCs w:val="1"/>
                <w:color w:val="auto"/>
                <w:w w:val="94"/>
              </w:rPr>
              <w:t>Three Months Ended June 30, 2018</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Intra-</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13"/>
          </w:tcPr>
          <w:p>
            <w:pPr>
              <w:jc w:val="right"/>
              <w:ind w:right="220"/>
              <w:spacing w:after="0" w:line="155" w:lineRule="exact"/>
              <w:rPr>
                <w:sz w:val="20"/>
                <w:szCs w:val="20"/>
                <w:color w:val="auto"/>
              </w:rPr>
            </w:pPr>
            <w:r>
              <w:rPr>
                <w:rFonts w:ascii="Arial" w:cs="Arial" w:eastAsia="Arial" w:hAnsi="Arial"/>
                <w:sz w:val="14"/>
                <w:szCs w:val="14"/>
                <w:b w:val="1"/>
                <w:bCs w:val="1"/>
                <w:color w:val="auto"/>
                <w:w w:val="92"/>
              </w:rPr>
              <w:t>Less Inter-Segment Sales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8"/>
            <w:vMerge w:val="restart"/>
          </w:tcPr>
          <w:p>
            <w:pPr>
              <w:jc w:val="center"/>
              <w:ind w:right="14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97"/>
              </w:rPr>
              <w:t>Corp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Industrial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Fluid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1"/>
              </w:rPr>
              <w:t>Sales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900" w:type="dxa"/>
            <w:vAlign w:val="bottom"/>
            <w:gridSpan w:val="8"/>
          </w:tcPr>
          <w:p>
            <w:pPr>
              <w:ind w:left="40"/>
              <w:spacing w:after="0"/>
              <w:rPr>
                <w:sz w:val="20"/>
                <w:szCs w:val="20"/>
                <w:color w:val="auto"/>
              </w:rPr>
            </w:pPr>
            <w:r>
              <w:rPr>
                <w:rFonts w:ascii="Arial" w:cs="Arial" w:eastAsia="Arial" w:hAnsi="Arial"/>
                <w:sz w:val="14"/>
                <w:szCs w:val="14"/>
                <w:b w:val="1"/>
                <w:bCs w:val="1"/>
                <w:color w:val="auto"/>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53,322</w:t>
            </w:r>
          </w:p>
        </w:tc>
        <w:tc>
          <w:tcPr>
            <w:tcW w:w="3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3"/>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ind w:right="25"/>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gridSpan w:val="4"/>
          </w:tcPr>
          <w:p>
            <w:pPr>
              <w:jc w:val="right"/>
              <w:ind w:right="25"/>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5"/>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51,136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19,670</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18,324</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12,409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85,401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(3,037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3"/>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4"/>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8"/>
          </w:tcPr>
          <w:p>
            <w:pPr>
              <w:jc w:val="right"/>
              <w:ind w:right="320"/>
              <w:spacing w:after="0"/>
              <w:rPr>
                <w:sz w:val="20"/>
                <w:szCs w:val="20"/>
                <w:color w:val="auto"/>
              </w:rPr>
            </w:pPr>
            <w:r>
              <w:rPr>
                <w:rFonts w:ascii="Arial" w:cs="Arial" w:eastAsia="Arial" w:hAnsi="Arial"/>
                <w:sz w:val="14"/>
                <w:szCs w:val="14"/>
                <w:b w:val="1"/>
                <w:bCs w:val="1"/>
                <w:color w:val="auto"/>
                <w:w w:val="94"/>
              </w:rPr>
              <w:t>Three Months Ended June 30, 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Intra-</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11"/>
          </w:tcPr>
          <w:p>
            <w:pPr>
              <w:jc w:val="right"/>
              <w:ind w:right="160"/>
              <w:spacing w:after="0" w:line="155" w:lineRule="exact"/>
              <w:rPr>
                <w:sz w:val="20"/>
                <w:szCs w:val="20"/>
                <w:color w:val="auto"/>
              </w:rPr>
            </w:pPr>
            <w:r>
              <w:rPr>
                <w:rFonts w:ascii="Arial" w:cs="Arial" w:eastAsia="Arial" w:hAnsi="Arial"/>
                <w:sz w:val="14"/>
                <w:szCs w:val="14"/>
                <w:b w:val="1"/>
                <w:bCs w:val="1"/>
                <w:color w:val="auto"/>
                <w:w w:val="90"/>
              </w:rPr>
              <w:t>Less Inter-Segment Sales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9"/>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7"/>
              </w:rPr>
              <w:t>Corp</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4"/>
              </w:rPr>
              <w:t>Segment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rPr>
              <w:t>Industrial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2"/>
              </w:rPr>
              <w:t>Energy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Fluid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55,338</w:t>
            </w:r>
          </w:p>
        </w:tc>
        <w:tc>
          <w:tcPr>
            <w:tcW w:w="3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(2,839)</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4"/>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gridSpan w:val="5"/>
          </w:tcPr>
          <w:p>
            <w:pPr>
              <w:ind w:left="180"/>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52,499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23,635</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22,796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19,160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18,348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98,133</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(4,178</w:t>
            </w:r>
          </w:p>
        </w:tc>
        <w:tc>
          <w:tcPr>
            <w:tcW w:w="1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(258</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gridSpan w:val="2"/>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93,870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8"/>
          </w:tcPr>
          <w:p>
            <w:pPr>
              <w:jc w:val="center"/>
              <w:ind w:right="380"/>
              <w:spacing w:after="0"/>
              <w:rPr>
                <w:sz w:val="20"/>
                <w:szCs w:val="20"/>
                <w:color w:val="auto"/>
              </w:rPr>
            </w:pPr>
            <w:r>
              <w:rPr>
                <w:rFonts w:ascii="Arial" w:cs="Arial" w:eastAsia="Arial" w:hAnsi="Arial"/>
                <w:sz w:val="14"/>
                <w:szCs w:val="14"/>
                <w:b w:val="1"/>
                <w:bCs w:val="1"/>
                <w:color w:val="auto"/>
                <w:w w:val="92"/>
              </w:rPr>
              <w:t>Six Months Ended June 30,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rPr>
              <w:t>Intra-</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13"/>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Less Inter-Segment Sales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7"/>
              </w:rPr>
              <w:t>Corp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Segment</w:t>
            </w:r>
          </w:p>
        </w:tc>
        <w:tc>
          <w:tcPr>
            <w:tcW w:w="100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Environmental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6"/>
              </w:rPr>
              <w:t>Energy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FHF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Sales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Sales</w:t>
            </w:r>
          </w:p>
        </w:tc>
        <w:tc>
          <w:tcPr>
            <w:tcW w:w="1000" w:type="dxa"/>
            <w:vAlign w:val="bottom"/>
            <w:gridSpan w:val="9"/>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Engineered Equipment Segment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96,450</w:t>
            </w: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(4,398)</w:t>
            </w:r>
          </w:p>
        </w:tc>
        <w:tc>
          <w:tcPr>
            <w:tcW w:w="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5"/>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91,109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Air Quality Segment</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38,398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(1,604)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5"/>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36,121</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29,175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5"/>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5"/>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$ 164,023</w:t>
            </w:r>
          </w:p>
        </w:tc>
        <w:tc>
          <w:tcPr>
            <w:tcW w:w="1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(6,811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(673</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$ 155,229</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8"/>
          </w:tcPr>
          <w:p>
            <w:pPr>
              <w:jc w:val="center"/>
              <w:ind w:right="380"/>
              <w:spacing w:after="0"/>
              <w:rPr>
                <w:sz w:val="20"/>
                <w:szCs w:val="20"/>
                <w:color w:val="auto"/>
              </w:rPr>
            </w:pPr>
            <w:r>
              <w:rPr>
                <w:rFonts w:ascii="Arial" w:cs="Arial" w:eastAsia="Arial" w:hAnsi="Arial"/>
                <w:sz w:val="14"/>
                <w:szCs w:val="14"/>
                <w:b w:val="1"/>
                <w:bCs w:val="1"/>
                <w:color w:val="auto"/>
                <w:w w:val="92"/>
              </w:rPr>
              <w:t>Six Months Ended June 30, 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rPr>
              <w:t>Intra-</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13"/>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Less Inter-Segment Sales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7"/>
              </w:rPr>
              <w:t>Corp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Segment</w:t>
            </w:r>
          </w:p>
        </w:tc>
        <w:tc>
          <w:tcPr>
            <w:tcW w:w="100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Environmental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6"/>
              </w:rPr>
              <w:t>Energy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FHF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Sales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Sales</w:t>
            </w:r>
          </w:p>
        </w:tc>
        <w:tc>
          <w:tcPr>
            <w:tcW w:w="1000" w:type="dxa"/>
            <w:vAlign w:val="bottom"/>
            <w:gridSpan w:val="9"/>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Engineered Equipment Segment</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$ 111,377</w:t>
            </w: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(5,147)</w:t>
            </w:r>
          </w:p>
        </w:tc>
        <w:tc>
          <w:tcPr>
            <w:tcW w:w="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$ 106,208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Air Quality Segment</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48,557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(1,690)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5"/>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46,099</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35,852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(1,157)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5"/>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34,164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w w:val="89"/>
              </w:rPr>
              <w:t>50</w:t>
            </w:r>
          </w:p>
        </w:tc>
        <w:tc>
          <w:tcPr>
            <w:tcW w:w="20" w:type="dxa"/>
            <w:vAlign w:val="bottom"/>
            <w:shd w:val="clear" w:color="auto" w:fill="CFF0FC"/>
          </w:tcPr>
          <w:p>
            <w:pPr>
              <w:spacing w:after="0"/>
              <w:rPr>
                <w:sz w:val="19"/>
                <w:szCs w:val="19"/>
                <w:color w:val="auto"/>
              </w:rPr>
            </w:pPr>
          </w:p>
        </w:tc>
        <w:tc>
          <w:tcPr>
            <w:tcW w:w="260" w:type="dxa"/>
            <w:vAlign w:val="bottom"/>
            <w:gridSpan w:val="5"/>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520" w:type="dxa"/>
            <w:vAlign w:val="bottom"/>
          </w:tcPr>
          <w:p>
            <w:pPr>
              <w:spacing w:after="0"/>
              <w:rPr>
                <w:sz w:val="19"/>
                <w:szCs w:val="19"/>
                <w:color w:val="auto"/>
              </w:rPr>
            </w:pPr>
          </w:p>
        </w:tc>
        <w:tc>
          <w:tcPr>
            <w:tcW w:w="7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7"/>
              </w:rPr>
              <w:t>$ 195,786</w:t>
            </w:r>
          </w:p>
        </w:tc>
        <w:tc>
          <w:tcPr>
            <w:tcW w:w="1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(7,994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(838</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w w:val="89"/>
              </w:rPr>
              <w:t>50</w:t>
            </w:r>
          </w:p>
        </w:tc>
        <w:tc>
          <w:tcPr>
            <w:tcW w:w="2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$ 186,521</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12" w:hanging="512"/>
        <w:spacing w:after="0"/>
        <w:tabs>
          <w:tab w:leader="none" w:pos="512" w:val="left"/>
        </w:tabs>
        <w:numPr>
          <w:ilvl w:val="0"/>
          <w:numId w:val="15"/>
        </w:numPr>
        <w:rPr>
          <w:rFonts w:ascii="Arial" w:cs="Arial" w:eastAsia="Arial" w:hAnsi="Arial"/>
          <w:sz w:val="15"/>
          <w:szCs w:val="15"/>
          <w:color w:val="auto"/>
        </w:rPr>
      </w:pPr>
      <w:r>
        <w:rPr>
          <w:rFonts w:ascii="Arial" w:cs="Arial" w:eastAsia="Arial" w:hAnsi="Arial"/>
          <w:sz w:val="18"/>
          <w:szCs w:val="18"/>
          <w:color w:val="auto"/>
        </w:rPr>
        <w:t>Includes adjustment for revenue on intercompany jobs.</w:t>
      </w:r>
    </w:p>
    <w:p>
      <w:pPr>
        <w:spacing w:after="0" w:line="225" w:lineRule="exact"/>
        <w:rPr>
          <w:sz w:val="20"/>
          <w:szCs w:val="20"/>
          <w:color w:val="auto"/>
        </w:rPr>
      </w:pPr>
    </w:p>
    <w:p>
      <w:pPr>
        <w:jc w:val="center"/>
        <w:ind w:right="-49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32"/>
          </w:cols>
          <w:pgMar w:left="248" w:top="130" w:right="719" w:bottom="1440" w:gutter="0" w:footer="0" w:header="0"/>
        </w:sectPr>
      </w:pPr>
    </w:p>
    <w:bookmarkStart w:id="19" w:name="page20"/>
    <w:bookmarkEnd w:id="19"/>
    <w:p>
      <w:pPr>
        <w:ind w:left="512" w:hanging="512"/>
        <w:spacing w:after="0"/>
        <w:tabs>
          <w:tab w:leader="none" w:pos="51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w:t>
      </w:r>
    </w:p>
    <w:p>
      <w:pPr>
        <w:spacing w:after="0" w:line="21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Strobic Air Corporation</w:t>
      </w:r>
    </w:p>
    <w:p>
      <w:pPr>
        <w:spacing w:after="0" w:line="23" w:lineRule="exact"/>
        <w:rPr>
          <w:rFonts w:ascii="Arial" w:cs="Arial" w:eastAsia="Arial" w:hAnsi="Arial"/>
          <w:sz w:val="18"/>
          <w:szCs w:val="18"/>
          <w:b w:val="1"/>
          <w:bCs w:val="1"/>
          <w:color w:val="auto"/>
        </w:rPr>
      </w:pPr>
    </w:p>
    <w:p>
      <w:pPr>
        <w:ind w:left="512" w:right="1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March 30, 2018, the Company completed the sale of Strobic Air Corporation (“Strobic”) as part of its strategic decision to exit brands that do not align with the CECO portfolio to increase focus on better serving the energy and industrial solutions and fluid handling markets. The sales price was $28.5 million, subject to post-closing purchase price adjustments. The disposition resulted in an estimated gain of $6.9 million recorded in the first quarter of 2018, comprised of $27.9 million of net proceeds received as consideration after estimated post-closing purchase price adjustments less net assets disposed of $18.8 million and transaction costs of $2.2 million. The net assets disposed are primarily comprised of $13.0 million of goodwill, $2.3 million of definite-lived intangible assets and $1.2 million of indefinite-lived intangible assets allocated to the Strobic business. In fiscal year 2017, Strobic reported $17.7 million in net sales and $1.6 million in income from operations. Strobic results are included within income before income taxes in the Condensed Consolidated Statement of Operations and are reported within the Fluid Handling Solutions segment. The sale of Strobic does not constitute a significant strategic shift that will have a material impact on the Company’s ongoing operations and financial results.</w:t>
      </w:r>
    </w:p>
    <w:p>
      <w:pPr>
        <w:spacing w:after="0" w:line="166"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Keystone Filter</w:t>
      </w:r>
    </w:p>
    <w:p>
      <w:pPr>
        <w:spacing w:after="0" w:line="23" w:lineRule="exact"/>
        <w:rPr>
          <w:rFonts w:ascii="Arial" w:cs="Arial" w:eastAsia="Arial" w:hAnsi="Arial"/>
          <w:sz w:val="18"/>
          <w:szCs w:val="18"/>
          <w:b w:val="1"/>
          <w:bCs w:val="1"/>
          <w:color w:val="auto"/>
        </w:rPr>
      </w:pPr>
    </w:p>
    <w:p>
      <w:pPr>
        <w:ind w:left="51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February 28, 2018, the Company completed the sale of the Keystone Filter brand (“Keystone”) as part of its strategic decision to exit brands that do not align with the CECO portfolio to increase focus on better serving energy and industrial solutions and fluid handling markets. The sales price was $7.5 million, subject to post-closing purchase price adjustments. The disposition resulted in an estimated gain of $4.3 million recorded in the first quarter of 2018, comprised of $7.2 million of net proceeds received as consideration after estimated post-closing purchase price adjustments less net assets disposed of $2.7 million and transaction costs of $0.2 million. As of June 30, 2018, there is consideration receivable from this divestiture of $1.9 million, which the Company expects to receive within fiscal year 2018. Keystone results are reported within the Fluid Handling Solutions segment.</w:t>
      </w:r>
    </w:p>
    <w:p>
      <w:pPr>
        <w:spacing w:after="0" w:line="160" w:lineRule="exact"/>
        <w:rPr>
          <w:rFonts w:ascii="Arial" w:cs="Arial" w:eastAsia="Arial" w:hAnsi="Arial"/>
          <w:sz w:val="18"/>
          <w:szCs w:val="18"/>
          <w:b w:val="1"/>
          <w:bCs w:val="1"/>
          <w:color w:val="auto"/>
        </w:rPr>
      </w:pPr>
    </w:p>
    <w:p>
      <w:pPr>
        <w:ind w:left="512" w:hanging="512"/>
        <w:spacing w:after="0"/>
        <w:tabs>
          <w:tab w:leader="none" w:pos="51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Policy Updates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512"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described in Note 2 – New Financial Accounting Pronouncements, effective January 1, 2018, we adopted ASU 2014-09, which changed the way we recognize revenue for certain contracts. Accounting policies that were significantly affected by the adoption of ASU 2014-09 are discussed below.</w:t>
      </w:r>
    </w:p>
    <w:p>
      <w:pPr>
        <w:spacing w:after="0" w:line="33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Energy Solutions and Industrial Solutions Segments</w:t>
      </w:r>
    </w:p>
    <w:p>
      <w:pPr>
        <w:spacing w:after="0" w:line="23" w:lineRule="exact"/>
        <w:rPr>
          <w:rFonts w:ascii="Arial" w:cs="Arial" w:eastAsia="Arial" w:hAnsi="Arial"/>
          <w:sz w:val="18"/>
          <w:szCs w:val="18"/>
          <w:b w:val="1"/>
          <w:bCs w:val="1"/>
          <w:color w:val="auto"/>
        </w:rPr>
      </w:pPr>
    </w:p>
    <w:p>
      <w:pPr>
        <w:ind w:left="512"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Within the Energy Solutions and Industrial Solutions segments, a significant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90" w:lineRule="exact"/>
        <w:rPr>
          <w:rFonts w:ascii="Arial" w:cs="Arial" w:eastAsia="Arial" w:hAnsi="Arial"/>
          <w:sz w:val="18"/>
          <w:szCs w:val="18"/>
          <w:b w:val="1"/>
          <w:bCs w:val="1"/>
          <w:color w:val="auto"/>
        </w:rPr>
      </w:pPr>
    </w:p>
    <w:p>
      <w:pPr>
        <w:ind w:left="51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each contract, we assess the goods and services promised to a customer and identify a performance obligation for each promised good or service that is distinct. The typical life of our contracts is generally less than 12 months and each contract generally contains only one performance obligation, to provide goods or services to the customer. We determine the transaction price for each contract based on the consideration we expect to receive for the products or services being provided under the contract.</w:t>
      </w:r>
    </w:p>
    <w:p>
      <w:pPr>
        <w:spacing w:after="0" w:line="186" w:lineRule="exact"/>
        <w:rPr>
          <w:rFonts w:ascii="Arial" w:cs="Arial" w:eastAsia="Arial" w:hAnsi="Arial"/>
          <w:sz w:val="18"/>
          <w:szCs w:val="18"/>
          <w:b w:val="1"/>
          <w:bCs w:val="1"/>
          <w:color w:val="auto"/>
        </w:rPr>
      </w:pPr>
    </w:p>
    <w:p>
      <w:pPr>
        <w:ind w:left="512"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78" w:lineRule="exact"/>
        <w:rPr>
          <w:rFonts w:ascii="Arial" w:cs="Arial" w:eastAsia="Arial" w:hAnsi="Arial"/>
          <w:sz w:val="18"/>
          <w:szCs w:val="18"/>
          <w:b w:val="1"/>
          <w:bCs w:val="1"/>
          <w:color w:val="auto"/>
        </w:rPr>
      </w:pPr>
    </w:p>
    <w:p>
      <w:pPr>
        <w:ind w:left="512"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w:t>
      </w:r>
    </w:p>
    <w:p>
      <w:pPr>
        <w:spacing w:after="0" w:line="147" w:lineRule="exact"/>
        <w:rPr>
          <w:sz w:val="20"/>
          <w:szCs w:val="20"/>
          <w:color w:val="auto"/>
        </w:rPr>
      </w:pPr>
    </w:p>
    <w:p>
      <w:pPr>
        <w:ind w:left="512"/>
        <w:spacing w:after="0" w:line="277" w:lineRule="auto"/>
        <w:rPr>
          <w:sz w:val="20"/>
          <w:szCs w:val="20"/>
          <w:color w:val="auto"/>
        </w:rPr>
      </w:pPr>
      <w:r>
        <w:rPr>
          <w:rFonts w:ascii="Arial" w:cs="Arial" w:eastAsia="Arial" w:hAnsi="Arial"/>
          <w:sz w:val="18"/>
          <w:szCs w:val="18"/>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Fluid Handling Solutions Segments</w:t>
      </w:r>
    </w:p>
    <w:p>
      <w:pPr>
        <w:spacing w:after="0" w:line="23" w:lineRule="exact"/>
        <w:rPr>
          <w:sz w:val="20"/>
          <w:szCs w:val="20"/>
          <w:color w:val="auto"/>
        </w:rPr>
      </w:pPr>
    </w:p>
    <w:p>
      <w:pPr>
        <w:ind w:right="700"/>
        <w:spacing w:after="0" w:line="290" w:lineRule="auto"/>
        <w:rPr>
          <w:sz w:val="20"/>
          <w:szCs w:val="20"/>
          <w:color w:val="auto"/>
        </w:rPr>
      </w:pPr>
      <w:r>
        <w:rPr>
          <w:rFonts w:ascii="Arial" w:cs="Arial" w:eastAsia="Arial" w:hAnsi="Arial"/>
          <w:sz w:val="17"/>
          <w:szCs w:val="17"/>
          <w:color w:val="auto"/>
        </w:rPr>
        <w:t>Within the Fluid Handling Solutions segment, a significant portion of our revenue is primarily derived from sales of inventory product and is recognized at the point in time control passes to the customer, which occurs generally upon shipment of the product.</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Payments vary by customer but are typically due within thirty days. Shipping and handling activities after control of the products has transferred to the customer are considered fulfillment activities. Sales taxes are recorded on a net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Point in Time Contract Assets and Contract Liabilities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Contract assets for contracts where revenue is recognized at a point in time are costs incurred on a contract for which revenue has not been recognized. Contract assets are recorded in inventories in the Condensed Consolidated Balance Sheet. Contract liabilities relate to advance payments received from customers for which revenue has not been recognized for contracts where revenue is recognized at a point in time. Contract liabilities are recorded in accounts payable and accrued expenses in the Condensed Consolidated Balance Sheet. Contract liabilities are reduced when the associated revenue from the contract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60" w:top="341" w:right="279" w:bottom="1440" w:gutter="0" w:footer="0" w:header="0"/>
        </w:sectPr>
      </w:pPr>
    </w:p>
    <w:bookmarkStart w:id="21" w:name="page22"/>
    <w:bookmarkEnd w:id="21"/>
    <w:p>
      <w:pPr>
        <w:jc w:val="center"/>
        <w:ind w:right="20"/>
        <w:spacing w:after="0" w:line="264"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Condensed Consolidated Statements of Operations for the three-month and six-month periods ended June 30, 2018 and 2017 reflect the consolidated operations of the Company and its subsidiaries.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Additionally, the Company has incurred additional charges related to its restructuring program that was initiated in the fourth quarter of 2017. While the Company cannot predict the exact timing or amounts of such charges, it does expect to treat the financial impact of these transactions as special items in its future presentation of non-GAAP results.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Condensed Consolidated Statements of Operations for the three-month and six-month periods ended June 30, 2018 and 2017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color w:val="auto"/>
              </w:rPr>
              <w:t>(dollars in millions)</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bottom w:val="single" w:sz="8" w:color="CFF0FC"/>
            </w:tcBorders>
            <w:vMerge w:val="continue"/>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 (income)</w:t>
            </w:r>
          </w:p>
        </w:tc>
        <w:tc>
          <w:tcPr>
            <w:tcW w:w="1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Loss (gain) on divestitures, net of selling costs</w:t>
            </w:r>
          </w:p>
        </w:tc>
        <w:tc>
          <w:tcPr>
            <w:tcW w:w="1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1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i w:val="1"/>
                <w:iCs w:val="1"/>
                <w:color w:val="auto"/>
              </w:rPr>
              <w:t>Operating margin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500" w:type="dxa"/>
            <w:vAlign w:val="bottom"/>
          </w:tcPr>
          <w:p>
            <w:pPr>
              <w:spacing w:after="0"/>
              <w:rPr>
                <w:sz w:val="24"/>
                <w:szCs w:val="24"/>
                <w:color w:val="auto"/>
              </w:rPr>
            </w:pPr>
          </w:p>
        </w:tc>
        <w:tc>
          <w:tcPr>
            <w:tcW w:w="1420" w:type="dxa"/>
            <w:vAlign w:val="bottom"/>
            <w:gridSpan w:val="2"/>
          </w:tcPr>
          <w:p>
            <w:pPr>
              <w:jc w:val="right"/>
              <w:ind w:right="45"/>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2" w:name="page23"/>
    <w:bookmarkEnd w:id="22"/>
    <w:p>
      <w:pPr>
        <w:spacing w:after="0" w:line="291" w:lineRule="auto"/>
        <w:rPr>
          <w:sz w:val="20"/>
          <w:szCs w:val="20"/>
          <w:color w:val="auto"/>
        </w:rPr>
      </w:pPr>
      <w:r>
        <w:rPr>
          <w:rFonts w:ascii="Arial" w:cs="Arial" w:eastAsia="Arial" w:hAnsi="Arial"/>
          <w:sz w:val="16"/>
          <w:szCs w:val="16"/>
          <w:color w:val="auto"/>
        </w:rPr>
        <w:t>To compare operating performance between the three-month and six-month periods ended June 30, 2018 and 2017, the Company has adjusted GAAP operating income to exclude (1) loss (gain) on divestitures, net of selling costs necessary to complete the divestiture such as legal, accounting and compliance,</w:t>
      </w:r>
    </w:p>
    <w:p>
      <w:pPr>
        <w:ind w:right="120" w:firstLine="8"/>
        <w:spacing w:after="0" w:line="281"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executive transition expenses, including severance for its former Chief Executive Officer, fees incurred in the search for its current Chief Executive Officer, and expenses associated with hiring its current Chief Financial Officer, (3) amortization and contingent acquisition expenses, including amortization of acquisition related intangibles, retention, severance, and earnout expenses, (4) facility exit expenses associated with the closure of certain leased facilities,</w:t>
      </w:r>
    </w:p>
    <w:p>
      <w:pPr>
        <w:spacing w:after="0" w:line="2" w:lineRule="exact"/>
        <w:rPr>
          <w:rFonts w:ascii="Arial" w:cs="Arial" w:eastAsia="Arial" w:hAnsi="Arial"/>
          <w:sz w:val="16"/>
          <w:szCs w:val="16"/>
          <w:color w:val="auto"/>
        </w:rPr>
      </w:pPr>
    </w:p>
    <w:p>
      <w:pPr>
        <w:ind w:right="120" w:firstLine="8"/>
        <w:spacing w:after="0" w:line="25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expenses primarily relating to severance, (6) legacy design repair expenses related to costs to rectify issues on products that are no longer in production and (7) plant, property and equipment valuation adjustments related to acquisitions. See “Note Regarding Use of Non-GAAP Financial Measures” above. The following table presents the reconciliation of GAAP operating income and GAAP operating margin to non-GAAP operating income and non-GAAP operating margin:</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96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color w:val="auto"/>
              </w:rPr>
              <w:t>(dollars in millions)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Borders>
              <w:bottom w:val="single" w:sz="8" w:color="CFF0FC"/>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w w:val="93"/>
              </w:rPr>
              <w:t>Operating income as reported in accordance with</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GAAP</w:t>
            </w: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i w:val="1"/>
                <w:iCs w:val="1"/>
                <w:color w:val="auto"/>
                <w:w w:val="98"/>
              </w:rPr>
              <w:t>Operating margin in accordance with GAAP</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9.9%</w:t>
            </w: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9.5%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Legacy design repairs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500"/>
              <w:spacing w:after="0"/>
              <w:rPr>
                <w:sz w:val="20"/>
                <w:szCs w:val="20"/>
                <w:color w:val="auto"/>
              </w:rPr>
            </w:pPr>
            <w:r>
              <w:rPr>
                <w:rFonts w:ascii="Arial" w:cs="Arial" w:eastAsia="Arial" w:hAnsi="Arial"/>
                <w:sz w:val="18"/>
                <w:szCs w:val="18"/>
                <w:color w:val="auto"/>
                <w:w w:val="99"/>
              </w:rPr>
              <w:t>Plant, property and equipment valuation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500"/>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earnout expenses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500"/>
              <w:spacing w:after="0"/>
              <w:rPr>
                <w:sz w:val="20"/>
                <w:szCs w:val="20"/>
                <w:color w:val="auto"/>
              </w:rPr>
            </w:pPr>
            <w:r>
              <w:rPr>
                <w:rFonts w:ascii="Arial" w:cs="Arial" w:eastAsia="Arial" w:hAnsi="Arial"/>
                <w:sz w:val="18"/>
                <w:szCs w:val="18"/>
                <w:color w:val="auto"/>
                <w:w w:val="98"/>
              </w:rPr>
              <w:t>Loss (gain) on divestitures, net of selling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50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expenses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500"/>
              <w:spacing w:after="0"/>
              <w:rPr>
                <w:sz w:val="20"/>
                <w:szCs w:val="20"/>
                <w:color w:val="auto"/>
              </w:rPr>
            </w:pPr>
            <w:r>
              <w:rPr>
                <w:rFonts w:ascii="Arial" w:cs="Arial" w:eastAsia="Arial" w:hAnsi="Arial"/>
                <w:sz w:val="18"/>
                <w:szCs w:val="18"/>
                <w:color w:val="auto"/>
              </w:rPr>
              <w:t>Executive transition expenses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Facility exit expenses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Non-GAAP operating margin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i w:val="1"/>
                <w:iCs w:val="1"/>
                <w:color w:val="auto"/>
              </w:rPr>
              <w:t>6.4%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10.0%</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i w:val="1"/>
                <w:iCs w:val="1"/>
                <w:color w:val="auto"/>
              </w:rPr>
              <w:t>5.9%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10.5%</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Consolidated sales for the second quarter of 2018 decreased $12.8 million, or 13.6%, to $81.1 million compared with $93.9 million in the second quarter of 2017. The decrease is attributable to the divestitures of Keystone and Strobic in the first quarter of 2018, contributing $5.2 million in the second quarter of 2017 compared to zero in the second quarter of 2018. The decrease is also attributable to a sales volume decline period over period for the Company’s wet scrubbers, mist eliminators and refinery related products.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Consolidated sales for the first six months of 2018 decreased $31.3 million, or 16.8%, to $155.2 million compared with $186.5 million in the first six months of 2017. The decrease is attributable to the divestitures of Keystone and Strobic in the first quarter of 2018, contributing $9.8 million in the first six months of 2017 compared to $4.8 million in the first six months of 2018. The decrease is also attributable to a sales volume decline period over period for the Company’s natural gas turbine exhaust systems, refinery related products, wet scrubbers and mist eliminators.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profit decreased $1.3 million, or 4.6%, to $27.2 million in the second quarter of 2018 compared with $28.5 million in the same period of 2017. The decrease in gross profit was primarily attributable to a sales volume decline period over period due to the divestitures and other volume declines leading to decreased sales. This decrease was partially offset by $1.8 million in legacy design repairs occurring in the second quarter of 2017 that did not re-occur in the second quarter of 2018 and a decrease of $1.5 million in warranty expense period over period. Gross profit as a percentage of sales was 33.5% in the second quarter of 2018 compared with 30.4% in the second quarter of 2017. The increase in gross profit margin was due to the aforementioned changes in legacy design repairs and warranty expense.</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decreased $7.3 million, or 12.1%, to $53.1 million in the first six months of 2018 compared with $60.4 million in the same period of 2017. The decrease in gross profit was primarily attributable to a sales volume decline period over period due to the divestitures and other volume declines leading to decreased sales. This decrease was partially offset by $2.0 million in legacy design repairs occurring in the first six months of 2017 that did not re-occur in the first six months of 2018 and a decrease of $2.1 million in warranty expense period over period. Gross profit as a percentage of sales was 34.2% in the first six months of 2018 compared with 32.4% in the first six months of 2017. The increase in gross profit margin was due to the aforementioned changes in legacy design repairs and warranty expense.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 w:name="page24"/>
    <w:bookmarkEnd w:id="23"/>
    <w:p>
      <w:pPr>
        <w:ind w:right="80"/>
        <w:spacing w:after="0" w:line="257" w:lineRule="auto"/>
        <w:rPr>
          <w:sz w:val="20"/>
          <w:szCs w:val="20"/>
          <w:color w:val="auto"/>
        </w:rPr>
      </w:pPr>
      <w:r>
        <w:rPr>
          <w:rFonts w:ascii="Arial" w:cs="Arial" w:eastAsia="Arial" w:hAnsi="Arial"/>
          <w:sz w:val="18"/>
          <w:szCs w:val="18"/>
          <w:color w:val="auto"/>
        </w:rPr>
        <w:t>Orders booked were $100.4 million during the second quarter of 2018 and $195.4 million during the first six months of 2018 as compared with $87.2 million during the second quarter of 2017 and $171.2 million during the first six months of 2017. The increase is primarily attributable to an increase in orders for the Company’s refinery related products and NOx air quality emission control systems period over period due to increased capital expenditures by the Company’s end customers. The increase is partially offset due to the divestitures of Keystone and Strobic, which combined for orders of $11.4 million in the second quarter of 2017 compared to zero in the same period of 2018.</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and administrative expenses increased $0.6 million to $22.0 million for the second quarter of 2018 compared with $21.4 million for the second quarter of 2017. Additionally, selling and administrative expenses increased as a percentage of sales from 22.8% in the second quarter of 2017 compared with 27.1% in the second quarter of 2018. The increase in selling and administrative expenses as a percentage of sales is primarily attributable to a decrease of $12.8 million in sales.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and administrative expenses decreased $0.8 million to $43.9 million for the first six months of 2018 compared with $44.7 million for the first six months of 2017. Additionally, selling and administrative expenses increased as a percentage of sales from 24.0% in the first six months of 2017 compared to 28.3% in the first six months of 2018. The increase in selling and administrative expenses as a percentage of sales is primarily attributable to a decrease of $31.3 million in sales.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Amortization and earnout expense (income) was $2.5 million for the second quarter of 2018 compared with $(2.2) million for the second quarter of 2017. The increase in expense is primarily attributable to earnout adjustments resulting in income of $5.7 million in the second quarter of 2017 for the earnout incurred in connection with the acquisition of Jiangyin Zhongli Industrial Technology Co. Ltd. (“Zhongli”) due to lower than expected operational profit in 2017. There was no similar adjustment to the earnout in the second quarter of 2018.</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Amortization and earnout expense (income) was $5.4 million for the first six months of 2018 compared with $5.1 million for the first six months of 2017. The increase in expense was primarily attributable to earnout adjustments resulting in income of $1.8 million in the first six months of 2017 for the Zhongli acquisition due to lower than expected operational profit in 2017. This increase was partially offset by a decrease of $0.8 million in amortization expense related to the divestitures of Keystone and Strobic.</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Operating income decreased $6.7 million to $2.6 million in the second quarter of 2018 compared with $9.3 million during the same quarter of 2017. The decrease is primarily attributable to earnout adjustment income of $5.7 million in the second quarter of 2017 that did not recur in the second quarter of 2018. Additionally, the decrease was due to decreased sales during the first six months of 2018 due to the divestitures and other volume declines leading to decreased sales. These decreases were partially offset by a decrease of $1.5 million in warranty expense and a decrease of $1.8 million in legacy design repairs period over period.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increased $4.1 million to $14.7 million in the first six months of 2018 compared with $10.6 million during the first six months of</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2017. The increase is primarily due to the gain on divestitures of $11.1 million in the first six months of 2018. This increase is partially offset by decreased gross profit primarily attributable to the divestitures and decreased sales during the first six months of 2018, and increased amortization and earnout expenses primarily attributable to earnout adjustment income of $1.8 million in 2017.</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Non-GAAP operating income was $5.2 million for the second quarter of 2018 compared with $9.4 million for the second quarter of 2017. The decrease in non-GAAP operating income is primarily attributable to lower sales, which led to a decrease in gross profit. Non-GAAP operating income as a percentage of sales decreased to 6.4% for the second quarter of 2018 from 10.0% for the second quarter of 2017.</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Non-GAAP operating income was $9.2 million for the first six months of 2018 compared with $19.5 million for the first six months of 2017. The decrease in non-GAAP operating income is primarily due to lower sales, which led to a decrease in gross profit. Non-GAAP operating income as a percentage of sales decreased to 5.9% for the first six months of 2018 from 10.5% for the first six months of 2017.</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Interest expense increased to $1.8 million in the second quarter of 2018 and $3.7 million for the first six months of 2018 compared with $1.6 million in the second quarter of 2017 and $3.4 million in the first six months of 2017. The increase is due to higher interest rates in 2018 in comparison to 2017.</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20"/>
        <w:spacing w:after="0" w:line="270" w:lineRule="auto"/>
        <w:rPr>
          <w:sz w:val="20"/>
          <w:szCs w:val="20"/>
          <w:color w:val="auto"/>
        </w:rPr>
      </w:pPr>
      <w:r>
        <w:rPr>
          <w:rFonts w:ascii="Arial" w:cs="Arial" w:eastAsia="Arial" w:hAnsi="Arial"/>
          <w:sz w:val="17"/>
          <w:szCs w:val="17"/>
          <w:color w:val="auto"/>
        </w:rPr>
        <w:t>Income tax expense was $1.3 million for the second quarter of 2018 and $5.4 million for the first six months of 2018, compared with an expense of $2.5 million for the second quarter of 2017 and expense of $2.0 million for the first six months of 2017. The effective income tax rate for the second quarter of 2018 was 317.1% compared with 31.2% for second quarter of 2017. The effective income tax rate was 52.7% for the first six months of 2018, compared with 26.3% for the first six months of 2017. The U.S. statutory tax rate decreased from 35% in 2017 to 21% in 2018 with the enactment of the Tax Cuts and Jobs Act (the “Tax Act”). The effective tax rate for the three months ended June 30, 2018 was higher than the U.S. statutory rate due primarily to the impact of discrete tax adjustments such as the deferred tax expense of $0.5 million recorded for unremitted foreign earnings and $0.3 million of tax expense related to return-to-provision adjustments. The effective tax rate for the three months and six months ended June 30, 2018 was also impacted by permanent book-tax differences related to the first-quarter divesture of a business with goodwill recorded for financial reporting purposes. Our effective tax rate is affected by certain other permanent differences, including non-deductible incentive stock-based compensation, earnout expenses, and differences in tax rates among the jurisdictions in which we operate.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to the “Income from operations” line on the unaudited Condensed Consolidated Statements of Operations.</w:t>
      </w:r>
    </w:p>
    <w:p>
      <w:pPr>
        <w:spacing w:after="0" w:line="200" w:lineRule="exact"/>
        <w:rPr>
          <w:sz w:val="20"/>
          <w:szCs w:val="20"/>
          <w:color w:val="auto"/>
        </w:rPr>
      </w:pP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153"/>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260" w:type="dxa"/>
            <w:vAlign w:val="bottom"/>
            <w:tcBorders>
              <w:bottom w:val="single" w:sz="8" w:color="CFF0FC"/>
            </w:tcBorders>
            <w:vMerge w:val="continue"/>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51,136</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52,499</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91,109</w:t>
            </w:r>
          </w:p>
        </w:tc>
        <w:tc>
          <w:tcPr>
            <w:tcW w:w="22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93,870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155,229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Includes adjustment for revenue on intercompany jobs.</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56"/>
        </w:trPr>
        <w:tc>
          <w:tcPr>
            <w:tcW w:w="3920" w:type="dxa"/>
            <w:vAlign w:val="bottom"/>
            <w:tcBorders>
              <w:bottom w:val="single" w:sz="8" w:color="CFF0FC"/>
            </w:tcBorders>
            <w:vMerge w:val="continue"/>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5,901</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10,535</w:t>
            </w:r>
          </w:p>
        </w:tc>
        <w:tc>
          <w:tcPr>
            <w:tcW w:w="14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9,525</w:t>
            </w:r>
          </w:p>
        </w:tc>
        <w:tc>
          <w:tcPr>
            <w:tcW w:w="14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(6,539)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(6,935)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Eliminations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operations</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line="264" w:lineRule="auto"/>
        <w:tabs>
          <w:tab w:leader="none" w:pos="5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Includes gain on divestitures, net of selling costs, corporate compensation, professional services, information technology and other general and administrative corporate expenses. This figure excludes earnout expenses, which are recorded in the segment in which the expense occurs. See Note 7 to the unaudited condensed consolidated financial statements for the earnout expenses by segment.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 Solutions Segment</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Energy Solutions segment, formerly our Energy segment, net sales decreased $1.4 million to $51.1 million in the second quarter of 2018 compared with $52.5 million in the same period of 2017. The decrease is due primarily to volume decreases for the Company’s refinery related products and services period over period.</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sales for the Energy Solutions segment decreased $15.1 million to $91.1 million in the first six months of 2018 compared with $106.2 million in the same period of 2017. The decrease is due primarily to volume decreases for the Company’s refinery related products and services and the Company’s natural gas turbine exhaust systems related products and services period over period.</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Operating income for the Energy Solutions segment decreased $4.6 million to $5.9 million in the second quarter of 2018 from $10.5 million in the same period of 2017. The decrease is primarily attributable to the Zhongli earnout adjustment resulting in income of $5.7 million in the second quarter of 2017. The decrease in the second quarter of 2018 was partially offset by realizing benefits related to the restructuring program initiated in the fourth quarter of 2017.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line="255" w:lineRule="auto"/>
        <w:rPr>
          <w:sz w:val="20"/>
          <w:szCs w:val="20"/>
          <w:color w:val="auto"/>
        </w:rPr>
      </w:pPr>
      <w:r>
        <w:rPr>
          <w:rFonts w:ascii="Arial" w:cs="Arial" w:eastAsia="Arial" w:hAnsi="Arial"/>
          <w:sz w:val="18"/>
          <w:szCs w:val="18"/>
          <w:color w:val="auto"/>
        </w:rPr>
        <w:t>Operating income for the Energy Solutions segment decreased $4.8 million to $9.5 million in the first six months of 2018 compared with $14.4 million in operating income in the same period of 2017. Operating income in the first six months of 2018 and 2017 included $0.4 million of expense and $1.8 million of income, respectively, related to earnout adjustments during these periods. The decrease in operating income excluding the earnout adjustment was primarily due to incurring $2.3 million in warranty expense and $2.0 million in legacy design repairs during the first six months of 2017, compared to warranty expense of $0.1 million during the first six months of 2018. The decrease in operating income was also partially attributable to lower gross profit on decreased sales.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Solutions Segment</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Our Industrial Solutions segment, formerly our Environmental segment, net sales decreased $4.5 million to $18.3 million in the second quarter of 2018 compared with $22.8 million in the second quarter of 2017. The decrease is due primarily to volume decreases for the Company’s wet scrubbers and mist eliminators, which was partially offset by increases in the Company’s air pollution control and product recovery products period over period.</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sales for the Industrial Solutions segment decreased $10.0 million to $36.1 million in the first six months of 2018 compared with $46.1 million in the first six months of 2017. The decrease is due primarily to volume decreases for the Company’s wet scrubbers, mist eliminators and for the installation and fabrication of duct work and related equipment period over period.</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income for the Industrial Solutions segment decreased $0.6 million to $1.3 million in the second quarter of 2018 compared with $1.9 million in the second quarter of 2017. The decrease is primarily attributable to the decrease in sales.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income for the Industrial Solutions segment decreased $2.1 million to $2.6 million in the first six months of 2018 compared with $4.7 million in the first six months of 2017. The decrease is primarily attributable to the decrease in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Fluid Handling Solutions Segment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Fluid Handling Solutions segment, formerly our Fluid Handling and Filtration segment, net sales decreased $6.5 million to $11.8 million in the second quarter of 2018 compared with $18.3 million in the second quarter of 2017. The decrease is primarily attributable to the divestitures of Keystone and Strobic, which combined for sales of $5.2 million in the second quarter of 2017 compared to zero in the same period of 2018. Additionally, the decrease is due to a sales volume decline period over period related to pumps.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sales for the Fluid Handling Solutions segment decreased $6.2 million to $28.0 million in the first six months of 2018 compared with $34.2 million in the first six months of 2017. The decrease is primarily attributable to the divestitures of Keystone and Strobic, which combined for sales of $9.8 million in the first six months of 2017 compared to $4.8 million in the same period of 2018. Additionally, the decrease is due to a sales volume decline period over period related to pumps.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Operating income for the Fluid Handling Solutions segment decreased $1.9 million to $2.2 million in the second quarter of 2018 compared with $4.1 million in the second quarter of 2017. The decrease is primarily attributable to the decrease in sales and reduced operating income of $1.1 million from the divestitures of Keystone and Strobic.</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income for the Fluid Handling Solutions segment decreased $2.1 million to $5.4 million in the first six months of 2018 compared with $7.5 million in the first six months of 2017. The decrease is primarily attributable to the decrease in sales and reduced operating income of $0.8 million from the divestitures of Keystone and Strobic.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Operating expense for the Corporate and Other segment was $6.5 million in the second quarter of 2018 compared with operating expense of $6.9 million in the second quarter of 2017. The decrease in operating expenses is primarily attributable to $0.4 million of executive transition expenses in the second quarter of 2017 that did not re-occur in the second quarter of 2018.</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Operating expense for the Corporate and Other segment was $2.0 million in the first six months of 2018 compared with operating expense of $14.8 million in the first six months of 2017. The decrease in operating expenses is primarily attributable to the $11.1 million gain on divestitures, net of selling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Backlog (i.e., unfulfilled or remaining performance obligations) represents the sales we expect to recognize for our products and services for which control has not yet transferred to the customer. Our customers may have the right to cancel a given order, although historically cancellations have been rare. Our backlog as of June 30, 2018 was $200.0 million compared with $168.9 million as of December 31, 2017 . Backlog is adjusted on a quarterly basis for adjustments in foreign currency exchange rates.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40"/>
        <w:spacing w:after="0" w:line="271" w:lineRule="auto"/>
        <w:rPr>
          <w:sz w:val="20"/>
          <w:szCs w:val="20"/>
          <w:color w:val="auto"/>
        </w:rPr>
      </w:pPr>
      <w:r>
        <w:rPr>
          <w:rFonts w:ascii="Arial" w:cs="Arial" w:eastAsia="Arial" w:hAnsi="Arial"/>
          <w:sz w:val="17"/>
          <w:szCs w:val="17"/>
          <w:color w:val="auto"/>
        </w:rPr>
        <w:t>transferred $7.7 million of orders from backlog as of the date of the divestitures as a result of the sale of Keystone and Strobic. There have been no other orders removed from backlog that were previously disclosed as backlog in prior quarters in the first six months of 2018. Backlog is not defined by GAAP and our methodology for calculating backlog may not be consistent with methodologies used by other companies.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principal sources of liquidity are cash flow from operations, gain on divestitures, net of selling costs and available borrowings under our Credit Facility (as defined below). Our principal uses of cash are operating costs, payment of principal and interest on our outstanding debt, dividends, working capital and other corporate requirements.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June 30, 2018, the Company had working capital of $71.7 million, compared with $66.1 million at December 31, 2017. The ratio of current assets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 was 1.65 to 1 on June 30, 2018, as compared with a ratio of 1.61 to 1 at December 31, 2017. The $5.6 million increase in working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December 31, 2017 to June 30, 2018, was primarily related to a decrease in current portion of debt ($11.3 million), an increase in cash and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equivalents ($5.7 million), an increase in prepaid expenses and other current assets ($1.8 million), an increase in inventories ($1.5 million),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and estimated earnings in excess of billings on uncompleted contracts ($1.2 million), offset by an increase in accounts payable and accrued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 million), a decrease in prepaid income taxes payable ($1.2 million), a decrease in assets held for sale ($1.1 million), an increase in billings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and estimated earnings on uncompleted contracts ($2.9 million), and an increase in income taxes payable ($1.6 million).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2018, the Company made prepayments of $29.2 million on the outstanding balance of the term loan, of which $11.3 million was applied to the short-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portion of the debt balance and $17.9 million was applied to the long-term portion of the debt balance. Total repayments of debt during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2018 was $34.5 million. As of June 30, 2018 and December 31, 2017, the Company holds a note payable for $5.3 million dollars, which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become due in fiscal year 2018.</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At June 30, 2018 and December 31, 2017, cash and cash equivalents totaled $35.6 million and $29.9 million, respectively. As of June 30, 2018 and December 31, 2017, $22.6 million and $19.7 million, respectively, of our cash and cash equivalents were held by certain non-U.S. subsidiaries, as well as being denominated in foreign currencies.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consisted of the following at June 30, 2018 and December 31,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00" w:type="dxa"/>
            <w:vAlign w:val="bottom"/>
          </w:tcPr>
          <w:p>
            <w:pPr>
              <w:spacing w:after="0"/>
              <w:rPr>
                <w:sz w:val="20"/>
                <w:szCs w:val="20"/>
                <w:color w:val="auto"/>
              </w:rPr>
            </w:pPr>
            <w:r>
              <w:rPr>
                <w:rFonts w:ascii="Arial" w:cs="Arial" w:eastAsia="Arial" w:hAnsi="Arial"/>
                <w:sz w:val="14"/>
                <w:szCs w:val="14"/>
                <w:i w:val="1"/>
                <w:iCs w:val="1"/>
                <w:color w:val="auto"/>
              </w:rPr>
              <w:t>(Table only in thousands)</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2017</w:t>
            </w:r>
          </w:p>
        </w:tc>
      </w:tr>
      <w:tr>
        <w:trPr>
          <w:trHeight w:val="209"/>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Credit Facility (defined below).</w:t>
            </w:r>
          </w:p>
        </w:tc>
        <w:tc>
          <w:tcPr>
            <w:tcW w:w="1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balance due upon maturity in September 2020.</w:t>
            </w:r>
          </w:p>
        </w:tc>
        <w:tc>
          <w:tcPr>
            <w:tcW w:w="1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800" w:type="dxa"/>
            <w:vAlign w:val="bottom"/>
          </w:tcPr>
          <w:p>
            <w:pPr>
              <w:ind w:left="240"/>
              <w:spacing w:after="0"/>
              <w:rPr>
                <w:sz w:val="20"/>
                <w:szCs w:val="20"/>
                <w:color w:val="auto"/>
              </w:rPr>
            </w:pPr>
            <w:r>
              <w:rPr>
                <w:rFonts w:ascii="Arial" w:cs="Arial" w:eastAsia="Arial" w:hAnsi="Arial"/>
                <w:sz w:val="18"/>
                <w:szCs w:val="18"/>
                <w:color w:val="auto"/>
              </w:rPr>
              <w:t>- Term loan</w:t>
            </w:r>
          </w:p>
        </w:tc>
        <w:tc>
          <w:tcPr>
            <w:tcW w:w="1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83,147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113,903</w:t>
            </w: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U.S. Dollar revolving loans</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Pr>
          <w:p>
            <w:pPr>
              <w:ind w:left="240"/>
              <w:spacing w:after="0"/>
              <w:rPr>
                <w:sz w:val="20"/>
                <w:szCs w:val="20"/>
                <w:color w:val="auto"/>
              </w:rPr>
            </w:pPr>
            <w:r>
              <w:rPr>
                <w:rFonts w:ascii="Arial" w:cs="Arial" w:eastAsia="Arial" w:hAnsi="Arial"/>
                <w:sz w:val="18"/>
                <w:szCs w:val="18"/>
                <w:color w:val="auto"/>
              </w:rPr>
              <w:t>- Unamortized debt discount</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(2,834)</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1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Outstanding borrowings (U.S. dollar equivalent)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under Aarding Facility</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20"/>
                <w:szCs w:val="20"/>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w:t>
            </w:r>
          </w:p>
        </w:tc>
        <w:tc>
          <w:tcPr>
            <w:tcW w:w="1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Less: current portion</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11,296</w:t>
            </w:r>
          </w:p>
        </w:tc>
        <w:tc>
          <w:tcPr>
            <w:tcW w:w="120" w:type="dxa"/>
            <w:vAlign w:val="bottom"/>
          </w:tcPr>
          <w:p>
            <w:pPr>
              <w:spacing w:after="0"/>
              <w:rPr>
                <w:sz w:val="19"/>
                <w:szCs w:val="19"/>
                <w:color w:val="auto"/>
              </w:rPr>
            </w:pP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less current portion</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t>The Company’s outstanding borrowings in the United States consist of senior secured term loan, senior secured U.S. dollar revolving loans with sub-facilities for letters of credit and swing-line loans and senior secured multi-currency revolving credit facility for U.S. dollar and specific foreign currency loans (collectively, the “Credit Facility”). As of June 30, 2018 and December 31, 2017, the Company was in compliance with all related financial and other restrictive covenants under the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8 to the condensed consolidated financial statements for further information on the Company’s debt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unused credit availability under our existing Credit Facility and other non-U.S. credit facilities and agreements is as follows: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720" w:type="dxa"/>
            <w:vAlign w:val="bottom"/>
            <w:gridSpan w:val="3"/>
          </w:tcPr>
          <w:p>
            <w:pPr>
              <w:ind w:left="620"/>
              <w:spacing w:after="0"/>
              <w:rPr>
                <w:sz w:val="20"/>
                <w:szCs w:val="20"/>
                <w:color w:val="auto"/>
              </w:rPr>
            </w:pPr>
            <w:r>
              <w:rPr>
                <w:rFonts w:ascii="Arial" w:cs="Arial" w:eastAsia="Arial" w:hAnsi="Arial"/>
                <w:sz w:val="14"/>
                <w:szCs w:val="14"/>
                <w:color w:val="auto"/>
              </w:rPr>
              <w:t>(dollars in millions)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June 30, 2018</w:t>
            </w:r>
          </w:p>
        </w:tc>
        <w:tc>
          <w:tcPr>
            <w:tcW w:w="120" w:type="dxa"/>
            <w:vAlign w:val="bottom"/>
          </w:tcPr>
          <w:p>
            <w:pPr>
              <w:spacing w:after="0"/>
              <w:rPr>
                <w:sz w:val="14"/>
                <w:szCs w:val="14"/>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Credit Facility, U.S. Dollar revolving loans</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Draw down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Letters of credit open</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Credit Facility, Multi-currency revolving facilities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Netherlands facilities (€13.0 million at June 30, 2018 and at December 31, 2017 in</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Dollar equivalent)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Draw down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Letters of credit open</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China Facility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Draw down</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720" w:type="dxa"/>
            <w:vAlign w:val="bottom"/>
            <w:gridSpan w:val="3"/>
          </w:tcPr>
          <w:p>
            <w:pPr>
              <w:ind w:left="620"/>
              <w:spacing w:after="0"/>
              <w:rPr>
                <w:sz w:val="20"/>
                <w:szCs w:val="20"/>
                <w:color w:val="auto"/>
              </w:rPr>
            </w:pPr>
            <w:r>
              <w:rPr>
                <w:rFonts w:ascii="Arial" w:cs="Arial" w:eastAsia="Arial" w:hAnsi="Arial"/>
                <w:sz w:val="18"/>
                <w:szCs w:val="18"/>
                <w:color w:val="auto"/>
              </w:rPr>
              <w:t>Total unused credit availability</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0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Amount available based on borrowing limitations</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Overview of Cash Flows and Liquidity</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7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w w:val="94"/>
              </w:rPr>
              <w:t>For the Six Months Ended June 30,</w:t>
            </w: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6080" w:type="dxa"/>
            <w:vAlign w:val="bottom"/>
            <w:gridSpan w:val="2"/>
          </w:tcPr>
          <w:p>
            <w:pPr>
              <w:ind w:left="1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six months ended June 30, 2018, $9.9 million of cash was provided by operating activities compared with $1.7 million provided by operating activities in the prior year period. The $8.2 million increase in cash flow from operating activities was due primarily to favorable net working capital items in the first six months of 2018 compared with the same period in 2017. The incremental cash provided was comprised of $20.6 million in accounts payable and accrued expenses, $3.0 million in income taxes payable, $14.9 million in billings in excess of costs and estimated earnings on uncompleted contracts, and $0.6 million in prepaid expense and other current assets, as well as the increase in cash provided consisting of a $5.7 million decrease in earnout payments. The incremental cash used was comprised of $23.9 million in accounts receivable, $1.2 million in inventories, $1.3 million in costs and estimated earnings in excess of billings on uncompleted contracts, and approximately $1.0 million in deferred charges and other assets.</w:t>
      </w:r>
    </w:p>
    <w:p>
      <w:pPr>
        <w:spacing w:after="0" w:line="16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For the six months ended June 30, 2018, net cash provided by investing activities was $30.2 million compared with net cash used in investing activities of $0.6 million in the prior year period. In the first six months of 2018, cash provided by investing activities was primarily the result of cash proceeds from divestitures totaling $30.7 million and cash used for the acquisitions of property and equipment totaling $0.6 million. In the prior year period, cash used in investing activities was primarily the result of cash used for the acquisitions of property and equipment totaling $0.6 million.</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six months ended June 30, 2018, net cash used in financing activities was $34.1 million due principally to net term loan repayments of $30.8 million and $3.8 million in net revolving credit line repayments. For the six months ended June 30, 2017, net cash used in financing activities was $20.6 million due principally to net term loan repayments of $7.7 million, net payments on revolving credit facilities of $1.1 million, earnout payments classified as financing activities of $7.4 million and $5.2 million in dividends paid to common stockholders, partially offset by $1.2 million received from the employee stock purchase plan, exercise of stock options and dividend reinvestment plan.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8" w:name="page29"/>
    <w:bookmarkEnd w:id="28"/>
    <w:p>
      <w:pPr>
        <w:ind w:right="60"/>
        <w:spacing w:after="0" w:line="257" w:lineRule="auto"/>
        <w:rPr>
          <w:sz w:val="20"/>
          <w:szCs w:val="20"/>
          <w:color w:val="auto"/>
        </w:rPr>
      </w:pPr>
      <w:r>
        <w:rPr>
          <w:rFonts w:ascii="Arial" w:cs="Arial" w:eastAsia="Arial" w:hAnsi="Arial"/>
          <w:sz w:val="18"/>
          <w:szCs w:val="18"/>
          <w:color w:val="auto"/>
        </w:rPr>
        <w:t>Our dividend policy and the payment of cash dividends under that policy are subject to the Board of Directors’ determination that the dividend policy and the declaration of dividends are in the best interest of the Company’s shareholders. On November 6, 2017, the Board of Directors reviewed the Company’s dividend policy and determined that it would be in the best interest of the stockholders to suspend dividend payments. Future dividends and the dividend policy may be changed or cancelled at the Company’s discretion at any time. Payment of dividends is also subject to the continuing compliance with our financial covenants under our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earnout liabilities,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believes there have been no changes during the six-month period ended June 30, 2018, other than disclosed in Note 17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Quarterly Report on Form 10-Q includes forward-looking statements within the meaning of the Private Securities Litigation Reform Act of 1995. All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statements other than statements of historical fact, including statements regarding industry prospects or future results of operations or financial position made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this Quarterly Report on Form 10-Q are forward-looking. We use words such as “believe,” “expect,” “anticipate,” “intends,” “estimate,” “forecast,”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“project,” “will,” “plan,” “should” and similar expressions to identify forward-looking statements. Forward-looking statements involve risks and uncertainties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cause actual results to differ materially from any future results, performance or achievements expressed or implied by such statements.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risks, among others, that could cause actual results to differ materially are discussed under “Part I – Item 1A. Risk Factors” of the Company’s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10-K for the fiscal year ended December 31, 2017 and include, but are not limited to: our ability to successfully realize the expected benefits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program; our ability to successfully integrate acquired businesses and realize the synergies from acquisitions, as well as a number of factors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our business, including economic and financial market conditions generally and economic conditions in CECO’s service areas; dependence on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contracts and the risks associated therewith, including actual costs exceeding estimates; fluctuations in operating results from period to period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cyclicality or seasonality of the business; the effect of growth on CECO’s infrastructure, resources, and existing sales; the ability to expand operations in both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and existing markets; the potential for contract delay or cancellation; liabilities arising from faulty services or products that could result in significant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professional or product liability, warranty, or other claims; changes in or developments with respect to any litigation or investigation; failure to meet timely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or performance standards that could result in higher cost and reduced profits or, in some cases, losses on projects; the potential for fluctuations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prices for manufactured components and raw materials, including as a result of tariffs and surcharges; the substantial amount of debt incurred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our acquisitions and our ability to repay or refinance it or incur additional debt in the future; the impact of federal, state or local government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economic and political conditions generally; and the effect of competition in the Industrial Solutions segment, Energy Solutions segment and Fluid Handling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Solutions segment industries. Many of these risks are beyond management’s ability to control or predict. Should one or more of these risks or uncertainties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materialize, or should the assumptions prove incorrect, actual results may vary in material aspects from those currently anticipated. Investors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cautioned not to place undue reliance on such forward-looking statements as they speak only to our views as of the date the statement is made. Furthermore,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speak only as of the date they are made. Except as required under the federal securities laws or the rules and regulations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 we undertake no obligation to update or review any forward-looking statements, whether as a result of new information, future events or otherwise.</w:t>
      </w: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 However, we do have an interest rate swap in place as of June 30, 2018 to hedge against a portion of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ind w:right="300"/>
        <w:spacing w:after="0" w:line="277" w:lineRule="auto"/>
        <w:rPr>
          <w:sz w:val="20"/>
          <w:szCs w:val="20"/>
          <w:color w:val="auto"/>
        </w:rPr>
      </w:pPr>
      <w:r>
        <w:rPr>
          <w:rFonts w:ascii="Arial" w:cs="Arial" w:eastAsia="Arial" w:hAnsi="Arial"/>
          <w:sz w:val="18"/>
          <w:szCs w:val="18"/>
          <w:color w:val="auto"/>
        </w:rPr>
        <w:t>interest rate exposure related to debt indexed to LIBOR market rates. See Note 8 “Senior Debt” to the condensed consolidated financial statements within Item 1 of this Quarterly Report on Form 10-Q, for further information on this interest rate swap.</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carrying value of the Company’s long-term debt and current maturities of long-term debt was $80.9 million at June 30, 2018. Market risk was estimated as the potential decrease (increase) in future earnings and cash flows resulting from hypothetical 10% increase (decrease) in the Company’s estimated weighted average borrowing rate at June 30, 2018. Most of the interest on the Company’s debt is indexed to either the LIBOR or EURIBOR market rates. The estimated impact of a hypothetical 10% change in the estimated weighted average borrowing rate, excluding the portion of debt which has an interest rate fixed by the interest rate swap described above, at June 30, 2018 is $0.2 million on an annual basis.</w:t>
      </w:r>
    </w:p>
    <w:p>
      <w:pPr>
        <w:spacing w:after="0" w:line="1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has wholly-owned subsidiaries located in the Netherlands, Canada, the People’s Republic of China, Mexico, United Kingdom, Singapore, and Chile. In the past, we have not hedged our foreign currency exposure, and fluctuations in exchange rates have not materially affected our operating results. Future changes in exchange rates may positively or negatively impact our revenues, operating expenses and earnings.</w:t>
      </w:r>
    </w:p>
    <w:p>
      <w:pPr>
        <w:spacing w:after="0" w:line="1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June 30, 2018.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 13a-15(f) of the Exchange Act) during the fiscal quarter ended June 30, 2018, that materially affected, or are reasonably likely to materially affect,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with respect to legal proceedings can be found in Note 14 “Commitments and Contingencies – Legal Matters” to the Condensed Consolidated Financial Statements contained in Part I, Item 1 of this Quarterly Report on Form 10-Q.</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risk factors that we disclosed in “Part I – Item 1A. Risk Factors” of our Annual Report on Form 10-K for the year ended December 31, 2017.</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58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60" w:type="dxa"/>
            <w:vAlign w:val="bottom"/>
          </w:tcPr>
          <w:p>
            <w:pPr>
              <w:ind w:left="140"/>
              <w:spacing w:after="0"/>
              <w:rPr>
                <w:sz w:val="20"/>
                <w:szCs w:val="20"/>
                <w:color w:val="auto"/>
              </w:rPr>
            </w:pPr>
            <w:r>
              <w:rPr>
                <w:rFonts w:ascii="Arial" w:cs="Arial" w:eastAsia="Arial" w:hAnsi="Arial"/>
                <w:sz w:val="18"/>
                <w:szCs w:val="18"/>
                <w:color w:val="auto"/>
              </w:rPr>
              <w:t>31.1</w:t>
            </w:r>
          </w:p>
        </w:tc>
        <w:tc>
          <w:tcPr>
            <w:tcW w:w="448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Rule 13(a)/15d-14(a) Certification by Chief Executive Officer</w:t>
              </w:r>
            </w:hyperlink>
          </w:p>
        </w:tc>
        <w:tc>
          <w:tcPr>
            <w:tcW w:w="100" w:type="dxa"/>
            <w:vAlign w:val="bottom"/>
            <w:gridSpan w:val="2"/>
          </w:tcPr>
          <w:p>
            <w:pPr>
              <w:spacing w:after="0"/>
              <w:rPr>
                <w:sz w:val="24"/>
                <w:szCs w:val="24"/>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31.2</w:t>
            </w:r>
          </w:p>
        </w:tc>
        <w:tc>
          <w:tcPr>
            <w:tcW w:w="4580" w:type="dxa"/>
            <w:vAlign w:val="bottom"/>
            <w:gridSpan w:val="4"/>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Rule 13(a)/15d-14(a) Certification by Chief Financial Officer</w:t>
              </w:r>
            </w:hyperlink>
          </w:p>
        </w:tc>
      </w:tr>
      <w:tr>
        <w:trPr>
          <w:trHeight w:val="20"/>
        </w:trPr>
        <w:tc>
          <w:tcPr>
            <w:tcW w:w="106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32.1</w:t>
            </w:r>
          </w:p>
        </w:tc>
        <w:tc>
          <w:tcPr>
            <w:tcW w:w="45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Chief Executive Officer (18 U.S. Section 1350)</w:t>
              </w:r>
            </w:hyperlink>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32.2</w:t>
            </w:r>
          </w:p>
        </w:tc>
        <w:tc>
          <w:tcPr>
            <w:tcW w:w="4580" w:type="dxa"/>
            <w:vAlign w:val="bottom"/>
            <w:gridSpan w:val="4"/>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Certification of Chief Financial Officer (18 U.S. Section 1350)</w:t>
              </w:r>
            </w:hyperlink>
          </w:p>
        </w:tc>
      </w:tr>
      <w:tr>
        <w:trPr>
          <w:trHeight w:val="358"/>
        </w:trPr>
        <w:tc>
          <w:tcPr>
            <w:tcW w:w="1060" w:type="dxa"/>
            <w:vAlign w:val="bottom"/>
          </w:tcPr>
          <w:p>
            <w:pPr>
              <w:ind w:left="140"/>
              <w:spacing w:after="0"/>
              <w:rPr>
                <w:sz w:val="20"/>
                <w:szCs w:val="20"/>
                <w:color w:val="auto"/>
              </w:rPr>
            </w:pPr>
            <w:r>
              <w:rPr>
                <w:rFonts w:ascii="Arial" w:cs="Arial" w:eastAsia="Arial" w:hAnsi="Arial"/>
                <w:sz w:val="18"/>
                <w:szCs w:val="18"/>
                <w:color w:val="auto"/>
              </w:rPr>
              <w:t>101.INS</w:t>
            </w:r>
          </w:p>
        </w:tc>
        <w:tc>
          <w:tcPr>
            <w:tcW w:w="45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tcPr>
          <w:p>
            <w:pPr>
              <w:spacing w:after="0"/>
              <w:rPr>
                <w:sz w:val="24"/>
                <w:szCs w:val="24"/>
                <w:color w:val="auto"/>
              </w:rPr>
            </w:pP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101.SCH</w:t>
            </w:r>
          </w:p>
        </w:tc>
        <w:tc>
          <w:tcPr>
            <w:tcW w:w="45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101.CAL</w:t>
            </w:r>
          </w:p>
        </w:tc>
        <w:tc>
          <w:tcPr>
            <w:tcW w:w="4580" w:type="dxa"/>
            <w:vAlign w:val="bottom"/>
            <w:gridSpan w:val="4"/>
          </w:tcPr>
          <w:p>
            <w:pPr>
              <w:spacing w:after="0"/>
              <w:rPr>
                <w:sz w:val="20"/>
                <w:szCs w:val="20"/>
                <w:color w:val="auto"/>
              </w:rPr>
            </w:pPr>
            <w:r>
              <w:rPr>
                <w:rFonts w:ascii="Arial" w:cs="Arial" w:eastAsia="Arial" w:hAnsi="Arial"/>
                <w:sz w:val="18"/>
                <w:szCs w:val="18"/>
                <w:color w:val="auto"/>
                <w:w w:val="95"/>
              </w:rPr>
              <w:t>XBRL Taxonomy Extension Calculation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101.DEF</w:t>
            </w:r>
          </w:p>
        </w:tc>
        <w:tc>
          <w:tcPr>
            <w:tcW w:w="4580" w:type="dxa"/>
            <w:vAlign w:val="bottom"/>
            <w:gridSpan w:val="4"/>
          </w:tcPr>
          <w:p>
            <w:pPr>
              <w:spacing w:after="0"/>
              <w:rPr>
                <w:sz w:val="20"/>
                <w:szCs w:val="20"/>
                <w:color w:val="auto"/>
              </w:rPr>
            </w:pPr>
            <w:r>
              <w:rPr>
                <w:rFonts w:ascii="Arial" w:cs="Arial" w:eastAsia="Arial" w:hAnsi="Arial"/>
                <w:sz w:val="18"/>
                <w:szCs w:val="18"/>
                <w:color w:val="auto"/>
                <w:w w:val="98"/>
              </w:rPr>
              <w:t>XBRL Taxonomy Extension Definition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101.LAB</w:t>
            </w:r>
          </w:p>
        </w:tc>
        <w:tc>
          <w:tcPr>
            <w:tcW w:w="45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101.PRE</w:t>
            </w:r>
          </w:p>
        </w:tc>
        <w:tc>
          <w:tcPr>
            <w:tcW w:w="4580" w:type="dxa"/>
            <w:vAlign w:val="bottom"/>
            <w:gridSpan w:val="4"/>
          </w:tcPr>
          <w:p>
            <w:pPr>
              <w:spacing w:after="0"/>
              <w:rPr>
                <w:sz w:val="20"/>
                <w:szCs w:val="20"/>
                <w:color w:val="auto"/>
              </w:rPr>
            </w:pPr>
            <w:r>
              <w:rPr>
                <w:rFonts w:ascii="Arial" w:cs="Arial" w:eastAsia="Arial" w:hAnsi="Arial"/>
                <w:sz w:val="18"/>
                <w:szCs w:val="18"/>
                <w:color w:val="auto"/>
                <w:w w:val="93"/>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2" w:name="page33"/>
    <w:bookmarkEnd w:id="3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CECO Environmental Corp.</w:t>
      </w:r>
    </w:p>
    <w:p>
      <w:pPr>
        <w:spacing w:after="0" w:line="266" w:lineRule="exact"/>
        <w:rPr>
          <w:sz w:val="20"/>
          <w:szCs w:val="20"/>
          <w:color w:val="auto"/>
        </w:rPr>
      </w:pPr>
    </w:p>
    <w:p>
      <w:pPr>
        <w:ind w:left="7280"/>
        <w:spacing w:after="0"/>
        <w:tabs>
          <w:tab w:leader="none" w:pos="8800" w:val="left"/>
          <w:tab w:leader="none" w:pos="9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Eckl</w:t>
      </w:r>
    </w:p>
    <w:p>
      <w:pPr>
        <w:spacing w:after="0" w:line="2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-130810</wp:posOffset>
            </wp:positionV>
            <wp:extent cx="24269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Dennis Sadlowski, certify that:</w:t>
      </w:r>
    </w:p>
    <w:p>
      <w:pPr>
        <w:spacing w:after="0" w:line="117"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7"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of CECO Environmental Corp. (the “Company”) on Form 10-Q for the six-month period ended June 30, 2018 as filed with the Securities and Exchange Commission on the date hereof (the “Report”), I, Dennis Sadlowski, Chief Executive Officer of the Company, certify, pursuant to 18 U.S.C. § 1350, as adopted pursuant to § 906 of the Sarbanes-Oxley Act of 2002, to the best of his knowledge and belief, that:</w:t>
      </w:r>
    </w:p>
    <w:p>
      <w:pPr>
        <w:spacing w:after="0" w:line="5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six-month period ended June 30, 2018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39"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decimal"/>
      <w:start w:val="6"/>
    </w:lvl>
  </w:abstractNum>
  <w:abstractNum w:abstractNumId="5">
    <w:nsid w:val="1BEFD79F"/>
    <w:multiLevelType w:val="hybridMultilevel"/>
    <w:lvl w:ilvl="0">
      <w:lvlJc w:val="left"/>
      <w:lvlText w:val="%1"/>
      <w:numFmt w:val="decimal"/>
      <w:start w:val="1"/>
    </w:lvl>
    <w:lvl w:ilvl="1">
      <w:lvlJc w:val="left"/>
      <w:lvlText w:val="(%2)"/>
      <w:numFmt w:val="lowerLetter"/>
      <w:start w:val="1"/>
    </w:lvl>
  </w:abstractNum>
  <w:abstractNum w:abstractNumId="6">
    <w:nsid w:val="41A7C4C9"/>
    <w:multiLevelType w:val="hybridMultilevel"/>
    <w:lvl w:ilvl="0">
      <w:lvlJc w:val="left"/>
      <w:lvlText w:val="%1."/>
      <w:numFmt w:val="decimal"/>
      <w:start w:val="8"/>
    </w:lvl>
    <w:lvl w:ilvl="1">
      <w:lvlJc w:val="left"/>
      <w:lvlText w:val="%2"/>
      <w:numFmt w:val="lowerLetter"/>
      <w:start w:val="1"/>
    </w:lvl>
  </w:abstractNum>
  <w:abstractNum w:abstractNumId="7">
    <w:nsid w:val="6B68079A"/>
    <w:multiLevelType w:val="hybridMultilevel"/>
    <w:lvl w:ilvl="0">
      <w:lvlJc w:val="left"/>
      <w:lvlText w:val="%1."/>
      <w:numFmt w:val="decimal"/>
      <w:start w:val="9"/>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2"/>
    </w:lvl>
  </w:abstractNum>
  <w:abstractNum w:abstractNumId="10">
    <w:nsid w:val="519B500D"/>
    <w:multiLevelType w:val="hybridMultilevel"/>
    <w:lvl w:ilvl="0">
      <w:lvlJc w:val="left"/>
      <w:lvlText w:val="%1."/>
      <w:numFmt w:val="decimal"/>
      <w:start w:val="13"/>
    </w:lvl>
  </w:abstractNum>
  <w:abstractNum w:abstractNumId="11">
    <w:nsid w:val="431BD7B7"/>
    <w:multiLevelType w:val="hybridMultilevel"/>
    <w:lvl w:ilvl="0">
      <w:lvlJc w:val="left"/>
      <w:lvlText w:val="%1."/>
      <w:numFmt w:val="decimal"/>
      <w:start w:val="15"/>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1)"/>
      <w:numFmt w:val="decimal"/>
      <w:start w:val="3"/>
    </w:lvl>
  </w:abstractNum>
  <w:abstractNum w:abstractNumId="14">
    <w:nsid w:val="257130A3"/>
    <w:multiLevelType w:val="hybridMultilevel"/>
    <w:lvl w:ilvl="0">
      <w:lvlJc w:val="left"/>
      <w:lvlText w:val="(%1)"/>
      <w:numFmt w:val="decimal"/>
      <w:start w:val="4"/>
    </w:lvl>
  </w:abstractNum>
  <w:abstractNum w:abstractNumId="15">
    <w:nsid w:val="62BBD95A"/>
    <w:multiLevelType w:val="hybridMultilevel"/>
    <w:lvl w:ilvl="0">
      <w:lvlJc w:val="left"/>
      <w:lvlText w:val="%1."/>
      <w:numFmt w:val="decimal"/>
      <w:start w:val="16"/>
    </w:lvl>
  </w:abstractNum>
  <w:abstractNum w:abstractNumId="16">
    <w:nsid w:val="436C6125"/>
    <w:multiLevelType w:val="hybridMultilevel"/>
    <w:lvl w:ilvl="0">
      <w:lvlJc w:val="left"/>
      <w:lvlText w:val="(%1)"/>
      <w:numFmt w:val="decimal"/>
      <w:start w:val="2"/>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2"/>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2020-01-13T06:51:28Z</dcterms:created>
  <dcterms:modified xsi:type="dcterms:W3CDTF">2020-01-13T06:51:28Z</dcterms:modified>
</cp:coreProperties>
</file>