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2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75001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CECO ENVIRONMENTAL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CECO</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80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680"/>
              <w:spacing w:after="0" w:line="181" w:lineRule="exact"/>
              <w:rPr>
                <w:sz w:val="20"/>
                <w:szCs w:val="20"/>
                <w:color w:val="auto"/>
              </w:rPr>
            </w:pPr>
            <w:r>
              <w:rPr>
                <w:rFonts w:ascii="Times New Roman" w:cs="Times New Roman" w:eastAsia="Times New Roman" w:hAnsi="Times New Roman"/>
                <w:sz w:val="17"/>
                <w:szCs w:val="17"/>
                <w:color w:val="0000FF"/>
              </w:rPr>
              <w:t>SVP, Chief Financial Officer</w:t>
            </w:r>
          </w:p>
        </w:tc>
        <w:tc>
          <w:tcPr>
            <w:tcW w:w="0" w:type="dxa"/>
            <w:vAlign w:val="bottom"/>
          </w:tcPr>
          <w:p>
            <w:pPr>
              <w:spacing w:after="0"/>
              <w:rPr>
                <w:sz w:val="1"/>
                <w:szCs w:val="1"/>
                <w:color w:val="auto"/>
              </w:rPr>
            </w:pPr>
          </w:p>
        </w:tc>
      </w:tr>
      <w:tr>
        <w:trPr>
          <w:trHeight w:val="218"/>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09/12/2025</w:t>
            </w: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59,620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09/12/2025</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47,247</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47,247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September 12, 2029 assuming the reporting person is still employed by the Company and if the shares of the Company's common stock have achieved certain stock price targets over the course of the performance period.</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Kiril Kovachev as Attorney- </w:t>
      </w:r>
      <w:r>
        <w:rPr>
          <w:rFonts w:ascii="Times New Roman" w:cs="Times New Roman" w:eastAsia="Times New Roman" w:hAnsi="Times New Roman"/>
          <w:sz w:val="32"/>
          <w:szCs w:val="32"/>
          <w:color w:val="0000FF"/>
          <w:vertAlign w:val="subscript"/>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63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332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2025-09-16T11:23:04Z</dcterms:created>
  <dcterms:modified xsi:type="dcterms:W3CDTF">2025-09-16T11:23:04Z</dcterms:modified>
</cp:coreProperties>
</file>