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3" w:lineRule="exact"/>
        <w:rPr>
          <w:sz w:val="24"/>
          <w:szCs w:val="24"/>
          <w:color w:val="auto"/>
        </w:rPr>
      </w:pPr>
    </w:p>
    <w:p>
      <w:pPr>
        <w:ind w:left="332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3591560</wp:posOffset>
            </wp:positionH>
            <wp:positionV relativeFrom="paragraph">
              <wp:posOffset>-5080</wp:posOffset>
            </wp:positionV>
            <wp:extent cx="628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191135</wp:posOffset>
            </wp:positionV>
            <wp:extent cx="71120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2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CECO ENVIRONMENTAL CORP.</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5" w:lineRule="exact"/>
        <w:rPr>
          <w:sz w:val="24"/>
          <w:szCs w:val="24"/>
          <w:color w:val="auto"/>
        </w:rPr>
      </w:pPr>
    </w:p>
    <w:tbl>
      <w:tblPr>
        <w:tblLayout w:type="fixed"/>
        <w:tblInd w:w="790" w:type="dxa"/>
        <w:tblCellMar>
          <w:top w:w="0" w:type="dxa"/>
          <w:left w:w="0" w:type="dxa"/>
          <w:bottom w:w="0" w:type="dxa"/>
          <w:right w:w="0" w:type="dxa"/>
        </w:tblCellMar>
      </w:tblPr>
      <w:tr>
        <w:trPr>
          <w:trHeight w:val="214"/>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40" w:type="dxa"/>
            <w:vAlign w:val="bottom"/>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13-2566064</w:t>
            </w:r>
          </w:p>
        </w:tc>
      </w:tr>
      <w:tr>
        <w:trPr>
          <w:trHeight w:val="148"/>
        </w:trPr>
        <w:tc>
          <w:tcPr>
            <w:tcW w:w="3200" w:type="dxa"/>
            <w:vAlign w:val="bottom"/>
          </w:tcPr>
          <w:p>
            <w:pPr>
              <w:jc w:val="center"/>
              <w:ind w:left="67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640" w:type="dxa"/>
            <w:vAlign w:val="bottom"/>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rPr>
              <w:t>5080 Spectrum Drive</w:t>
            </w: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rPr>
              <w:t>Suite 800E</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4"/>
        </w:trPr>
        <w:tc>
          <w:tcPr>
            <w:tcW w:w="3200" w:type="dxa"/>
            <w:vAlign w:val="bottom"/>
          </w:tcPr>
          <w:p>
            <w:pPr>
              <w:jc w:val="center"/>
              <w:ind w:left="737"/>
              <w:spacing w:after="0"/>
              <w:rPr>
                <w:sz w:val="20"/>
                <w:szCs w:val="20"/>
                <w:color w:val="auto"/>
              </w:rPr>
            </w:pPr>
            <w:r>
              <w:rPr>
                <w:rFonts w:ascii="Times New Roman" w:cs="Times New Roman" w:eastAsia="Times New Roman" w:hAnsi="Times New Roman"/>
                <w:sz w:val="18"/>
                <w:szCs w:val="18"/>
                <w:b w:val="1"/>
                <w:bCs w:val="1"/>
                <w:color w:val="auto"/>
                <w:w w:val="99"/>
              </w:rPr>
              <w:t>Addison, Texas</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40" w:type="dxa"/>
            <w:vAlign w:val="bottom"/>
          </w:tcPr>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75001</w:t>
            </w:r>
          </w:p>
        </w:tc>
      </w:tr>
      <w:tr>
        <w:trPr>
          <w:trHeight w:val="190"/>
        </w:trPr>
        <w:tc>
          <w:tcPr>
            <w:tcW w:w="3200" w:type="dxa"/>
            <w:vAlign w:val="bottom"/>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0"/>
        </w:trPr>
        <w:tc>
          <w:tcPr>
            <w:tcW w:w="10000" w:type="dxa"/>
            <w:vAlign w:val="bottom"/>
            <w:gridSpan w:val="4"/>
          </w:tcPr>
          <w:p>
            <w:pPr>
              <w:ind w:left="22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tc>
      </w:tr>
      <w:tr>
        <w:trPr>
          <w:trHeight w:val="326"/>
        </w:trPr>
        <w:tc>
          <w:tcPr>
            <w:tcW w:w="32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92"/>
        </w:trPr>
        <w:tc>
          <w:tcPr>
            <w:tcW w:w="3200" w:type="dxa"/>
            <w:vAlign w:val="bottom"/>
            <w:tcBorders>
              <w:left w:val="single" w:sz="8" w:color="auto"/>
            </w:tcBorders>
          </w:tcPr>
          <w:p>
            <w:pPr>
              <w:jc w:val="center"/>
              <w:ind w:left="257"/>
              <w:spacing w:after="0"/>
              <w:rPr>
                <w:sz w:val="20"/>
                <w:szCs w:val="20"/>
                <w:color w:val="auto"/>
              </w:rPr>
            </w:pPr>
            <w:r>
              <w:rPr>
                <w:rFonts w:ascii="Times New Roman" w:cs="Times New Roman" w:eastAsia="Times New Roman" w:hAnsi="Times New Roman"/>
                <w:sz w:val="16"/>
                <w:szCs w:val="16"/>
                <w:color w:val="auto"/>
              </w:rPr>
              <w:t>Title of each class</w:t>
            </w:r>
          </w:p>
        </w:tc>
        <w:tc>
          <w:tcPr>
            <w:tcW w:w="36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60"/>
        </w:trPr>
        <w:tc>
          <w:tcPr>
            <w:tcW w:w="320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3640" w:type="dxa"/>
            <w:vAlign w:val="bottom"/>
            <w:tcBorders>
              <w:bottom w:val="single" w:sz="8" w:color="auto"/>
              <w:right w:val="single" w:sz="8" w:color="auto"/>
            </w:tcBorders>
          </w:tcPr>
          <w:p>
            <w:pPr>
              <w:spacing w:after="0"/>
              <w:rPr>
                <w:sz w:val="5"/>
                <w:szCs w:val="5"/>
                <w:color w:val="auto"/>
              </w:rPr>
            </w:pPr>
          </w:p>
        </w:tc>
      </w:tr>
      <w:tr>
        <w:trPr>
          <w:trHeight w:val="190"/>
        </w:trPr>
        <w:tc>
          <w:tcPr>
            <w:tcW w:w="3200" w:type="dxa"/>
            <w:vAlign w:val="bottom"/>
            <w:tcBorders>
              <w:left w:val="single" w:sz="8" w:color="auto"/>
            </w:tcBorders>
          </w:tcPr>
          <w:p>
            <w:pPr>
              <w:jc w:val="center"/>
              <w:ind w:left="257"/>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36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CECO</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9"/>
        </w:trPr>
        <w:tc>
          <w:tcPr>
            <w:tcW w:w="320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60" w:firstLine="26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100" w:firstLine="26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26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30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97" w:lineRule="exact"/>
        <w:rPr>
          <w:sz w:val="24"/>
          <w:szCs w:val="24"/>
          <w:color w:val="auto"/>
        </w:rPr>
      </w:pPr>
    </w:p>
    <w:p>
      <w:pPr>
        <w:ind w:right="220" w:firstLine="26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280"/>
        <w:spacing w:after="0" w:line="207" w:lineRule="exact"/>
        <w:tabs>
          <w:tab w:leader="none" w:pos="92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0" w:lineRule="exact"/>
        <w:rPr>
          <w:sz w:val="24"/>
          <w:szCs w:val="24"/>
          <w:color w:val="auto"/>
        </w:rPr>
      </w:pPr>
    </w:p>
    <w:p>
      <w:pPr>
        <w:ind w:firstLine="269"/>
        <w:spacing w:after="0" w:line="258" w:lineRule="auto"/>
        <w:rPr>
          <w:sz w:val="20"/>
          <w:szCs w:val="20"/>
          <w:color w:val="auto"/>
        </w:rPr>
      </w:pPr>
      <w:r>
        <w:rPr>
          <w:rFonts w:ascii="Times New Roman" w:cs="Times New Roman" w:eastAsia="Times New Roman" w:hAnsi="Times New Roman"/>
          <w:sz w:val="18"/>
          <w:szCs w:val="18"/>
          <w:color w:val="auto"/>
        </w:rPr>
        <w:t>The number of shares outstanding of each of the issuer’s classes of common equity, as of the latest practical date: 35,328,115 shares of common stock, par value $0.01 per share, as of July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423545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 ended June 30, 2025</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 –</w:t>
            </w:r>
          </w:p>
        </w:tc>
        <w:tc>
          <w:tcPr>
            <w:tcW w:w="1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17"/>
                <w:szCs w:val="17"/>
                <w:color w:val="auto"/>
              </w:rPr>
            </w:pPr>
          </w:p>
        </w:tc>
        <w:tc>
          <w:tcPr>
            <w:tcW w:w="7700" w:type="dxa"/>
            <w:vAlign w:val="bottom"/>
            <w:gridSpan w:val="14"/>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six months ended June 30, 2025 and 2024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six months ended June 30, 2025 and 2024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six months ended June 30, 2025 and 2024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2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44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II –</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top w:val="single" w:sz="8" w:color="0000FF"/>
              <w:bottom w:val="single" w:sz="8" w:color="0000EE"/>
            </w:tcBorders>
          </w:tcPr>
          <w:p>
            <w:pPr>
              <w:spacing w:after="0"/>
              <w:rPr>
                <w:sz w:val="24"/>
                <w:szCs w:val="24"/>
                <w:color w:val="auto"/>
              </w:rPr>
            </w:pPr>
          </w:p>
        </w:tc>
        <w:tc>
          <w:tcPr>
            <w:tcW w:w="980" w:type="dxa"/>
            <w:vAlign w:val="bottom"/>
            <w:tcBorders>
              <w:top w:val="single" w:sz="8" w:color="0000FF"/>
            </w:tcBorders>
            <w:gridSpan w:val="6"/>
          </w:tcPr>
          <w:p>
            <w:pPr>
              <w:spacing w:after="0"/>
              <w:rPr>
                <w:sz w:val="24"/>
                <w:szCs w:val="24"/>
                <w:color w:val="auto"/>
              </w:rPr>
            </w:pPr>
          </w:p>
        </w:tc>
        <w:tc>
          <w:tcPr>
            <w:tcW w:w="698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40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70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7"/>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440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642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440" w:type="dxa"/>
            <w:vAlign w:val="bottom"/>
            <w:tcBorders>
              <w:top w:val="single" w:sz="8" w:color="0000FF"/>
            </w:tcBorders>
            <w:gridSpan w:val="3"/>
          </w:tcPr>
          <w:p>
            <w:pPr>
              <w:spacing w:after="0"/>
              <w:rPr>
                <w:sz w:val="24"/>
                <w:szCs w:val="24"/>
                <w:color w:val="auto"/>
              </w:rPr>
            </w:pPr>
          </w:p>
        </w:tc>
        <w:tc>
          <w:tcPr>
            <w:tcW w:w="698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560" w:top="981" w:right="5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CECO ENVIRONMENTAL CORP.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Pr>
          <w:p>
            <w:pPr>
              <w:spacing w:after="0"/>
              <w:rPr>
                <w:sz w:val="15"/>
                <w:szCs w:val="15"/>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36,823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 allowances of $8,993 and $8,863</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161,498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159,572</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69,889</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income taxes</w:t>
            </w: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330,971</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25,102</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288,043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269,747</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74,050</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876,582</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759,699</w:t>
            </w:r>
          </w:p>
        </w:tc>
        <w:tc>
          <w:tcPr>
            <w:tcW w:w="10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debt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109,671</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53,950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81,501</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18"/>
                <w:szCs w:val="18"/>
                <w:color w:val="auto"/>
              </w:rPr>
            </w:pPr>
          </w:p>
        </w:tc>
      </w:tr>
      <w:tr>
        <w:trPr>
          <w:trHeight w:val="209"/>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285,035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244,662</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236,877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19,747</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573,363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507,806</w:t>
            </w:r>
          </w:p>
        </w:tc>
        <w:tc>
          <w:tcPr>
            <w:tcW w:w="100" w:type="dxa"/>
            <w:vAlign w:val="bottom"/>
          </w:tcPr>
          <w:p>
            <w:pPr>
              <w:spacing w:after="0"/>
              <w:rPr>
                <w:sz w:val="18"/>
                <w:szCs w:val="18"/>
                <w:color w:val="auto"/>
              </w:rPr>
            </w:pP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100,000,000 shares authorized, 35,307,944 and</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34,978,009 shares issued and outstanding at June 30, 2025 and December 31, 2024, respectively</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0"/>
                <w:szCs w:val="20"/>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258,466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255,211</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(12,518)</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(14,441)</w:t>
            </w:r>
          </w:p>
        </w:tc>
      </w:tr>
      <w:tr>
        <w:trPr>
          <w:trHeight w:val="209"/>
        </w:trPr>
        <w:tc>
          <w:tcPr>
            <w:tcW w:w="74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298,364</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247,689</w:t>
            </w:r>
          </w:p>
        </w:tc>
        <w:tc>
          <w:tcPr>
            <w:tcW w:w="100" w:type="dxa"/>
            <w:vAlign w:val="bottom"/>
            <w:tcBorders>
              <w:top w:val="single" w:sz="8" w:color="CFF0FC"/>
            </w:tcBorders>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303,219</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251,893</w:t>
            </w:r>
          </w:p>
        </w:tc>
        <w:tc>
          <w:tcPr>
            <w:tcW w:w="100" w:type="dxa"/>
            <w:vAlign w:val="bottom"/>
          </w:tcPr>
          <w:p>
            <w:pPr>
              <w:spacing w:after="0"/>
              <w:rPr>
                <w:sz w:val="18"/>
                <w:szCs w:val="18"/>
                <w:color w:val="auto"/>
              </w:rPr>
            </w:pPr>
          </w:p>
        </w:tc>
      </w:tr>
      <w:tr>
        <w:trPr>
          <w:trHeight w:val="250"/>
        </w:trPr>
        <w:tc>
          <w:tcPr>
            <w:tcW w:w="74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876,582</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759,699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-4919980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-4919980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-3813810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-1851025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-599440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-316230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185,391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137,522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362,088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118,283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88,475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232,818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129,270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(64,502)</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(2,738)</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(2,725)</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from operations</w:t>
            </w:r>
          </w:p>
        </w:tc>
        <w:tc>
          <w:tcPr>
            <w:tcW w:w="6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79,930</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(1,454)</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6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45,494</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6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4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6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35,286,065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34,918,412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35,157,514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34,881,625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36,558,493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36,302,664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36,624,237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36,239,331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-1605280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-1605280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-1605280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-1605280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-1322705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-1322705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-1322705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-1322705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-1039495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-1039495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-1039495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-1039495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-448310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-431165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-448310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-431165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-448310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-431165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8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300" w:type="dxa"/>
            <w:vAlign w:val="bottom"/>
            <w:vMerge w:val="continue"/>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10,106</w:t>
            </w:r>
          </w:p>
        </w:tc>
        <w:tc>
          <w:tcPr>
            <w:tcW w:w="11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46,549</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
        </w:trPr>
        <w:tc>
          <w:tcPr>
            <w:tcW w:w="530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80" w:type="dxa"/>
            <w:vAlign w:val="bottom"/>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10,510</w:t>
            </w:r>
          </w:p>
        </w:tc>
        <w:tc>
          <w:tcPr>
            <w:tcW w:w="11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48,472</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-453390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-453390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-453390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-170815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8"/>
            <w:vMerge w:val="restart"/>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Non-</w:t>
            </w:r>
          </w:p>
        </w:tc>
        <w:tc>
          <w:tcPr>
            <w:tcW w:w="260" w:type="dxa"/>
            <w:vAlign w:val="bottom"/>
          </w:tcPr>
          <w:p>
            <w:pPr>
              <w:spacing w:after="0"/>
              <w:rPr>
                <w:sz w:val="12"/>
                <w:szCs w:val="12"/>
                <w:color w:val="auto"/>
              </w:rPr>
            </w:pPr>
          </w:p>
        </w:tc>
        <w:tc>
          <w:tcPr>
            <w:tcW w:w="76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gridSpan w:val="8"/>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3"/>
                <w:szCs w:val="13"/>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1140" w:type="dxa"/>
            <w:vAlign w:val="bottom"/>
            <w:tcBorders>
              <w:top w:val="single" w:sz="8" w:color="auto"/>
            </w:tcBorders>
            <w:gridSpan w:val="4"/>
          </w:tcPr>
          <w:p>
            <w:pPr>
              <w:jc w:val="right"/>
              <w:ind w:right="5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right"/>
              <w:ind w:right="133"/>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6"/>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3"/>
          </w:tcPr>
          <w:p>
            <w:pPr>
              <w:jc w:val="center"/>
              <w:ind w:right="62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60" w:type="dxa"/>
            <w:vAlign w:val="bottom"/>
          </w:tcPr>
          <w:p>
            <w:pPr>
              <w:spacing w:after="0"/>
              <w:rPr>
                <w:sz w:val="11"/>
                <w:szCs w:val="11"/>
                <w:color w:val="auto"/>
              </w:rPr>
            </w:pPr>
          </w:p>
        </w:tc>
        <w:tc>
          <w:tcPr>
            <w:tcW w:w="760" w:type="dxa"/>
            <w:vAlign w:val="bottom"/>
            <w:gridSpan w:val="3"/>
          </w:tcPr>
          <w:p>
            <w:pPr>
              <w:jc w:val="center"/>
              <w:ind w:right="38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December 31, 2024</w:t>
            </w:r>
          </w:p>
        </w:tc>
        <w:tc>
          <w:tcPr>
            <w:tcW w:w="2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34,978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255,211</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5"/>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(14,441)</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4,204</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251,893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 for the three months ended March 31, 2025</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35,984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36,442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(3,045)</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(3,042)</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3,641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3,641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1,519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(402)</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March 31, 2025</w:t>
            </w:r>
          </w:p>
        </w:tc>
        <w:tc>
          <w:tcPr>
            <w:tcW w:w="9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35,250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352</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255,807</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5"/>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42,554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(12,922)</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4,260</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290,051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1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Net income for the three months ended June 30, 2025</w:t>
            </w:r>
          </w:p>
        </w:tc>
        <w:tc>
          <w:tcPr>
            <w:tcW w:w="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5"/>
          </w:tcPr>
          <w:p>
            <w:pPr>
              <w:jc w:val="right"/>
              <w:spacing w:after="0" w:line="129" w:lineRule="exact"/>
              <w:rPr>
                <w:sz w:val="20"/>
                <w:szCs w:val="20"/>
                <w:color w:val="auto"/>
              </w:rPr>
            </w:pPr>
            <w:r>
              <w:rPr>
                <w:rFonts w:ascii="Times New Roman" w:cs="Times New Roman" w:eastAsia="Times New Roman" w:hAnsi="Times New Roman"/>
                <w:sz w:val="13"/>
                <w:szCs w:val="13"/>
                <w:color w:val="auto"/>
              </w:rPr>
              <w:t>9,510</w:t>
            </w: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595</w:t>
            </w: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10,105</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(224)</w:t>
            </w: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2,878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June 30, 2025</w:t>
            </w:r>
          </w:p>
        </w:tc>
        <w:tc>
          <w:tcPr>
            <w:tcW w:w="9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35,308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352</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258,466</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5"/>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52,064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(12,518)</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4,855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303,219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12"/>
        </w:trPr>
        <w:tc>
          <w:tcPr>
            <w:tcW w:w="31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3"/>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8"/>
            <w:vMerge w:val="restart"/>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Non-</w:t>
            </w:r>
          </w:p>
        </w:tc>
        <w:tc>
          <w:tcPr>
            <w:tcW w:w="260" w:type="dxa"/>
            <w:vAlign w:val="bottom"/>
          </w:tcPr>
          <w:p>
            <w:pPr>
              <w:spacing w:after="0"/>
              <w:rPr>
                <w:sz w:val="12"/>
                <w:szCs w:val="12"/>
                <w:color w:val="auto"/>
              </w:rPr>
            </w:pPr>
          </w:p>
        </w:tc>
        <w:tc>
          <w:tcPr>
            <w:tcW w:w="76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gridSpan w:val="8"/>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80" w:type="dxa"/>
            <w:vAlign w:val="bottom"/>
          </w:tcPr>
          <w:p>
            <w:pPr>
              <w:spacing w:after="0"/>
              <w:rPr>
                <w:sz w:val="13"/>
                <w:szCs w:val="13"/>
                <w:color w:val="auto"/>
              </w:rPr>
            </w:pPr>
          </w:p>
        </w:tc>
        <w:tc>
          <w:tcPr>
            <w:tcW w:w="1120" w:type="dxa"/>
            <w:vAlign w:val="bottom"/>
            <w:gridSpan w:val="7"/>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3"/>
                <w:szCs w:val="13"/>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1140" w:type="dxa"/>
            <w:vAlign w:val="bottom"/>
            <w:tcBorders>
              <w:top w:val="single" w:sz="8" w:color="auto"/>
            </w:tcBorders>
            <w:gridSpan w:val="4"/>
          </w:tcPr>
          <w:p>
            <w:pPr>
              <w:jc w:val="right"/>
              <w:ind w:right="5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right"/>
              <w:ind w:right="133"/>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5"/>
          </w:tcPr>
          <w:p>
            <w:pPr>
              <w:jc w:val="center"/>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3"/>
          </w:tcPr>
          <w:p>
            <w:pPr>
              <w:jc w:val="center"/>
              <w:ind w:right="62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60" w:type="dxa"/>
            <w:vAlign w:val="bottom"/>
          </w:tcPr>
          <w:p>
            <w:pPr>
              <w:spacing w:after="0"/>
              <w:rPr>
                <w:sz w:val="11"/>
                <w:szCs w:val="11"/>
                <w:color w:val="auto"/>
              </w:rPr>
            </w:pPr>
          </w:p>
        </w:tc>
        <w:tc>
          <w:tcPr>
            <w:tcW w:w="760" w:type="dxa"/>
            <w:vAlign w:val="bottom"/>
            <w:gridSpan w:val="3"/>
          </w:tcPr>
          <w:p>
            <w:pPr>
              <w:jc w:val="center"/>
              <w:ind w:right="38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December 31, 2023</w:t>
            </w:r>
          </w:p>
        </w:tc>
        <w:tc>
          <w:tcPr>
            <w:tcW w:w="2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34,835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348</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254,956</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6"/>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(6,387)</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(16,274)</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4,848</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237,491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 for the three months ended March 31, 2024</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1,508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(2,204)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(2,202)</w:t>
            </w: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1,808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repurchase and retirement</w:t>
            </w: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(144)</w:t>
            </w:r>
          </w:p>
        </w:tc>
        <w:tc>
          <w:tcPr>
            <w:tcW w:w="120" w:type="dxa"/>
            <w:vAlign w:val="bottom"/>
          </w:tcPr>
          <w:p>
            <w:pPr>
              <w:spacing w:after="0"/>
              <w:rPr>
                <w:sz w:val="12"/>
                <w:szCs w:val="12"/>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(3,000)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(3,001)</w:t>
            </w: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(804)</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(804)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March 31, 2024</w:t>
            </w:r>
          </w:p>
        </w:tc>
        <w:tc>
          <w:tcPr>
            <w:tcW w:w="9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34,908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251,673</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6"/>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(4,879)</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(15,620)</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4,629</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236,152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1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Net income for the three months ended June 30, 2024</w:t>
            </w:r>
          </w:p>
        </w:tc>
        <w:tc>
          <w:tcPr>
            <w:tcW w:w="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5"/>
          </w:tcPr>
          <w:p>
            <w:pPr>
              <w:jc w:val="right"/>
              <w:spacing w:after="0" w:line="129" w:lineRule="exact"/>
              <w:rPr>
                <w:sz w:val="20"/>
                <w:szCs w:val="20"/>
                <w:color w:val="auto"/>
              </w:rPr>
            </w:pPr>
            <w:r>
              <w:rPr>
                <w:rFonts w:ascii="Times New Roman" w:cs="Times New Roman" w:eastAsia="Times New Roman" w:hAnsi="Times New Roman"/>
                <w:sz w:val="13"/>
                <w:szCs w:val="13"/>
                <w:color w:val="auto"/>
              </w:rPr>
              <w:t>4,485</w:t>
            </w: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445</w:t>
            </w: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4,930</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(466)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(465)</w:t>
            </w: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2,191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repurchase and retirement</w:t>
            </w: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tcPr>
          <w:p>
            <w:pPr>
              <w:spacing w:after="0"/>
              <w:rPr>
                <w:sz w:val="12"/>
                <w:szCs w:val="12"/>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(1,999)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loss</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(856)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(856)</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(301)</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(301)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June 30, 2024</w:t>
            </w:r>
          </w:p>
        </w:tc>
        <w:tc>
          <w:tcPr>
            <w:tcW w:w="9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34,924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251,560</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6"/>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(394)</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(16,476)</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4,773</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239,812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-2990850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-2974340</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-2990850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-2974340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-2990850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-2974340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-2990850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-2974340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-2990850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-2974340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-2990850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-2974340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-2974340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-2390775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-2374265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-2390775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-2374265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-2390775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-2374265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-2390775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-2374265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-2390775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-2374265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-2390775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-2374265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-2374265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-814070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-796290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-814070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-796290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-814070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-796290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-814070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-796290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-814070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-796290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-814070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-796290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-25400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-8255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-25400</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-8255</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2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46,549</w:t>
            </w:r>
          </w:p>
        </w:tc>
        <w:tc>
          <w:tcPr>
            <w:tcW w:w="160" w:type="dxa"/>
            <w:vAlign w:val="bottom"/>
          </w:tcPr>
          <w:p>
            <w:pPr>
              <w:spacing w:after="0"/>
              <w:rPr>
                <w:sz w:val="17"/>
                <w:szCs w:val="17"/>
                <w:color w:val="auto"/>
              </w:rPr>
            </w:pPr>
          </w:p>
        </w:tc>
        <w:tc>
          <w:tcPr>
            <w:tcW w:w="80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provided by operating activities: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on sale of Global Pump Solutions business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(64,502)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Fair value adjustment to earnout liabilities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(7,403)</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loss on sale of property and equipment</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Provision for credit loss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 and divestiture:</w:t>
            </w: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(17,295)</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(19,635)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(8,853)</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(5,151)</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(13,865)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(11,164)</w:t>
            </w: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9,973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(6,884)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(6,967)</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(19,363)</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(4,432)</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(7,233)</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proceeds for sale of Global Pump Solutions business</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cash (paid) received for acquisitions, net of cash acquired</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(97,615)</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(6,811)</w:t>
            </w:r>
          </w:p>
        </w:tc>
        <w:tc>
          <w:tcPr>
            <w:tcW w:w="0" w:type="dxa"/>
            <w:vAlign w:val="bottom"/>
          </w:tcPr>
          <w:p>
            <w:pPr>
              <w:spacing w:after="0"/>
              <w:rPr>
                <w:sz w:val="1"/>
                <w:szCs w:val="1"/>
                <w:color w:val="auto"/>
              </w:rPr>
            </w:pPr>
          </w:p>
        </w:tc>
      </w:tr>
      <w:tr>
        <w:trPr>
          <w:trHeight w:val="19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(142,300)</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(23,200)</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(5,198)</w:t>
            </w: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(2,050)</w:t>
            </w: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Earnout payments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(1,672)</w:t>
            </w:r>
          </w:p>
        </w:tc>
        <w:tc>
          <w:tcPr>
            <w:tcW w:w="0" w:type="dxa"/>
            <w:vAlign w:val="bottom"/>
          </w:tcPr>
          <w:p>
            <w:pPr>
              <w:spacing w:after="0"/>
              <w:rPr>
                <w:sz w:val="1"/>
                <w:szCs w:val="1"/>
                <w:color w:val="auto"/>
              </w:rPr>
            </w:pPr>
          </w:p>
        </w:tc>
      </w:tr>
      <w:tr>
        <w:trPr>
          <w:trHeight w:val="189"/>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awards surrendered by employees for tax liability, net of proceeds from employee stock purchase</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 and exercise of stock options</w:t>
            </w:r>
          </w:p>
        </w:tc>
        <w:tc>
          <w:tcPr>
            <w:tcW w:w="4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(2,906)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repurchased</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14,197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(16,565)</w:t>
            </w:r>
          </w:p>
        </w:tc>
        <w:tc>
          <w:tcPr>
            <w:tcW w:w="0" w:type="dxa"/>
            <w:vAlign w:val="bottom"/>
          </w:tcPr>
          <w:p>
            <w:pPr>
              <w:spacing w:after="0"/>
              <w:rPr>
                <w:sz w:val="1"/>
                <w:szCs w:val="1"/>
                <w:color w:val="auto"/>
              </w:rPr>
            </w:pPr>
          </w:p>
        </w:tc>
      </w:tr>
      <w:tr>
        <w:trPr>
          <w:trHeight w:val="20"/>
        </w:trPr>
        <w:tc>
          <w:tcPr>
            <w:tcW w:w="7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(3,049)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(18,534)</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36,909</w:t>
            </w: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4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10,940</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18,642</w:t>
            </w:r>
          </w:p>
        </w:tc>
        <w:tc>
          <w:tcPr>
            <w:tcW w:w="160" w:type="dxa"/>
            <w:vAlign w:val="bottom"/>
          </w:tcPr>
          <w:p>
            <w:pPr>
              <w:spacing w:after="0"/>
              <w:rPr>
                <w:sz w:val="15"/>
                <w:szCs w:val="15"/>
                <w:color w:val="auto"/>
              </w:rPr>
            </w:pPr>
          </w:p>
        </w:tc>
        <w:tc>
          <w:tcPr>
            <w:tcW w:w="80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-3222625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-2699385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-1002665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-462280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-445135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-179705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-161925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CECO ENVIRONMENTAL CORP.</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(unaudited)</w:t>
      </w:r>
    </w:p>
    <w:p>
      <w:pPr>
        <w:spacing w:after="0" w:line="203" w:lineRule="exact"/>
        <w:rPr>
          <w:sz w:val="20"/>
          <w:szCs w:val="20"/>
          <w:color w:val="auto"/>
        </w:rPr>
      </w:pPr>
    </w:p>
    <w:p>
      <w:pPr>
        <w:ind w:left="352" w:hanging="352"/>
        <w:spacing w:after="0"/>
        <w:tabs>
          <w:tab w:leader="none" w:pos="3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Reporting for Consolidated Financial Statements</w:t>
      </w:r>
    </w:p>
    <w:p>
      <w:pPr>
        <w:spacing w:after="0" w:line="229" w:lineRule="exact"/>
        <w:rPr>
          <w:sz w:val="20"/>
          <w:szCs w:val="20"/>
          <w:color w:val="auto"/>
        </w:rPr>
      </w:pPr>
    </w:p>
    <w:p>
      <w:pPr>
        <w:ind w:left="512" w:right="8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June 30, 2025 and the results of operations, cash flows and shareholders’ equity for the three and six months ended June 30, 2025 and 2024. The results of operations for the three and six months ended June 30, 2025 are not necessarily indicative of the results to be expected for the full year. The balance sheet as of December 31, 2024 has been derived from the audited consolidated financial statements included in the Company’s Annual Report on Form 10-K for the year ended December 31, 2024 as filed with the SEC on February 25, 2025 (the “Form 10-K”).</w:t>
      </w:r>
    </w:p>
    <w:p>
      <w:pPr>
        <w:spacing w:after="0" w:line="194" w:lineRule="exact"/>
        <w:rPr>
          <w:sz w:val="20"/>
          <w:szCs w:val="20"/>
          <w:color w:val="auto"/>
        </w:rPr>
      </w:pPr>
    </w:p>
    <w:p>
      <w:pPr>
        <w:jc w:val="both"/>
        <w:ind w:left="512" w:right="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512" w:right="580"/>
        <w:spacing w:after="0" w:line="282" w:lineRule="auto"/>
        <w:rPr>
          <w:sz w:val="20"/>
          <w:szCs w:val="20"/>
          <w:color w:val="auto"/>
        </w:rPr>
      </w:pPr>
      <w:r>
        <w:rPr>
          <w:rFonts w:ascii="Times New Roman" w:cs="Times New Roman" w:eastAsia="Times New Roman" w:hAnsi="Times New Roman"/>
          <w:sz w:val="18"/>
          <w:szCs w:val="18"/>
          <w:color w:val="auto"/>
        </w:rPr>
        <w:t>These financial statements and accompanying notes should be read in conjunction with the audited financial statements and the notes thereto included in the Form 10-K.</w:t>
      </w:r>
    </w:p>
    <w:p>
      <w:pPr>
        <w:spacing w:after="0" w:line="16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Unless otherwise indicated, all balances within tables are in thousands, except per share amounts.</w:t>
      </w:r>
    </w:p>
    <w:p>
      <w:pPr>
        <w:spacing w:after="0" w:line="221" w:lineRule="exact"/>
        <w:rPr>
          <w:sz w:val="20"/>
          <w:szCs w:val="20"/>
          <w:color w:val="auto"/>
        </w:rPr>
      </w:pPr>
    </w:p>
    <w:p>
      <w:pPr>
        <w:ind w:left="352" w:hanging="352"/>
        <w:spacing w:after="0"/>
        <w:tabs>
          <w:tab w:leader="none" w:pos="35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Financial Accounting Pronouncements</w:t>
      </w:r>
    </w:p>
    <w:p>
      <w:pPr>
        <w:spacing w:after="0" w:line="229" w:lineRule="exact"/>
        <w:rPr>
          <w:sz w:val="20"/>
          <w:szCs w:val="20"/>
          <w:color w:val="auto"/>
        </w:rPr>
      </w:pPr>
    </w:p>
    <w:p>
      <w:pPr>
        <w:ind w:left="512"/>
        <w:spacing w:after="0" w:line="266" w:lineRule="auto"/>
        <w:rPr>
          <w:sz w:val="20"/>
          <w:szCs w:val="20"/>
          <w:color w:val="auto"/>
        </w:rPr>
      </w:pPr>
      <w:r>
        <w:rPr>
          <w:rFonts w:ascii="Times New Roman" w:cs="Times New Roman" w:eastAsia="Times New Roman" w:hAnsi="Times New Roman"/>
          <w:sz w:val="18"/>
          <w:szCs w:val="18"/>
          <w:color w:val="auto"/>
        </w:rPr>
        <w:t>The Company considered the impact of all Accounting Standards Updates ("ASUs") issued by the Financial Accounting Standards Board ("FASB"). The ASUs issued but not listed below were assessed and determined to be either not applicable or are expected to have minimal impact on the Company's consolidated financial statements.</w:t>
      </w:r>
    </w:p>
    <w:p>
      <w:pPr>
        <w:spacing w:after="0" w:line="17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Accounting Standards Adopted in Fiscal 2025</w:t>
      </w:r>
    </w:p>
    <w:p>
      <w:pPr>
        <w:spacing w:after="0" w:line="229"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Accounting Standards to be Adopted</w:t>
      </w:r>
    </w:p>
    <w:p>
      <w:pPr>
        <w:spacing w:after="0" w:line="229" w:lineRule="exact"/>
        <w:rPr>
          <w:sz w:val="20"/>
          <w:szCs w:val="20"/>
          <w:color w:val="auto"/>
        </w:rPr>
      </w:pPr>
    </w:p>
    <w:p>
      <w:pPr>
        <w:jc w:val="both"/>
        <w:ind w:left="512" w:right="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addresses annual income tax disclosure requirements, primarily around the disclosure of the rate reconciliation and income taxes paid. The ASU is effective for fiscal years beginning after December 15, 2024. The Company is currently evaluating the impact the adoption of the standard will have on the Company’s consolidated financial statements and will adopt the new annual disclosures as required for the fiscal year ended December 31, 2025.</w:t>
      </w:r>
    </w:p>
    <w:p>
      <w:pPr>
        <w:spacing w:after="0" w:line="180" w:lineRule="exact"/>
        <w:rPr>
          <w:sz w:val="20"/>
          <w:szCs w:val="20"/>
          <w:color w:val="auto"/>
        </w:rPr>
      </w:pPr>
    </w:p>
    <w:p>
      <w:pPr>
        <w:ind w:left="512" w:right="120"/>
        <w:spacing w:after="0" w:line="281"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Disaggregation of Income Statement Expenses, which addresses expense disclosure requirements, primarily the disaggregation of expense captions. The ASU is effective for fiscal years beginning after December 15, 2026, and interim periods beginning after December 15, 2027. The Company is currently evaluating the impact the adoption of the standard will have on the Company’s consolidated financial statements.</w:t>
      </w:r>
    </w:p>
    <w:p>
      <w:pPr>
        <w:spacing w:after="0" w:line="3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8" w:name="page9"/>
    <w:bookmarkEnd w:id="8"/>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Accounts receivable as of June 30,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170,491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168,435</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(8,993)</w:t>
            </w:r>
          </w:p>
        </w:tc>
        <w:tc>
          <w:tcPr>
            <w:tcW w:w="18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(8,863)</w:t>
            </w:r>
          </w:p>
        </w:tc>
      </w:tr>
      <w:tr>
        <w:trPr>
          <w:trHeight w:val="20"/>
        </w:trPr>
        <w:tc>
          <w:tcPr>
            <w:tcW w:w="4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161,498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159,572</w:t>
            </w:r>
          </w:p>
        </w:tc>
        <w:tc>
          <w:tcPr>
            <w:tcW w:w="100" w:type="dxa"/>
            <w:vAlign w:val="bottom"/>
            <w:shd w:val="clear" w:color="auto" w:fill="CFF0FC"/>
          </w:tcPr>
          <w:p>
            <w:pPr>
              <w:spacing w:after="0"/>
              <w:rPr>
                <w:sz w:val="19"/>
                <w:szCs w:val="19"/>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 net as of the beginning of the prior year period, or January 1, 2024, were $112.7 million.</w:t>
      </w:r>
    </w:p>
    <w:p>
      <w:pPr>
        <w:spacing w:after="0" w:line="225" w:lineRule="exact"/>
        <w:rPr>
          <w:sz w:val="20"/>
          <w:szCs w:val="20"/>
          <w:color w:val="auto"/>
        </w:rPr>
      </w:pPr>
    </w:p>
    <w:p>
      <w:pPr>
        <w:ind w:left="520" w:right="200"/>
        <w:spacing w:after="0" w:line="261" w:lineRule="auto"/>
        <w:rPr>
          <w:sz w:val="20"/>
          <w:szCs w:val="20"/>
          <w:color w:val="auto"/>
        </w:rPr>
      </w:pPr>
      <w:r>
        <w:rPr>
          <w:rFonts w:ascii="Times New Roman" w:cs="Times New Roman" w:eastAsia="Times New Roman" w:hAnsi="Times New Roman"/>
          <w:sz w:val="18"/>
          <w:szCs w:val="18"/>
          <w:color w:val="auto"/>
        </w:rPr>
        <w:t>Balances billed but not paid by customers under retainage provisions in contracts within the Condensed Consolidated Balance Sheets amounted to approximately $15.8 million and $13.6 million at June 30, 2025 and December 31, 2024, respectively. Retainage receivables on contracts in progress are generally collected within a year or two subsequent to contract completion, and are recorded in either "Accounts receivable, net" or "Deferred charges and other assets" within the Condensed Consolidated Balance Sheets depending on timing of expected collection.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Provision for credit losses activity for the six months ended June 30, 2025 and 2024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(1,167)</w:t>
            </w:r>
          </w:p>
        </w:tc>
        <w:tc>
          <w:tcPr>
            <w:tcW w:w="6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to the provision</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(651)</w:t>
            </w:r>
          </w:p>
        </w:tc>
        <w:tc>
          <w:tcPr>
            <w:tcW w:w="160" w:type="dxa"/>
            <w:vAlign w:val="bottom"/>
          </w:tcPr>
          <w:p>
            <w:pPr>
              <w:spacing w:after="0"/>
              <w:rPr>
                <w:sz w:val="18"/>
                <w:szCs w:val="18"/>
                <w:color w:val="auto"/>
              </w:rPr>
            </w:pPr>
          </w:p>
        </w:tc>
      </w:tr>
      <w:tr>
        <w:trPr>
          <w:trHeight w:val="249"/>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28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-25400</wp:posOffset>
            </wp:positionV>
            <wp:extent cx="768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Assets and Liabilities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Contract assets and liabilities as of June 30,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91,262</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69,889</w:t>
            </w:r>
          </w:p>
        </w:tc>
        <w:tc>
          <w:tcPr>
            <w:tcW w:w="120" w:type="dxa"/>
            <w:vAlign w:val="bottom"/>
            <w:shd w:val="clear" w:color="auto" w:fill="CFF0FC"/>
          </w:tcPr>
          <w:p>
            <w:pPr>
              <w:spacing w:after="0"/>
              <w:rPr>
                <w:sz w:val="18"/>
                <w:szCs w:val="18"/>
                <w:color w:val="auto"/>
              </w:rPr>
            </w:pP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93,045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81,501</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ind w:left="520" w:right="120"/>
        <w:spacing w:after="0" w:line="258" w:lineRule="auto"/>
        <w:rPr>
          <w:sz w:val="20"/>
          <w:szCs w:val="20"/>
          <w:color w:val="auto"/>
        </w:rPr>
      </w:pPr>
      <w:r>
        <w:rPr>
          <w:rFonts w:ascii="Times New Roman" w:cs="Times New Roman" w:eastAsia="Times New Roman" w:hAnsi="Times New Roman"/>
          <w:sz w:val="18"/>
          <w:szCs w:val="18"/>
          <w:color w:val="auto"/>
        </w:rPr>
        <w:t>As of the beginning of the prior year period, or January 1, 2024, costs and estimated earnings in excess of billings on uncompleted contracts and billings in excess of costs and estimated earnings on uncompleted contracts were $66.6 million and $56.9 million, respectively. The contract liabilities recorded in “Accrued expenses” on the Condensed Consolidated Balance Sheets were $16.0 million, $9.7 million and $7.9 million as of June 30, 2025, December 31, 2024 and January 1, 2024, respectively. Approximately 50% of the Company's contract liabilities as of December 31, 2024 were recognized as revenue in the six months ended June 30, 2025.</w:t>
      </w:r>
    </w:p>
    <w:p>
      <w:pPr>
        <w:spacing w:after="0" w:line="1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Inventories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Inventories as of June 30,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21,461</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12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20,640</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59,792</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1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520" w:right="540"/>
        <w:spacing w:after="0" w:line="266" w:lineRule="auto"/>
        <w:rPr>
          <w:sz w:val="20"/>
          <w:szCs w:val="20"/>
          <w:color w:val="auto"/>
        </w:rPr>
      </w:pPr>
      <w:r>
        <w:rPr>
          <w:rFonts w:ascii="Times New Roman" w:cs="Times New Roman" w:eastAsia="Times New Roman" w:hAnsi="Times New Roman"/>
          <w:sz w:val="18"/>
          <w:szCs w:val="18"/>
          <w:color w:val="auto"/>
        </w:rPr>
        <w:t>Amounts credited to the allowance for obsolete inventory and charged to cost of sales amounted to $0.1 million and $0.2 million for the three months ended June 30, 2025 and 2024, respectively, and $0.2 million and $0.7 million for the six months ended June 30, 2025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Goodwill and indefinite life intangible asset activity for the six months ended June 30, 2025 and the year ended December 31, 2024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5"/>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142"/>
        </w:trPr>
        <w:tc>
          <w:tcPr>
            <w:tcW w:w="38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Goodwill / Tradename</w:t>
            </w:r>
          </w:p>
        </w:tc>
        <w:tc>
          <w:tcPr>
            <w:tcW w:w="15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Tradename</w:t>
            </w: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Tradename</w:t>
            </w:r>
          </w:p>
        </w:tc>
        <w:tc>
          <w:tcPr>
            <w:tcW w:w="100" w:type="dxa"/>
            <w:vAlign w:val="bottom"/>
          </w:tcPr>
          <w:p>
            <w:pPr>
              <w:spacing w:after="0"/>
              <w:rPr>
                <w:sz w:val="12"/>
                <w:szCs w:val="12"/>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269,747</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Divestiture</w:t>
            </w: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(26,838)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269,747</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00" w:type="dxa"/>
            <w:vAlign w:val="bottom"/>
            <w:shd w:val="clear" w:color="auto" w:fill="CFF0FC"/>
          </w:tcPr>
          <w:p>
            <w:pPr>
              <w:spacing w:after="0"/>
              <w:rPr>
                <w:sz w:val="19"/>
                <w:szCs w:val="19"/>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220"/>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the Company recorded measurement period adjustments related to the acquisitions of WK Germany KG, GmbH and WK Asia-Pacific Pte. Ltd. (collectively, "WK Group") and Verantis Environmental Solutions Group ("Verantis"), as discussed in Note 15, resulting in increases to goodwill as of the acquisition dates of $9.4 million and $5.6 million, respectively. These adjustments relate to working capital and the associated tax balances. During the six months ended June 30, 2025, the Company completed its acquisition of Profire Energy, Inc. ("Profire"), as discussed in Note 15, and its divestiture of its Fluid Handling business, also known as its Global Pump Solutions business, as discussed in Note 16.</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Finite life intangible assets as of June 30,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6"/>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Accum. Amort.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Accum. Amort.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w:t>
            </w:r>
          </w:p>
        </w:tc>
        <w:tc>
          <w:tcPr>
            <w:tcW w:w="17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22,314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13,642</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20,614</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14,769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140,337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54,668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127,354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70,045</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17,660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18,530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6,392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intangible assets – finite life</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179,980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73,109</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163,728</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89,678</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Finite life intangible asset activity for the six months ended June 30, 2025 and 2024 was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3"/>
                <w:szCs w:val="13"/>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80" w:type="dxa"/>
            <w:vAlign w:val="bottom"/>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32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finite life, net at beginning of period</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74,050</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40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(6,033)</w:t>
            </w:r>
          </w:p>
        </w:tc>
        <w:tc>
          <w:tcPr>
            <w:tcW w:w="6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(4,315)</w:t>
            </w: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41,810</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Divestiture</w:t>
            </w:r>
          </w:p>
        </w:tc>
        <w:tc>
          <w:tcPr>
            <w:tcW w:w="40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(4,029)</w:t>
            </w:r>
          </w:p>
        </w:tc>
        <w:tc>
          <w:tcPr>
            <w:tcW w:w="6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Intangible assets – finite life, net at end of period</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106,871</w:t>
            </w:r>
          </w:p>
        </w:tc>
        <w:tc>
          <w:tcPr>
            <w:tcW w:w="280" w:type="dxa"/>
            <w:vAlign w:val="bottom"/>
            <w:tcBorders>
              <w:top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-170815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20"/>
        <w:spacing w:after="0" w:line="256" w:lineRule="auto"/>
        <w:rPr>
          <w:sz w:val="20"/>
          <w:szCs w:val="20"/>
          <w:color w:val="auto"/>
        </w:rPr>
      </w:pPr>
      <w:r>
        <w:rPr>
          <w:rFonts w:ascii="Times New Roman" w:cs="Times New Roman" w:eastAsia="Times New Roman" w:hAnsi="Times New Roman"/>
          <w:sz w:val="18"/>
          <w:szCs w:val="18"/>
          <w:color w:val="auto"/>
        </w:rPr>
        <w:t>Amortization expense of finite life intangible assets was $2.9 million and $2.2 million for the three months ended June 30, 2025 and 2024, respectively, and $6.0 million and $4.3 million for the six months ended June 30, 2025 and 2024, respectively. Amortization over the next five years for finite life intangibles is expected to be $10.5 million for the remainder of 2025, $16.3 million in 2026, $15.4 million in 2027, $14.5 million in 2028, $12.8 million in 2029, and $40.5 million thereafter. The weighted average amortization periods for finite life intangible assets was 8.5 years as of June 30, 2025, inclusive of weighted average amortization periods for technology, customer lists, and tradenames of 6.3, 8.9, and 7.9 years, respectively.</w:t>
      </w:r>
    </w:p>
    <w:p>
      <w:pPr>
        <w:spacing w:after="0" w:line="187" w:lineRule="exact"/>
        <w:rPr>
          <w:sz w:val="20"/>
          <w:szCs w:val="20"/>
          <w:color w:val="auto"/>
        </w:rPr>
      </w:pPr>
    </w:p>
    <w:p>
      <w:pPr>
        <w:ind w:left="520" w:right="20"/>
        <w:spacing w:after="0" w:line="254" w:lineRule="auto"/>
        <w:rPr>
          <w:sz w:val="20"/>
          <w:szCs w:val="20"/>
          <w:color w:val="auto"/>
        </w:rPr>
      </w:pPr>
      <w:r>
        <w:rPr>
          <w:rFonts w:ascii="Times New Roman" w:cs="Times New Roman" w:eastAsia="Times New Roman" w:hAnsi="Times New Roman"/>
          <w:sz w:val="18"/>
          <w:szCs w:val="18"/>
          <w:color w:val="auto"/>
        </w:rPr>
        <w:t>Annually during the fourth quarter, or more often as circumstances require, the Company completes an impairment assessment of its goodwill and indefinite life intangible assets at the reporting unit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ind w:left="520" w:right="20"/>
        <w:spacing w:after="0" w:line="258" w:lineRule="auto"/>
        <w:rPr>
          <w:sz w:val="20"/>
          <w:szCs w:val="20"/>
          <w:color w:val="auto"/>
        </w:rPr>
      </w:pPr>
      <w:r>
        <w:rPr>
          <w:rFonts w:ascii="Times New Roman" w:cs="Times New Roman" w:eastAsia="Times New Roman" w:hAnsi="Times New Roman"/>
          <w:sz w:val="18"/>
          <w:szCs w:val="18"/>
          <w:color w:val="auto"/>
        </w:rPr>
        <w:t>Additionally, property, plant and equipment and finite life intangible assets are reviewed whenever events or changes in circumstances occur that indicate possible impairment. If events or changes in circumstances occur that indicate possible impairment, the impairment review is based on an undiscounted cash flow analysis at the lowest level at which cash flows of the long-lived assets are largely independent of other groups of assets and liabilities.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83" w:lineRule="exact"/>
        <w:rPr>
          <w:sz w:val="20"/>
          <w:szCs w:val="20"/>
          <w:color w:val="auto"/>
        </w:rPr>
      </w:pPr>
    </w:p>
    <w:p>
      <w:pPr>
        <w:jc w:val="both"/>
        <w:ind w:left="520" w:right="340"/>
        <w:spacing w:after="0" w:line="282" w:lineRule="auto"/>
        <w:rPr>
          <w:sz w:val="20"/>
          <w:szCs w:val="20"/>
          <w:color w:val="auto"/>
        </w:rPr>
      </w:pPr>
      <w:r>
        <w:rPr>
          <w:rFonts w:ascii="Times New Roman" w:cs="Times New Roman" w:eastAsia="Times New Roman" w:hAnsi="Times New Roman"/>
          <w:sz w:val="18"/>
          <w:szCs w:val="18"/>
          <w:color w:val="auto"/>
        </w:rPr>
        <w:t>The Company did not identify any triggering events that would require an interim impairment assessment, or record an impairment of goodwill, indefinite life intangible assets, finite life intangible assets or property, plant and equipment during the three or six months ended June 30, 2025.</w:t>
      </w:r>
    </w:p>
    <w:p>
      <w:pPr>
        <w:spacing w:after="0" w:line="162"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Company’s assumptions about future conditions important to its assessment of potential impairment are subject to uncertainty, and the Company will continue to monitor these conditions in future periods as new information becomes available, and will update its analysis accordingly.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as of June 30, 2025 and December 31, 2024 consisted of the following:</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liability</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15,469</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accrued expenses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-170815</wp:posOffset>
            </wp:positionV>
            <wp:extent cx="76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Senior Debt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as of June 30,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borrowings under Credit Facility (defined below)</w:t>
            </w:r>
          </w:p>
        </w:tc>
        <w:tc>
          <w:tcPr>
            <w:tcW w:w="17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233,900</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tcPr>
          <w:p>
            <w:pPr>
              <w:spacing w:after="0"/>
              <w:rPr>
                <w:sz w:val="18"/>
                <w:szCs w:val="18"/>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17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17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218,880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(1,650)</w:t>
            </w:r>
          </w:p>
        </w:tc>
      </w:tr>
      <w:tr>
        <w:trPr>
          <w:trHeight w:val="20"/>
        </w:trPr>
        <w:tc>
          <w:tcPr>
            <w:tcW w:w="6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236,877</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100" w:type="dxa"/>
            <w:vAlign w:val="bottom"/>
            <w:shd w:val="clear" w:color="auto" w:fill="CFF0FC"/>
          </w:tcPr>
          <w:p>
            <w:pPr>
              <w:spacing w:after="0"/>
              <w:rPr>
                <w:sz w:val="19"/>
                <w:szCs w:val="19"/>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Scheduled principal payments under the Credit Facility and joint venture term debt are $0.8 million for the remainder of 2025, $1.9 million in 2026, and $3.9 million in 2027. The remaining $233.9 million will be paid upon maturity in 2029.</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left="520" w:right="60"/>
        <w:spacing w:after="0" w:line="256" w:lineRule="auto"/>
        <w:rPr>
          <w:sz w:val="20"/>
          <w:szCs w:val="20"/>
          <w:color w:val="auto"/>
        </w:rPr>
      </w:pPr>
      <w:r>
        <w:rPr>
          <w:rFonts w:ascii="Times New Roman" w:cs="Times New Roman" w:eastAsia="Times New Roman" w:hAnsi="Times New Roman"/>
          <w:sz w:val="18"/>
          <w:szCs w:val="18"/>
          <w:color w:val="auto"/>
        </w:rPr>
        <w:t>On October 7, 2024, the Company entered into the Third Amended and Restated Credit Agreement (the “Credit Agreement”), among the Company, its subsidiaries from time to time party thereto, the lenders from time to time party thereto (the “Lenders”) and Bank of America, N.A., as administrative agent (the “Agent”), which amended and restated in its entirety the Company’s Second Amended and Restated Credit Agreement, dated as of June 11, 2019, among the Company, its subsidiaries from time to time party thereto, the lenders from time to time party thereto and the Agent. The Credit Agreement provides for a senior secured revolving credit facility in an initial aggregate principal amount of up to $400.0 million (the "Credit Facility”).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right="80"/>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$13.8 million and $18.9 million of letters of credit were outstanding, respectively. Total unused credit availability, in consideration of borrowing limitations, under the Company’s Credit Facility was $104.3 million and $1.0 million at June 30, 2025 and December 31, 2024, respectively. Revolving loans may be borrowed, repaid and reborrowed until October 7, 2029, at which time all outstanding balances of the Credit Facility must be repaid.</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Credit Facility accrues interest (a) with respect to base rate loans, at an annual rate equal to an applicable rate of between 0.75% and 2.25% (fluctuating based on the Company’s Consolidated Net Leverage Ratio), plus a rate equal to the highest of (1) the Agent’s prime rate, (2) the federal funds rate plus one-half of 1.00%, (3) Daily Simple SOFR (as defined in the Credit Agreement) plus 1.00% and (4) 1.00%, (b) for all other loans, at an annual rate equal to an applicable rate of between 1.75% and 3.25% (fluctuating based on the Company’s Consolidated Net Leverage Ratio), plus a rate determined based on the denominated currency and, as applicable pursuant to the Credit Agreement, whether the Company has elected for interest on such loans to accrue at a daily rate or a term rate: (a) for term rate loans, if denominated (1) in U.S. Dollars, Term SOFR (as defined in the Credit Agreement inclusive of a 0.10% per annum adjustment), (2) in euros, EURIBOR, (3) in Canadian dollars, the Term CORRA Rate (as defined in the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Credit Agreement inclusive of a 0.10% per annum adjustment), (2) in pounds sterling, a rate per annum equal to SONIA (as defined in the Credit Agreement) plus 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spacing w:after="0" w:line="1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on Base Rate loans is payable quarterly in arrears on the last day of each calendar quarter and at maturity. Interest on Term SOFR rate loans is payable on the last date of each applicable Interest Period (as defined in the Credit Agreement), but in no event less than once every three months and at maturity. The weighted average stated interest rate on outstanding borrowings was 7.27% and 7.07% at June 30, 2025 and December 31, 2024, respectively. The effective interest rate was 7.04% and 7.82% at June 30, 2025 and December 31, 2024, respectively.</w:t>
      </w:r>
    </w:p>
    <w:p>
      <w:pPr>
        <w:spacing w:after="0" w:line="1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With respect to financial covenants, the Company is required to maintain a Consolidated Net Leverage Ratio not greater than 4.00 to 1.00 and a Consolidated Secured Net Leverage Ratio (as defined in the Credit Agreement) not greater than 3.00 to 1.00, in each case as of the last day of each fiscal quarter of the Company. At the election of the Company and subject to certain restrictions contained in the Credit Agreement, following the occurrence of a Permitted Acquisition (as defined in the Credit Agreement) involving aggregate consideration of $15.0 million or more, such maximum Consolidated Net Leverage Ratio and Consolidated Secured Net Leverage Ratio may be increased to 4.50 to 1.00 and 3.50 to 1.00, respectively, for the fiscal quarter in which such Permitted Acquisition is consummated and the subsequent three fiscal quarters of the Company. In the first quarter of 2025, the Company entered into an Elevated Ratio Period resulting in a maximum Consolidated Net Leverage Ratio of 4.50 and Consolidated Secured Net Leverage Ratio of 3.50. This Elevated Ratio will be in effect for a maximum of four quarters, after which the Consolidated Net Leverage Ratio will revert to 4.00 and the Consolidated Secured Net Leverage Ratio will revert to 3.00. The Company is also required to maintain a Consolidated Fixed Charge Coverage Ratio (as defined in the Credit Agreement) as of the last day of each fiscal quarter of the Company of not less than 1.25 to 1.00.</w:t>
      </w:r>
    </w:p>
    <w:p>
      <w:pPr>
        <w:spacing w:after="0" w:line="19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The Company has granted a security interest in substantially all of its assets to secure its obligations pursuant to the Credit Facility. The Company’s obligations under the Credit Facility are guaranteed by the Company’s domestic subsidiaries and such guaranty obligations are secured by a security interest on substantially all the assets of such subsidiaries, including certain real property. The Company’s obligations under the Credit Facility may also be guaranteed by the Company’s material foreign subsidiaries to the extent no adverse tax consequences would result to the Company.</w:t>
      </w:r>
    </w:p>
    <w:p>
      <w:pPr>
        <w:spacing w:after="0" w:line="38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201" w:right="359" w:bottom="1440" w:gutter="0" w:footer="0" w:header="0"/>
        </w:sectPr>
      </w:pPr>
    </w:p>
    <w:bookmarkStart w:id="12" w:name="page13"/>
    <w:bookmarkEnd w:id="12"/>
    <w:p>
      <w:pPr>
        <w:ind w:left="520" w:right="320"/>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Company was in compliance with all related financial and other restrictive covenants under the Credit Facility.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Joint Venture Debt</w:t>
      </w:r>
    </w:p>
    <w:p>
      <w:pPr>
        <w:spacing w:after="0" w:line="227" w:lineRule="exact"/>
        <w:rPr>
          <w:sz w:val="20"/>
          <w:szCs w:val="20"/>
          <w:color w:val="auto"/>
        </w:rPr>
      </w:pPr>
    </w:p>
    <w:p>
      <w:pPr>
        <w:ind w:left="520" w:right="40"/>
        <w:spacing w:after="0" w:line="252" w:lineRule="auto"/>
        <w:rPr>
          <w:sz w:val="20"/>
          <w:szCs w:val="20"/>
          <w:color w:val="auto"/>
        </w:rPr>
      </w:pPr>
      <w:r>
        <w:rPr>
          <w:rFonts w:ascii="Times New Roman" w:cs="Times New Roman" w:eastAsia="Times New Roman" w:hAnsi="Times New Roman"/>
          <w:sz w:val="18"/>
          <w:szCs w:val="18"/>
          <w:color w:val="auto"/>
        </w:rPr>
        <w:t>On March 7, 2022, the Effox-Flextor-Mader, Inc. joint venture ("EFM JV"), for which the Company holds 63% of the equity, entered into a loan agreement secured by the assets of the EFM JV in the aggregate principal amount of $11.0 million for the acquisition of General Rubber, LLC. As of June 30, 2025 and December 31, 2024, $6.5 million and $7.3 million was outstanding under the loan, respectively.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at June 30, 2025 and December 31, 2024 was 7.51% and 7.96%, respectively. As of June 30, 2025 and December 31, 2024, the EFM JV was in compliance with all related financial and other restrictive covenants under this loan agreement. This loan balance does not impact the Company’s borrowing capacity or the financial covenants under the Credit Facility. As of June 30, 2025, there were $18.0 million in current assets (including $5.0 million of cash, $5.6 million of accounts receivable, and $4.0 million of inventories), $43.0 million in long-lived assets (including $24.4 million of goodwill and intangible assets), and $30.5 million in total liabilities (including $6.5 million of debt and $4.2 million of accounts payable and accrued expenses) related to the EFM JV included in the Condensed Consolidated Balance Sheets. As of December 31, 2024, there were $16.2 million in current assets (including $2.9 million of cash, $7.9 million of accounts receivable, and $3.9 million of inventories), $25.4 million in long-lived assets (including $24.8 million of goodwill and intangible assets), and $14.0 million in total liabilities (including $7.3 million of debt and $4.1 million of accounts payable and accrued expenses) related to the EFM JV included in the Consolidated Balance Sheets. For the three months ended June 30, 2025 and 2024, the EFM JV accounted for $12.5 million and $13.2 million in revenue, respectively, and $1.6 million and $1.1 million in net income, respectively, included in the Company's results. For the six months ended June 30, 2025 and 2024, the EFM JV accounted for $23.5 million and $23.9 million in revenue, respectively, and $2.4 million and $2.7 million in net income, respectively, included in the Company's results.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Debt</w:t>
      </w:r>
    </w:p>
    <w:p>
      <w:pPr>
        <w:spacing w:after="0" w:line="227" w:lineRule="exact"/>
        <w:rPr>
          <w:sz w:val="20"/>
          <w:szCs w:val="20"/>
          <w:color w:val="auto"/>
        </w:rPr>
      </w:pPr>
    </w:p>
    <w:p>
      <w:pPr>
        <w:ind w:left="520" w:right="20"/>
        <w:spacing w:after="0" w:line="254" w:lineRule="auto"/>
        <w:rPr>
          <w:sz w:val="20"/>
          <w:szCs w:val="20"/>
          <w:color w:val="auto"/>
        </w:rPr>
      </w:pPr>
      <w:r>
        <w:rPr>
          <w:rFonts w:ascii="Times New Roman" w:cs="Times New Roman" w:eastAsia="Times New Roman" w:hAnsi="Times New Roman"/>
          <w:sz w:val="18"/>
          <w:szCs w:val="18"/>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$120.0 million from the bilateral lines of credit secured through pledged assets and collateral under the Credit Facility. As of June 30, 2025 and December 31, 2024, $35.5 million and $45.9 million in bank guarantees were outstanding, respectively, inclusive of $1.1 million and $1.1 million in outstanding bank guarantees as of June 30, 2025 and December 31, 2024, respectively, under a Euro-denominated bank guarantee agreement held by a subsidiary of the Company located in the Netherlands and secured by local assets, as well as $1.4 million and $2.1 million in outstanding bank guarantees as of June 30, 2025 and December 31, 2024, respectively, under Yuan-denominated bank guarantee agreements held by a subsidiary of the Company located in China and secured by local assets. Additionally, a subsidiary of the Company located in Germany held a bank loan of $0.6 million as of June 30, 2025.</w:t>
      </w:r>
    </w:p>
    <w:p>
      <w:pPr>
        <w:spacing w:after="0" w:line="184"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computational components of basic and diluted earnings per share for the three months ended June 30, 2025 and 2024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3820" w:type="dxa"/>
            <w:vAlign w:val="bottom"/>
            <w:gridSpan w:val="3"/>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73"/>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8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1540" w:type="dxa"/>
            <w:vAlign w:val="bottom"/>
            <w:gridSpan w:val="2"/>
            <w:shd w:val="clear" w:color="auto" w:fill="CCEC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940" w:type="dxa"/>
            <w:vAlign w:val="bottom"/>
            <w:gridSpan w:val="2"/>
            <w:shd w:val="clear" w:color="auto" w:fill="CCEC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shd w:val="clear" w:color="auto" w:fill="CCECFF"/>
          </w:tcPr>
          <w:p>
            <w:pPr>
              <w:spacing w:after="0"/>
              <w:rPr>
                <w:sz w:val="21"/>
                <w:szCs w:val="21"/>
                <w:color w:val="auto"/>
              </w:rPr>
            </w:pPr>
          </w:p>
        </w:tc>
      </w:tr>
      <w:tr>
        <w:trPr>
          <w:trHeight w:val="196"/>
        </w:trPr>
        <w:tc>
          <w:tcPr>
            <w:tcW w:w="6460" w:type="dxa"/>
            <w:vAlign w:val="bottom"/>
            <w:tcBorders>
              <w:top w:val="single" w:sz="8" w:color="CCECFF"/>
            </w:tcBorders>
          </w:tcPr>
          <w:p>
            <w:pPr>
              <w:spacing w:after="0"/>
              <w:rPr>
                <w:sz w:val="17"/>
                <w:szCs w:val="17"/>
                <w:color w:val="auto"/>
              </w:rPr>
            </w:pPr>
          </w:p>
        </w:tc>
        <w:tc>
          <w:tcPr>
            <w:tcW w:w="860" w:type="dxa"/>
            <w:vAlign w:val="bottom"/>
            <w:tcBorders>
              <w:top w:val="single" w:sz="8" w:color="CCEC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CCEC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r>
      <w:tr>
        <w:trPr>
          <w:trHeight w:val="216"/>
        </w:trPr>
        <w:tc>
          <w:tcPr>
            <w:tcW w:w="6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6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11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1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35,286</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34,918</w:t>
            </w:r>
          </w:p>
        </w:tc>
        <w:tc>
          <w:tcPr>
            <w:tcW w:w="100" w:type="dxa"/>
            <w:vAlign w:val="bottom"/>
          </w:tcPr>
          <w:p>
            <w:pPr>
              <w:spacing w:after="0"/>
              <w:rPr>
                <w:sz w:val="18"/>
                <w:szCs w:val="18"/>
                <w:color w:val="auto"/>
              </w:rPr>
            </w:pPr>
          </w:p>
        </w:tc>
      </w:tr>
      <w:tr>
        <w:trPr>
          <w:trHeight w:val="216"/>
        </w:trPr>
        <w:tc>
          <w:tcPr>
            <w:tcW w:w="64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Common stock equivalents arising from stock options and restricted stock awards</w:t>
            </w:r>
          </w:p>
        </w:tc>
        <w:tc>
          <w:tcPr>
            <w:tcW w:w="860" w:type="dxa"/>
            <w:vAlign w:val="bottom"/>
            <w:tcBorders>
              <w:bottom w:val="single" w:sz="8" w:color="CCECFF"/>
            </w:tcBorders>
            <w:shd w:val="clear" w:color="auto" w:fill="CCECFF"/>
          </w:tcPr>
          <w:p>
            <w:pPr>
              <w:spacing w:after="0"/>
              <w:rPr>
                <w:sz w:val="18"/>
                <w:szCs w:val="18"/>
                <w:color w:val="auto"/>
              </w:rPr>
            </w:pPr>
          </w:p>
        </w:tc>
        <w:tc>
          <w:tcPr>
            <w:tcW w:w="680" w:type="dxa"/>
            <w:vAlign w:val="bottom"/>
            <w:tcBorders>
              <w:bottom w:val="single" w:sz="8" w:color="auto"/>
            </w:tcBorders>
            <w:shd w:val="clear" w:color="auto" w:fill="CCECFF"/>
          </w:tcPr>
          <w:p>
            <w:pPr>
              <w:spacing w:after="0"/>
              <w:rPr>
                <w:sz w:val="18"/>
                <w:szCs w:val="18"/>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80" w:type="dxa"/>
            <w:vAlign w:val="bottom"/>
            <w:tcBorders>
              <w:bottom w:val="single" w:sz="8" w:color="CCECFF"/>
            </w:tcBorders>
            <w:shd w:val="clear" w:color="auto" w:fill="CCECFF"/>
          </w:tcPr>
          <w:p>
            <w:pPr>
              <w:spacing w:after="0"/>
              <w:rPr>
                <w:sz w:val="18"/>
                <w:szCs w:val="18"/>
                <w:color w:val="auto"/>
              </w:rPr>
            </w:pPr>
          </w:p>
        </w:tc>
        <w:tc>
          <w:tcPr>
            <w:tcW w:w="660" w:type="dxa"/>
            <w:vAlign w:val="bottom"/>
            <w:tcBorders>
              <w:bottom w:val="single" w:sz="8" w:color="auto"/>
            </w:tcBorders>
            <w:shd w:val="clear" w:color="auto" w:fill="CCECFF"/>
          </w:tcPr>
          <w:p>
            <w:pPr>
              <w:spacing w:after="0"/>
              <w:rPr>
                <w:sz w:val="18"/>
                <w:szCs w:val="18"/>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8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36,558</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36,303</w:t>
            </w:r>
          </w:p>
        </w:tc>
        <w:tc>
          <w:tcPr>
            <w:tcW w:w="10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-744855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-728345</wp:posOffset>
            </wp:positionV>
            <wp:extent cx="768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768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computational components of basic and diluted earnings per share for the six months ended June 30, 2025 and 2024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p>
      <w:pPr>
        <w:ind w:left="60" w:right="2580" w:hanging="44"/>
        <w:spacing w:after="0" w:line="338" w:lineRule="auto"/>
        <w:rPr>
          <w:sz w:val="20"/>
          <w:szCs w:val="20"/>
          <w:color w:val="auto"/>
        </w:rPr>
      </w:pPr>
      <w:r>
        <w:rPr>
          <w:rFonts w:ascii="Times New Roman" w:cs="Times New Roman" w:eastAsia="Times New Roman" w:hAnsi="Times New Roman"/>
          <w:sz w:val="17"/>
          <w:szCs w:val="17"/>
          <w:b w:val="1"/>
          <w:bCs w:val="1"/>
          <w:color w:val="auto"/>
        </w:rPr>
        <w:t xml:space="preserve">Numerator </w:t>
      </w:r>
      <w:r>
        <w:rPr>
          <w:rFonts w:ascii="Times New Roman" w:cs="Times New Roman" w:eastAsia="Times New Roman" w:hAnsi="Times New Roman"/>
          <w:sz w:val="17"/>
          <w:szCs w:val="17"/>
          <w:color w:val="auto"/>
        </w:rPr>
        <w:t>(for basic and diluted earnings per share)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income attributable to 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6" w:lineRule="exact"/>
        <w:rPr>
          <w:sz w:val="20"/>
          <w:szCs w:val="20"/>
          <w:color w:val="auto"/>
        </w:rPr>
      </w:pPr>
    </w:p>
    <w:p>
      <w:pPr>
        <w:ind w:left="740"/>
        <w:spacing w:after="0"/>
        <w:tabs>
          <w:tab w:leader="none" w:pos="27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425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5" w:lineRule="exact"/>
        <w:rPr>
          <w:sz w:val="20"/>
          <w:szCs w:val="20"/>
          <w:color w:val="auto"/>
        </w:rPr>
      </w:pPr>
    </w:p>
    <w:p>
      <w:pPr>
        <w:spacing w:after="0"/>
        <w:tabs>
          <w:tab w:leader="none" w:pos="1240" w:val="left"/>
          <w:tab w:leader="none" w:pos="2040" w:val="left"/>
          <w:tab w:leader="none" w:pos="3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45,494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5,993</w:t>
      </w:r>
    </w:p>
    <w:p>
      <w:pPr>
        <w:spacing w:after="0" w:line="200" w:lineRule="exact"/>
        <w:rPr>
          <w:sz w:val="20"/>
          <w:szCs w:val="20"/>
          <w:color w:val="auto"/>
        </w:rPr>
      </w:pPr>
    </w:p>
    <w:p>
      <w:pPr>
        <w:spacing w:after="0" w:line="282" w:lineRule="exact"/>
        <w:rPr>
          <w:sz w:val="20"/>
          <w:szCs w:val="20"/>
          <w:color w:val="auto"/>
        </w:rPr>
      </w:pPr>
    </w:p>
    <w:p>
      <w:pPr>
        <w:jc w:val="both"/>
        <w:ind w:left="1260"/>
        <w:spacing w:after="0"/>
        <w:tabs>
          <w:tab w:leader="none" w:pos="3280" w:val="left"/>
        </w:tabs>
        <w:rPr>
          <w:sz w:val="20"/>
          <w:szCs w:val="20"/>
          <w:color w:val="auto"/>
        </w:rPr>
      </w:pPr>
      <w:r>
        <w:rPr>
          <w:rFonts w:ascii="Times New Roman" w:cs="Times New Roman" w:eastAsia="Times New Roman" w:hAnsi="Times New Roman"/>
          <w:sz w:val="18"/>
          <w:szCs w:val="18"/>
          <w:color w:val="auto"/>
        </w:rPr>
        <w:t>35,158</w:t>
      </w:r>
      <w:r>
        <w:rPr>
          <w:sz w:val="20"/>
          <w:szCs w:val="20"/>
          <w:color w:val="auto"/>
        </w:rPr>
        <w:tab/>
      </w:r>
      <w:r>
        <w:rPr>
          <w:rFonts w:ascii="Times New Roman" w:cs="Times New Roman" w:eastAsia="Times New Roman" w:hAnsi="Times New Roman"/>
          <w:sz w:val="18"/>
          <w:szCs w:val="18"/>
          <w:color w:val="auto"/>
        </w:rPr>
        <w:t>34,882</w:t>
      </w:r>
    </w:p>
    <w:p>
      <w:pPr>
        <w:spacing w:after="0" w:line="36" w:lineRule="exact"/>
        <w:rPr>
          <w:sz w:val="20"/>
          <w:szCs w:val="20"/>
          <w:color w:val="auto"/>
        </w:rPr>
      </w:pPr>
    </w:p>
    <w:p>
      <w:pPr>
        <w:sectPr>
          <w:pgSz w:w="11900" w:h="16838" w:orient="portrait"/>
          <w:cols w:equalWidth="0" w:num="2">
            <w:col w:w="6600" w:space="720"/>
            <w:col w:w="3920"/>
          </w:cols>
          <w:pgMar w:left="320" w:top="1046"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73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Common stock equivalents arising from stock options and restricted stock awards</w:t>
            </w: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80" w:type="dxa"/>
            <w:vAlign w:val="bottom"/>
            <w:tcBorders>
              <w:bottom w:val="single" w:sz="8" w:color="CCECFF"/>
            </w:tcBorders>
            <w:shd w:val="clear" w:color="auto" w:fill="CCECFF"/>
          </w:tcPr>
          <w:p>
            <w:pPr>
              <w:spacing w:after="0"/>
              <w:rPr>
                <w:sz w:val="17"/>
                <w:szCs w:val="17"/>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36,239</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-170815</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Options and restricted stock units included in the computation of diluted earnings per share are calculated using the treasury stock method. For the three months ended June 30, 2025 and 2024, 0.2 and zero, respectively, and for the six months ended June 30, 2025 and 2024, 0.3 million and 0.1 million, respectively, of outstanding options and restricted stock units were excluded from the computation of diluted earnings per share due to their having an anti-dilutive effect.</w:t>
      </w:r>
    </w:p>
    <w:p>
      <w:pPr>
        <w:spacing w:after="0" w:line="180"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Once a restricted stock unit vests, it is included in the computation of weighted average shares outstanding for purposes of basic and diluted earnings per share.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 Repurchase</w:t>
      </w:r>
    </w:p>
    <w:p>
      <w:pPr>
        <w:spacing w:after="0" w:line="227" w:lineRule="exact"/>
        <w:rPr>
          <w:sz w:val="20"/>
          <w:szCs w:val="20"/>
          <w:color w:val="auto"/>
        </w:rPr>
      </w:pPr>
    </w:p>
    <w:p>
      <w:pPr>
        <w:ind w:left="520" w:right="80"/>
        <w:spacing w:after="0" w:line="274" w:lineRule="auto"/>
        <w:rPr>
          <w:sz w:val="20"/>
          <w:szCs w:val="20"/>
          <w:color w:val="auto"/>
        </w:rPr>
      </w:pPr>
      <w:r>
        <w:rPr>
          <w:rFonts w:ascii="Times New Roman" w:cs="Times New Roman" w:eastAsia="Times New Roman" w:hAnsi="Times New Roman"/>
          <w:sz w:val="17"/>
          <w:szCs w:val="17"/>
          <w:color w:val="auto"/>
        </w:rPr>
        <w:t>On May 10, 2022, the Company's Board of Directors authorized a share repurchase program under which the Company was able to purchase up to $20.0 million of its outstanding shares of common stock through April 30, 2025. The authorization permitted the Company to repurchase shares in the open market, through accelerated share repurchases, block trades, Rule 10b5-1 trading plans or through privately negotiated transactions in accordance with applicable laws, rules and regulations. For the three and six months ended June 30, 2024, the Company repurchased approximately 86,000 and 230,000 shares under the program, respectively, for a cost of $2.0 million and $5.0 million, respectively. There were no shares repurchased under the program during the three or six months ended June 30, 2025. This program expired during the second quarter of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29" w:lineRule="exact"/>
        <w:rPr>
          <w:sz w:val="20"/>
          <w:szCs w:val="20"/>
          <w:color w:val="auto"/>
        </w:rPr>
      </w:pPr>
    </w:p>
    <w:p>
      <w:pPr>
        <w:ind w:left="520" w:right="360"/>
        <w:spacing w:after="0" w:line="266" w:lineRule="auto"/>
        <w:rPr>
          <w:sz w:val="20"/>
          <w:szCs w:val="20"/>
          <w:color w:val="auto"/>
        </w:rPr>
      </w:pPr>
      <w:r>
        <w:rPr>
          <w:rFonts w:ascii="Times New Roman" w:cs="Times New Roman" w:eastAsia="Times New Roman" w:hAnsi="Times New Roman"/>
          <w:sz w:val="18"/>
          <w:szCs w:val="18"/>
          <w:color w:val="auto"/>
        </w:rPr>
        <w:t>The Company recognized $2.9 million and $2.2 million of expense related to share-based compensation during the three months ended June 30, 2025 and 2024, respectively, and $6.2 million and $3.8 million during the six months ended June 30, 2025 and 2024, respectively, which was measured based upon the fair value of the awards at the grant date.</w:t>
      </w:r>
    </w:p>
    <w:p>
      <w:pPr>
        <w:spacing w:after="0" w:line="176" w:lineRule="exact"/>
        <w:rPr>
          <w:sz w:val="20"/>
          <w:szCs w:val="20"/>
          <w:color w:val="auto"/>
        </w:rPr>
      </w:pPr>
    </w:p>
    <w:p>
      <w:pPr>
        <w:ind w:left="520" w:right="20"/>
        <w:spacing w:after="0" w:line="261" w:lineRule="auto"/>
        <w:rPr>
          <w:sz w:val="20"/>
          <w:szCs w:val="20"/>
          <w:color w:val="auto"/>
        </w:rPr>
      </w:pPr>
      <w:r>
        <w:rPr>
          <w:rFonts w:ascii="Times New Roman" w:cs="Times New Roman" w:eastAsia="Times New Roman" w:hAnsi="Times New Roman"/>
          <w:sz w:val="18"/>
          <w:szCs w:val="18"/>
          <w:color w:val="auto"/>
        </w:rPr>
        <w:t>The Company granted approximately 203,000 and 57,000 restricted stock units during the three months ended June 30, 2025 and 2024, respectively, and approximately 590,000 and 341,000 restricted stock units during the six months ended June 30, 2025 and 2024, respectively. In addition, the Company granted 67,000 and 25,000 stock options during the six months ended June 30, 2025 and 2024, respectively. No stock options were granted during the three months ended June 30, 2025 and 2024.</w:t>
      </w:r>
    </w:p>
    <w:p>
      <w:pPr>
        <w:spacing w:after="0" w:line="180" w:lineRule="exact"/>
        <w:rPr>
          <w:sz w:val="20"/>
          <w:szCs w:val="20"/>
          <w:color w:val="auto"/>
        </w:rPr>
      </w:pPr>
    </w:p>
    <w:p>
      <w:pPr>
        <w:jc w:val="both"/>
        <w:ind w:left="520" w:right="20"/>
        <w:spacing w:after="0" w:line="258" w:lineRule="auto"/>
        <w:rPr>
          <w:sz w:val="20"/>
          <w:szCs w:val="20"/>
          <w:color w:val="auto"/>
        </w:rPr>
      </w:pPr>
      <w:r>
        <w:rPr>
          <w:rFonts w:ascii="Times New Roman" w:cs="Times New Roman" w:eastAsia="Times New Roman" w:hAnsi="Times New Roman"/>
          <w:sz w:val="18"/>
          <w:szCs w:val="18"/>
          <w:color w:val="auto"/>
        </w:rPr>
        <w:t>There were 500 and 10,000 options exercised during the three months ended June 30, 2025 and 2024, respectively, for which the Company received zero and $0.2 million, respectively, in cash. The intrinsic value of options exercised during the three months ended June 30, 2025 and 2024 was zero and $0.1 million, respectively. There were 500 and 20,000 options exercised during the six months ended June 30, 2025 and 2024, respectively, for which the Company received zero and $0.3 million, respectively, in cash. The intrinsic value of options exercised during the six months ended June 30, 2025 and 2024 was zero and $0.2 million, respectively.</w:t>
      </w:r>
    </w:p>
    <w:p>
      <w:pPr>
        <w:spacing w:after="0" w:line="179"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Employee Benefit Plans</w:t>
      </w:r>
    </w:p>
    <w:p>
      <w:pPr>
        <w:spacing w:after="0" w:line="229" w:lineRule="exact"/>
        <w:rPr>
          <w:sz w:val="20"/>
          <w:szCs w:val="20"/>
          <w:color w:val="auto"/>
        </w:rPr>
      </w:pPr>
    </w:p>
    <w:p>
      <w:pPr>
        <w:jc w:val="both"/>
        <w:ind w:left="520" w:right="60"/>
        <w:spacing w:after="0" w:line="266" w:lineRule="auto"/>
        <w:rPr>
          <w:sz w:val="20"/>
          <w:szCs w:val="20"/>
          <w:color w:val="auto"/>
        </w:rPr>
      </w:pPr>
      <w:r>
        <w:rPr>
          <w:rFonts w:ascii="Times New Roman" w:cs="Times New Roman" w:eastAsia="Times New Roman" w:hAnsi="Times New Roman"/>
          <w:sz w:val="18"/>
          <w:szCs w:val="18"/>
          <w:color w:val="auto"/>
        </w:rPr>
        <w:t>The Company sponsored a non-contributory defined benefit pension plan for certain union employees. The plan was funded in accordance with the funding requirements of the Employee Retirement Income Security Act of 1974. The Company presents the components of net periodic benefit cost within “Other (income) expense, net” on the Condensed Consolidated Statements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type w:val="continuous"/>
        </w:sectPr>
      </w:pPr>
    </w:p>
    <w:bookmarkStart w:id="14" w:name="page15"/>
    <w:bookmarkEnd w:id="14"/>
    <w:p>
      <w:pPr>
        <w:ind w:left="520" w:right="100"/>
        <w:spacing w:after="0" w:line="282" w:lineRule="auto"/>
        <w:rPr>
          <w:sz w:val="20"/>
          <w:szCs w:val="20"/>
          <w:color w:val="auto"/>
        </w:rPr>
      </w:pPr>
      <w:r>
        <w:rPr>
          <w:rFonts w:ascii="Times New Roman" w:cs="Times New Roman" w:eastAsia="Times New Roman" w:hAnsi="Times New Roman"/>
          <w:sz w:val="18"/>
          <w:szCs w:val="18"/>
          <w:color w:val="auto"/>
        </w:rPr>
        <w:t>Income. Retirement plan expense is based on valuations performed by plan actuaries as of the beginning of each fiscal year. The components of the pension plan expense consisted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-170815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520" w:right="240"/>
        <w:spacing w:after="0" w:line="261" w:lineRule="auto"/>
        <w:rPr>
          <w:sz w:val="20"/>
          <w:szCs w:val="20"/>
          <w:color w:val="auto"/>
        </w:rPr>
      </w:pPr>
      <w:r>
        <w:rPr>
          <w:rFonts w:ascii="Times New Roman" w:cs="Times New Roman" w:eastAsia="Times New Roman" w:hAnsi="Times New Roman"/>
          <w:sz w:val="18"/>
          <w:szCs w:val="18"/>
          <w:color w:val="auto"/>
        </w:rPr>
        <w:t>The Company made no contributions to its defined benefit plan during the three and six months ended June 30, 2025, and $0.2 million during the three and six months ended June 30, 2024. The plan assets balance of $0.4 million as of December 31, 2024 is included in “Deferred charges and other assets” on the Condensed Consolidated Balance Sheets. On March 31, 2025, the pension plan was transferred to the purchaser of the Global Pump Solutions business, as discussed in Note 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left="520" w:right="340"/>
        <w:spacing w:after="0" w:line="312" w:lineRule="auto"/>
        <w:rPr>
          <w:sz w:val="20"/>
          <w:szCs w:val="20"/>
          <w:color w:val="auto"/>
        </w:rPr>
      </w:pPr>
      <w:r>
        <w:rPr>
          <w:rFonts w:ascii="Times New Roman" w:cs="Times New Roman" w:eastAsia="Times New Roman" w:hAnsi="Times New Roman"/>
          <w:sz w:val="17"/>
          <w:szCs w:val="17"/>
          <w:color w:val="auto"/>
        </w:rPr>
        <w:t>The Company files income tax returns in various federal, state and local jurisdictions. Tax years from 2018 forward, with the exception of 2020, remain open for examination by Federal authorities. Tax years from 2018 forward remain open for all significant state and foreign authorities.</w:t>
      </w:r>
    </w:p>
    <w:p>
      <w:pPr>
        <w:spacing w:after="0" w:line="140" w:lineRule="exact"/>
        <w:rPr>
          <w:sz w:val="20"/>
          <w:szCs w:val="20"/>
          <w:color w:val="auto"/>
        </w:rPr>
      </w:pPr>
    </w:p>
    <w:p>
      <w:pPr>
        <w:ind w:left="520" w:right="400"/>
        <w:spacing w:after="0" w:line="289" w:lineRule="auto"/>
        <w:rPr>
          <w:sz w:val="20"/>
          <w:szCs w:val="20"/>
          <w:color w:val="auto"/>
        </w:rPr>
      </w:pPr>
      <w:r>
        <w:rPr>
          <w:rFonts w:ascii="Times New Roman" w:cs="Times New Roman" w:eastAsia="Times New Roman" w:hAnsi="Times New Roman"/>
          <w:sz w:val="17"/>
          <w:szCs w:val="17"/>
          <w:color w:val="auto"/>
        </w:rPr>
        <w:t>As of June 30, 2025 and December 31, 2024, the liability for uncertain tax positions totaled approximately $1.3 million and $1.1 million, respectively, which is included in “Other liabilities” on the Condensed Consolidated Balance Sheets. The Company recognizes accrued interest related to uncertain tax positions and penalties, if any, in income tax expense within the Condensed Consolidated Statements of Income.</w:t>
      </w:r>
    </w:p>
    <w:p>
      <w:pPr>
        <w:spacing w:after="0" w:line="158" w:lineRule="exact"/>
        <w:rPr>
          <w:sz w:val="20"/>
          <w:szCs w:val="20"/>
          <w:color w:val="auto"/>
        </w:rPr>
      </w:pPr>
    </w:p>
    <w:p>
      <w:pPr>
        <w:ind w:left="520" w:right="80"/>
        <w:spacing w:after="0" w:line="258" w:lineRule="auto"/>
        <w:rPr>
          <w:sz w:val="20"/>
          <w:szCs w:val="20"/>
          <w:color w:val="auto"/>
        </w:rPr>
      </w:pPr>
      <w:r>
        <w:rPr>
          <w:rFonts w:ascii="Times New Roman" w:cs="Times New Roman" w:eastAsia="Times New Roman" w:hAnsi="Times New Roman"/>
          <w:sz w:val="18"/>
          <w:szCs w:val="18"/>
          <w:color w:val="auto"/>
        </w:rPr>
        <w:t>Certain of the Company’s undistributed earnings of our foreign subsidiaries are not permanently reinvested. Since foreign earnings have already been subject to United States income tax in 2017 as a result of the 2017 Tax Cuts and Jobs Act, the Company intends to repatriate foreign-held cash as needed. The Company records deferred income tax attributable to foreign withholding taxes that would become payable should it decide to repatriate cash held in our foreign operations. As of June 30, 2025 and December 31, 2024, the Company recorded deferred income taxes of approximately $1.0 million and $0.9 million, respectively, on the undistributed earnings of its foreign subsidiaries.</w:t>
      </w:r>
    </w:p>
    <w:p>
      <w:pPr>
        <w:spacing w:after="0" w:line="183" w:lineRule="exact"/>
        <w:rPr>
          <w:sz w:val="20"/>
          <w:szCs w:val="20"/>
          <w:color w:val="auto"/>
        </w:rPr>
      </w:pPr>
    </w:p>
    <w:p>
      <w:pPr>
        <w:jc w:val="both"/>
        <w:ind w:left="520" w:right="60"/>
        <w:spacing w:after="0" w:line="272" w:lineRule="auto"/>
        <w:rPr>
          <w:sz w:val="20"/>
          <w:szCs w:val="20"/>
          <w:color w:val="auto"/>
        </w:rPr>
      </w:pPr>
      <w:r>
        <w:rPr>
          <w:rFonts w:ascii="Times New Roman" w:cs="Times New Roman" w:eastAsia="Times New Roman" w:hAnsi="Times New Roman"/>
          <w:sz w:val="17"/>
          <w:szCs w:val="17"/>
          <w:color w:val="auto"/>
        </w:rPr>
        <w:t>Income tax expense was $4.5 million and $0.4 million for the three months ended June 30, 2025 and 2024, respectively, and $23.1 million and $1.0 million for the six months ended June 30, 2025 and 2024, respectively. The effective income tax rate for the three months ended June 30, 2025 was 30.9% compared with 7.4% for the three months ended June 30, 2024, and the effective income tax rate for the six months ended June 30, 2025 was</w:t>
      </w:r>
    </w:p>
    <w:p>
      <w:pPr>
        <w:spacing w:after="0" w:line="2" w:lineRule="exact"/>
        <w:rPr>
          <w:sz w:val="20"/>
          <w:szCs w:val="20"/>
          <w:color w:val="auto"/>
        </w:rPr>
      </w:pPr>
    </w:p>
    <w:p>
      <w:pPr>
        <w:ind w:left="520" w:right="140"/>
        <w:spacing w:after="0" w:line="253" w:lineRule="auto"/>
        <w:rPr>
          <w:sz w:val="20"/>
          <w:szCs w:val="20"/>
          <w:color w:val="auto"/>
        </w:rPr>
      </w:pPr>
      <w:r>
        <w:rPr>
          <w:rFonts w:ascii="Times New Roman" w:cs="Times New Roman" w:eastAsia="Times New Roman" w:hAnsi="Times New Roman"/>
          <w:sz w:val="18"/>
          <w:szCs w:val="18"/>
          <w:color w:val="auto"/>
        </w:rPr>
        <w:t>33.2% compared with 13.1% for the six months ended June 30, 2024. The effective income tax rates for the three and six months ended June 30, 2025 and 2024 differ from the United States federal statutory rate. The Company's effective rate is affected by certain other permanent differences, including the gain on the sale of the Global Pump Solutions business, state income taxes, non-deductible incentive stock-based compensation and differences in tax rates among jurisdictions in which it operates.</w:t>
      </w:r>
    </w:p>
    <w:p>
      <w:pPr>
        <w:spacing w:after="0" w:line="189" w:lineRule="exact"/>
        <w:rPr>
          <w:sz w:val="20"/>
          <w:szCs w:val="20"/>
          <w:color w:val="auto"/>
        </w:rPr>
      </w:pPr>
    </w:p>
    <w:p>
      <w:pPr>
        <w:ind w:left="520" w:right="100"/>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Development/G20 Inclusive Framework on Base Erosion and Profit Shifting published the Pillar Two model rules designed to address the tax challenges arising from the digitalization of the global economy which introduces a 15% global minimum corporate tax for companies with revenues above €750 million calculated on a country-by-country basis. On February 1, 2023, the FASB indicated that it believes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Aspects of Pillar Two legislation have been enacted in certain jurisdictions in which the Company operates effective for accounting periods commencing on or after January 1, 2024. However, based on the current revenue threshold, the Company is currently not subject to Pillar Two taxes.</w:t>
      </w:r>
    </w:p>
    <w:p>
      <w:pPr>
        <w:spacing w:after="0" w:line="192" w:lineRule="exact"/>
        <w:rPr>
          <w:sz w:val="20"/>
          <w:szCs w:val="20"/>
          <w:color w:val="auto"/>
        </w:rPr>
      </w:pPr>
    </w:p>
    <w:p>
      <w:pPr>
        <w:ind w:left="520" w:right="100"/>
        <w:spacing w:after="0" w:line="258" w:lineRule="auto"/>
        <w:rPr>
          <w:sz w:val="20"/>
          <w:szCs w:val="20"/>
          <w:color w:val="auto"/>
        </w:rPr>
      </w:pPr>
      <w:r>
        <w:rPr>
          <w:rFonts w:ascii="Times New Roman" w:cs="Times New Roman" w:eastAsia="Times New Roman" w:hAnsi="Times New Roman"/>
          <w:sz w:val="18"/>
          <w:szCs w:val="18"/>
          <w:color w:val="auto"/>
        </w:rPr>
        <w:t>On July 4, 2025, the legislation HR-1, known as the One Big Beautiful Bill Act (the “Act”), was signed into law. The Act makes several changes to United States tax law, including the limitation on deductibility of interest expense, the capitalization of research expenditures, the allowance of immediate expensing of capital expenditures, and the taxation of foreign earnings. The legislation has multiple effective dates, with certain provisions effective in 2025 and others implemented through 2027. The Company is currently assessing the Act's impact on the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13.  Financial Instruments</w:t>
      </w:r>
    </w:p>
    <w:p>
      <w:pPr>
        <w:spacing w:after="0" w:line="229" w:lineRule="exact"/>
        <w:rPr>
          <w:sz w:val="20"/>
          <w:szCs w:val="20"/>
          <w:color w:val="auto"/>
        </w:rPr>
      </w:pPr>
    </w:p>
    <w:p>
      <w:pPr>
        <w:ind w:left="520" w:right="4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investments in cash and cash equivalents, receivables and certain other assets, notes payable, foreign debt and accounts payable, which approximate fair value at June 30, 2025 and December 31, 2024, due to their short-term nature or variable, market-driven interest rates.</w:t>
      </w:r>
    </w:p>
    <w:p>
      <w:pPr>
        <w:spacing w:after="0" w:line="176" w:lineRule="exact"/>
        <w:rPr>
          <w:sz w:val="20"/>
          <w:szCs w:val="20"/>
          <w:color w:val="auto"/>
        </w:rPr>
      </w:pPr>
    </w:p>
    <w:p>
      <w:pPr>
        <w:jc w:val="both"/>
        <w:ind w:left="520" w:right="240"/>
        <w:spacing w:after="0" w:line="266" w:lineRule="auto"/>
        <w:rPr>
          <w:sz w:val="20"/>
          <w:szCs w:val="20"/>
          <w:color w:val="auto"/>
        </w:rPr>
      </w:pPr>
      <w:r>
        <w:rPr>
          <w:rFonts w:ascii="Times New Roman" w:cs="Times New Roman" w:eastAsia="Times New Roman" w:hAnsi="Times New Roman"/>
          <w:sz w:val="18"/>
          <w:szCs w:val="18"/>
          <w:color w:val="auto"/>
        </w:rPr>
        <w:t>The fair value of the debt issued under the Credit Facility and joint venture term loan was $240.4 million and $221.5 million at June 30, 2025 and December 31, 2024, respectively. The fair value was determined considering market conditions, the Company's credit worthiness and the current terms of our debt, which is considered Level 2 on the fair value hierarchy.</w:t>
      </w:r>
    </w:p>
    <w:p>
      <w:pPr>
        <w:spacing w:after="0" w:line="176" w:lineRule="exact"/>
        <w:rPr>
          <w:sz w:val="20"/>
          <w:szCs w:val="20"/>
          <w:color w:val="auto"/>
        </w:rPr>
      </w:pPr>
    </w:p>
    <w:p>
      <w:pPr>
        <w:jc w:val="both"/>
        <w:ind w:left="520" w:right="200"/>
        <w:spacing w:after="0" w:line="266" w:lineRule="auto"/>
        <w:rPr>
          <w:sz w:val="20"/>
          <w:szCs w:val="20"/>
          <w:color w:val="auto"/>
        </w:rPr>
      </w:pPr>
      <w:r>
        <w:rPr>
          <w:rFonts w:ascii="Times New Roman" w:cs="Times New Roman" w:eastAsia="Times New Roman" w:hAnsi="Times New Roman"/>
          <w:sz w:val="18"/>
          <w:szCs w:val="18"/>
          <w:color w:val="auto"/>
        </w:rPr>
        <w:t>At June 30, 2025 and December 31, 2024, the Company had cash and cash equivalents of $36.8 million and $37.8 million, respectively, of which $26.2 million and $29.7 million, respectively, was held outside of the United States, principally in the Netherlands, United Kingdom, United Arab Emirates, and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Asbestos cases</w:t>
      </w:r>
    </w:p>
    <w:p>
      <w:pPr>
        <w:spacing w:after="0" w:line="227" w:lineRule="exact"/>
        <w:rPr>
          <w:sz w:val="20"/>
          <w:szCs w:val="20"/>
          <w:color w:val="auto"/>
        </w:rPr>
      </w:pPr>
    </w:p>
    <w:p>
      <w:pPr>
        <w:ind w:left="520"/>
        <w:spacing w:after="0" w:line="253" w:lineRule="auto"/>
        <w:rPr>
          <w:sz w:val="20"/>
          <w:szCs w:val="20"/>
          <w:color w:val="auto"/>
        </w:rPr>
      </w:pPr>
      <w:r>
        <w:rPr>
          <w:rFonts w:ascii="Times New Roman" w:cs="Times New Roman" w:eastAsia="Times New Roman" w:hAnsi="Times New Roman"/>
          <w:sz w:val="18"/>
          <w:szCs w:val="18"/>
          <w:color w:val="auto"/>
        </w:rPr>
        <w:t>The Company's subsidiary, Met-Pro Technologies LLC (“Met-Pro”), beginning in 2002, has been named in asbestos-related lawsuits filed against a large number of industrial companies including, in particular, those in the pump and fluid handling industries. While the Company divested of its fluid handling business (also known as its Global Pump Solutions business) in the first quarter of 2025, as discussed in Note 16, the Company retained historical asbestos liabilities and the related legacy insurance policies. In management’s opinion, the complaints typically have been vague, general and speculative, alleging that Met-Pro, along with the numerous other defendants, sold asbestos-containing products and engaged in other related actions which caused injuries (including mesothelioma and death) and loss to the plaintiffs. The Company’s insurers have hired attorneys who, together with the Company, are vigorously defending these cases. Many cases have been dismissed after the plaintiff fails to identify or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As of June 30, 2025 and December 31, 2024, the related amounts were $1.5 million and $0.2 million, respectively, which are recorded within "Accrued expenses" and "Other liabilities" on the Condensed Consolidated Balance Sheets.</w:t>
      </w:r>
    </w:p>
    <w:p>
      <w:pPr>
        <w:spacing w:after="0" w:line="192"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The Company also presently believes that none of the pending cases will have a material adverse impact upon the Company’s results of operations, liquidity or financial condition.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62"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8"/>
          <w:szCs w:val="18"/>
          <w:color w:val="auto"/>
        </w:rPr>
        <w:t>The final outcome and impact of open matters, and related claims and investigations that may be brought in the future, are subject to many variables, and cannot be predicted. The Company records accruals for estimated losses relating to claims and lawsuits when available information indicates that a loss is probable and the amount of the loss, or range of loss, can be reasonably estimated. As of June 30, 2025 and December 31, 2024, the related amounts were $0.8 million and $0.1 million, respectively, which are recorded within "Accrued expenses" on the Condensed Consolidated Balance Sheets. Additionally, the Company has $1.0 million recorded within "Accounts payable" as of June 30, 2025 related to the settlement of a litigation matter. The Company expenses legal costs as they are incurred.</w:t>
      </w:r>
    </w:p>
    <w:p>
      <w:pPr>
        <w:spacing w:after="0" w:line="187"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The Company is not aware of any pending claims or assessments, other than as described above, which may have a material adverse impact on its liquidity, financial position, results of operations, or cash flows.</w:t>
      </w:r>
    </w:p>
    <w:p>
      <w:pPr>
        <w:spacing w:after="0" w:line="158" w:lineRule="exact"/>
        <w:rPr>
          <w:sz w:val="20"/>
          <w:szCs w:val="20"/>
          <w:color w:val="auto"/>
        </w:rPr>
      </w:pPr>
    </w:p>
    <w:p>
      <w:pPr>
        <w:ind w:left="520" w:right="9280" w:hanging="512"/>
        <w:spacing w:after="0" w:line="532" w:lineRule="auto"/>
        <w:tabs>
          <w:tab w:leader="none" w:pos="461"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w:t>
      </w:r>
      <w:r>
        <w:rPr>
          <w:rFonts w:ascii="Times New Roman" w:cs="Times New Roman" w:eastAsia="Times New Roman" w:hAnsi="Times New Roman"/>
          <w:sz w:val="17"/>
          <w:szCs w:val="17"/>
          <w:i w:val="1"/>
          <w:iCs w:val="1"/>
          <w:color w:val="auto"/>
        </w:rPr>
        <w:t>Profire Energy, Inc.</w:t>
      </w:r>
    </w:p>
    <w:p>
      <w:pPr>
        <w:spacing w:after="0" w:line="1" w:lineRule="exact"/>
        <w:rPr>
          <w:sz w:val="20"/>
          <w:szCs w:val="20"/>
          <w:color w:val="auto"/>
        </w:rPr>
      </w:pPr>
    </w:p>
    <w:p>
      <w:pPr>
        <w:jc w:val="both"/>
        <w:ind w:left="520" w:right="100"/>
        <w:spacing w:after="0" w:line="266" w:lineRule="auto"/>
        <w:rPr>
          <w:sz w:val="20"/>
          <w:szCs w:val="20"/>
          <w:color w:val="auto"/>
        </w:rPr>
      </w:pPr>
      <w:r>
        <w:rPr>
          <w:rFonts w:ascii="Times New Roman" w:cs="Times New Roman" w:eastAsia="Times New Roman" w:hAnsi="Times New Roman"/>
          <w:sz w:val="18"/>
          <w:szCs w:val="18"/>
          <w:color w:val="auto"/>
        </w:rPr>
        <w:t>On January 3, 2025, the Company acquired all outstanding shares of Profire for $122.7 million in cash, including $4.6 million of cash used to settle outstanding equity awards for which $2.3 million represents the acceleration of such awards and thus recorded within "Acquisition and integration expenses" on the Condensed Consolidated Statements of Income. Resulting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ind w:left="520" w:right="20"/>
        <w:spacing w:after="0" w:line="258" w:lineRule="auto"/>
        <w:rPr>
          <w:sz w:val="20"/>
          <w:szCs w:val="20"/>
          <w:color w:val="auto"/>
        </w:rPr>
      </w:pPr>
      <w:r>
        <w:rPr>
          <w:rFonts w:ascii="Times New Roman" w:cs="Times New Roman" w:eastAsia="Times New Roman" w:hAnsi="Times New Roman"/>
          <w:sz w:val="18"/>
          <w:szCs w:val="18"/>
          <w:color w:val="auto"/>
        </w:rPr>
        <w:t>consideration transferred for the acquisition was $120.4 million. The transaction was financed through a combination of cash on hand and a draw on the Company's revolving credit facility. Profire is a technology company and provider of intelligent control solutions that enhance the efficiency, safety, and reliability of industrial combustion appliances. The business operates primarily from locations in Lindon, Utah and Acheson, Alberta and is reported within the Engineered Systems segment. The following table summarizes the preliminary fair values of the assets acquired and liabilities assumed at the date of closing.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cash and cash equivalents of $22,675 and accounts receivable of $14,151)</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54,867</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25,656</w:t>
            </w:r>
          </w:p>
        </w:tc>
        <w:tc>
          <w:tcPr>
            <w:tcW w:w="12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140,092</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6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(8,567)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6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(10,852)</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6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r>
      <w:tr>
        <w:trPr>
          <w:trHeight w:val="209"/>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120,382</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The Company acquired property and equipment consisting of $14.7 million of land, building and improvements, $2.1 million of vehicles, and $0.6 million of machinery and equipment and other.</w:t>
      </w:r>
    </w:p>
    <w:p>
      <w:pPr>
        <w:spacing w:after="0" w:line="162" w:lineRule="exact"/>
        <w:rPr>
          <w:sz w:val="20"/>
          <w:szCs w:val="20"/>
          <w:color w:val="auto"/>
        </w:rPr>
      </w:pPr>
    </w:p>
    <w:p>
      <w:pPr>
        <w:ind w:left="520" w:right="72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$3.6 million, $34.5 million, and $3.7 million, respectively. These assets were determined to have useful lives of 7, 10, and 10 years, respectively.</w:t>
      </w:r>
    </w:p>
    <w:p>
      <w:pPr>
        <w:spacing w:after="0" w:line="162" w:lineRule="exact"/>
        <w:rPr>
          <w:sz w:val="20"/>
          <w:szCs w:val="20"/>
          <w:color w:val="auto"/>
        </w:rPr>
      </w:pPr>
    </w:p>
    <w:p>
      <w:pPr>
        <w:ind w:left="520" w:right="46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Profire accounted for $16.9 million and $31.3 million in revenue, respectively, and $3.6 million and $3.6 million in net income, respectively, in the Company's results.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Verantis Environmental Solutions Group</w:t>
      </w:r>
    </w:p>
    <w:p>
      <w:pPr>
        <w:spacing w:after="0" w:line="227" w:lineRule="exact"/>
        <w:rPr>
          <w:sz w:val="20"/>
          <w:szCs w:val="20"/>
          <w:color w:val="auto"/>
        </w:rPr>
      </w:pPr>
    </w:p>
    <w:p>
      <w:pPr>
        <w:ind w:left="520" w:right="180"/>
        <w:spacing w:after="0" w:line="258" w:lineRule="auto"/>
        <w:rPr>
          <w:sz w:val="20"/>
          <w:szCs w:val="20"/>
          <w:color w:val="auto"/>
        </w:rPr>
      </w:pPr>
      <w:r>
        <w:rPr>
          <w:rFonts w:ascii="Times New Roman" w:cs="Times New Roman" w:eastAsia="Times New Roman" w:hAnsi="Times New Roman"/>
          <w:sz w:val="18"/>
          <w:szCs w:val="18"/>
          <w:color w:val="auto"/>
        </w:rPr>
        <w:t>On December 17, 2024, the Company acquired 100% of the equity interests of Verantis for $65.5 million in cash, which was financed with a draw on the Company's revolving credit facility. Verantis is a global leader in engineering services and equipment systems and solutions for exhaust air treatment in a wide range of general industrial and high technology manufacturing processes. The business operates primarily from locations in Middleburg Heights, Ohio and Singapore and is reported within the Industrial Processing Solutions segment. The following table summarizes the preliminary fair values of the assets acquired and liabilities assumed at the date of closing.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accounts receivable of $9,308)</w:t>
            </w: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19,858</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7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22,070</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50,286</w:t>
            </w:r>
          </w:p>
        </w:tc>
        <w:tc>
          <w:tcPr>
            <w:tcW w:w="100" w:type="dxa"/>
            <w:vAlign w:val="bottom"/>
          </w:tcPr>
          <w:p>
            <w:pPr>
              <w:spacing w:after="0"/>
              <w:rPr>
                <w:sz w:val="18"/>
                <w:szCs w:val="18"/>
                <w:color w:val="auto"/>
              </w:rPr>
            </w:pPr>
          </w:p>
        </w:tc>
      </w:tr>
      <w:tr>
        <w:trPr>
          <w:trHeight w:val="216"/>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92,705</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(17,595)</w:t>
            </w: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7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(8,716)</w:t>
            </w: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(928)</w:t>
            </w:r>
          </w:p>
        </w:tc>
      </w:tr>
      <w:tr>
        <w:trPr>
          <w:trHeight w:val="209"/>
        </w:trPr>
        <w:tc>
          <w:tcPr>
            <w:tcW w:w="92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7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65,466</w:t>
            </w:r>
          </w:p>
        </w:tc>
        <w:tc>
          <w:tcPr>
            <w:tcW w:w="100" w:type="dxa"/>
            <w:vAlign w:val="bottom"/>
            <w:tcBorders>
              <w:top w:val="single" w:sz="8" w:color="CFF0FC"/>
            </w:tcBorders>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82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$2.4 million, $17.0 million and $2.6 million, respectively. These assets were determined to have useful lives of 7, 10 and 10 years, respectively.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WK Group</w:t>
      </w:r>
    </w:p>
    <w:p>
      <w:pPr>
        <w:spacing w:after="0" w:line="227" w:lineRule="exact"/>
        <w:rPr>
          <w:sz w:val="20"/>
          <w:szCs w:val="20"/>
          <w:color w:val="auto"/>
        </w:rPr>
      </w:pPr>
    </w:p>
    <w:p>
      <w:pPr>
        <w:ind w:left="520" w:right="100"/>
        <w:spacing w:after="0" w:line="261" w:lineRule="auto"/>
        <w:rPr>
          <w:sz w:val="20"/>
          <w:szCs w:val="20"/>
          <w:color w:val="auto"/>
        </w:rPr>
      </w:pPr>
      <w:r>
        <w:rPr>
          <w:rFonts w:ascii="Times New Roman" w:cs="Times New Roman" w:eastAsia="Times New Roman" w:hAnsi="Times New Roman"/>
          <w:sz w:val="18"/>
          <w:szCs w:val="18"/>
          <w:color w:val="auto"/>
        </w:rPr>
        <w:t>On October 2, 2024, the Company acquired 100% of the equity interests of WK Group for $6.8 million in cash, which was financed with a draw on the Company's revolving credit facility. As additional consideration in the acquisition of WK Group, the former owners of WK Group are also entitled to earn-out payments up to $27.5 million based upon specified financial results through September 30, 2025. Based on projections at the acquisition date, the Company estimated the fair value of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left="520" w:right="120"/>
        <w:spacing w:after="0" w:line="254" w:lineRule="auto"/>
        <w:rPr>
          <w:sz w:val="20"/>
          <w:szCs w:val="20"/>
          <w:color w:val="auto"/>
        </w:rPr>
      </w:pPr>
      <w:r>
        <w:rPr>
          <w:rFonts w:ascii="Times New Roman" w:cs="Times New Roman" w:eastAsia="Times New Roman" w:hAnsi="Times New Roman"/>
          <w:sz w:val="18"/>
          <w:szCs w:val="18"/>
          <w:color w:val="auto"/>
        </w:rPr>
        <w:t>earn-out to be $6.3 million. During the second quarter of 2025, the Company recorded a fair value adjustment such that the earn-out liability within "Accrued expenses" on the Condensed Consolidated Balance Sheets reduced to zero as of June 30, 2025. The associated gain of $7.4 million, inclusive of $1.1 million of foreign currency adjustments, was recorded within "Other operating (income) expenses, net" on the Condensed Consolidated Statements of Income. This fair value measurement is based on inputs not observable in the market, which is considered Level 3 on the fair value hierarchy. WK Group designs and engineers a broad range of technical equipment and systems for exhaust and process air treatment, VOC abatement, energy recovery and surface treatment applications. The business operates primarily from locations in Germany, India, and Singapore and is reported within the Industrial Processing Solutions segment. The following table summarizes the preliminary fair values of the assets acquired and liabilities assumed at the date of closing.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accounts receivable of $7,914)</w:t>
            </w:r>
          </w:p>
        </w:tc>
        <w:tc>
          <w:tcPr>
            <w:tcW w:w="7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7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12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31,121</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(15,113)</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7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(1,609)</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(1,320)</w:t>
            </w:r>
          </w:p>
        </w:tc>
      </w:tr>
      <w:tr>
        <w:trPr>
          <w:trHeight w:val="210"/>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right="90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$1.0 million, $1.2 million and $1.0 million, respectively. These assets were determined to have useful lives of 7, 10 and 10 years, respectively.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EnviroCare International LLC</w:t>
      </w:r>
    </w:p>
    <w:p>
      <w:pPr>
        <w:spacing w:after="0" w:line="227" w:lineRule="exact"/>
        <w:rPr>
          <w:sz w:val="20"/>
          <w:szCs w:val="20"/>
          <w:color w:val="auto"/>
        </w:rPr>
      </w:pPr>
    </w:p>
    <w:p>
      <w:pPr>
        <w:ind w:left="520" w:right="100"/>
        <w:spacing w:after="0" w:line="256" w:lineRule="auto"/>
        <w:rPr>
          <w:sz w:val="20"/>
          <w:szCs w:val="20"/>
          <w:color w:val="auto"/>
        </w:rPr>
      </w:pPr>
      <w:r>
        <w:rPr>
          <w:rFonts w:ascii="Times New Roman" w:cs="Times New Roman" w:eastAsia="Times New Roman" w:hAnsi="Times New Roman"/>
          <w:sz w:val="18"/>
          <w:szCs w:val="18"/>
          <w:color w:val="auto"/>
        </w:rPr>
        <w:t>On July 29, 2024, the Company acquired 100% of the equity interests of EnviroCare International LLC (“EnviroCare") for $16.7 million, including $15.7 million paid at closing, which was financed with a draw on the Company's revolving credit facility, and a seller promissory note of $1.7 million, partially offset by a working capital adjustment of $0.7 million. EnviroCare is a designer and provider of industrial exhaust air contamination treatment and control and evaporative gas conditioning systems, solutions and services across a wide range of industrial and municipal applications. The business operates primarily from American Canyon, California and is reported within the Industrial Processing Solutions segment. The following table summarizes the preliminary fair values of the assets acquired and liabilities assumed at the date of closing.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cash of $596 and accounts receivable of $405)</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120" w:type="dxa"/>
            <w:vAlign w:val="bottom"/>
          </w:tcPr>
          <w:p>
            <w:pPr>
              <w:spacing w:after="0"/>
              <w:rPr>
                <w:sz w:val="18"/>
                <w:szCs w:val="18"/>
                <w:color w:val="auto"/>
              </w:rPr>
            </w:pPr>
          </w:p>
        </w:tc>
      </w:tr>
      <w:tr>
        <w:trPr>
          <w:trHeight w:val="209"/>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(5,065)</w:t>
            </w:r>
          </w:p>
        </w:tc>
      </w:tr>
      <w:tr>
        <w:trPr>
          <w:trHeight w:val="250"/>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520" w:right="90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$0.8 million, $0.8 million and $5.7 million, respectively. These assets were determined to have useful lives of 7, 10 and 10 years, respectively.</w:t>
      </w:r>
    </w:p>
    <w:p>
      <w:pPr>
        <w:spacing w:after="0" w:line="162" w:lineRule="exact"/>
        <w:rPr>
          <w:sz w:val="20"/>
          <w:szCs w:val="20"/>
          <w:color w:val="auto"/>
        </w:rPr>
      </w:pPr>
    </w:p>
    <w:p>
      <w:pPr>
        <w:ind w:left="520" w:right="80"/>
        <w:spacing w:after="0" w:line="258" w:lineRule="auto"/>
        <w:rPr>
          <w:sz w:val="20"/>
          <w:szCs w:val="20"/>
          <w:color w:val="auto"/>
        </w:rPr>
      </w:pPr>
      <w:r>
        <w:rPr>
          <w:rFonts w:ascii="Times New Roman" w:cs="Times New Roman" w:eastAsia="Times New Roman" w:hAnsi="Times New Roman"/>
          <w:sz w:val="18"/>
          <w:szCs w:val="18"/>
          <w:color w:val="auto"/>
        </w:rPr>
        <w:t>The acquisitions disclosed above are subject to final adjustment, primarily for the valuation of intangible assets pending final valuation results for such assets and tax balances for the further assessment of the acquiree’s tax positions. These preliminary estimates and assumptions could change significantly during the purchase price measurement period as the Company finalizes the valuation of assets acquired and liabilities assumed. These changes could result in material variances in the Company's future financial results, including variances in the estimated purchase price, fair values recorded and expenses associated with these items.</w:t>
      </w:r>
    </w:p>
    <w:p>
      <w:pPr>
        <w:spacing w:after="0" w:line="183"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purposes.</w:t>
      </w:r>
    </w:p>
    <w:p>
      <w:pPr>
        <w:spacing w:after="0" w:line="225" w:lineRule="exact"/>
        <w:rPr>
          <w:sz w:val="20"/>
          <w:szCs w:val="20"/>
          <w:color w:val="auto"/>
        </w:rPr>
      </w:pPr>
    </w:p>
    <w:p>
      <w:pPr>
        <w:ind w:left="520" w:right="500"/>
        <w:spacing w:after="0" w:line="282" w:lineRule="auto"/>
        <w:rPr>
          <w:sz w:val="20"/>
          <w:szCs w:val="20"/>
          <w:color w:val="auto"/>
        </w:rPr>
      </w:pPr>
      <w:r>
        <w:rPr>
          <w:rFonts w:ascii="Times New Roman" w:cs="Times New Roman" w:eastAsia="Times New Roman" w:hAnsi="Times New Roman"/>
          <w:sz w:val="18"/>
          <w:szCs w:val="18"/>
          <w:color w:val="auto"/>
        </w:rPr>
        <w:t>Acquisition and integration expenses on the Condensed Consolidated Statements of Income are related to acquisition activities, which include retention, legal, accounting, banking, and other expenses.</w:t>
      </w:r>
    </w:p>
    <w:p>
      <w:pPr>
        <w:spacing w:after="0" w:line="162" w:lineRule="exact"/>
        <w:rPr>
          <w:sz w:val="20"/>
          <w:szCs w:val="20"/>
          <w:color w:val="auto"/>
        </w:rPr>
      </w:pPr>
    </w:p>
    <w:p>
      <w:pPr>
        <w:ind w:left="520" w:right="12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Company’s results of operations as if these acquisitions had occurred at the beginning of the fiscal year prior to the acquisition. 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9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1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185,391</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176,666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362,088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340,622</w:t>
            </w:r>
          </w:p>
        </w:tc>
        <w:tc>
          <w:tcPr>
            <w:tcW w:w="12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2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8"/>
                <w:szCs w:val="18"/>
                <w:color w:val="auto"/>
              </w:rPr>
            </w:pPr>
          </w:p>
        </w:tc>
      </w:tr>
      <w:tr>
        <w:trPr>
          <w:trHeight w:val="216"/>
        </w:trPr>
        <w:tc>
          <w:tcPr>
            <w:tcW w:w="4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Divestiture</w:t>
      </w:r>
    </w:p>
    <w:p>
      <w:pPr>
        <w:spacing w:after="0" w:line="229" w:lineRule="exact"/>
        <w:rPr>
          <w:sz w:val="20"/>
          <w:szCs w:val="20"/>
          <w:color w:val="auto"/>
        </w:rPr>
      </w:pPr>
    </w:p>
    <w:p>
      <w:pPr>
        <w:ind w:left="520" w:right="100"/>
        <w:spacing w:after="0" w:line="255" w:lineRule="auto"/>
        <w:rPr>
          <w:sz w:val="20"/>
          <w:szCs w:val="20"/>
          <w:color w:val="auto"/>
        </w:rPr>
      </w:pPr>
      <w:r>
        <w:rPr>
          <w:rFonts w:ascii="Times New Roman" w:cs="Times New Roman" w:eastAsia="Times New Roman" w:hAnsi="Times New Roman"/>
          <w:sz w:val="18"/>
          <w:szCs w:val="18"/>
          <w:color w:val="auto"/>
        </w:rPr>
        <w:t>On March 31, 2025, the Company finalized the sale of its Global Pump Solutions business to a third party for a purchase price of $109.5 million, subject to purchase price adjustments. The Company received cash proceeds of $105.9 million, inclusive of the purchase price and purchase price adjustments of $0.8 million, with an additional amount of $2.8 million placed in escrow for the potential satisfaction of purchase price adjustments. Accordingly, the Company recognized a pre-tax gain on sale of business of $64.5 million. The Global Pump Solutions business consists of three niche leadership severe service industrial metallic, fiberglass and thermoplastic centrifugal pump brands: Dean, Fybroc and Sethco. The business primarily operates from locations in Indianapolis, Indiana and Telford, Pennsylvania, and was included within the Industrial Processing Solutions segment.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Amounts related to the transaction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Global Pump Solutions business</w:t>
            </w:r>
          </w:p>
        </w:tc>
        <w:tc>
          <w:tcPr>
            <w:tcW w:w="33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108,610</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Less: Assets transferred</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(4,230)</w:t>
            </w: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(9,268)</w:t>
            </w: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(5,247)</w:t>
            </w: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(26,838)</w:t>
            </w: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(4,029)</w:t>
            </w: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plan assets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costs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 Liabilities transferred</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26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8"/>
                <w:szCs w:val="18"/>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33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64,502</w:t>
            </w:r>
          </w:p>
        </w:tc>
        <w:tc>
          <w:tcPr>
            <w:tcW w:w="100" w:type="dxa"/>
            <w:vAlign w:val="bottom"/>
            <w:shd w:val="clear" w:color="auto" w:fill="CFF0FC"/>
          </w:tcPr>
          <w:p>
            <w:pPr>
              <w:spacing w:after="0"/>
              <w:rPr>
                <w:sz w:val="19"/>
                <w:szCs w:val="19"/>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Business Segment Information</w:t>
      </w:r>
    </w:p>
    <w:p>
      <w:pPr>
        <w:spacing w:after="0" w:line="229" w:lineRule="exact"/>
        <w:rPr>
          <w:sz w:val="20"/>
          <w:szCs w:val="20"/>
          <w:color w:val="auto"/>
        </w:rPr>
      </w:pPr>
    </w:p>
    <w:p>
      <w:pPr>
        <w:ind w:left="520" w:right="360"/>
        <w:spacing w:after="0" w:line="266"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markets that the segment serves and are presented in two reportable segments. The results of the segments, specifically income from operations as adjusted for intercompany profits, are reviewed quarterly by the chief operating decision maker ("CODM"), which is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left="520"/>
        <w:spacing w:after="0" w:line="266" w:lineRule="auto"/>
        <w:rPr>
          <w:sz w:val="20"/>
          <w:szCs w:val="20"/>
          <w:color w:val="auto"/>
        </w:rPr>
      </w:pPr>
      <w:r>
        <w:rPr>
          <w:rFonts w:ascii="Times New Roman" w:cs="Times New Roman" w:eastAsia="Times New Roman" w:hAnsi="Times New Roman"/>
          <w:sz w:val="18"/>
          <w:szCs w:val="18"/>
          <w:color w:val="auto"/>
        </w:rPr>
        <w:t>Company's Chief Executive Officer, for the purposes of allocating resources, including personnel, capital, and financial resources, and assessing performance, including the monitoring of budget versus actual results. Asset information by segment is not reported internally or otherwise regularly reviewed by the CODM.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reportable segments are organized as groups of similar products and services, as described as follows:</w:t>
      </w:r>
    </w:p>
    <w:p>
      <w:pPr>
        <w:spacing w:after="0" w:line="225" w:lineRule="exact"/>
        <w:rPr>
          <w:sz w:val="20"/>
          <w:szCs w:val="20"/>
          <w:color w:val="auto"/>
        </w:rPr>
      </w:pPr>
    </w:p>
    <w:p>
      <w:pPr>
        <w:ind w:left="520" w:right="160"/>
        <w:spacing w:after="0" w:line="258" w:lineRule="auto"/>
        <w:rPr>
          <w:sz w:val="20"/>
          <w:szCs w:val="20"/>
          <w:color w:val="auto"/>
        </w:rPr>
      </w:pPr>
      <w:r>
        <w:rPr>
          <w:rFonts w:ascii="Times New Roman" w:cs="Times New Roman" w:eastAsia="Times New Roman" w:hAnsi="Times New Roman"/>
          <w:sz w:val="18"/>
          <w:szCs w:val="18"/>
          <w:u w:val="single" w:color="auto"/>
          <w:color w:val="auto"/>
        </w:rPr>
        <w:t>Engineered Systems segment:</w:t>
      </w:r>
      <w:r>
        <w:rPr>
          <w:rFonts w:ascii="Times New Roman" w:cs="Times New Roman" w:eastAsia="Times New Roman" w:hAnsi="Times New Roman"/>
          <w:sz w:val="18"/>
          <w:szCs w:val="18"/>
          <w:color w:val="auto"/>
        </w:rPr>
        <w:t xml:space="preserve"> The Company's Engineered Systems segment serves the power generation, hydrocarbon transport and processing, water/wastewater treatment, oily water separation and treatment, marine and naval, and natural gas and natural gas liquids infrastructure, treatment and transport sectors. The Company seeks to address the global demand for contaminant removal and environmental protection solutions with its highly engineered platforms including emissions management, fluid bed cyclones, thermal acoustics, separation and filtration, and dampers and expansion joints.</w:t>
      </w:r>
    </w:p>
    <w:p>
      <w:pPr>
        <w:spacing w:after="0" w:line="183" w:lineRule="exact"/>
        <w:rPr>
          <w:sz w:val="20"/>
          <w:szCs w:val="20"/>
          <w:color w:val="auto"/>
        </w:rPr>
      </w:pPr>
    </w:p>
    <w:p>
      <w:pPr>
        <w:ind w:left="520" w:right="140"/>
        <w:spacing w:after="0" w:line="254" w:lineRule="auto"/>
        <w:rPr>
          <w:sz w:val="20"/>
          <w:szCs w:val="20"/>
          <w:color w:val="auto"/>
        </w:rPr>
      </w:pPr>
      <w:r>
        <w:rPr>
          <w:rFonts w:ascii="Times New Roman" w:cs="Times New Roman" w:eastAsia="Times New Roman" w:hAnsi="Times New Roman"/>
          <w:sz w:val="18"/>
          <w:szCs w:val="18"/>
          <w:u w:val="single" w:color="auto"/>
          <w:color w:val="auto"/>
        </w:rPr>
        <w:t>Industrial Process Solutions segment:</w:t>
      </w:r>
      <w:r>
        <w:rPr>
          <w:rFonts w:ascii="Times New Roman" w:cs="Times New Roman" w:eastAsia="Times New Roman" w:hAnsi="Times New Roman"/>
          <w:sz w:val="18"/>
          <w:szCs w:val="18"/>
          <w:color w:val="auto"/>
        </w:rPr>
        <w:t xml:space="preserve"> The Company's Industrial Process Solutions segment serves the broad industrial sector with solutions for contamination control, exhaust air treatment, VOC abatement, process filtration and fluid handling in applications such as aluminum beverage can production, vehicle production, food and beverage processing, semiconductor fabrication, electronics production, steel and aluminum processing, engineered wood products manufacturing, chemical processing, general manufacturing and machining, coating and surface treatment, battery production and recycling, and wind and solar power components manufacturing end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segment information is as follows for the three and six months ended June 30,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00" w:type="dxa"/>
            <w:vAlign w:val="bottom"/>
          </w:tcPr>
          <w:p>
            <w:pPr>
              <w:spacing w:after="0"/>
              <w:rPr>
                <w:sz w:val="15"/>
                <w:szCs w:val="15"/>
                <w:color w:val="auto"/>
              </w:rPr>
            </w:pP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133,035</w:t>
            </w:r>
          </w:p>
        </w:tc>
        <w:tc>
          <w:tcPr>
            <w:tcW w:w="15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58,960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260,475</w:t>
            </w:r>
          </w:p>
        </w:tc>
        <w:tc>
          <w:tcPr>
            <w:tcW w:w="142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115,519</w:t>
            </w:r>
          </w:p>
        </w:tc>
        <w:tc>
          <w:tcPr>
            <w:tcW w:w="100" w:type="dxa"/>
            <w:vAlign w:val="bottom"/>
            <w:shd w:val="clear" w:color="auto" w:fill="CFF0FC"/>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25,194</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43,934</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84,761</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income from operations to total consolidated income from operations and total consolidated net income is as follows for the three months ended June 30,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128,460</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56,931</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185,391</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Intra-segment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18"/>
                <w:szCs w:val="18"/>
                <w:color w:val="auto"/>
              </w:rPr>
            </w:pPr>
          </w:p>
        </w:tc>
      </w:tr>
      <w:tr>
        <w:trPr>
          <w:trHeight w:val="209"/>
        </w:trPr>
        <w:tc>
          <w:tcPr>
            <w:tcW w:w="3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segment sales</w:t>
            </w:r>
          </w:p>
        </w:tc>
        <w:tc>
          <w:tcPr>
            <w:tcW w:w="5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133,035</w:t>
            </w:r>
          </w:p>
        </w:tc>
        <w:tc>
          <w:tcPr>
            <w:tcW w:w="3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58,960</w:t>
            </w: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191,995</w:t>
            </w:r>
          </w:p>
        </w:tc>
        <w:tc>
          <w:tcPr>
            <w:tcW w:w="100" w:type="dxa"/>
            <w:vAlign w:val="bottom"/>
            <w:tcBorders>
              <w:top w:val="single" w:sz="8" w:color="CFF0FC"/>
            </w:tcBorders>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tcPr>
          <w:p>
            <w:pPr>
              <w:spacing w:after="0"/>
              <w:rPr>
                <w:sz w:val="18"/>
                <w:szCs w:val="18"/>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185,391</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 of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76,638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36,078</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112,715</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Shop burden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11,463</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(4,424)</w:t>
            </w:r>
          </w:p>
        </w:tc>
        <w:tc>
          <w:tcPr>
            <w:tcW w:w="4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(2,979)</w:t>
            </w: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3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3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46,908</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(2)</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19,365</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activity</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4"/>
                <w:szCs w:val="24"/>
                <w:color w:val="auto"/>
                <w:vertAlign w:val="superscript"/>
              </w:rPr>
              <w:t>(3)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(1,454)</w:t>
            </w: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100" w:type="dxa"/>
            <w:vAlign w:val="bottom"/>
            <w:shd w:val="clear" w:color="auto" w:fill="CFF0FC"/>
          </w:tcPr>
          <w:p>
            <w:pPr>
              <w:spacing w:after="0"/>
              <w:rPr>
                <w:sz w:val="18"/>
                <w:szCs w:val="18"/>
                <w:color w:val="auto"/>
              </w:rPr>
            </w:pPr>
          </w:p>
        </w:tc>
      </w:tr>
      <w:tr>
        <w:trPr>
          <w:trHeight w:val="648"/>
        </w:trPr>
        <w:tc>
          <w:tcPr>
            <w:tcW w:w="3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-3411220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-3411220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1020" w:hanging="26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expenses, acquisition and integration expenses, and divestiture expenses.</w:t>
      </w:r>
    </w:p>
    <w:p>
      <w:pPr>
        <w:spacing w:after="0" w:line="27" w:lineRule="exact"/>
        <w:rPr>
          <w:rFonts w:ascii="Times New Roman" w:cs="Times New Roman" w:eastAsia="Times New Roman" w:hAnsi="Times New Roman"/>
          <w:sz w:val="18"/>
          <w:szCs w:val="18"/>
          <w:color w:val="auto"/>
        </w:rPr>
      </w:pPr>
    </w:p>
    <w:p>
      <w:pPr>
        <w:ind w:left="760" w:right="80" w:hanging="3"/>
        <w:spacing w:after="0" w:line="250" w:lineRule="auto"/>
        <w:tabs>
          <w:tab w:leader="none" w:pos="10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and information technology expenses, and other general and administrative corporate expenses.</w:t>
      </w:r>
    </w:p>
    <w:p>
      <w:pPr>
        <w:ind w:left="1020" w:hanging="26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gain on sale of business, foreign exchange (gain) loss and pension expense.</w:t>
      </w:r>
    </w:p>
    <w:p>
      <w:pPr>
        <w:spacing w:after="0" w:line="207"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income from operations to total consolidated income from operations and total consolidated net income is as follows for the six months ended June 30,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248,894</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113,195</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362,088</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Intra-segment sales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r>
      <w:tr>
        <w:trPr>
          <w:trHeight w:val="209"/>
        </w:trPr>
        <w:tc>
          <w:tcPr>
            <w:tcW w:w="4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segment sales</w:t>
            </w:r>
          </w:p>
        </w:tc>
        <w:tc>
          <w:tcPr>
            <w:tcW w:w="5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260,475</w:t>
            </w:r>
          </w:p>
        </w:tc>
        <w:tc>
          <w:tcPr>
            <w:tcW w:w="3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115,519</w:t>
            </w: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375,993</w:t>
            </w:r>
          </w:p>
        </w:tc>
        <w:tc>
          <w:tcPr>
            <w:tcW w:w="100" w:type="dxa"/>
            <w:vAlign w:val="bottom"/>
            <w:tcBorders>
              <w:top w:val="single" w:sz="8" w:color="CFF0FC"/>
            </w:tcBorders>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sales</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sales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tcPr>
          <w:p>
            <w:pPr>
              <w:spacing w:after="0"/>
              <w:rPr>
                <w:sz w:val="18"/>
                <w:szCs w:val="18"/>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sales</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362,088</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 of sales</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149,703</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71,717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221,420</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Shop burden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24,772</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(64,502)</w:t>
            </w:r>
          </w:p>
        </w:tc>
        <w:tc>
          <w:tcPr>
            <w:tcW w:w="4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(64,502)</w:t>
            </w:r>
          </w:p>
        </w:tc>
      </w:tr>
      <w:tr>
        <w:trPr>
          <w:trHeight w:val="216"/>
        </w:trPr>
        <w:tc>
          <w:tcPr>
            <w:tcW w:w="40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(2,714)</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shd w:val="clear" w:color="auto" w:fill="CFF0FC"/>
          </w:tcPr>
          <w:p>
            <w:pPr>
              <w:spacing w:after="0"/>
              <w:rPr>
                <w:sz w:val="18"/>
                <w:szCs w:val="18"/>
                <w:color w:val="auto"/>
              </w:rPr>
            </w:pPr>
          </w:p>
        </w:tc>
      </w:tr>
      <w:tr>
        <w:trPr>
          <w:trHeight w:val="209"/>
        </w:trPr>
        <w:tc>
          <w:tcPr>
            <w:tcW w:w="4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55,515</w:t>
            </w:r>
          </w:p>
        </w:tc>
        <w:tc>
          <w:tcPr>
            <w:tcW w:w="3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87,084</w:t>
            </w: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142,599</w:t>
            </w:r>
          </w:p>
        </w:tc>
        <w:tc>
          <w:tcPr>
            <w:tcW w:w="100" w:type="dxa"/>
            <w:vAlign w:val="bottom"/>
            <w:tcBorders>
              <w:top w:val="single" w:sz="8" w:color="CFF0FC"/>
            </w:tcBorders>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42,530</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 of intra- and inter-segment activity</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4"/>
                <w:szCs w:val="24"/>
                <w:color w:val="auto"/>
                <w:vertAlign w:val="superscript"/>
              </w:rPr>
              <w:t>(3)</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(861)</w:t>
            </w:r>
          </w:p>
        </w:tc>
      </w:tr>
      <w:tr>
        <w:trPr>
          <w:trHeight w:val="228"/>
        </w:trPr>
        <w:tc>
          <w:tcPr>
            <w:tcW w:w="4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54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640" w:type="dxa"/>
            <w:vAlign w:val="bottom"/>
            <w:tcBorders>
              <w:top w:val="single" w:sz="8" w:color="CFF0FC"/>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12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69,676</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-2651125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-2651125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-2651125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-988060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-988060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-988060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expenses, acquisition and integration expenses, and divestiture expenses.</w:t>
      </w:r>
    </w:p>
    <w:p>
      <w:pPr>
        <w:spacing w:after="0" w:line="27" w:lineRule="exact"/>
        <w:rPr>
          <w:rFonts w:ascii="Times New Roman" w:cs="Times New Roman" w:eastAsia="Times New Roman" w:hAnsi="Times New Roman"/>
          <w:sz w:val="18"/>
          <w:szCs w:val="18"/>
          <w:color w:val="auto"/>
        </w:rPr>
      </w:pPr>
    </w:p>
    <w:p>
      <w:pPr>
        <w:ind w:left="760" w:right="80" w:hanging="3"/>
        <w:spacing w:after="0" w:line="250" w:lineRule="auto"/>
        <w:tabs>
          <w:tab w:leader="none" w:pos="10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and information technology expenses, and other general and administrative corporate expenses.</w:t>
      </w: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gain on sale of business, foreign exchange (gain) loss and pension expense.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segment information is as follows for the three and six months ended June 30,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00" w:type="dxa"/>
            <w:vAlign w:val="bottom"/>
          </w:tcPr>
          <w:p>
            <w:pPr>
              <w:spacing w:after="0"/>
              <w:rPr>
                <w:sz w:val="15"/>
                <w:szCs w:val="15"/>
                <w:color w:val="auto"/>
              </w:rPr>
            </w:pP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56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50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FF0FC"/>
          </w:tcPr>
          <w:p>
            <w:pPr>
              <w:spacing w:after="0"/>
              <w:rPr>
                <w:sz w:val="18"/>
                <w:szCs w:val="18"/>
                <w:color w:val="auto"/>
              </w:rPr>
            </w:pPr>
          </w:p>
        </w:tc>
      </w:tr>
      <w:tr>
        <w:trPr>
          <w:trHeight w:val="31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tcPr>
          <w:p>
            <w:pPr>
              <w:spacing w:after="0"/>
              <w:rPr>
                <w:sz w:val="24"/>
                <w:szCs w:val="24"/>
                <w:color w:val="auto"/>
              </w:rPr>
            </w:pPr>
          </w:p>
        </w:tc>
      </w:tr>
    </w:tbl>
    <w:p>
      <w:pPr>
        <w:ind w:left="760" w:right="100" w:hanging="3"/>
        <w:spacing w:after="0" w:line="269" w:lineRule="auto"/>
        <w:tabs>
          <w:tab w:leader="none" w:pos="10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depreciation and amortization disclosed by reportable segment are included within the other segment expense captions, such as shop burden or general and administrative expense.</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segment information is as follows for the three and six months ended June 30,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00" w:type="dxa"/>
            <w:vAlign w:val="bottom"/>
          </w:tcPr>
          <w:p>
            <w:pPr>
              <w:spacing w:after="0"/>
              <w:rPr>
                <w:sz w:val="15"/>
                <w:szCs w:val="15"/>
                <w:color w:val="auto"/>
              </w:rPr>
            </w:pPr>
          </w:p>
        </w:tc>
      </w:tr>
      <w:tr>
        <w:trPr>
          <w:trHeight w:val="20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102,141</w:t>
            </w:r>
          </w:p>
        </w:tc>
        <w:tc>
          <w:tcPr>
            <w:tcW w:w="15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194,659</w:t>
            </w:r>
          </w:p>
        </w:tc>
        <w:tc>
          <w:tcPr>
            <w:tcW w:w="146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84,252</w:t>
            </w:r>
          </w:p>
        </w:tc>
        <w:tc>
          <w:tcPr>
            <w:tcW w:w="100" w:type="dxa"/>
            <w:vAlign w:val="bottom"/>
            <w:shd w:val="clear" w:color="auto" w:fill="CFF0FC"/>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19,330</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35,607</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12,769</w:t>
            </w:r>
          </w:p>
        </w:tc>
        <w:tc>
          <w:tcPr>
            <w:tcW w:w="100" w:type="dxa"/>
            <w:vAlign w:val="bottom"/>
          </w:tcPr>
          <w:p>
            <w:pPr>
              <w:spacing w:after="0"/>
              <w:rPr>
                <w:sz w:val="20"/>
                <w:szCs w:val="20"/>
                <w:color w:val="auto"/>
              </w:rPr>
            </w:pPr>
          </w:p>
        </w:tc>
      </w:tr>
      <w:tr>
        <w:trPr>
          <w:trHeight w:val="630"/>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520" w:right="2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income from operations to total consolidated income from operations and total consolidated net income is as follows for the three months ended June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97,392</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40,130</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137,522</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Intra-segment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100" w:type="dxa"/>
            <w:vAlign w:val="bottom"/>
          </w:tcPr>
          <w:p>
            <w:pPr>
              <w:spacing w:after="0"/>
              <w:rPr>
                <w:sz w:val="18"/>
                <w:szCs w:val="18"/>
                <w:color w:val="auto"/>
              </w:rPr>
            </w:pPr>
          </w:p>
        </w:tc>
      </w:tr>
      <w:tr>
        <w:trPr>
          <w:trHeight w:val="216"/>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5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146,814</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100" w:type="dxa"/>
            <w:vAlign w:val="bottom"/>
          </w:tcPr>
          <w:p>
            <w:pPr>
              <w:spacing w:after="0"/>
              <w:rPr>
                <w:sz w:val="18"/>
                <w:szCs w:val="18"/>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137,522</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 of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59,483</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24,081</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83,563</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Shop burden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18"/>
                <w:szCs w:val="18"/>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34,291</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(2)</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activity</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loss</w:t>
            </w:r>
            <w:r>
              <w:rPr>
                <w:rFonts w:ascii="Times New Roman" w:cs="Times New Roman" w:eastAsia="Times New Roman" w:hAnsi="Times New Roman"/>
                <w:sz w:val="24"/>
                <w:szCs w:val="24"/>
                <w:color w:val="auto"/>
                <w:vertAlign w:val="superscript"/>
              </w:rPr>
              <w:t>(3)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-2502535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-2502535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20" w:hanging="26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expenses, acquisition and integration expenses, and asbestos litigation expenses.</w:t>
      </w:r>
    </w:p>
    <w:p>
      <w:pPr>
        <w:spacing w:after="0" w:line="27" w:lineRule="exact"/>
        <w:rPr>
          <w:rFonts w:ascii="Times New Roman" w:cs="Times New Roman" w:eastAsia="Times New Roman" w:hAnsi="Times New Roman"/>
          <w:sz w:val="18"/>
          <w:szCs w:val="18"/>
          <w:color w:val="auto"/>
        </w:rPr>
      </w:pPr>
    </w:p>
    <w:p>
      <w:pPr>
        <w:ind w:left="760" w:right="80" w:hanging="3"/>
        <w:spacing w:after="0" w:line="250"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and information technology expenses, and other general and administrative corporate expenses.</w:t>
      </w:r>
    </w:p>
    <w:p>
      <w:pPr>
        <w:ind w:left="1020" w:hanging="26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(gain) loss and pension expense.</w:t>
      </w:r>
    </w:p>
    <w:p>
      <w:pPr>
        <w:spacing w:after="0" w:line="207"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income from operations to total consolidated income from operations and total consolidated net income is as follows for the six months ended June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186,741</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77,113</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263,854</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Intra-segment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100" w:type="dxa"/>
            <w:vAlign w:val="bottom"/>
          </w:tcPr>
          <w:p>
            <w:pPr>
              <w:spacing w:after="0"/>
              <w:rPr>
                <w:sz w:val="18"/>
                <w:szCs w:val="18"/>
                <w:color w:val="auto"/>
              </w:rPr>
            </w:pPr>
          </w:p>
        </w:tc>
      </w:tr>
      <w:tr>
        <w:trPr>
          <w:trHeight w:val="216"/>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5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194,659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278,911</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100" w:type="dxa"/>
            <w:vAlign w:val="bottom"/>
          </w:tcPr>
          <w:p>
            <w:pPr>
              <w:spacing w:after="0"/>
              <w:rPr>
                <w:sz w:val="18"/>
                <w:szCs w:val="18"/>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263,854</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 of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116,578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44,305</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160,883</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Shop burden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17,098</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tcPr>
          <w:p>
            <w:pPr>
              <w:spacing w:after="0"/>
              <w:rPr>
                <w:sz w:val="18"/>
                <w:szCs w:val="18"/>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43,526</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63,433</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(2)</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27,586</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activity</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loss</w:t>
            </w:r>
            <w:r>
              <w:rPr>
                <w:rFonts w:ascii="Times New Roman" w:cs="Times New Roman" w:eastAsia="Times New Roman" w:hAnsi="Times New Roman"/>
                <w:sz w:val="24"/>
                <w:szCs w:val="24"/>
                <w:color w:val="auto"/>
                <w:vertAlign w:val="superscript"/>
              </w:rPr>
              <w:t>(3)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Pr>
          <w:p>
            <w:pPr>
              <w:spacing w:after="0"/>
              <w:rPr>
                <w:sz w:val="18"/>
                <w:szCs w:val="18"/>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00" w:type="dxa"/>
            <w:vAlign w:val="bottom"/>
            <w:shd w:val="clear" w:color="auto" w:fill="CFF0FC"/>
          </w:tcPr>
          <w:p>
            <w:pPr>
              <w:spacing w:after="0"/>
              <w:rPr>
                <w:sz w:val="18"/>
                <w:szCs w:val="18"/>
                <w:color w:val="auto"/>
              </w:rPr>
            </w:pPr>
          </w:p>
        </w:tc>
      </w:tr>
      <w:tr>
        <w:trPr>
          <w:trHeight w:val="648"/>
        </w:trPr>
        <w:tc>
          <w:tcPr>
            <w:tcW w:w="3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-3411220</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-3411220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left="1020" w:hanging="26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expenses, acquisition and integration expenses, and asbestos litigation expenses.</w:t>
      </w:r>
    </w:p>
    <w:p>
      <w:pPr>
        <w:spacing w:after="0" w:line="27" w:lineRule="exact"/>
        <w:rPr>
          <w:rFonts w:ascii="Times New Roman" w:cs="Times New Roman" w:eastAsia="Times New Roman" w:hAnsi="Times New Roman"/>
          <w:sz w:val="18"/>
          <w:szCs w:val="18"/>
          <w:color w:val="auto"/>
        </w:rPr>
      </w:pPr>
    </w:p>
    <w:p>
      <w:pPr>
        <w:ind w:left="760" w:right="80" w:hanging="3"/>
        <w:spacing w:after="0" w:line="250" w:lineRule="auto"/>
        <w:tabs>
          <w:tab w:leader="none" w:pos="10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and information technology expenses, and other general and administrative corporate expenses.</w:t>
      </w:r>
    </w:p>
    <w:p>
      <w:pPr>
        <w:ind w:left="1020" w:hanging="26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(gain) loss and pension expense.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segment information is as follows for the three and six months ended June 30,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00" w:type="dxa"/>
            <w:vAlign w:val="bottom"/>
          </w:tcPr>
          <w:p>
            <w:pPr>
              <w:spacing w:after="0"/>
              <w:rPr>
                <w:sz w:val="15"/>
                <w:szCs w:val="15"/>
                <w:color w:val="auto"/>
              </w:rPr>
            </w:pP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56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50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FF0FC"/>
          </w:tcPr>
          <w:p>
            <w:pPr>
              <w:spacing w:after="0"/>
              <w:rPr>
                <w:sz w:val="18"/>
                <w:szCs w:val="18"/>
                <w:color w:val="auto"/>
              </w:rPr>
            </w:pPr>
          </w:p>
        </w:tc>
      </w:tr>
      <w:tr>
        <w:trPr>
          <w:trHeight w:val="31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24"/>
                <w:szCs w:val="24"/>
                <w:color w:val="auto"/>
              </w:rPr>
            </w:pPr>
          </w:p>
        </w:tc>
      </w:tr>
    </w:tbl>
    <w:p>
      <w:pPr>
        <w:ind w:left="760" w:right="100" w:hanging="3"/>
        <w:spacing w:after="0" w:line="269" w:lineRule="auto"/>
        <w:tabs>
          <w:tab w:leader="none" w:pos="10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depreciation and amortization disclosed by reportable segment are included within the other segment expense captions, such as shop burden or general and administrative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area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5"/>
                <w:szCs w:val="15"/>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120,204</w:t>
            </w:r>
          </w:p>
        </w:tc>
        <w:tc>
          <w:tcPr>
            <w:tcW w:w="11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90,450</w:t>
            </w: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230,875</w:t>
            </w: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4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26,989</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23,391</w:t>
            </w:r>
          </w:p>
        </w:tc>
        <w:tc>
          <w:tcPr>
            <w:tcW w:w="4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4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43,840</w:t>
            </w:r>
          </w:p>
        </w:tc>
        <w:tc>
          <w:tcPr>
            <w:tcW w:w="4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185,391</w:t>
            </w: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137,522</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362,088</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-980440</wp:posOffset>
            </wp:positionV>
            <wp:extent cx="102870" cy="1365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13652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-980440</wp:posOffset>
            </wp:positionV>
            <wp:extent cx="93980" cy="1365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-980440</wp:posOffset>
            </wp:positionV>
            <wp:extent cx="93980" cy="1365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-980440</wp:posOffset>
            </wp:positionV>
            <wp:extent cx="93980" cy="1365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-170815</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area data for net sales is based upon the country location of the Company's business unit generating such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by geographic area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372,714</w:t>
            </w:r>
          </w:p>
        </w:tc>
        <w:tc>
          <w:tcPr>
            <w:tcW w:w="10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332,162</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w:t>
            </w:r>
          </w:p>
        </w:tc>
        <w:tc>
          <w:tcPr>
            <w:tcW w:w="48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36,614</w:t>
            </w:r>
          </w:p>
        </w:tc>
        <w:tc>
          <w:tcPr>
            <w:tcW w:w="5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36,315</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55,955</w:t>
            </w:r>
          </w:p>
        </w:tc>
        <w:tc>
          <w:tcPr>
            <w:tcW w:w="5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33,248</w:t>
            </w:r>
          </w:p>
        </w:tc>
        <w:tc>
          <w:tcPr>
            <w:tcW w:w="100" w:type="dxa"/>
            <w:vAlign w:val="bottom"/>
          </w:tcPr>
          <w:p>
            <w:pPr>
              <w:spacing w:after="0"/>
              <w:rPr>
                <w:sz w:val="18"/>
                <w:szCs w:val="18"/>
                <w:color w:val="auto"/>
              </w:rPr>
            </w:pPr>
          </w:p>
        </w:tc>
      </w:tr>
      <w:tr>
        <w:trPr>
          <w:trHeight w:val="229"/>
        </w:trPr>
        <w:tc>
          <w:tcPr>
            <w:tcW w:w="4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long-lived assets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493,583</w:t>
            </w:r>
          </w:p>
        </w:tc>
        <w:tc>
          <w:tcPr>
            <w:tcW w:w="10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428,728</w:t>
            </w:r>
          </w:p>
        </w:tc>
        <w:tc>
          <w:tcPr>
            <w:tcW w:w="100" w:type="dxa"/>
            <w:vAlign w:val="bottom"/>
            <w:shd w:val="clear" w:color="auto" w:fill="CFF0FC"/>
          </w:tcPr>
          <w:p>
            <w:pPr>
              <w:spacing w:after="0"/>
              <w:rPr>
                <w:sz w:val="19"/>
                <w:szCs w:val="19"/>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area data for long-lived assets is based upon physical location of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CECO ENVIRONMENTAL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Statements of Income for the three and six months ended June 30, 2025 and 2024 reflect the consolidated operations of the Company and its subsidiaries.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CECO Environmental Corp. (“CECO,” “we,” “us,” or the “Company”) is a leading environmentally focused, diversified industrial company, serving the broad landscape of industrial air, industrial water and energy transition markets globally providing innovative technology and application expertise through a collection of focused operating companies with niche leadership positions and well-established brands in fragmented markets with flexible business models and established supply chains.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Pressures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senior management team monitors and manages the Company’s ability to operate effectively as the result of market pressures. Against the current backdrop of a rapidly evolving global commercial environment, we believe we are comparatively well-positioned as we execute and manufacture a majority of our business in the same regions in which we sell, with our cost and revenue bases largely aligned as a result. Recently, international trade has been impacted by geopolitical tariff considerations. To mitigate potential tariff-related impacts, we have worked strategically with customers and suppliers to optimize terms and pricing, sourcing locations, and logistics routes and schedules. While we will continue to take a proactive approach on our efforts to mitigate the impacts of tariffs, our business and results could be adversely affected by further policy developments. Additionally, we are currently experiencing shortages of raw materials and inflationary pressures for certain materials and labor. We have secured raw materials from existing and alternate suppliers and have taken other mitigating actions to mitigate supply disruptions; however, we cannot guarantee that we will be able to continue to do so in the future. If we are unable to continue to mitigate the effects of these supply disruptions and/or inflationary pressures, our business, results and financial condition could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Use of Non-GAAP Financial Measures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 and the items described below in “Consolidated Results.” The Company believes that these items are not necessarily indicative of the Company’s ongoing operations and their exclusion provides individuals with additional information to better compare the Company's results over multiple periods. The Company utilizes this information to evaluate its ongoing financial performance. The Company has incurred substantial expense and income associated with acquisitions. While the Company cannot predict the exact timing or amounts of such charges, it does expect to treat the financial impact of these transactions as special items in its future presentation of non-GAAP results.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Statements of Income for the three and six months ended June 30, 2025 and 2024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Pr>
          <w:p>
            <w:pPr>
              <w:spacing w:after="0"/>
              <w:rPr>
                <w:sz w:val="18"/>
                <w:szCs w:val="18"/>
                <w:color w:val="auto"/>
              </w:rPr>
            </w:pPr>
          </w:p>
        </w:tc>
      </w:tr>
      <w:tr>
        <w:trPr>
          <w:trHeight w:val="188"/>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 except ratios)</w:t>
            </w:r>
          </w:p>
        </w:tc>
        <w:tc>
          <w:tcPr>
            <w:tcW w:w="7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158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137.5</w:t>
            </w:r>
          </w:p>
        </w:tc>
        <w:tc>
          <w:tcPr>
            <w:tcW w:w="2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40" w:type="dxa"/>
            <w:vAlign w:val="bottom"/>
            <w:shd w:val="clear" w:color="auto" w:fill="CFF0FC"/>
          </w:tcPr>
          <w:p>
            <w:pPr>
              <w:spacing w:after="0"/>
              <w:rPr>
                <w:sz w:val="17"/>
                <w:szCs w:val="17"/>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7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2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40" w:type="dxa"/>
            <w:vAlign w:val="bottom"/>
          </w:tcPr>
          <w:p>
            <w:pPr>
              <w:spacing w:after="0"/>
              <w:rPr>
                <w:sz w:val="17"/>
                <w:szCs w:val="17"/>
                <w:color w:val="auto"/>
              </w:rPr>
            </w:pP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58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40" w:type="dxa"/>
            <w:vAlign w:val="bottom"/>
            <w:shd w:val="clear" w:color="auto" w:fill="CFF0FC"/>
          </w:tcPr>
          <w:p>
            <w:pPr>
              <w:spacing w:after="0"/>
              <w:rPr>
                <w:sz w:val="17"/>
                <w:szCs w:val="17"/>
                <w:color w:val="auto"/>
              </w:rPr>
            </w:pPr>
          </w:p>
        </w:tc>
      </w:tr>
      <w:tr>
        <w:trPr>
          <w:trHeight w:val="203"/>
        </w:trPr>
        <w:tc>
          <w:tcPr>
            <w:tcW w:w="44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Percent of sales</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36.2%</w:t>
            </w:r>
          </w:p>
        </w:tc>
        <w:tc>
          <w:tcPr>
            <w:tcW w:w="90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35.6%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35.7%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35.7%</w:t>
            </w: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7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40" w:type="dxa"/>
            <w:vAlign w:val="bottom"/>
            <w:shd w:val="clear" w:color="auto" w:fill="CFF0FC"/>
          </w:tcPr>
          <w:p>
            <w:pPr>
              <w:spacing w:after="0"/>
              <w:rPr>
                <w:sz w:val="17"/>
                <w:szCs w:val="17"/>
                <w:color w:val="auto"/>
              </w:rPr>
            </w:pPr>
          </w:p>
        </w:tc>
      </w:tr>
      <w:tr>
        <w:trPr>
          <w:trHeight w:val="203"/>
        </w:trPr>
        <w:tc>
          <w:tcPr>
            <w:tcW w:w="44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Percent of sales</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26.3%</w:t>
            </w:r>
          </w:p>
        </w:tc>
        <w:tc>
          <w:tcPr>
            <w:tcW w:w="90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26.5%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28.3%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27.1%</w:t>
            </w: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expenses</w:t>
            </w:r>
          </w:p>
        </w:tc>
        <w:tc>
          <w:tcPr>
            <w:tcW w:w="7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shd w:val="clear" w:color="auto" w:fill="CFF0FC"/>
          </w:tcPr>
          <w:p>
            <w:pPr>
              <w:spacing w:after="0"/>
              <w:rPr>
                <w:sz w:val="17"/>
                <w:szCs w:val="17"/>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tcPr>
          <w:p>
            <w:pPr>
              <w:spacing w:after="0"/>
              <w:rPr>
                <w:sz w:val="17"/>
                <w:szCs w:val="17"/>
                <w:color w:val="auto"/>
              </w:rPr>
            </w:pP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on sale of Global Pump Solutions business</w:t>
            </w:r>
          </w:p>
        </w:tc>
        <w:tc>
          <w:tcPr>
            <w:tcW w:w="7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w:t>
            </w:r>
          </w:p>
        </w:tc>
        <w:tc>
          <w:tcPr>
            <w:tcW w:w="9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58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40" w:type="dxa"/>
            <w:vAlign w:val="bottom"/>
            <w:shd w:val="clear" w:color="auto" w:fill="CFF0FC"/>
          </w:tcPr>
          <w:p>
            <w:pPr>
              <w:spacing w:after="0"/>
              <w:rPr>
                <w:sz w:val="17"/>
                <w:szCs w:val="17"/>
                <w:color w:val="auto"/>
              </w:rPr>
            </w:pPr>
          </w:p>
        </w:tc>
      </w:tr>
      <w:tr>
        <w:trPr>
          <w:trHeight w:val="203"/>
        </w:trPr>
        <w:tc>
          <w:tcPr>
            <w:tcW w:w="44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Operating margin</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9.8%</w:t>
            </w:r>
          </w:p>
        </w:tc>
        <w:tc>
          <w:tcPr>
            <w:tcW w:w="90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6.8%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6.4%</w:t>
            </w: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58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7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8"/>
                <w:szCs w:val="18"/>
                <w:color w:val="auto"/>
              </w:rPr>
            </w:pPr>
          </w:p>
        </w:tc>
      </w:tr>
      <w:tr>
        <w:trPr>
          <w:trHeight w:val="209"/>
        </w:trPr>
        <w:tc>
          <w:tcPr>
            <w:tcW w:w="4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7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7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8"/>
                <w:szCs w:val="18"/>
                <w:color w:val="auto"/>
              </w:rPr>
            </w:pPr>
          </w:p>
        </w:tc>
      </w:tr>
      <w:tr>
        <w:trPr>
          <w:trHeight w:val="209"/>
        </w:trPr>
        <w:tc>
          <w:tcPr>
            <w:tcW w:w="4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7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r>
      <w:tr>
        <w:trPr>
          <w:trHeight w:val="250"/>
        </w:trPr>
        <w:tc>
          <w:tcPr>
            <w:tcW w:w="4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 attributable to CECO Environmental Corp.</w:t>
            </w:r>
          </w:p>
        </w:tc>
        <w:tc>
          <w:tcPr>
            <w:tcW w:w="7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-24765</wp:posOffset>
            </wp:positionV>
            <wp:extent cx="946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946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939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939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939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939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compare operating performance between the three and six months ended June 30, 2025 and 2024, the Company has adjusted GAAP operating income to exclude (1) amortization of intangible assets, (2) acquisition and integration expenses, which include legal, accounting, and other expenses, (3) gain on the sale of the Global Pump Solutions business as discussed in Note 16, and (4) other non-recurring expenses, including fair value adjustment of earn-out liabilities from the acquisitions of WK Group, restructuring expenses primarily relating to severance, facility exits, and associated legal expenses, asbestos litigation expenses relating to future settlement payments, and third party professional consulting fees associated with Enterprise Resource Planning system implementations.</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GAAP operating income and GAAP operating margin to non-GAAP operating income and non-GAAP operating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560" w:type="dxa"/>
            <w:vAlign w:val="bottom"/>
          </w:tcPr>
          <w:p>
            <w:pPr>
              <w:spacing w:after="0"/>
              <w:rPr>
                <w:sz w:val="15"/>
                <w:szCs w:val="15"/>
                <w:color w:val="auto"/>
              </w:rPr>
            </w:pPr>
          </w:p>
        </w:tc>
        <w:tc>
          <w:tcPr>
            <w:tcW w:w="23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6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1400" w:type="dxa"/>
            <w:vAlign w:val="bottom"/>
            <w:gridSpan w:val="2"/>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9.8%</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6.4%</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expenses</w:t>
            </w: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 operating (income) expense, net</w:t>
            </w:r>
            <w:r>
              <w:rPr>
                <w:rFonts w:ascii="Times New Roman" w:cs="Times New Roman" w:eastAsia="Times New Roman" w:hAnsi="Times New Roman"/>
                <w:sz w:val="24"/>
                <w:szCs w:val="24"/>
                <w:color w:val="auto"/>
                <w:vertAlign w:val="superscript"/>
              </w:rPr>
              <w:t>(1)</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56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9.9%</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9.2%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7.4%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8.6%</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240" w:firstLine="8"/>
        <w:spacing w:after="0" w:line="266"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non-recurring expenses, including fair value adjustment of earn-out liabilities from the acquisitions of WK Group, restructuring expenses primarily relating to severance, facility exits, and associated legal expenses, asbestos litigation expenses relating to future settlement payments, and third party professional consulting fees associated with Enterprise Resource Planning system implementations.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Orders booked increased $133.3 million, or 95%, to $274.1 million during the three months ended June 30, 2025 compared with $140.8 million in the three months ended June 30, 2024. Approximately 89%, or $245.3 million, of the orders for the three months ended June 30, 2025 is attributable to organic bookings, defined as orders recorded subsequent to the twelve month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ind w:right="60"/>
        <w:spacing w:after="0" w:line="266" w:lineRule="auto"/>
        <w:rPr>
          <w:sz w:val="20"/>
          <w:szCs w:val="20"/>
          <w:color w:val="auto"/>
        </w:rPr>
      </w:pPr>
      <w:r>
        <w:rPr>
          <w:rFonts w:ascii="Times New Roman" w:cs="Times New Roman" w:eastAsia="Times New Roman" w:hAnsi="Times New Roman"/>
          <w:sz w:val="18"/>
          <w:szCs w:val="18"/>
          <w:color w:val="auto"/>
        </w:rPr>
        <w:t>post-acquisition date. The orders increase is primarily attributable to the Company's energy and power technologies. Investments in domestic energy infrastructure have resulted in increased demand for emissions, separation, and acoustics products. The remainder of the increase in orders is attributable to the Company's recent acquisitions in burner management and industrial air technologies.</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Orders booked increased $216.0 million, or 75%, to $502.1 million during the six months ended June 30, 2025 compared with $286.1 million in the six months ended June 30, 2024. Approximately 86%, or $430.1 million, of the orders for the six months ended June 30, 2025 is attributable to organic bookings, defined as orders recorded subsequent to the twelve month period post-acquisition date. The orders increase is primarily attributable to the Company's energy and power technologies. Investments in energy infrastructure and growth in midstream markets have resulted in increased demand for emissions, separation, and acoustics products. The remainder of the increase in orders is attributable to the Company's recent acquisitions.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sales for the three months ended June 30, 2025 increased $47.9 million, or 34.8%, to $185.4 million compared with $137.5 million for the three months ended June 30, 2024. Approximately 78%, or $145.1 million, of the net sales for the three months ended June 30, 2025 is attributable to organic revenue, defined as revenue recorded subsequent to the twelve month period post-acquisition date. The increase in organic revenue is driven by execution and delivery on our record backlog within energy transition end markets. The remainder of the increase in net sales is attributable to the Company's recent acquisitions.</w:t>
      </w:r>
    </w:p>
    <w:p>
      <w:pPr>
        <w:spacing w:after="0" w:line="18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Net sales for the six months ended June 30, 2025 increased $98.2 million, or 37.2%, to $362.1 million compared with $263.9 million for the six months ended June 30, 2024. Approximately 79%, or $287.5 million, of the net sales for the six months ended June 30, 2025 is attributable to organic revenue, defined as revenue recorded subsequent to the twelve month period post-acquisition date. The increase in organic revenue is driven by execution and delivery on our record backlog within energy transition end markets, with notable growth in midstream. The remainder of the increase in net sales is attributable to the Company's recent acquisitions.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profit increased $18.1 million, or 36.9%, to $67.1 million in the three months ended June 30, 2025 compared with $49.0 million in the three months ended June 30, 2024. The increase in gross profit is primarily attributable to the increase in sales volume as described above. Gross profit as a percentage of sales slightly increased to 36.2% in the three months ended June 30, 2025 compared with 35.6% in the three months ended June 30, 2024. This increase is attributable to project mix.</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Gross profit increased $35.1 million, or 37.3%, to $129.3 million in the six months ended June 30, 2025 compared with $94.2 million in the six months ended June 30, 2024. The increase in gross profit is primarily attributable to the increase in sales volume as described above. Gross profit as a percentage of sales was flat at 35.7% in the six months ended June 30, 2025 and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administrative expenses were $48.8 million for the three months ended June 30, 2025 compared with $36.4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The increase is primarily attributable to increased headcount to support the Company’s backlog execution and growth initiatives.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acquisitions during the current and prior year drove increased selling and administrative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administrative expenses were $102.4 million for the six months ended June 30, 2025 compared with $71.4 million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The increase is primarily attributable to increased headcount to support the Company’s backlog execution and growth initiatives.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acquisitions during the current and prior year drove increased selling and administrative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$6.0 million for the three months ended June 30, 2025 compared with $2.2 million for the three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expense is attributable to increased intangible assets attributable to current and prior year acquisitions.</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Amortization expense was $6.0 million for the six months ended June 30, 2025 compared with $4.4 million for the six months ended June 30, 2024. The increase in expense is attributable to increased intangible assets attributable to current and prior year acquisitions.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increased $8.8 million to $18.1 million for the three months ended June 30, 2025 compared with operating income of $9.3 million for the three months ended June 30, 2024. The increase in operating income is primarily attributable to the fair value adjustment to the earn-out liability associated with the acquisition of WK Group, as well as the increase in gross profit described above.</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Operating income increased $63.0 million to $79.9 million for the six months ended June 30, 2025 compared with operating income of $16.9 million for the six months ended June 30, 2024. The increase in operating income is primarily attributable to the gain on the sale of the Global Pump Solutions business and fair value adjustment to the earn-out liability associated with the acquisition of WK Group, partially offset by the increase in selling and administrative expenses described above.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right="220"/>
        <w:spacing w:after="0" w:line="266" w:lineRule="auto"/>
        <w:rPr>
          <w:sz w:val="20"/>
          <w:szCs w:val="20"/>
          <w:color w:val="auto"/>
        </w:rPr>
      </w:pPr>
      <w:r>
        <w:rPr>
          <w:rFonts w:ascii="Times New Roman" w:cs="Times New Roman" w:eastAsia="Times New Roman" w:hAnsi="Times New Roman"/>
          <w:sz w:val="18"/>
          <w:szCs w:val="18"/>
          <w:color w:val="auto"/>
        </w:rPr>
        <w:t>Non-GAAP operating income was $18.3 million for the three months ended June 30, 2025 compared with $12.6 million for the three months ended June 30, 2024. Non-GAAP operating income as a percentage of sales increased to 9.9% for the three months ended June 30, 2025 from 9.2% for the three months ended June 30, 2024.</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Non-GAAP operating income was $26.9 million for the six months ended June 30, 2025 compared with $22.8 million for the six months ended June 30, 2024. Non-GAAP operating income as a percentage of sales decreased to 7% for the six months ended June 30, 2025 from 9% for the six months ended June 30, 2024.</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Interest expense increased to $4.9 million in the three months ended June 30, 2025 compared with interest expense of $3.3 million for the three months ended June 30, 2024. The increase in interest expense is primarily due to increased debt balances.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increased to $11.1 million in the six months ended June 30, 2025 compared with interest expense of $6.7 million for the six months ended June 30, 2024. The increase in interest expense is primarily due to increased debt balances.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Income tax expense was $4.5 million for the three months ended June 30, 2025 compared with income tax expense of $1.0 million for the three months ended June 30, 2024. Income tax expense was $23.1 million for the six months ended June 30, 2025 compared with income tax expense of $1.0 million for the six months ended June 30, 2024. The effective income tax rate for the three months ended June 30, 2025 was 30.9% compared with 7.4% for the three months ended June 30, 2024. The effective income tax rate for the six months ended June 30, 2025 was 33.2% compared with 13.1% for the six months ended June 30, 2024. The effective income tax rates for the three and six months ended June 30, 2025 and June 30, 2024 differ from the United States federal statutory rate. Our effective tax rate is affected by certain other permanent differences, including the gain on the sale of the Global Pump Solutions business, state income taxes, non-deductible incentive stock-based compensation, and differences in tax rates among the jurisdictions in which we operate.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 that the segment serves and are presented in two reportable segments. The results of the segments are reviewed through “Income from operations” on the unaudited Condensed Consolidated Statements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2025, financial results by segment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25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 (less intra- and inter-segment sales)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128,460</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97,392</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248,893</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56,931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113,195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185,391</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137,522</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362,088</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-170815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2024, financial results by segment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1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25,194</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19,330</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43,934</w:t>
            </w:r>
          </w:p>
        </w:tc>
        <w:tc>
          <w:tcPr>
            <w:tcW w:w="16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84,760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(1)</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(31,433)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79,930</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 Includes corporate compensation, professional services, information technology, and other general and administrative corporate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Engineered Systems Segment</w:t>
      </w:r>
    </w:p>
    <w:p>
      <w:pPr>
        <w:spacing w:after="0" w:line="22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Our Engineered Systems segment orders booked increased $123.7 million, or 123%, to $224.2 million during the three months ended June 30, 2025 compared with $100.5 million in the three months ended June 30, 2024. The increase is primarily attributable to the Company's energy and power technologies. Investments in energy infrastructure and growth in midstream markets have resulted in increased demand for emissions, separation, and acoustics products. The Company’s acquisition of Profire, a niche-leader specializing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in the design and manufacture of burner-management systems and other combustion-management technologies, is another driver of increased orders. Approximately 94%, or $210.1 million, of the orders for the three months ended June 30, 2025 is attributable to organic bookings, defined as orders recorded subsequent to the twelve month period post-acquisition date.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Engineered Systems segment orders booked increased $187.1 million, or 94%, to $387.1 million during the six months ended June 30, 2025 compared with $200.0 million in the six months ended June 30, 2024. The increase is primarily attributable to the Company's energy and power technologies. Investments in energy infrastructure and growth in midstream markets have resulted in increased demand for emissions, separation, and acoustics products. The Company’s acquisition of Profire also contributed to the increase in orders. Approximately 91%, or $353.0 million, of the orders for the six months ended June 30, 2025 is attributable to organic bookings, defined as orders recorded subsequent to the twelve month period post-acquisition date.</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Engineered Systems segment net sales increased $31.1 million to $128.5 million for the three months ended June 30, 2025 compared with $97.4 million for the three months ended June 30, 2024. The increase is led by backlog execution on large scale power projects and inorganic sales growth attributable to Profire. Approximately 87%, or $111.6 million, of the net sales for the three months ended June 30, 2025 is attributable to organic revenue.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Engineered Systems segment net sales increased $62.2 million to $248.9 million for the six months ended June 30, 2025 compared with $186.7 million for the six months ended June 30, 2024. The increase is led by backlog execution on large scale power projects and inorganic sales growth attributable to Profire. Approximately 87%, or $217.6 million, of the net sales for the six months ended June 30, 2025 is attributable to organic revenue.</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Operating income for the Engineered Systems segment increased $5.9 million to $25.2 million for the three months ended June 30, 2025 compared with $19.3 million for the three months ended June 30, 2024. The operating income increase is attributable to higher gross profit related to increased net sales, partially offset by an increase in selling and administrative expense.</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Operating income for the Engineered Systems segment increased $8.3 million to $43.9 million for the six months ended June 30, 2025 compared with $35.6 million for the six months ended June 30, 2024. The operating income increase is attributable to higher gross profit related to increased net sales, partially offset by an increase in selling and administrative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Industrial Process Solutions Segment</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Industrial Process Solutions segment orders booked increased $9.7 million, or 24%, to $49.9 million during the three months ended June 30, 2025 compared with $40.2 million in the three months ended June 30, 2024. The increase is primarily attributable to the Company’s most recent acquisitions in industrial air treatment applications and increase in demand for the Company's scrubber technologies. Approximately 70%, or $35.1 million, of the orders for the three months ended June 30, 2025 is attributable to organic bookings, defined as orders recorded subsequent to the twelve month period post-acquisition date.</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Industrial Process Solutions segment orders booked increased $29.4 million, or 34%, to $114.9 million during the six months ended June 30, 2025 compared with $85.5 million in the six months ended June 30, 2024. The increase is primarily attributable to Company’s most recent acquisitions in industrial air treatment applications and increase in demand for the Company's scrubber technologies. Approximately 67% or $77.0 million, of the orders for the six months ended June 30, 2025 is attributable to organic bookings, defined as orders recorded subsequent to the twelve month period post-acquisition date.</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Industrial Process Solutions segment net sales increased $16.8 million to $56.9 million for the three months ended June 30, 2025 compared with $40.1 million for the three months ended June 30, 2024. The increase is primarily attributable to Company’s most recent acquisitions in industrial air treatment applications, partially offset by the loss of net sales due to the divestiture of the Global Pump Solutions business. Approximately 59%, or $33.5 million, of the net sales for the three months ended June 30, 2025 is attributable to organic revenue.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Industrial Process Solutions segment net sales increased $36.1 million to $113.2 million for the six months ended June 30, 2025 compared with $77.1 million for the six months ended June 30, 2024. The increase is primarily attributable to Company’s most recent acquisitions in industrial air treatment applications, partially offset by the loss of net sales due to the divestiture of the Global Pump Solutions business. Approximately 62%, or $70.0 million, of the net sales for the six months ended June 30, 2025 is attributable to organic revenue.</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Operating income for the Industrial Process Solutions segment increased $9.4 million to $15.1 million for the three months ended June 30, 2025 compared with $5.7 million for the three months ended June 30, 2024. The increase is primarily attributable to the fair value adjustment to the earn-out liability associated with the acquisition of WK Group, as well as the increase in gross profit driven by the net sales increase described above.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ind w:right="160"/>
        <w:spacing w:after="0" w:line="266" w:lineRule="auto"/>
        <w:rPr>
          <w:sz w:val="20"/>
          <w:szCs w:val="20"/>
          <w:color w:val="auto"/>
        </w:rPr>
      </w:pPr>
      <w:r>
        <w:rPr>
          <w:rFonts w:ascii="Times New Roman" w:cs="Times New Roman" w:eastAsia="Times New Roman" w:hAnsi="Times New Roman"/>
          <w:sz w:val="18"/>
          <w:szCs w:val="18"/>
          <w:color w:val="auto"/>
        </w:rPr>
        <w:t>Operating income for the Industrial Process Solutions segment increased $72.0 million to $84.8 million for the six months ended June 30, 2025 compared with $12.8 million for the six months ended June 30, 2024. The increase is primarily attributable to the gain on the sale of the Global Pump Solutions business and fair value adjustment to the earn-out liability associated with the acquisition of WK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Backlog increased to $688.1 million as of June 30, 2025, from $540.9 million as of December 31, 2024. Our customers may have the right to cancel a given order. Historically, cancellations have not been significant. Backlog is adjusted on a quarterly basis for adjustments in foreign currency exchange rates. Substantially all backlog is expected to be delivered within 18 to 24 months. Backlog is not defined by GAAP and our methodology for calculating backlog may not be consistent with methodologies used by other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2 to the unaudited condensed consolidated financial statements within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 we undertake large jobs, our working capital objective is to make these projects self-funding. We work to achieve this by obtaining customer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 under our Credit Facility (as defined below).</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June 30, 2025, the Company had working capital of $98.0 million, compared with $86.3 million at December 31, 2024. The ratio of current assets to current liabilities was 1.34 to 1.00 on June 30, 2025, as compared with a ratio of 1.35 to 1.00 on December 31, 2024.</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At June 30, 2025 and December 31, 2024, cash and cash equivalents totaled $36.8 million and $37.8 million, respectively. As of June 30, 2025 and December 31, 2024, $26.2 million and $29.7 million, respectively, of our cash and cash equivalents were held by certain foreign subsidiaries, as well as being denominated in foreign currencies.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borrowings under Credit Facility (defined below)</w:t>
            </w:r>
          </w:p>
        </w:tc>
        <w:tc>
          <w:tcPr>
            <w:tcW w:w="17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233,900</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tcPr>
          <w:p>
            <w:pPr>
              <w:spacing w:after="0"/>
              <w:rPr>
                <w:sz w:val="18"/>
                <w:szCs w:val="18"/>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17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17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218,880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(1,650)</w:t>
            </w:r>
          </w:p>
        </w:tc>
      </w:tr>
      <w:tr>
        <w:trPr>
          <w:trHeight w:val="20"/>
        </w:trPr>
        <w:tc>
          <w:tcPr>
            <w:tcW w:w="6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236,877</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100" w:type="dxa"/>
            <w:vAlign w:val="bottom"/>
            <w:shd w:val="clear" w:color="auto" w:fill="CFF0FC"/>
          </w:tcPr>
          <w:p>
            <w:pPr>
              <w:spacing w:after="0"/>
              <w:rPr>
                <w:sz w:val="19"/>
                <w:szCs w:val="19"/>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outstanding borrowings in the United States consist of a senior secured revolver loan with sub-facilities for letters of credit, swing-line loans and multi-currency loans (collectively, the “Credit Facility”). As of June 30, 2025 and December 31, 2024, the Company was in compliance with all related financial and other restrictive covenants under the Credit Facility.</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Note 8 to the unaudited condensed consolidated financial statements within Item 1 of this Quarterly Report on Form 10-Q for further information on the Company’s debt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unused credit availability under our existing Credit Facility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 revolving loans</w:t>
            </w: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Draw down</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(233.9)</w:t>
            </w:r>
          </w:p>
        </w:tc>
        <w:tc>
          <w:tcPr>
            <w:tcW w:w="20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Letters of credit open</w:t>
            </w: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 unused credit availability</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Amount available based on borrowing limitations</w:t>
            </w:r>
          </w:p>
        </w:tc>
        <w:tc>
          <w:tcPr>
            <w:tcW w:w="172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4"/>
        </w:trPr>
        <w:tc>
          <w:tcPr>
            <w:tcW w:w="5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Overview of Cash Flows and Liquidity</w:t>
            </w:r>
          </w:p>
        </w:tc>
        <w:tc>
          <w:tcPr>
            <w:tcW w:w="14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4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88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(19,363)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7,891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3,813</w:t>
            </w:r>
          </w:p>
        </w:tc>
        <w:tc>
          <w:tcPr>
            <w:tcW w:w="20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(6,811)</w:t>
            </w: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14,197</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(16,565)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(18,534)</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-1533525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-1224915</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-1207770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$19.4 million of cash was used in operating activities compared with $7.9 million provided by operations in the prior year period, representing a decrease of $27.3 million. Cash flow from operating activities in the first six months of 2025 had an unfavorable impact year-over-year primarily due to timing of project-related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net cash provided by investing activities was $3.8 million compared with $6.8 million used in investing activities in the prior year period. For the six months ended June 30, 2025, the Company received $105.8 million related to the sale of the Global Pump Solutions business as discussed in Note 16, offset by $97.6 million used in the acquisition of Profire as discussed in Note 15. In the prior year period, $6.8 million cash used in investing activities was primarily the result of acquisitions of property and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2025, $14.2 million was provided by financing activities compared with $16.6 million used in financing activities in the prior year period, for an increase of $30.8 million. For the six months ended June 30, 2025, cash provided by financing activities was driven by net borrowings of $19.7 million, primarily to fund the acquisition of Profire as discussed in Note 15, partially offset by $1.0 million of deferred consideration paid for acquisitions, representing the repayment of the remainder of the promissory note associated with the acquisition of Transcend Solutions in 2023. For the six months ended June 30, 2024, the primary uses of cash for financing activities were $6.7 million of net repayments on revolving credit lines and long-term debt, $5.0 million to repurchase common stock, and $2.1 million of deferred consideration paid for acquisitions..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Management believes there have been no changes during the six months ended June 30, 2025 to the items that the Company disclosed as its critical accounting policies and estimates in Management’s Discussion and Analysis of Financial Condition and Results of Operations in the Company’s Annual Report on Form 10-K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and Section 21E of the Securities Exchange Act of 1934, both as amended,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that could cause actual results to differ materially are discussed under “Item 1A. Risk Factors” of this Quarterly Report on Form 10-Q and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Annual Report on Form 10-K for the fiscal year ended December 31, 2024, and include, but are not limited to:</w:t>
      </w:r>
    </w:p>
    <w:p>
      <w:pPr>
        <w:spacing w:after="0" w:line="207" w:lineRule="exact"/>
        <w:rPr>
          <w:sz w:val="20"/>
          <w:szCs w:val="20"/>
          <w:color w:val="auto"/>
        </w:rPr>
      </w:pPr>
    </w:p>
    <w:p>
      <w:pPr>
        <w:ind w:left="760" w:hanging="378"/>
        <w:spacing w:after="0" w:line="254"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recent acquisitions and the divestiture of our Fluid Handling Business (together, the “transactions”) on business relationships, operating results, and business generally, disruption of current plans and operations and potential difficulties in employee retention as a result of the transactions, diversion of management’s attention from ongoing business operations in connection with the integration of recent acquisitions, the outcome of any legal proceedings that have been or may in the future be instituted related to the Profire transaction or other transactions, the amount of the costs, fees, expenses and other charges related to the transactions, the achievement of the anticipated benefits of transactions,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CECO’s service areas;</w:t>
      </w:r>
    </w:p>
    <w:p>
      <w:pPr>
        <w:spacing w:after="0" w:line="83"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fixed price contracts and the risks associated therewith, including actual costs exceeding estimates and method of accounting for revenue;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growth on our infrastructure, resources and existing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operations in both new and existing markets;</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 as a result of on-going or worsening supply chain challenges, or other customer-driven project delays relating to supply chain challenges or other customer considerations;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faulty services or products that could result in significant professional or product liability, warranty or other claims;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developments with respect to any litigation or investigation;</w:t>
      </w:r>
    </w:p>
    <w:p>
      <w:pPr>
        <w:spacing w:after="0" w:line="117"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timely completion or performance standards that could result in higher cost and reduced profits or, in some cases, losses on projects;</w:t>
      </w:r>
    </w:p>
    <w:p>
      <w:pPr>
        <w:spacing w:after="0" w:line="53"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prices for manufactured components and raw materials, including as a result of tariffs and surcharges, and rising energy costs;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relating to rising raw material costs and the cost of labor;</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debt incurred in connection with our strategic transactions and our ability to repay or refinance it or incur additional debt in the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or local government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shares of our common stock and the amounts and timing of repurchases;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the expected benefits of our restructuring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generally;</w:t>
      </w:r>
    </w:p>
    <w:p>
      <w:pPr>
        <w:spacing w:after="0" w:line="117"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our business portfolio by identifying acquisition targets, executing upon any strategic acquisitions or divestitures, integrating acquired businesses and realizing the synergies from strategic transactions; and</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cybersecurity threats, acts of terrorism or outbreak of war or hostilities or public health crises, as well as management’s response to any of the aforementioned factors.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1" w:name="page32"/>
    <w:bookmarkEnd w:id="31"/>
    <w:p>
      <w:pPr>
        <w:ind w:right="500"/>
        <w:spacing w:after="0" w:line="282" w:lineRule="auto"/>
        <w:rPr>
          <w:sz w:val="20"/>
          <w:szCs w:val="20"/>
          <w:color w:val="auto"/>
        </w:rPr>
      </w:pPr>
      <w:r>
        <w:rPr>
          <w:rFonts w:ascii="Times New Roman" w:cs="Times New Roman" w:eastAsia="Times New Roman" w:hAnsi="Times New Roman"/>
          <w:sz w:val="18"/>
          <w:szCs w:val="18"/>
          <w:color w:val="auto"/>
        </w:rPr>
        <w:t>primarily related to changes in interest rates. We do not currently hold any derivatives or other financial instruments purely for trading or speculative purposes.</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total long-term debt and current maturities of long-term debt at June 30, 2025 was $240.4 million. Market risk was estimated as the potential decrease (increase) in future earnings and cash flows resulting from a hypothetical 10% increase (decrease) in the Company’s estimated weighted average borrowing rate at June 30, 2025. Most of the interest on the Company’s debt is indexed to SOFR market rates. The estimated annual impact of a hypothetical 10% change in the estimated weighted average borrowing rate at June 30, 2025 is $1.7 million.</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wholly-owned subsidiaries in several countries, including in the Netherlands, Canada, the People’s Republic of China, Mexico, United Kingdom, Singapore, India, United Arab Emirates, Germany, South Korea and Saudi Arabia. In the past, we have not hedged our foreign currency exposure, and fluctuations in exchange rates have not materially affected our operating results. Future changes in exchange rates may positively or negatively impact our revenues, operating expenses and earnings. Transaction (gains) losses included in “Other (income) expense, net” line of the Condensed Consolidated Statements of Income were $(1.4) million and $0.5 million for the three months ended June 30, 2025 and 2024, respectively, and $(0.9) million and $1.6 million for the six months ended June 30, 2025 and 2024, respectively.</w:t>
      </w:r>
    </w:p>
    <w:p>
      <w:pPr>
        <w:spacing w:after="0" w:line="18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June 30, 2025.</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Management believes that the condensed consolidated financial statements included in this report present fairly, in all material respects, the Company’s financial condition, results of operations and cash flows for each of the periods presented in this report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of the Exchange Act) during the quarter ended June 30, 2025 that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See Note 14 to the unaudited Condensed Consolidated Financial Statements contained in Part I, Item 1 of this Quarterly Report on Form 10-Q for information regarding legal proceedings in which the Company is involved.</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risk factors that were disclosed in “Part I – Item 1A. Risk Factors” of the Company's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purchases of the Company's equity securities for the three months ended June 30,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Issuer's Purchases of Equity Securities</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0"/>
                <w:szCs w:val="10"/>
                <w:color w:val="auto"/>
              </w:rPr>
            </w:pPr>
          </w:p>
        </w:tc>
        <w:tc>
          <w:tcPr>
            <w:tcW w:w="12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 Dollar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20" w:type="dxa"/>
            <w:vAlign w:val="bottom"/>
          </w:tcPr>
          <w:p>
            <w:pPr>
              <w:spacing w:after="0"/>
              <w:rPr>
                <w:sz w:val="12"/>
                <w:szCs w:val="12"/>
                <w:color w:val="auto"/>
              </w:rPr>
            </w:pPr>
          </w:p>
        </w:tc>
        <w:tc>
          <w:tcPr>
            <w:tcW w:w="13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60"/>
        </w:trPr>
        <w:tc>
          <w:tcPr>
            <w:tcW w:w="51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6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2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w:t>
            </w:r>
          </w:p>
        </w:tc>
        <w:tc>
          <w:tcPr>
            <w:tcW w:w="22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60" w:type="dxa"/>
            <w:vAlign w:val="bottom"/>
            <w:tcBorders>
              <w:bottom w:val="single" w:sz="8" w:color="auto"/>
            </w:tcBorders>
          </w:tcPr>
          <w:p>
            <w:pPr>
              <w:ind w:left="120"/>
              <w:spacing w:after="0" w:line="162"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46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May 1, 2025 - May 31, 2025</w:t>
            </w: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460" w:type="dxa"/>
            <w:vAlign w:val="bottom"/>
            <w:tcBorders>
              <w:bottom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-170815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20" w:firstLine="8"/>
        <w:spacing w:after="0" w:line="266"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the Board of Directors authorized a $20.0 million share repurchase program, which expired on April 30, 2025. See Note 9 to the unaudited Condensed Consolidated Financial Statements contained in Part I, Item 1 of this Quarterly Report on Form 10-Q for information regarding the Company's share repurchase program.</w:t>
      </w:r>
    </w:p>
    <w:p>
      <w:pPr>
        <w:spacing w:after="0" w:line="6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 director or Section 16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1200" w:hanging="1133"/>
        <w:spacing w:after="0" w:line="260"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289">
        <w:r>
          <w:rPr>
            <w:rFonts w:ascii="Times New Roman" w:cs="Times New Roman" w:eastAsia="Times New Roman" w:hAnsi="Times New Roman"/>
            <w:sz w:val="18"/>
            <w:szCs w:val="18"/>
            <w:u w:val="single" w:color="auto"/>
            <w:color w:val="0000FF"/>
          </w:rPr>
          <w:t>Equity award agreement between the Company and Todd R. Gleason, dated June 4, 2025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289">
        <w:r>
          <w:rPr>
            <w:rFonts w:ascii="Times New Roman" w:cs="Times New Roman" w:eastAsia="Times New Roman" w:hAnsi="Times New Roman"/>
            <w:sz w:val="18"/>
            <w:szCs w:val="18"/>
            <w:u w:val="single" w:color="auto"/>
            <w:color w:val="0000FF"/>
          </w:rPr>
          <w:t>Company’s Current Report on Form 8-K filed with the SEC on June 6,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-172720</wp:posOffset>
            </wp:positionV>
            <wp:extent cx="63347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-35560</wp:posOffset>
            </wp:positionV>
            <wp:extent cx="35636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5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13(a)/15d-14(a) Certification by Chief Executive Officer</w:t>
            </w:r>
          </w:p>
        </w:tc>
        <w:tc>
          <w:tcPr>
            <w:tcW w:w="2220" w:type="dxa"/>
            <w:vAlign w:val="bottom"/>
            <w:gridSpan w:val="3"/>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13(a)/15d-14(a) Certification by Chief Financial Officer</w:t>
            </w:r>
          </w:p>
        </w:tc>
      </w:tr>
      <w:tr>
        <w:trPr>
          <w:trHeight w:val="20"/>
        </w:trPr>
        <w:tc>
          <w:tcPr>
            <w:tcW w:w="1140" w:type="dxa"/>
            <w:vAlign w:val="bottom"/>
          </w:tcPr>
          <w:p>
            <w:pPr>
              <w:spacing w:after="0" w:line="20" w:lineRule="exact"/>
              <w:rPr>
                <w:sz w:val="1"/>
                <w:szCs w:val="1"/>
                <w:color w:val="auto"/>
              </w:rPr>
            </w:pPr>
          </w:p>
        </w:tc>
        <w:tc>
          <w:tcPr>
            <w:tcW w:w="44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(18 U.S. Section 1350)</w:t>
            </w:r>
          </w:p>
        </w:tc>
        <w:tc>
          <w:tcPr>
            <w:tcW w:w="212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(18 U.S. Section 1350)</w:t>
            </w:r>
          </w:p>
        </w:tc>
      </w:tr>
      <w:tr>
        <w:trPr>
          <w:trHeight w:val="35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180" w:type="dxa"/>
            <w:vAlign w:val="bottom"/>
            <w:gridSpan w:val="2"/>
          </w:tcPr>
          <w:p>
            <w:pPr>
              <w:spacing w:after="0"/>
              <w:rPr>
                <w:sz w:val="24"/>
                <w:szCs w:val="24"/>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 with Embedded Linkbase Documents</w:t>
            </w:r>
          </w:p>
        </w:tc>
      </w:tr>
    </w:tbl>
    <w:p>
      <w:pPr>
        <w:spacing w:after="0" w:line="103" w:lineRule="exact"/>
        <w:rPr>
          <w:sz w:val="20"/>
          <w:szCs w:val="20"/>
          <w:color w:val="auto"/>
        </w:rPr>
      </w:pPr>
    </w:p>
    <w:p>
      <w:pPr>
        <w:ind w:left="1200" w:hanging="1131"/>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52" w:lineRule="exact"/>
        <w:rPr>
          <w:sz w:val="20"/>
          <w:szCs w:val="20"/>
          <w:color w:val="auto"/>
        </w:rPr>
      </w:pPr>
    </w:p>
    <w:p>
      <w:pPr>
        <w:ind w:left="57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Kiril Kovachev</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5"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7"/>
          <w:szCs w:val="17"/>
          <w:b w:val="1"/>
          <w:bCs w:val="1"/>
          <w:color w:val="auto"/>
        </w:rPr>
        <w:t>(principal accounting officer and duly authorized officer)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Gleason, certify that:</w:t>
      </w:r>
    </w:p>
    <w:p>
      <w:pPr>
        <w:spacing w:after="0" w:line="117"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Johansson, certify that:</w:t>
      </w:r>
    </w:p>
    <w:p>
      <w:pPr>
        <w:spacing w:after="0" w:line="117"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CECO Environmental Corp. (the “Company”) on Form 10-Q for the three month period ended June 30, 2025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spacing w:after="0" w:line="68" w:lineRule="exact"/>
        <w:rPr>
          <w:sz w:val="20"/>
          <w:szCs w:val="20"/>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CECO Environmental Corp. (the “Company”) on Form 10-Q for the three month period ended June 30, 2025 as filed with the Securities and Exchange Commission on the date hereof (the “Report”), I, Peter Johansson, Chief Financial Officer of the Company, certify, pursuant to 18 U.S.C. § 1350, as adopted pursuant to § 906 of the Sarbanes-Oxley Act of 2002, to the best of my knowledge and belief, that:</w:t>
      </w:r>
    </w:p>
    <w:p>
      <w:pPr>
        <w:spacing w:after="0" w:line="68" w:lineRule="exact"/>
        <w:rPr>
          <w:sz w:val="20"/>
          <w:szCs w:val="20"/>
          <w:color w:val="auto"/>
        </w:rPr>
      </w:pPr>
    </w:p>
    <w:p>
      <w:pPr>
        <w:ind w:left="900" w:hanging="35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6"/>
    </w:lvl>
  </w:abstractNum>
  <w:abstractNum w:abstractNumId="7">
    <w:nsid w:val="6B68079A"/>
    <w:multiLevelType w:val="hybridMultilevel"/>
    <w:lvl w:ilvl="0">
      <w:lvlJc w:val="left"/>
      <w:lvlText w:val="%1."/>
      <w:numFmt w:val="decimal"/>
      <w:start w:val="9"/>
    </w:lvl>
  </w:abstractNum>
  <w:abstractNum w:abstractNumId="8">
    <w:nsid w:val="4E6AFB66"/>
    <w:multiLevelType w:val="hybridMultilevel"/>
    <w:lvl w:ilvl="0">
      <w:lvlJc w:val="left"/>
      <w:lvlText w:val="%1."/>
      <w:numFmt w:val="decimal"/>
      <w:start w:val="11"/>
    </w:lvl>
  </w:abstractNum>
  <w:abstractNum w:abstractNumId="9">
    <w:nsid w:val="25E45D32"/>
    <w:multiLevelType w:val="hybridMultilevel"/>
    <w:lvl w:ilvl="0">
      <w:lvlJc w:val="left"/>
      <w:lvlText w:val="%1."/>
      <w:numFmt w:val="decimal"/>
      <w:start w:val="15"/>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289" Type="http://schemas.openxmlformats.org/officeDocument/2006/relationships/hyperlink" Target="https://www.sec.gov/Archives/edgar/data/3197/000095017025083221/ceco-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2025-07-29T10:20:43Z</dcterms:created>
  <dcterms:modified xsi:type="dcterms:W3CDTF">2025-07-29T10:20:43Z</dcterms:modified>
</cp:coreProperties>
</file>