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Johansson Peter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5080 SPECTRUM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800E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ADDISON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CECO ENVIRONMENTAL CORP</w:t>
              </w:r>
            </w:hyperlink>
            <w:r>
              <w:rPr/>
              <w:t xml:space="preserve"> [ </w:t>
            </w:r>
            <w:r>
              <w:rPr>
                <w:rFonts w:ascii="Times;serif" w:hAnsi="Times;serif"/>
                <w:color w:val="0000FF"/>
                <w:sz w:val="24"/>
                <w:shd w:fill="FFFFFF" w:val="clear"/>
              </w:rPr>
              <w:t>CECO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79.59</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37,832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0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0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47,247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withheld for net settlement to cover the tax liability for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performance-based restricted stock units. Each restricted stock unit represents a contingent right to receive one share of the Company's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Conversion of restricted stock units to the Company's common stock will occur on September 12, 2029 assuming the reporting person is still employed by the Company and if the shares of the Company's common stock have achieved certain stock price targets over the course of the performance period.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Kiril Kovachev</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1417" TargetMode="External"/><Relationship Id="rId5" Type="http://schemas.openxmlformats.org/officeDocument/2006/relationships/hyperlink" Target="http://www.sec.gov/cgi-bin/browse-edgar?action=getcompany&amp;CIK=00000031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3907</Characters>
  <CharactersWithSpaces>4545</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