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303530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320040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9"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1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146685</wp:posOffset>
            </wp:positionV>
            <wp:extent cx="238315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355" w:lineRule="exact"/>
        <w:rPr>
          <w:sz w:val="24"/>
          <w:szCs w:val="24"/>
          <w:color w:val="auto"/>
        </w:rPr>
      </w:pPr>
    </w:p>
    <w:p>
      <w:pPr>
        <w:ind w:left="458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 w:lineRule="exact"/>
        <w:rPr>
          <w:sz w:val="24"/>
          <w:szCs w:val="24"/>
          <w:color w:val="auto"/>
        </w:rPr>
      </w:pPr>
    </w:p>
    <w:p>
      <w:pPr>
        <w:ind w:left="4160"/>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4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August 8,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142240</wp:posOffset>
            </wp:positionV>
            <wp:extent cx="238315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32"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CECO ENVIRONMENTAL CORP.</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2379345</wp:posOffset>
            </wp:positionH>
            <wp:positionV relativeFrom="paragraph">
              <wp:posOffset>124460</wp:posOffset>
            </wp:positionV>
            <wp:extent cx="23831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83155" cy="8890"/>
                    </a:xfrm>
                    <a:prstGeom prst="rect">
                      <a:avLst/>
                    </a:prstGeom>
                    <a:noFill/>
                  </pic:spPr>
                </pic:pic>
              </a:graphicData>
            </a:graphic>
          </wp:anchor>
        </w:drawing>
      </w:r>
    </w:p>
    <w:p>
      <w:pPr>
        <w:spacing w:after="0" w:line="390" w:lineRule="exact"/>
        <w:rPr>
          <w:sz w:val="24"/>
          <w:szCs w:val="24"/>
          <w:color w:val="auto"/>
        </w:rPr>
      </w:pPr>
    </w:p>
    <w:tbl>
      <w:tblPr>
        <w:tblLayout w:type="fixed"/>
        <w:tblInd w:w="980" w:type="dxa"/>
        <w:tblCellMar>
          <w:top w:w="0" w:type="dxa"/>
          <w:left w:w="0" w:type="dxa"/>
          <w:bottom w:w="0" w:type="dxa"/>
          <w:right w:w="0" w:type="dxa"/>
        </w:tblCellMar>
      </w:tblPr>
      <w:tr>
        <w:trPr>
          <w:trHeight w:val="207"/>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2520" w:type="dxa"/>
            <w:vAlign w:val="bottom"/>
          </w:tcPr>
          <w:p>
            <w:pPr>
              <w:jc w:val="center"/>
              <w:ind w:right="345"/>
              <w:spacing w:after="0"/>
              <w:rPr>
                <w:sz w:val="20"/>
                <w:szCs w:val="20"/>
                <w:color w:val="auto"/>
              </w:rPr>
            </w:pPr>
            <w:r>
              <w:rPr>
                <w:rFonts w:ascii="Times New Roman" w:cs="Times New Roman" w:eastAsia="Times New Roman" w:hAnsi="Times New Roman"/>
                <w:sz w:val="16"/>
                <w:szCs w:val="16"/>
                <w:b w:val="1"/>
                <w:bCs w:val="1"/>
                <w:color w:val="auto"/>
              </w:rPr>
              <w:t>000-7099</w:t>
            </w:r>
          </w:p>
        </w:tc>
        <w:tc>
          <w:tcPr>
            <w:tcW w:w="2900" w:type="dxa"/>
            <w:vAlign w:val="bottom"/>
          </w:tcPr>
          <w:p>
            <w:pPr>
              <w:jc w:val="center"/>
              <w:ind w:left="1724"/>
              <w:spacing w:after="0"/>
              <w:rPr>
                <w:sz w:val="20"/>
                <w:szCs w:val="20"/>
                <w:color w:val="auto"/>
              </w:rPr>
            </w:pPr>
            <w:r>
              <w:rPr>
                <w:rFonts w:ascii="Times New Roman" w:cs="Times New Roman" w:eastAsia="Times New Roman" w:hAnsi="Times New Roman"/>
                <w:sz w:val="16"/>
                <w:szCs w:val="16"/>
                <w:b w:val="1"/>
                <w:bCs w:val="1"/>
                <w:color w:val="auto"/>
              </w:rPr>
              <w:t>13-2566064</w:t>
            </w:r>
          </w:p>
        </w:tc>
      </w:tr>
      <w:tr>
        <w:trPr>
          <w:trHeight w:val="148"/>
        </w:trPr>
        <w:tc>
          <w:tcPr>
            <w:tcW w:w="3600" w:type="dxa"/>
            <w:vAlign w:val="bottom"/>
          </w:tcPr>
          <w:p>
            <w:pPr>
              <w:jc w:val="center"/>
              <w:ind w:right="1863"/>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520" w:type="dxa"/>
            <w:vAlign w:val="bottom"/>
          </w:tcPr>
          <w:p>
            <w:pPr>
              <w:jc w:val="center"/>
              <w:ind w:right="325"/>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900" w:type="dxa"/>
            <w:vAlign w:val="bottom"/>
          </w:tcPr>
          <w:p>
            <w:pPr>
              <w:jc w:val="center"/>
              <w:ind w:left="1724"/>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600" w:type="dxa"/>
            <w:vAlign w:val="bottom"/>
          </w:tcPr>
          <w:p>
            <w:pPr>
              <w:jc w:val="center"/>
              <w:ind w:right="1863"/>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520" w:type="dxa"/>
            <w:vAlign w:val="bottom"/>
          </w:tcPr>
          <w:p>
            <w:pPr>
              <w:jc w:val="center"/>
              <w:ind w:right="325"/>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900" w:type="dxa"/>
            <w:vAlign w:val="bottom"/>
          </w:tcPr>
          <w:p>
            <w:pPr>
              <w:jc w:val="center"/>
              <w:ind w:left="170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399"/>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14651 North Dallas Parkway</w:t>
            </w:r>
          </w:p>
        </w:tc>
        <w:tc>
          <w:tcPr>
            <w:tcW w:w="252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164"/>
        </w:trPr>
        <w:tc>
          <w:tcPr>
            <w:tcW w:w="3600" w:type="dxa"/>
            <w:vAlign w:val="bottom"/>
          </w:tcPr>
          <w:p>
            <w:pPr>
              <w:jc w:val="center"/>
              <w:spacing w:after="0" w:line="165" w:lineRule="exact"/>
              <w:rPr>
                <w:sz w:val="20"/>
                <w:szCs w:val="20"/>
                <w:color w:val="auto"/>
              </w:rPr>
            </w:pPr>
            <w:r>
              <w:rPr>
                <w:rFonts w:ascii="Times New Roman" w:cs="Times New Roman" w:eastAsia="Times New Roman" w:hAnsi="Times New Roman"/>
                <w:sz w:val="16"/>
                <w:szCs w:val="16"/>
                <w:b w:val="1"/>
                <w:bCs w:val="1"/>
                <w:color w:val="auto"/>
              </w:rPr>
              <w:t>Suite 500</w:t>
            </w:r>
          </w:p>
        </w:tc>
        <w:tc>
          <w:tcPr>
            <w:tcW w:w="2520" w:type="dxa"/>
            <w:vAlign w:val="bottom"/>
          </w:tcPr>
          <w:p>
            <w:pPr>
              <w:spacing w:after="0"/>
              <w:rPr>
                <w:sz w:val="14"/>
                <w:szCs w:val="14"/>
                <w:color w:val="auto"/>
              </w:rPr>
            </w:pPr>
          </w:p>
        </w:tc>
        <w:tc>
          <w:tcPr>
            <w:tcW w:w="2900" w:type="dxa"/>
            <w:vAlign w:val="bottom"/>
          </w:tcPr>
          <w:p>
            <w:pPr>
              <w:spacing w:after="0"/>
              <w:rPr>
                <w:sz w:val="14"/>
                <w:szCs w:val="14"/>
                <w:color w:val="auto"/>
              </w:rPr>
            </w:pPr>
          </w:p>
        </w:tc>
      </w:tr>
      <w:tr>
        <w:trPr>
          <w:trHeight w:val="218"/>
        </w:trPr>
        <w:tc>
          <w:tcPr>
            <w:tcW w:w="36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Dallas, TX</w:t>
            </w:r>
          </w:p>
        </w:tc>
        <w:tc>
          <w:tcPr>
            <w:tcW w:w="2520" w:type="dxa"/>
            <w:vAlign w:val="bottom"/>
          </w:tcPr>
          <w:p>
            <w:pPr>
              <w:spacing w:after="0"/>
              <w:rPr>
                <w:sz w:val="18"/>
                <w:szCs w:val="18"/>
                <w:color w:val="auto"/>
              </w:rPr>
            </w:pPr>
          </w:p>
        </w:tc>
        <w:tc>
          <w:tcPr>
            <w:tcW w:w="2900" w:type="dxa"/>
            <w:vAlign w:val="bottom"/>
          </w:tcPr>
          <w:p>
            <w:pPr>
              <w:jc w:val="right"/>
              <w:ind w:right="1224"/>
              <w:spacing w:after="0"/>
              <w:rPr>
                <w:sz w:val="20"/>
                <w:szCs w:val="20"/>
                <w:color w:val="auto"/>
              </w:rPr>
            </w:pPr>
            <w:r>
              <w:rPr>
                <w:rFonts w:ascii="Times New Roman" w:cs="Times New Roman" w:eastAsia="Times New Roman" w:hAnsi="Times New Roman"/>
                <w:sz w:val="16"/>
                <w:szCs w:val="16"/>
                <w:b w:val="1"/>
                <w:bCs w:val="1"/>
                <w:color w:val="auto"/>
              </w:rPr>
              <w:t>75254</w:t>
            </w:r>
          </w:p>
        </w:tc>
      </w:tr>
      <w:tr>
        <w:trPr>
          <w:trHeight w:val="190"/>
        </w:trPr>
        <w:tc>
          <w:tcPr>
            <w:tcW w:w="36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520" w:type="dxa"/>
            <w:vAlign w:val="bottom"/>
          </w:tcPr>
          <w:p>
            <w:pPr>
              <w:spacing w:after="0"/>
              <w:rPr>
                <w:sz w:val="16"/>
                <w:szCs w:val="16"/>
                <w:color w:val="auto"/>
              </w:rPr>
            </w:pPr>
          </w:p>
        </w:tc>
        <w:tc>
          <w:tcPr>
            <w:tcW w:w="2900" w:type="dxa"/>
            <w:vAlign w:val="bottom"/>
          </w:tcPr>
          <w:p>
            <w:pPr>
              <w:jc w:val="center"/>
              <w:ind w:right="44"/>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(214) 357-6181</w:t>
      </w:r>
    </w:p>
    <w:p>
      <w:pPr>
        <w:spacing w:after="0" w:line="15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00"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99"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340" w:hanging="332"/>
        <w:spacing w:after="0"/>
        <w:tabs>
          <w:tab w:leader="none" w:pos="34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2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131" w:lineRule="exact"/>
        <w:rPr>
          <w:sz w:val="24"/>
          <w:szCs w:val="24"/>
          <w:color w:val="auto"/>
        </w:rPr>
      </w:pPr>
    </w:p>
    <w:tbl>
      <w:tblPr>
        <w:tblLayout w:type="fixed"/>
        <w:tblInd w:w="350" w:type="dxa"/>
        <w:tblCellMar>
          <w:top w:w="0" w:type="dxa"/>
          <w:left w:w="0" w:type="dxa"/>
          <w:bottom w:w="0" w:type="dxa"/>
          <w:right w:w="0" w:type="dxa"/>
        </w:tblCellMar>
      </w:tblPr>
      <w:tr>
        <w:trPr>
          <w:trHeight w:val="208"/>
        </w:trPr>
        <w:tc>
          <w:tcPr>
            <w:tcW w:w="396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Title of each class</w:t>
            </w:r>
          </w:p>
        </w:tc>
        <w:tc>
          <w:tcPr>
            <w:tcW w:w="20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Trading Symbol</w:t>
            </w:r>
          </w:p>
        </w:tc>
        <w:tc>
          <w:tcPr>
            <w:tcW w:w="452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 of each exchange on which registered</w:t>
            </w:r>
          </w:p>
        </w:tc>
      </w:tr>
      <w:tr>
        <w:trPr>
          <w:trHeight w:val="55"/>
        </w:trPr>
        <w:tc>
          <w:tcPr>
            <w:tcW w:w="3960" w:type="dxa"/>
            <w:vAlign w:val="bottom"/>
            <w:tcBorders>
              <w:left w:val="single" w:sz="8" w:color="auto"/>
              <w:bottom w:val="single" w:sz="8" w:color="auto"/>
              <w:right w:val="single" w:sz="8" w:color="auto"/>
            </w:tcBorders>
          </w:tcPr>
          <w:p>
            <w:pPr>
              <w:spacing w:after="0"/>
              <w:rPr>
                <w:sz w:val="4"/>
                <w:szCs w:val="4"/>
                <w:color w:val="auto"/>
              </w:rPr>
            </w:pPr>
          </w:p>
        </w:tc>
        <w:tc>
          <w:tcPr>
            <w:tcW w:w="2080" w:type="dxa"/>
            <w:vAlign w:val="bottom"/>
            <w:tcBorders>
              <w:bottom w:val="single" w:sz="8" w:color="auto"/>
              <w:right w:val="single" w:sz="8" w:color="auto"/>
            </w:tcBorders>
          </w:tcPr>
          <w:p>
            <w:pPr>
              <w:spacing w:after="0"/>
              <w:rPr>
                <w:sz w:val="4"/>
                <w:szCs w:val="4"/>
                <w:color w:val="auto"/>
              </w:rPr>
            </w:pPr>
          </w:p>
        </w:tc>
        <w:tc>
          <w:tcPr>
            <w:tcW w:w="4520" w:type="dxa"/>
            <w:vAlign w:val="bottom"/>
            <w:tcBorders>
              <w:bottom w:val="single" w:sz="8" w:color="auto"/>
              <w:right w:val="single" w:sz="8" w:color="auto"/>
            </w:tcBorders>
          </w:tcPr>
          <w:p>
            <w:pPr>
              <w:spacing w:after="0"/>
              <w:rPr>
                <w:sz w:val="4"/>
                <w:szCs w:val="4"/>
                <w:color w:val="auto"/>
              </w:rPr>
            </w:pPr>
          </w:p>
        </w:tc>
      </w:tr>
      <w:tr>
        <w:trPr>
          <w:trHeight w:val="168"/>
        </w:trPr>
        <w:tc>
          <w:tcPr>
            <w:tcW w:w="3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Common Stock, par value $0.01 per share</w:t>
            </w:r>
          </w:p>
        </w:tc>
        <w:tc>
          <w:tcPr>
            <w:tcW w:w="20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CECE</w:t>
            </w:r>
          </w:p>
        </w:tc>
        <w:tc>
          <w:tcPr>
            <w:tcW w:w="45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The NASDAQ Stock Market LLC</w:t>
            </w:r>
          </w:p>
        </w:tc>
      </w:tr>
      <w:tr>
        <w:trPr>
          <w:trHeight w:val="25"/>
        </w:trPr>
        <w:tc>
          <w:tcPr>
            <w:tcW w:w="3960" w:type="dxa"/>
            <w:vAlign w:val="bottom"/>
            <w:tcBorders>
              <w:left w:val="single" w:sz="8" w:color="auto"/>
              <w:bottom w:val="single" w:sz="8" w:color="auto"/>
              <w:right w:val="single" w:sz="8" w:color="auto"/>
            </w:tcBorders>
          </w:tcPr>
          <w:p>
            <w:pPr>
              <w:spacing w:after="0"/>
              <w:rPr>
                <w:sz w:val="2"/>
                <w:szCs w:val="2"/>
                <w:color w:val="auto"/>
              </w:rPr>
            </w:pPr>
          </w:p>
        </w:tc>
        <w:tc>
          <w:tcPr>
            <w:tcW w:w="2080" w:type="dxa"/>
            <w:vAlign w:val="bottom"/>
            <w:tcBorders>
              <w:bottom w:val="single" w:sz="8" w:color="auto"/>
              <w:right w:val="single" w:sz="8" w:color="auto"/>
            </w:tcBorders>
          </w:tcPr>
          <w:p>
            <w:pPr>
              <w:spacing w:after="0"/>
              <w:rPr>
                <w:sz w:val="2"/>
                <w:szCs w:val="2"/>
                <w:color w:val="auto"/>
              </w:rPr>
            </w:pPr>
          </w:p>
        </w:tc>
        <w:tc>
          <w:tcPr>
            <w:tcW w:w="4520" w:type="dxa"/>
            <w:vAlign w:val="bottom"/>
            <w:tcBorders>
              <w:bottom w:val="single" w:sz="8" w:color="auto"/>
              <w:right w:val="single" w:sz="8" w:color="auto"/>
            </w:tcBorders>
          </w:tcPr>
          <w:p>
            <w:pPr>
              <w:spacing w:after="0"/>
              <w:rPr>
                <w:sz w:val="2"/>
                <w:szCs w:val="2"/>
                <w:color w:val="auto"/>
              </w:rPr>
            </w:pPr>
          </w:p>
        </w:tc>
      </w:tr>
    </w:tbl>
    <w:p>
      <w:pPr>
        <w:spacing w:after="0" w:line="135" w:lineRule="exact"/>
        <w:rPr>
          <w:sz w:val="24"/>
          <w:szCs w:val="24"/>
          <w:color w:val="auto"/>
        </w:rPr>
      </w:pPr>
    </w:p>
    <w:p>
      <w:pPr>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17"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39" w:lineRule="exact"/>
        <w:rPr>
          <w:sz w:val="24"/>
          <w:szCs w:val="24"/>
          <w:color w:val="auto"/>
        </w:rPr>
      </w:pPr>
    </w:p>
    <w:p>
      <w:pPr>
        <w:ind w:right="540"/>
        <w:spacing w:after="0" w:line="209" w:lineRule="exact"/>
        <w:rPr>
          <w:sz w:val="20"/>
          <w:szCs w:val="20"/>
          <w:color w:val="auto"/>
        </w:rPr>
      </w:pPr>
      <w:r>
        <w:rPr>
          <w:rFonts w:ascii="Times New Roman" w:cs="Times New Roman" w:eastAsia="Times New Roman" w:hAnsi="Times New Roman"/>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r>
        <w:rPr>
          <w:rFonts w:ascii="Calibri" w:cs="Calibri" w:eastAsia="Calibri" w:hAnsi="Calibri"/>
          <w:sz w:val="16"/>
          <w:szCs w:val="16"/>
          <w:color w:val="auto"/>
        </w:rPr>
        <w:t>.</w:t>
      </w:r>
      <w:r>
        <w:rPr>
          <w:rFonts w:ascii="Times New Roman" w:cs="Times New Roman" w:eastAsia="Times New Roman" w:hAnsi="Times New Roman"/>
          <w:sz w:val="16"/>
          <w:szCs w:val="16"/>
          <w:color w:val="auto"/>
        </w:rPr>
        <w:t xml:space="preserve">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129540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146685</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211455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547" w:right="3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108"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On August 8, 2022, CECO Environmental Corp., a Delaware corporation (the “Company”), issued a press release announcing its financial results for the three and six months ended June 30, 2022. A copy of the press release is furnished as Exhibit 99.1 to this report and is incorporated herein by reference.</w:t>
      </w:r>
    </w:p>
    <w:p>
      <w:pPr>
        <w:spacing w:after="0" w:line="148"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The information in this Item 2.02, including the exhibit, shall not be deemed “filed” for purposes of Section 18 of the Securities Exchange Act of 1934, as amended (the “Exchange Act”), or incorporated by reference in any filing under the Securities Act of 1933, as amended, or the Exchange Act, except as shall be expressly set forth by specific reference in such filing.</w:t>
      </w: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08"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(d)</w:t>
      </w:r>
      <w:r>
        <w:rPr>
          <w:sz w:val="20"/>
          <w:szCs w:val="20"/>
          <w:color w:val="auto"/>
        </w:rPr>
        <w:tab/>
      </w:r>
      <w:r>
        <w:rPr>
          <w:rFonts w:ascii="Times New Roman" w:cs="Times New Roman" w:eastAsia="Times New Roman" w:hAnsi="Times New Roman"/>
          <w:sz w:val="17"/>
          <w:szCs w:val="17"/>
          <w:color w:val="auto"/>
        </w:rPr>
        <w:t>Exhibits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Exhibit</w:t>
            </w:r>
          </w:p>
        </w:tc>
        <w:tc>
          <w:tcPr>
            <w:tcW w:w="120" w:type="dxa"/>
            <w:vAlign w:val="bottom"/>
          </w:tcPr>
          <w:p>
            <w:pPr>
              <w:spacing w:after="0"/>
              <w:rPr>
                <w:sz w:val="13"/>
                <w:szCs w:val="13"/>
                <w:color w:val="auto"/>
              </w:rPr>
            </w:pPr>
          </w:p>
        </w:tc>
        <w:tc>
          <w:tcPr>
            <w:tcW w:w="102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Exhibit Title</w:t>
            </w:r>
          </w:p>
        </w:tc>
        <w:tc>
          <w:tcPr>
            <w:tcW w:w="0" w:type="dxa"/>
            <w:vAlign w:val="bottom"/>
          </w:tcPr>
          <w:p>
            <w:pPr>
              <w:spacing w:after="0"/>
              <w:rPr>
                <w:sz w:val="1"/>
                <w:szCs w:val="1"/>
                <w:color w:val="auto"/>
              </w:rPr>
            </w:pPr>
          </w:p>
        </w:tc>
      </w:tr>
      <w:tr>
        <w:trPr>
          <w:trHeight w:val="187"/>
        </w:trPr>
        <w:tc>
          <w:tcPr>
            <w:tcW w:w="9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20" w:type="dxa"/>
            <w:vAlign w:val="bottom"/>
          </w:tcPr>
          <w:p>
            <w:pPr>
              <w:spacing w:after="0"/>
              <w:rPr>
                <w:sz w:val="16"/>
                <w:szCs w:val="16"/>
                <w:color w:val="auto"/>
              </w:rPr>
            </w:pPr>
          </w:p>
        </w:tc>
        <w:tc>
          <w:tcPr>
            <w:tcW w:w="1020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7"/>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24"/>
                <w:szCs w:val="24"/>
                <w:color w:val="auto"/>
              </w:rPr>
            </w:pPr>
          </w:p>
        </w:tc>
        <w:tc>
          <w:tcPr>
            <w:tcW w:w="54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FF"/>
              </w:rPr>
              <w:t>Press Release, CECO Environmental Reports Second Quarter 2022 Results</w:t>
            </w:r>
          </w:p>
        </w:tc>
        <w:tc>
          <w:tcPr>
            <w:tcW w:w="4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8"/>
        </w:trPr>
        <w:tc>
          <w:tcPr>
            <w:tcW w:w="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24"/>
                <w:szCs w:val="24"/>
                <w:color w:val="auto"/>
              </w:rPr>
            </w:pPr>
          </w:p>
        </w:tc>
        <w:tc>
          <w:tcPr>
            <w:tcW w:w="102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1101"/>
        </w:trPr>
        <w:tc>
          <w:tcPr>
            <w:tcW w:w="92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c>
          <w:tcPr>
            <w:tcW w:w="47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right="4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August 8, 2022</w:t>
            </w:r>
          </w:p>
        </w:tc>
        <w:tc>
          <w:tcPr>
            <w:tcW w:w="7120" w:type="dxa"/>
            <w:vAlign w:val="bottom"/>
            <w:gridSpan w:val="2"/>
          </w:tcPr>
          <w:p>
            <w:pPr>
              <w:ind w:left="2540"/>
              <w:spacing w:after="0"/>
              <w:rPr>
                <w:sz w:val="20"/>
                <w:szCs w:val="20"/>
                <w:color w:val="auto"/>
              </w:rPr>
            </w:pPr>
            <w:r>
              <w:rPr>
                <w:rFonts w:ascii="Times New Roman" w:cs="Times New Roman" w:eastAsia="Times New Roman" w:hAnsi="Times New Roman"/>
                <w:sz w:val="18"/>
                <w:szCs w:val="18"/>
                <w:color w:val="auto"/>
              </w:rPr>
              <w:t>CECO Environmental Corp.</w:t>
            </w:r>
          </w:p>
        </w:tc>
      </w:tr>
      <w:tr>
        <w:trPr>
          <w:trHeight w:val="621"/>
        </w:trPr>
        <w:tc>
          <w:tcPr>
            <w:tcW w:w="4120" w:type="dxa"/>
            <w:vAlign w:val="bottom"/>
          </w:tcPr>
          <w:p>
            <w:pPr>
              <w:spacing w:after="0"/>
              <w:rPr>
                <w:sz w:val="24"/>
                <w:szCs w:val="24"/>
                <w:color w:val="auto"/>
              </w:rPr>
            </w:pPr>
          </w:p>
        </w:tc>
        <w:tc>
          <w:tcPr>
            <w:tcW w:w="3080" w:type="dxa"/>
            <w:vAlign w:val="bottom"/>
          </w:tcPr>
          <w:p>
            <w:pPr>
              <w:ind w:left="2540"/>
              <w:spacing w:after="0"/>
              <w:rPr>
                <w:sz w:val="20"/>
                <w:szCs w:val="20"/>
                <w:color w:val="auto"/>
              </w:rPr>
            </w:pPr>
            <w:r>
              <w:rPr>
                <w:rFonts w:ascii="Times New Roman" w:cs="Times New Roman" w:eastAsia="Times New Roman" w:hAnsi="Times New Roman"/>
                <w:sz w:val="18"/>
                <w:szCs w:val="18"/>
                <w:color w:val="auto"/>
              </w:rPr>
              <w:t>By:</w:t>
            </w: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Paul M. Gohr</w:t>
            </w:r>
          </w:p>
        </w:tc>
      </w:tr>
      <w:tr>
        <w:trPr>
          <w:trHeight w:val="176"/>
        </w:trPr>
        <w:tc>
          <w:tcPr>
            <w:tcW w:w="412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4040" w:type="dxa"/>
            <w:vAlign w:val="bottom"/>
            <w:tcBorders>
              <w:bottom w:val="single" w:sz="8" w:color="auto"/>
            </w:tcBorders>
          </w:tcPr>
          <w:p>
            <w:pPr>
              <w:spacing w:after="0"/>
              <w:rPr>
                <w:sz w:val="15"/>
                <w:szCs w:val="15"/>
                <w:color w:val="auto"/>
              </w:rPr>
            </w:pPr>
          </w:p>
        </w:tc>
      </w:tr>
      <w:tr>
        <w:trPr>
          <w:trHeight w:val="398"/>
        </w:trPr>
        <w:tc>
          <w:tcPr>
            <w:tcW w:w="4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Paul M. Gohr</w:t>
            </w:r>
          </w:p>
        </w:tc>
      </w:tr>
      <w:tr>
        <w:trPr>
          <w:trHeight w:val="405"/>
        </w:trPr>
        <w:tc>
          <w:tcPr>
            <w:tcW w:w="41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4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Chief Accounting Officer</w:t>
            </w:r>
          </w:p>
        </w:tc>
      </w:tr>
      <w:tr>
        <w:trPr>
          <w:trHeight w:val="358"/>
        </w:trPr>
        <w:tc>
          <w:tcPr>
            <w:tcW w:w="412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40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2560"/>
        <w:spacing w:after="0"/>
        <w:rPr>
          <w:sz w:val="20"/>
          <w:szCs w:val="20"/>
          <w:color w:val="auto"/>
        </w:rPr>
      </w:pPr>
      <w:r>
        <w:rPr>
          <w:rFonts w:ascii="Times New Roman" w:cs="Times New Roman" w:eastAsia="Times New Roman" w:hAnsi="Times New Roman"/>
          <w:sz w:val="18"/>
          <w:szCs w:val="18"/>
          <w:b w:val="1"/>
          <w:bCs w:val="1"/>
          <w:color w:val="auto"/>
        </w:rPr>
        <w:t>CECO ENVIRONMENTAL REPORTS SECOND QUARTER 2022 RESULTS</w:t>
      </w:r>
    </w:p>
    <w:p>
      <w:pPr>
        <w:spacing w:after="0" w:line="31" w:lineRule="exact"/>
        <w:rPr>
          <w:sz w:val="20"/>
          <w:szCs w:val="20"/>
          <w:color w:val="auto"/>
        </w:rPr>
      </w:pPr>
    </w:p>
    <w:p>
      <w:pPr>
        <w:ind w:left="2320"/>
        <w:spacing w:after="0"/>
        <w:rPr>
          <w:sz w:val="20"/>
          <w:szCs w:val="20"/>
          <w:color w:val="auto"/>
        </w:rPr>
      </w:pPr>
      <w:r>
        <w:rPr>
          <w:rFonts w:ascii="Times New Roman" w:cs="Times New Roman" w:eastAsia="Times New Roman" w:hAnsi="Times New Roman"/>
          <w:sz w:val="18"/>
          <w:szCs w:val="18"/>
          <w:i w:val="1"/>
          <w:iCs w:val="1"/>
          <w:color w:val="auto"/>
        </w:rPr>
        <w:t>Record Backlog, Strong Revenue and Net Income Growth, and Update to Full Year Outlook</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8"/>
          <w:szCs w:val="18"/>
          <w:b w:val="1"/>
          <w:bCs w:val="1"/>
          <w:color w:val="auto"/>
        </w:rPr>
        <w:t>DALLAS (Aug. 8, 2022) -- CECO Environmental Corp. (Nasdaq: CECE) ("CECO")</w:t>
      </w:r>
      <w:r>
        <w:rPr>
          <w:rFonts w:ascii="Times New Roman" w:cs="Times New Roman" w:eastAsia="Times New Roman" w:hAnsi="Times New Roman"/>
          <w:sz w:val="18"/>
          <w:szCs w:val="18"/>
          <w:color w:val="auto"/>
        </w:rPr>
        <w:t>, a leading environmentally focused, diversified industrial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whose solutions protect people, the environment, and industrial equipment, today reported its financial results for the second quarter of 2022.</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Highlights for the Quarter and Recent Corporate Developments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Orders of $113.5 million, up 33 percent; Record Backlog of $289 million</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Revenue of $105.4 million, up 34 percent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income of $4.4 million, up $4.1 million; non-GAAP net income of $6.4 million, up $3.3 million</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of $10.6 million, up 63 percent</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announces senior management transitions</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increases full year financial outlook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*All comparisons are versus the comparable prior year period, unless otherwise stated.</w:t>
      </w:r>
    </w:p>
    <w:p>
      <w:pPr>
        <w:spacing w:after="0" w:line="1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Reconciliations of GAAP (reported) to non-GAAP measures are in the attached financial tables.</w:t>
      </w:r>
    </w:p>
    <w:p>
      <w:pPr>
        <w:spacing w:after="0" w:line="192"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“We delivered strong results in the second quarter and are pleased to share that we increased our backlog to new record levels while driving sales growth of more than 30 percent and EBITDA growth of more than 60 percent. We also repurchased more than $4 million of shares in the quarter as we systematically execute our capital allocation strategy that includes both M&amp;A and share repurchases,” said CECO Chief Executive Officer, Todd Gleason.</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Second quarter operating income was $5.7 million, up 171 percent when compared to $2.1 million in the second quarter 2021. On an adjusted basis, non-GAAP operating income was $8.7 million, up 85 percent when compared to $4.7 million in the second quarter of 2021. Net income was $4.4 million in the quarter, up $4.1 million compared to $0.3 million in the second quarter 2021. Non-GAAP net income was $6.4 million, up $3.3 million compared to $3.1 million in the second quarter 2021. Adjusted EBITDA was $10.6 million, up 63 percent compared to $6.5 million in the second quarter 2021. The Company repurchased $4.3 million shares in the second quarter as part of the previously announced $20 million share repurchase program.</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second quarter, the Company completed the acquisition of Compass Water Solutions, based in California, USA and Western Air Duct, a company based in the United Kingdom. Combined, the companies generated 2021 full year sales of approximately $15 million and each delivered double-digit EBITDA margins.</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are extremely pleased with our year-to-date results which have included orders growth of approximately 55 percent, record backlog up more than 35 percent and revenue growth up more than 30 percent through the first half. We have closed multiple strategic acquisitions that add new capabilities and market opportunities to our industrial air and industrial water platforms, and those acquisitions are already performing very well against their operating targets,” added Gleason.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Company Increases Full Year 2022 Outlook:</w:t>
      </w:r>
    </w:p>
    <w:p>
      <w:pPr>
        <w:spacing w:after="0" w:line="21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updated full year 2022 guidance to $375 to $400 million in revenue, up approximately 19 percent at the midpoint year over year. The Company updated its full year adjusted EBITDA to reflect a range starting at $37 million and the high-end exceeding $40 million, up more than 50 percent at the midpoint year over year.</w:t>
      </w:r>
    </w:p>
    <w:p>
      <w:pPr>
        <w:spacing w:after="0" w:line="16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revised outlook reflects our continued confidence that we expect to deliver outstanding results through the year. We remain in excellent position to drive strong double-digit sales and income growth while also maintaining our focus on capital allocation,” concluded Gleason.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24130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1"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Senior Management Transitions: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also separately announced today that Matthew Eckl, Chief Financial Officer, and Pamela Turay, Senior Vice President of Human Resources, will leave the Company in August to pursue other opportunities. Effective Aug. 15, 2022, Peter Johansson will join CECO as Chief Financial and Strategy Officer. Additionally, the Company’s current General Counsel, Lynn Watkins-Asiyanbi will assume the newly created role of Chief Administrative and Legal Officer, which incorporates legal, human resources and corporate communication functions.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EARNINGS CONFERENCE CALL</w:t>
      </w:r>
    </w:p>
    <w:p>
      <w:pPr>
        <w:spacing w:after="0" w:line="31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 conference call is scheduled for today at 8:30 a.m. ET to discuss the second quarter financial results of 2022. The conference call may be accessed via webcast by going to the Company's website at https://investors.cecoenviro.com/events-webcasts-and-presentations/ or by dialing (888) 346-4547 (Toll-Free) within the U.S., or Toll/International +1(412) 317-5251.</w:t>
      </w:r>
    </w:p>
    <w:p>
      <w:pPr>
        <w:spacing w:after="0" w:line="26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 replay of the conference call will be available on the Company's website at http://www.cecoenviro.com for seven days. The replay may be accessed by dialing (877) 344-7529 (Toll-Free) within the U.S., or Toll/International +1 (412) 317-0088 and entering access code 6087150.</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CECO ENVIRONMENTAL</w:t>
      </w:r>
    </w:p>
    <w:p>
      <w:pPr>
        <w:spacing w:after="0" w:line="121"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CECO Environmental is a leading environmentally focused, diversified industrial company, serving a broad landscape of industrial air, industrial water and energy transition markets across the globe through its key business segments: Engineered Systems and Industrial Process Solutions. Providing innovative technology and application expertise, CECO helps companies grow their business with safe, clean, and more efficient solutions that help protect people, the environment and industrial equipment. In regions around the world, CECO works to improve air quality, optimize the energy value chain, and provide custom solutions for applications including power generation, petrochemical processing, general industrial, refining, midstream oil and gas, electric vehicle production, poly silicon fabrication, battery recycling, beverage can, and water/wastewater treatment along with a wide range of other applications. CECO is listed on Nasdaq under the ticker symbol "CECE." Incorporated in 1966, CECO’s global headquarters is in Dallas, Texas. For more information, please visit www.cecoenviro.com.</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 Contact:</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Kimberly Plaskett, Corporate Communications</w:t>
      </w:r>
    </w:p>
    <w:p>
      <w:pPr>
        <w:ind w:right="9480" w:firstLine="8"/>
        <w:spacing w:after="0" w:line="271" w:lineRule="auto"/>
        <w:tabs>
          <w:tab w:leader="none" w:pos="43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928-1090 kplaskett@onececo.com</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 Contact:</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Steven Hooser or Gary Guyton</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Three Part Advisors, LLC</w:t>
      </w:r>
    </w:p>
    <w:p>
      <w:pPr>
        <w:spacing w:after="0" w:line="234" w:lineRule="auto"/>
        <w:rPr>
          <w:sz w:val="20"/>
          <w:szCs w:val="20"/>
          <w:color w:val="auto"/>
        </w:rPr>
      </w:pPr>
      <w:r>
        <w:rPr>
          <w:rFonts w:ascii="Times New Roman" w:cs="Times New Roman" w:eastAsia="Times New Roman" w:hAnsi="Times New Roman"/>
          <w:sz w:val="18"/>
          <w:szCs w:val="18"/>
          <w:color w:val="auto"/>
        </w:rPr>
        <w:t>214-872-2710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investor.relations@onececo.com</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 #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875030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60" w:type="dxa"/>
            <w:vAlign w:val="bottom"/>
            <w:gridSpan w:val="2"/>
          </w:tcPr>
          <w:p>
            <w:pPr>
              <w:jc w:val="right"/>
              <w:ind w:right="80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4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80" w:type="dxa"/>
            <w:vAlign w:val="bottom"/>
          </w:tcPr>
          <w:p>
            <w:pPr>
              <w:spacing w:after="0"/>
              <w:rPr>
                <w:sz w:val="16"/>
                <w:szCs w:val="16"/>
                <w:color w:val="auto"/>
              </w:rPr>
            </w:pPr>
          </w:p>
        </w:tc>
        <w:tc>
          <w:tcPr>
            <w:tcW w:w="1760" w:type="dxa"/>
            <w:vAlign w:val="bottom"/>
            <w:gridSpan w:val="2"/>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180" w:type="dxa"/>
            <w:vAlign w:val="bottom"/>
          </w:tcPr>
          <w:p>
            <w:pPr>
              <w:spacing w:after="0"/>
              <w:rPr>
                <w:sz w:val="16"/>
                <w:szCs w:val="16"/>
                <w:color w:val="auto"/>
              </w:rPr>
            </w:pPr>
          </w:p>
        </w:tc>
        <w:tc>
          <w:tcPr>
            <w:tcW w:w="16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December 31, 2021</w:t>
            </w:r>
          </w:p>
        </w:tc>
      </w:tr>
      <w:tr>
        <w:trPr>
          <w:trHeight w:val="210"/>
        </w:trPr>
        <w:tc>
          <w:tcPr>
            <w:tcW w:w="7400" w:type="dxa"/>
            <w:vAlign w:val="bottom"/>
            <w:shd w:val="clear" w:color="auto" w:fill="CFF0FC"/>
          </w:tcPr>
          <w:p>
            <w:pPr>
              <w:ind w:left="330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34,416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29,902</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Restricted cash</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2,093</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Accounts receivable, net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95,318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74,991</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Costs and estimated earnings in excess of billings on uncompleted contracts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51,158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51,429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23,981</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17,052</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11,911</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income taxes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2,784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218,714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189,011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16,357</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15,948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Right-of-use assets from operating leases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12,144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10,893</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185,795</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161,183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 assets – finite life, net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35,794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25,841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Intangible assets – indefinite life</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9,494</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9,629</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100" w:type="dxa"/>
            <w:vAlign w:val="bottom"/>
          </w:tcPr>
          <w:p>
            <w:pPr>
              <w:spacing w:after="0"/>
              <w:rPr>
                <w:sz w:val="18"/>
                <w:szCs w:val="18"/>
                <w:color w:val="auto"/>
              </w:rPr>
            </w:pPr>
          </w:p>
        </w:tc>
      </w:tr>
      <w:tr>
        <w:trPr>
          <w:trHeight w:val="216"/>
        </w:trPr>
        <w:tc>
          <w:tcPr>
            <w:tcW w:w="7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charges and other assets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2,926</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3,187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481,729</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7400" w:type="dxa"/>
            <w:vAlign w:val="bottom"/>
            <w:shd w:val="clear" w:color="auto" w:fill="CFF0FC"/>
          </w:tcPr>
          <w:p>
            <w:pPr>
              <w:ind w:left="168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SHAREHOLDERS’ EQUITY</w:t>
            </w:r>
          </w:p>
        </w:tc>
        <w:tc>
          <w:tcPr>
            <w:tcW w:w="280" w:type="dxa"/>
            <w:vAlign w:val="bottom"/>
            <w:shd w:val="clear" w:color="auto" w:fill="CFF0FC"/>
          </w:tcPr>
          <w:p>
            <w:pPr>
              <w:spacing w:after="0"/>
              <w:rPr>
                <w:sz w:val="17"/>
                <w:szCs w:val="17"/>
                <w:color w:val="auto"/>
              </w:rPr>
            </w:pPr>
          </w:p>
        </w:tc>
        <w:tc>
          <w:tcPr>
            <w:tcW w:w="148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debt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3,303</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2,203</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 and accrued expenses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101,233</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84,081</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Billings in excess of costs and estimated earnings on uncompleted contracts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35,896</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28,908</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Note payable - current</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40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taxes payable</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3,092</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144,024</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116,685</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15,122</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14,826</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less current portion</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92,768</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61,577</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 liability, net</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9,998</w:t>
            </w: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8,390</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9,356</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8,762</w:t>
            </w:r>
          </w:p>
        </w:tc>
        <w:tc>
          <w:tcPr>
            <w:tcW w:w="100" w:type="dxa"/>
            <w:vAlign w:val="bottom"/>
          </w:tcPr>
          <w:p>
            <w:pPr>
              <w:spacing w:after="0"/>
              <w:rPr>
                <w:sz w:val="18"/>
                <w:szCs w:val="18"/>
                <w:color w:val="auto"/>
              </w:rPr>
            </w:pPr>
          </w:p>
        </w:tc>
      </w:tr>
      <w:tr>
        <w:trPr>
          <w:trHeight w:val="210"/>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271,268</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210,240</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Shareholders’ equity:</w:t>
            </w:r>
          </w:p>
        </w:tc>
        <w:tc>
          <w:tcPr>
            <w:tcW w:w="280" w:type="dxa"/>
            <w:vAlign w:val="bottom"/>
            <w:shd w:val="clear" w:color="auto" w:fill="CFF0FC"/>
          </w:tcPr>
          <w:p>
            <w:pPr>
              <w:spacing w:after="0"/>
              <w:rPr>
                <w:sz w:val="18"/>
                <w:szCs w:val="18"/>
                <w:color w:val="auto"/>
              </w:rPr>
            </w:pPr>
          </w:p>
        </w:tc>
        <w:tc>
          <w:tcPr>
            <w:tcW w:w="14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5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Preferred stock, $.01 par value; 10,000 shares authorized, none issued</w:t>
            </w:r>
          </w:p>
        </w:tc>
        <w:tc>
          <w:tcPr>
            <w:tcW w:w="280" w:type="dxa"/>
            <w:vAlign w:val="bottom"/>
          </w:tcPr>
          <w:p>
            <w:pPr>
              <w:spacing w:after="0"/>
              <w:rPr>
                <w:sz w:val="18"/>
                <w:szCs w:val="18"/>
                <w:color w:val="auto"/>
              </w:rPr>
            </w:pPr>
          </w:p>
        </w:tc>
        <w:tc>
          <w:tcPr>
            <w:tcW w:w="17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6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171"/>
        </w:trPr>
        <w:tc>
          <w:tcPr>
            <w:tcW w:w="7400" w:type="dxa"/>
            <w:vAlign w:val="bottom"/>
            <w:shd w:val="clear" w:color="auto" w:fill="CFF0FC"/>
          </w:tcPr>
          <w:p>
            <w:pPr>
              <w:ind w:left="200"/>
              <w:spacing w:after="0" w:line="170" w:lineRule="exact"/>
              <w:rPr>
                <w:sz w:val="20"/>
                <w:szCs w:val="20"/>
                <w:color w:val="auto"/>
              </w:rPr>
            </w:pPr>
            <w:r>
              <w:rPr>
                <w:rFonts w:ascii="Times New Roman" w:cs="Times New Roman" w:eastAsia="Times New Roman" w:hAnsi="Times New Roman"/>
                <w:sz w:val="18"/>
                <w:szCs w:val="18"/>
                <w:color w:val="auto"/>
              </w:rPr>
              <w:t>Common stock, $.01 par value; 100,000,000 shares authorized, 34,534,180 and</w:t>
            </w:r>
          </w:p>
        </w:tc>
        <w:tc>
          <w:tcPr>
            <w:tcW w:w="280" w:type="dxa"/>
            <w:vAlign w:val="bottom"/>
            <w:shd w:val="clear" w:color="auto" w:fill="CFF0FC"/>
          </w:tcPr>
          <w:p>
            <w:pPr>
              <w:spacing w:after="0"/>
              <w:rPr>
                <w:sz w:val="14"/>
                <w:szCs w:val="14"/>
                <w:color w:val="auto"/>
              </w:rPr>
            </w:pPr>
          </w:p>
        </w:tc>
        <w:tc>
          <w:tcPr>
            <w:tcW w:w="1480" w:type="dxa"/>
            <w:vAlign w:val="bottom"/>
            <w:shd w:val="clear" w:color="auto" w:fill="CFF0FC"/>
          </w:tcPr>
          <w:p>
            <w:pPr>
              <w:spacing w:after="0"/>
              <w:rPr>
                <w:sz w:val="14"/>
                <w:szCs w:val="14"/>
                <w:color w:val="auto"/>
              </w:rPr>
            </w:pPr>
          </w:p>
        </w:tc>
        <w:tc>
          <w:tcPr>
            <w:tcW w:w="28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152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r>
      <w:tr>
        <w:trPr>
          <w:trHeight w:val="189"/>
        </w:trPr>
        <w:tc>
          <w:tcPr>
            <w:tcW w:w="7400" w:type="dxa"/>
            <w:vAlign w:val="bottom"/>
            <w:shd w:val="clear" w:color="auto" w:fill="CFF0FC"/>
          </w:tcPr>
          <w:p>
            <w:pPr>
              <w:ind w:left="200"/>
              <w:spacing w:after="0" w:line="189" w:lineRule="exact"/>
              <w:rPr>
                <w:sz w:val="20"/>
                <w:szCs w:val="20"/>
                <w:color w:val="auto"/>
              </w:rPr>
            </w:pPr>
            <w:r>
              <w:rPr>
                <w:rFonts w:ascii="Times New Roman" w:cs="Times New Roman" w:eastAsia="Times New Roman" w:hAnsi="Times New Roman"/>
                <w:sz w:val="18"/>
                <w:szCs w:val="18"/>
                <w:color w:val="auto"/>
              </w:rPr>
              <w:t>35,028,197 shares issued and outstanding at June 30, 2022 and</w:t>
            </w:r>
          </w:p>
        </w:tc>
        <w:tc>
          <w:tcPr>
            <w:tcW w:w="280" w:type="dxa"/>
            <w:vAlign w:val="bottom"/>
            <w:shd w:val="clear" w:color="auto" w:fill="CFF0FC"/>
          </w:tcPr>
          <w:p>
            <w:pPr>
              <w:spacing w:after="0"/>
              <w:rPr>
                <w:sz w:val="16"/>
                <w:szCs w:val="16"/>
                <w:color w:val="auto"/>
              </w:rPr>
            </w:pPr>
          </w:p>
        </w:tc>
        <w:tc>
          <w:tcPr>
            <w:tcW w:w="148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5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234"/>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December 31, 2021, respectively</w:t>
            </w:r>
          </w:p>
        </w:tc>
        <w:tc>
          <w:tcPr>
            <w:tcW w:w="280" w:type="dxa"/>
            <w:vAlign w:val="bottom"/>
            <w:shd w:val="clear" w:color="auto" w:fill="CFF0FC"/>
          </w:tcPr>
          <w:p>
            <w:pPr>
              <w:spacing w:after="0"/>
              <w:rPr>
                <w:sz w:val="20"/>
                <w:szCs w:val="20"/>
                <w:color w:val="auto"/>
              </w:rPr>
            </w:pPr>
          </w:p>
        </w:tc>
        <w:tc>
          <w:tcPr>
            <w:tcW w:w="1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2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FF0FC"/>
          </w:tcPr>
          <w:p>
            <w:pPr>
              <w:spacing w:after="0"/>
              <w:rPr>
                <w:sz w:val="20"/>
                <w:szCs w:val="20"/>
                <w:color w:val="auto"/>
              </w:rPr>
            </w:pP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Capital in excess of par value</w:t>
            </w: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250,262</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252,989</w:t>
            </w:r>
          </w:p>
        </w:tc>
        <w:tc>
          <w:tcPr>
            <w:tcW w:w="100" w:type="dxa"/>
            <w:vAlign w:val="bottom"/>
          </w:tcPr>
          <w:p>
            <w:pPr>
              <w:spacing w:after="0"/>
              <w:rPr>
                <w:sz w:val="18"/>
                <w:szCs w:val="18"/>
                <w:color w:val="auto"/>
              </w:rPr>
            </w:pPr>
          </w:p>
        </w:tc>
      </w:tr>
      <w:tr>
        <w:trPr>
          <w:trHeight w:val="216"/>
        </w:trPr>
        <w:tc>
          <w:tcPr>
            <w:tcW w:w="740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Accumulated loss</w:t>
            </w:r>
          </w:p>
        </w:tc>
        <w:tc>
          <w:tcPr>
            <w:tcW w:w="28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(29,538 )</w:t>
            </w:r>
          </w:p>
        </w:tc>
        <w:tc>
          <w:tcPr>
            <w:tcW w:w="180" w:type="dxa"/>
            <w:vAlign w:val="bottom"/>
            <w:shd w:val="clear" w:color="auto" w:fill="CFF0FC"/>
          </w:tcPr>
          <w:p>
            <w:pPr>
              <w:spacing w:after="0"/>
              <w:rPr>
                <w:sz w:val="18"/>
                <w:szCs w:val="18"/>
                <w:color w:val="auto"/>
              </w:rPr>
            </w:pPr>
          </w:p>
        </w:tc>
        <w:tc>
          <w:tcPr>
            <w:tcW w:w="16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(36,715 )</w:t>
            </w:r>
          </w:p>
        </w:tc>
      </w:tr>
      <w:tr>
        <w:trPr>
          <w:trHeight w:val="216"/>
        </w:trPr>
        <w:tc>
          <w:tcPr>
            <w:tcW w:w="740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80" w:type="dxa"/>
            <w:vAlign w:val="bottom"/>
          </w:tcPr>
          <w:p>
            <w:pPr>
              <w:spacing w:after="0"/>
              <w:rPr>
                <w:sz w:val="18"/>
                <w:szCs w:val="18"/>
                <w:color w:val="auto"/>
              </w:rPr>
            </w:pPr>
          </w:p>
        </w:tc>
        <w:tc>
          <w:tcPr>
            <w:tcW w:w="17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(15,567 )</w:t>
            </w:r>
          </w:p>
        </w:tc>
        <w:tc>
          <w:tcPr>
            <w:tcW w:w="180" w:type="dxa"/>
            <w:vAlign w:val="bottom"/>
          </w:tcPr>
          <w:p>
            <w:pPr>
              <w:spacing w:after="0"/>
              <w:rPr>
                <w:sz w:val="18"/>
                <w:szCs w:val="18"/>
                <w:color w:val="auto"/>
              </w:rPr>
            </w:pPr>
          </w:p>
        </w:tc>
        <w:tc>
          <w:tcPr>
            <w:tcW w:w="1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(12,070 )</w:t>
            </w:r>
          </w:p>
        </w:tc>
      </w:tr>
      <w:tr>
        <w:trPr>
          <w:trHeight w:val="210"/>
        </w:trPr>
        <w:tc>
          <w:tcPr>
            <w:tcW w:w="740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CECO shareholders' equity</w:t>
            </w:r>
          </w:p>
        </w:tc>
        <w:tc>
          <w:tcPr>
            <w:tcW w:w="280" w:type="dxa"/>
            <w:vAlign w:val="bottom"/>
            <w:tcBorders>
              <w:top w:val="single" w:sz="8" w:color="auto"/>
            </w:tcBorders>
            <w:shd w:val="clear" w:color="auto" w:fill="CFF0FC"/>
          </w:tcPr>
          <w:p>
            <w:pPr>
              <w:spacing w:after="0"/>
              <w:rPr>
                <w:sz w:val="18"/>
                <w:szCs w:val="18"/>
                <w:color w:val="auto"/>
              </w:rPr>
            </w:pPr>
          </w:p>
        </w:tc>
        <w:tc>
          <w:tcPr>
            <w:tcW w:w="14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205,502</w:t>
            </w:r>
          </w:p>
        </w:tc>
        <w:tc>
          <w:tcPr>
            <w:tcW w:w="28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204,554</w:t>
            </w:r>
          </w:p>
        </w:tc>
        <w:tc>
          <w:tcPr>
            <w:tcW w:w="100" w:type="dxa"/>
            <w:vAlign w:val="bottom"/>
            <w:shd w:val="clear" w:color="auto" w:fill="CFF0FC"/>
          </w:tcPr>
          <w:p>
            <w:pPr>
              <w:spacing w:after="0"/>
              <w:rPr>
                <w:sz w:val="18"/>
                <w:szCs w:val="18"/>
                <w:color w:val="auto"/>
              </w:rPr>
            </w:pPr>
          </w:p>
        </w:tc>
      </w:tr>
      <w:tr>
        <w:trPr>
          <w:trHeight w:val="216"/>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2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4,959</w:t>
            </w:r>
          </w:p>
        </w:tc>
        <w:tc>
          <w:tcPr>
            <w:tcW w:w="2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1,403</w:t>
            </w:r>
          </w:p>
        </w:tc>
        <w:tc>
          <w:tcPr>
            <w:tcW w:w="100" w:type="dxa"/>
            <w:vAlign w:val="bottom"/>
          </w:tcPr>
          <w:p>
            <w:pPr>
              <w:spacing w:after="0"/>
              <w:rPr>
                <w:sz w:val="18"/>
                <w:szCs w:val="18"/>
                <w:color w:val="auto"/>
              </w:rPr>
            </w:pPr>
          </w:p>
        </w:tc>
      </w:tr>
      <w:tr>
        <w:trPr>
          <w:trHeight w:val="210"/>
        </w:trPr>
        <w:tc>
          <w:tcPr>
            <w:tcW w:w="740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shareholders' equity</w:t>
            </w:r>
          </w:p>
        </w:tc>
        <w:tc>
          <w:tcPr>
            <w:tcW w:w="280" w:type="dxa"/>
            <w:vAlign w:val="bottom"/>
            <w:tcBorders>
              <w:bottom w:val="single" w:sz="8" w:color="auto"/>
            </w:tcBorders>
            <w:shd w:val="clear" w:color="auto" w:fill="CFF0FC"/>
          </w:tcPr>
          <w:p>
            <w:pPr>
              <w:spacing w:after="0"/>
              <w:rPr>
                <w:sz w:val="18"/>
                <w:szCs w:val="18"/>
                <w:color w:val="auto"/>
              </w:rPr>
            </w:pPr>
          </w:p>
        </w:tc>
        <w:tc>
          <w:tcPr>
            <w:tcW w:w="14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210,461</w:t>
            </w:r>
          </w:p>
        </w:tc>
        <w:tc>
          <w:tcPr>
            <w:tcW w:w="280" w:type="dxa"/>
            <w:vAlign w:val="bottom"/>
            <w:tcBorders>
              <w:bottom w:val="single" w:sz="8" w:color="CFF0FC"/>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205,957</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74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liabilities and shareholders' equity</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481,729</w:t>
            </w:r>
          </w:p>
        </w:tc>
        <w:tc>
          <w:tcPr>
            <w:tcW w:w="2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416,197</w:t>
            </w:r>
          </w:p>
        </w:tc>
        <w:tc>
          <w:tcPr>
            <w:tcW w:w="100" w:type="dxa"/>
            <w:vAlign w:val="bottom"/>
          </w:tcPr>
          <w:p>
            <w:pPr>
              <w:spacing w:after="0"/>
              <w:rPr>
                <w:sz w:val="18"/>
                <w:szCs w:val="18"/>
                <w:color w:val="auto"/>
              </w:rPr>
            </w:pPr>
          </w:p>
        </w:tc>
      </w:tr>
      <w:tr>
        <w:trPr>
          <w:trHeight w:val="20"/>
        </w:trPr>
        <w:tc>
          <w:tcPr>
            <w:tcW w:w="7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135"/>
        </w:trPr>
        <w:tc>
          <w:tcPr>
            <w:tcW w:w="74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8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15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5817235</wp:posOffset>
            </wp:positionH>
            <wp:positionV relativeFrom="paragraph">
              <wp:posOffset>-5631180</wp:posOffset>
            </wp:positionV>
            <wp:extent cx="7683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-5631180</wp:posOffset>
            </wp:positionV>
            <wp:extent cx="6858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-4525645</wp:posOffset>
            </wp:positionV>
            <wp:extent cx="7683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-4525645</wp:posOffset>
            </wp:positionV>
            <wp:extent cx="685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-3394075</wp:posOffset>
            </wp:positionV>
            <wp:extent cx="7683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-3394075</wp:posOffset>
            </wp:positionV>
            <wp:extent cx="6858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-2553970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-2553970</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5817235</wp:posOffset>
            </wp:positionH>
            <wp:positionV relativeFrom="paragraph">
              <wp:posOffset>-916305</wp:posOffset>
            </wp:positionV>
            <wp:extent cx="768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660" w:type="dxa"/>
            <w:vAlign w:val="bottom"/>
            <w:gridSpan w:val="5"/>
          </w:tcPr>
          <w:p>
            <w:pPr>
              <w:jc w:val="right"/>
              <w:ind w:right="6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240" w:type="dxa"/>
            <w:vAlign w:val="bottom"/>
          </w:tcPr>
          <w:p>
            <w:pPr>
              <w:spacing w:after="0"/>
              <w:rPr>
                <w:sz w:val="16"/>
                <w:szCs w:val="16"/>
                <w:color w:val="auto"/>
              </w:rPr>
            </w:pPr>
          </w:p>
        </w:tc>
        <w:tc>
          <w:tcPr>
            <w:tcW w:w="2480" w:type="dxa"/>
            <w:vAlign w:val="bottom"/>
            <w:gridSpan w:val="5"/>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62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 data)</w:t>
            </w: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8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40" w:type="dxa"/>
            <w:vAlign w:val="bottom"/>
            <w:tcBorders>
              <w:top w:val="single" w:sz="8" w:color="auto"/>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240" w:type="dxa"/>
            <w:vAlign w:val="bottom"/>
            <w:tcBorders>
              <w:top w:val="single" w:sz="8" w:color="auto"/>
              <w:bottom w:val="single" w:sz="8" w:color="auto"/>
            </w:tcBorders>
          </w:tcPr>
          <w:p>
            <w:pPr>
              <w:spacing w:after="0"/>
              <w:rPr>
                <w:sz w:val="14"/>
                <w:szCs w:val="14"/>
                <w:color w:val="auto"/>
              </w:rPr>
            </w:pPr>
          </w:p>
        </w:tc>
        <w:tc>
          <w:tcPr>
            <w:tcW w:w="96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105,375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78,680</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197,811</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150,572</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73,700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53,426</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139,708</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100,910</w:t>
            </w:r>
          </w:p>
        </w:tc>
        <w:tc>
          <w:tcPr>
            <w:tcW w:w="100" w:type="dxa"/>
            <w:vAlign w:val="bottom"/>
          </w:tcPr>
          <w:p>
            <w:pPr>
              <w:spacing w:after="0"/>
              <w:rPr>
                <w:sz w:val="18"/>
                <w:szCs w:val="18"/>
                <w:color w:val="auto"/>
              </w:rPr>
            </w:pPr>
          </w:p>
        </w:tc>
      </w:tr>
      <w:tr>
        <w:trPr>
          <w:trHeight w:val="209"/>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31,675</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25,254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58,103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49,662</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and administrative expenses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22,988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41,640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39,965</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1,450</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2,282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2,900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4,072</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Restructuring expenses</w:t>
            </w:r>
          </w:p>
        </w:tc>
        <w:tc>
          <w:tcPr>
            <w:tcW w:w="240" w:type="dxa"/>
            <w:vAlign w:val="bottom"/>
          </w:tcPr>
          <w:p>
            <w:pPr>
              <w:spacing w:after="0"/>
              <w:rPr>
                <w:sz w:val="18"/>
                <w:szCs w:val="18"/>
                <w:color w:val="auto"/>
              </w:rPr>
            </w:pPr>
          </w:p>
        </w:tc>
        <w:tc>
          <w:tcPr>
            <w:tcW w:w="12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Pr>
          <w:p>
            <w:pPr>
              <w:spacing w:after="0"/>
              <w:rPr>
                <w:sz w:val="18"/>
                <w:szCs w:val="18"/>
                <w:color w:val="auto"/>
              </w:rPr>
            </w:pPr>
          </w:p>
        </w:tc>
      </w:tr>
      <w:tr>
        <w:trPr>
          <w:trHeight w:val="216"/>
        </w:trPr>
        <w:tc>
          <w:tcPr>
            <w:tcW w:w="56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1,491</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spacing w:after="0"/>
              <w:rPr>
                <w:sz w:val="18"/>
                <w:szCs w:val="18"/>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Income from operations</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5,746</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2,145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10,950</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5,199</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1,936</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(860 )</w:t>
            </w: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1,478</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(1,339 )</w:t>
            </w: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(1,098 )</w:t>
            </w:r>
          </w:p>
        </w:tc>
        <w:tc>
          <w:tcPr>
            <w:tcW w:w="24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(704 )</w:t>
            </w:r>
          </w:p>
        </w:tc>
        <w:tc>
          <w:tcPr>
            <w:tcW w:w="240" w:type="dxa"/>
            <w:vAlign w:val="bottom"/>
          </w:tcPr>
          <w:p>
            <w:pPr>
              <w:spacing w:after="0"/>
              <w:rPr>
                <w:sz w:val="18"/>
                <w:szCs w:val="18"/>
                <w:color w:val="auto"/>
              </w:rPr>
            </w:pPr>
          </w:p>
        </w:tc>
        <w:tc>
          <w:tcPr>
            <w:tcW w:w="11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(1,920 )</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(1,430 )</w:t>
            </w:r>
          </w:p>
        </w:tc>
      </w:tr>
      <w:tr>
        <w:trPr>
          <w:trHeight w:val="209"/>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6,584</w:t>
            </w:r>
          </w:p>
        </w:tc>
        <w:tc>
          <w:tcPr>
            <w:tcW w:w="26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2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10,508</w:t>
            </w:r>
          </w:p>
        </w:tc>
        <w:tc>
          <w:tcPr>
            <w:tcW w:w="240" w:type="dxa"/>
            <w:vAlign w:val="bottom"/>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2,430</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1,860</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2,972</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750</w:t>
            </w:r>
          </w:p>
        </w:tc>
        <w:tc>
          <w:tcPr>
            <w:tcW w:w="100" w:type="dxa"/>
            <w:vAlign w:val="bottom"/>
          </w:tcPr>
          <w:p>
            <w:pPr>
              <w:spacing w:after="0"/>
              <w:rPr>
                <w:sz w:val="18"/>
                <w:szCs w:val="18"/>
                <w:color w:val="auto"/>
              </w:rPr>
            </w:pPr>
          </w:p>
        </w:tc>
      </w:tr>
      <w:tr>
        <w:trPr>
          <w:trHeight w:val="209"/>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4,724</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7,536</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1,680</w:t>
            </w:r>
          </w:p>
        </w:tc>
        <w:tc>
          <w:tcPr>
            <w:tcW w:w="100" w:type="dxa"/>
            <w:vAlign w:val="bottom"/>
            <w:shd w:val="clear" w:color="auto" w:fill="CFF0FC"/>
          </w:tcPr>
          <w:p>
            <w:pPr>
              <w:spacing w:after="0"/>
              <w:rPr>
                <w:sz w:val="18"/>
                <w:szCs w:val="18"/>
                <w:color w:val="auto"/>
              </w:rPr>
            </w:pPr>
          </w:p>
        </w:tc>
      </w:tr>
      <w:tr>
        <w:trPr>
          <w:trHeight w:val="216"/>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339</w:t>
            </w:r>
          </w:p>
        </w:tc>
        <w:tc>
          <w:tcPr>
            <w:tcW w:w="2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2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8"/>
                <w:szCs w:val="18"/>
                <w:color w:val="auto"/>
              </w:rPr>
            </w:pPr>
          </w:p>
        </w:tc>
      </w:tr>
      <w:tr>
        <w:trPr>
          <w:trHeight w:val="209"/>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CECO Environmental Corp.</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4,385</w:t>
            </w:r>
          </w:p>
        </w:tc>
        <w:tc>
          <w:tcPr>
            <w:tcW w:w="26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w:t>
            </w:r>
          </w:p>
        </w:tc>
        <w:tc>
          <w:tcPr>
            <w:tcW w:w="22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7,180</w:t>
            </w:r>
          </w:p>
        </w:tc>
        <w:tc>
          <w:tcPr>
            <w:tcW w:w="240" w:type="dxa"/>
            <w:vAlign w:val="bottom"/>
            <w:tcBorders>
              <w:bottom w:val="single" w:sz="8" w:color="CFF0FC"/>
            </w:tcBorders>
            <w:shd w:val="clear" w:color="auto" w:fill="CFF0FC"/>
          </w:tcPr>
          <w:p>
            <w:pPr>
              <w:spacing w:after="0"/>
              <w:rPr>
                <w:sz w:val="18"/>
                <w:szCs w:val="18"/>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1,474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5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56"/>
        </w:trPr>
        <w:tc>
          <w:tcPr>
            <w:tcW w:w="56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6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240" w:type="dxa"/>
            <w:vAlign w:val="bottom"/>
            <w:tcBorders>
              <w:bottom w:val="single" w:sz="8" w:color="CFF0FC"/>
            </w:tcBorders>
            <w:shd w:val="clear" w:color="auto" w:fill="CFF0FC"/>
          </w:tcPr>
          <w:p>
            <w:pPr>
              <w:spacing w:after="0"/>
              <w:rPr>
                <w:sz w:val="22"/>
                <w:szCs w:val="22"/>
                <w:color w:val="auto"/>
              </w:rPr>
            </w:pP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196"/>
        </w:trPr>
        <w:tc>
          <w:tcPr>
            <w:tcW w:w="5620" w:type="dxa"/>
            <w:vAlign w:val="bottom"/>
          </w:tcPr>
          <w:p>
            <w:pPr>
              <w:ind w:left="20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0.13</w:t>
            </w:r>
          </w:p>
        </w:tc>
        <w:tc>
          <w:tcPr>
            <w:tcW w:w="26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7"/>
                <w:szCs w:val="17"/>
                <w:color w:val="auto"/>
              </w:rPr>
            </w:pPr>
          </w:p>
        </w:tc>
        <w:tc>
          <w:tcPr>
            <w:tcW w:w="24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240" w:type="dxa"/>
            <w:vAlign w:val="bottom"/>
          </w:tcPr>
          <w:p>
            <w:pPr>
              <w:spacing w:after="0"/>
              <w:rPr>
                <w:sz w:val="17"/>
                <w:szCs w:val="17"/>
                <w:color w:val="auto"/>
              </w:rPr>
            </w:pPr>
          </w:p>
        </w:tc>
        <w:tc>
          <w:tcPr>
            <w:tcW w:w="240" w:type="dxa"/>
            <w:vAlign w:val="bottom"/>
            <w:tcBorders>
              <w:bottom w:val="single" w:sz="8" w:color="auto"/>
            </w:tcBorders>
          </w:tcPr>
          <w:p>
            <w:pPr>
              <w:jc w:val="right"/>
              <w:ind w:right="5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r>
      <w:tr>
        <w:trPr>
          <w:trHeight w:val="20"/>
        </w:trPr>
        <w:tc>
          <w:tcPr>
            <w:tcW w:w="56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56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 average number of common shares outstanding:</w:t>
            </w: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240" w:type="dxa"/>
            <w:vAlign w:val="bottom"/>
            <w:shd w:val="clear" w:color="auto" w:fill="CFF0FC"/>
          </w:tcPr>
          <w:p>
            <w:pPr>
              <w:spacing w:after="0"/>
              <w:rPr>
                <w:sz w:val="17"/>
                <w:szCs w:val="17"/>
                <w:color w:val="auto"/>
              </w:rPr>
            </w:pPr>
          </w:p>
        </w:tc>
        <w:tc>
          <w:tcPr>
            <w:tcW w:w="9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56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34,873,238</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35,491,725</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34,961,645</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35,444,477</w:t>
            </w:r>
          </w:p>
        </w:tc>
        <w:tc>
          <w:tcPr>
            <w:tcW w:w="100" w:type="dxa"/>
            <w:vAlign w:val="bottom"/>
          </w:tcPr>
          <w:p>
            <w:pPr>
              <w:spacing w:after="0"/>
              <w:rPr>
                <w:sz w:val="18"/>
                <w:szCs w:val="18"/>
                <w:color w:val="auto"/>
              </w:rPr>
            </w:pPr>
          </w:p>
        </w:tc>
      </w:tr>
      <w:tr>
        <w:trPr>
          <w:trHeight w:val="216"/>
        </w:trPr>
        <w:tc>
          <w:tcPr>
            <w:tcW w:w="56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35,041,152</w:t>
            </w:r>
          </w:p>
        </w:tc>
        <w:tc>
          <w:tcPr>
            <w:tcW w:w="26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35,819,269</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35,119,685</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35,797,001</w:t>
            </w:r>
          </w:p>
        </w:tc>
        <w:tc>
          <w:tcPr>
            <w:tcW w:w="100" w:type="dxa"/>
            <w:vAlign w:val="bottom"/>
            <w:shd w:val="clear" w:color="auto" w:fill="CFF0FC"/>
          </w:tcPr>
          <w:p>
            <w:pPr>
              <w:spacing w:after="0"/>
              <w:rPr>
                <w:sz w:val="18"/>
                <w:szCs w:val="18"/>
                <w:color w:val="auto"/>
              </w:rPr>
            </w:pPr>
          </w:p>
        </w:tc>
      </w:tr>
      <w:tr>
        <w:trPr>
          <w:trHeight w:val="317"/>
        </w:trPr>
        <w:tc>
          <w:tcPr>
            <w:tcW w:w="56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4333875</wp:posOffset>
            </wp:positionH>
            <wp:positionV relativeFrom="paragraph">
              <wp:posOffset>-2228215</wp:posOffset>
            </wp:positionV>
            <wp:extent cx="7683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-2228215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-2228215</wp:posOffset>
            </wp:positionV>
            <wp:extent cx="6858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-2228215</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-1096645</wp:posOffset>
            </wp:positionV>
            <wp:extent cx="768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-1096645</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-1096645</wp:posOffset>
            </wp:positionV>
            <wp:extent cx="6858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-1096645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-813435</wp:posOffset>
            </wp:positionV>
            <wp:extent cx="7683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4333875</wp:posOffset>
            </wp:positionH>
            <wp:positionV relativeFrom="paragraph">
              <wp:posOffset>-796290</wp:posOffset>
            </wp:positionV>
            <wp:extent cx="768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-813435</wp:posOffset>
            </wp:positionV>
            <wp:extent cx="6858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-796290</wp:posOffset>
            </wp:positionV>
            <wp:extent cx="6858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-813435</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6160135</wp:posOffset>
            </wp:positionH>
            <wp:positionV relativeFrom="paragraph">
              <wp:posOffset>-796290</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-813435</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-796290</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CECO ENVIRONMENTAL CORP. AND SUBSIDIARIES</w:t>
      </w:r>
    </w:p>
    <w:p>
      <w:pPr>
        <w:spacing w:after="0" w:line="20"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b w:val="1"/>
          <w:bCs w:val="1"/>
          <w:color w:val="auto"/>
        </w:rPr>
        <w:t>RECONCILIATION OF GAAP TO NON-GAAP MEASURES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60" w:type="dxa"/>
            <w:vAlign w:val="bottom"/>
            <w:gridSpan w:val="7"/>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8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(dollars in millions)</w:t>
            </w:r>
          </w:p>
        </w:tc>
        <w:tc>
          <w:tcPr>
            <w:tcW w:w="160" w:type="dxa"/>
            <w:vAlign w:val="bottom"/>
          </w:tcPr>
          <w:p>
            <w:pPr>
              <w:spacing w:after="0"/>
              <w:rPr>
                <w:sz w:val="14"/>
                <w:szCs w:val="14"/>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income as reported in accordance with GAAP</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jc w:val="right"/>
              <w:ind w:right="604"/>
              <w:spacing w:after="0"/>
              <w:rPr>
                <w:sz w:val="20"/>
                <w:szCs w:val="20"/>
                <w:color w:val="auto"/>
              </w:rPr>
            </w:pPr>
            <w:r>
              <w:rPr>
                <w:rFonts w:ascii="Times New Roman" w:cs="Times New Roman" w:eastAsia="Times New Roman" w:hAnsi="Times New Roman"/>
                <w:sz w:val="18"/>
                <w:szCs w:val="18"/>
                <w:color w:val="auto"/>
                <w:w w:val="88"/>
              </w:rPr>
              <w:t>$</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Operating margin in accordance with GAAP</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5.4 %</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2.7 %</w:t>
            </w:r>
          </w:p>
        </w:tc>
        <w:tc>
          <w:tcPr>
            <w:tcW w:w="26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5.6 %</w:t>
            </w:r>
          </w:p>
        </w:tc>
        <w:tc>
          <w:tcPr>
            <w:tcW w:w="2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3.5 %</w:t>
            </w:r>
          </w:p>
        </w:tc>
      </w:tr>
      <w:tr>
        <w:trPr>
          <w:trHeight w:val="216"/>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4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60" w:type="dxa"/>
            <w:vAlign w:val="bottom"/>
            <w:tcBorders>
              <w:bottom w:val="single" w:sz="8" w:color="CFF0FC"/>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400" w:type="dxa"/>
            <w:vAlign w:val="bottom"/>
            <w:tcBorders>
              <w:bottom w:val="single" w:sz="8" w:color="auto"/>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CFF0FC"/>
            </w:tcBorders>
            <w:shd w:val="clear" w:color="auto" w:fill="CFF0FC"/>
          </w:tcPr>
          <w:p>
            <w:pPr>
              <w:spacing w:after="0"/>
              <w:rPr>
                <w:sz w:val="18"/>
                <w:szCs w:val="18"/>
                <w:color w:val="auto"/>
              </w:rPr>
            </w:pPr>
          </w:p>
        </w:tc>
        <w:tc>
          <w:tcPr>
            <w:tcW w:w="20" w:type="dxa"/>
            <w:vAlign w:val="bottom"/>
            <w:tcBorders>
              <w:bottom w:val="single" w:sz="8" w:color="CFF0FC"/>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income</w:t>
            </w:r>
          </w:p>
        </w:tc>
        <w:tc>
          <w:tcPr>
            <w:tcW w:w="940" w:type="dxa"/>
            <w:vAlign w:val="bottom"/>
            <w:gridSpan w:val="2"/>
          </w:tcPr>
          <w:p>
            <w:pPr>
              <w:jc w:val="right"/>
              <w:ind w:right="604"/>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657"/>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200"/>
              <w:spacing w:after="0"/>
              <w:rPr>
                <w:sz w:val="20"/>
                <w:szCs w:val="20"/>
                <w:color w:val="auto"/>
              </w:rPr>
            </w:pPr>
            <w:r>
              <w:rPr>
                <w:rFonts w:ascii="Times New Roman" w:cs="Times New Roman" w:eastAsia="Times New Roman" w:hAnsi="Times New Roman"/>
                <w:sz w:val="18"/>
                <w:szCs w:val="18"/>
                <w:i w:val="1"/>
                <w:iCs w:val="1"/>
                <w:color w:val="auto"/>
              </w:rPr>
              <w:t>Non-GAAP operating margin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20" w:type="dxa"/>
            <w:vAlign w:val="bottom"/>
            <w:gridSpan w:val="4"/>
          </w:tcPr>
          <w:p>
            <w:pPr>
              <w:jc w:val="right"/>
              <w:ind w:right="40"/>
              <w:spacing w:after="0"/>
              <w:rPr>
                <w:sz w:val="20"/>
                <w:szCs w:val="20"/>
                <w:color w:val="auto"/>
              </w:rPr>
            </w:pPr>
            <w:r>
              <w:rPr>
                <w:rFonts w:ascii="Times New Roman" w:cs="Times New Roman" w:eastAsia="Times New Roman" w:hAnsi="Times New Roman"/>
                <w:sz w:val="18"/>
                <w:szCs w:val="18"/>
                <w:i w:val="1"/>
                <w:iCs w:val="1"/>
                <w:color w:val="auto"/>
              </w:rPr>
              <w:t>8.3 %</w:t>
            </w: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6.0 %</w:t>
            </w:r>
          </w:p>
        </w:tc>
        <w:tc>
          <w:tcPr>
            <w:tcW w:w="260" w:type="dxa"/>
            <w:vAlign w:val="bottom"/>
          </w:tcPr>
          <w:p>
            <w:pPr>
              <w:spacing w:after="0"/>
              <w:rPr>
                <w:sz w:val="18"/>
                <w:szCs w:val="18"/>
                <w:color w:val="auto"/>
              </w:rPr>
            </w:pP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i w:val="1"/>
                <w:iCs w:val="1"/>
                <w:color w:val="auto"/>
              </w:rPr>
              <w:t>8.3 %</w:t>
            </w:r>
          </w:p>
        </w:tc>
        <w:tc>
          <w:tcPr>
            <w:tcW w:w="28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6.4 %</w:t>
            </w:r>
          </w:p>
        </w:tc>
      </w:tr>
      <w:tr>
        <w:trPr>
          <w:trHeight w:val="580"/>
        </w:trPr>
        <w:tc>
          <w:tcPr>
            <w:tcW w:w="5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7"/>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80" w:type="dxa"/>
            <w:vAlign w:val="bottom"/>
            <w:gridSpan w:val="7"/>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r>
      <w:tr>
        <w:trPr>
          <w:trHeight w:val="169"/>
        </w:trPr>
        <w:tc>
          <w:tcPr>
            <w:tcW w:w="55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(dollars in millions)</w:t>
            </w:r>
          </w:p>
        </w:tc>
        <w:tc>
          <w:tcPr>
            <w:tcW w:w="940" w:type="dxa"/>
            <w:vAlign w:val="bottom"/>
            <w:tcBorders>
              <w:top w:val="single" w:sz="8" w:color="auto"/>
              <w:bottom w:val="single" w:sz="8" w:color="auto"/>
            </w:tcBorders>
            <w:gridSpan w:val="2"/>
          </w:tcPr>
          <w:p>
            <w:pPr>
              <w:jc w:val="right"/>
              <w:ind w:right="64"/>
              <w:spacing w:after="0"/>
              <w:rPr>
                <w:sz w:val="20"/>
                <w:szCs w:val="20"/>
                <w:color w:val="auto"/>
              </w:rPr>
            </w:pPr>
            <w:r>
              <w:rPr>
                <w:rFonts w:ascii="Times New Roman" w:cs="Times New Roman" w:eastAsia="Times New Roman" w:hAnsi="Times New Roman"/>
                <w:sz w:val="14"/>
                <w:szCs w:val="14"/>
                <w:b w:val="1"/>
                <w:bCs w:val="1"/>
                <w:color w:val="auto"/>
              </w:rPr>
              <w:t>2022</w:t>
            </w:r>
          </w:p>
        </w:tc>
        <w:tc>
          <w:tcPr>
            <w:tcW w:w="380" w:type="dxa"/>
            <w:vAlign w:val="bottom"/>
            <w:tcBorders>
              <w:top w:val="single" w:sz="8" w:color="auto"/>
              <w:bottom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20" w:type="dxa"/>
            <w:vAlign w:val="bottom"/>
            <w:tcBorders>
              <w:top w:val="single" w:sz="8" w:color="auto"/>
              <w:bottom w:val="single" w:sz="8" w:color="auto"/>
            </w:tcBorders>
          </w:tcPr>
          <w:p>
            <w:pPr>
              <w:spacing w:after="0"/>
              <w:rPr>
                <w:sz w:val="14"/>
                <w:szCs w:val="14"/>
                <w:color w:val="auto"/>
              </w:rPr>
            </w:pPr>
          </w:p>
        </w:tc>
        <w:tc>
          <w:tcPr>
            <w:tcW w:w="84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2021</w:t>
            </w:r>
          </w:p>
        </w:tc>
        <w:tc>
          <w:tcPr>
            <w:tcW w:w="360" w:type="dxa"/>
            <w:vAlign w:val="bottom"/>
            <w:tcBorders>
              <w:top w:val="single" w:sz="8" w:color="auto"/>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900" w:type="dxa"/>
            <w:vAlign w:val="bottom"/>
            <w:tcBorders>
              <w:top w:val="single" w:sz="8" w:color="auto"/>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920" w:type="dxa"/>
            <w:vAlign w:val="bottom"/>
            <w:tcBorders>
              <w:top w:val="single" w:sz="8" w:color="auto"/>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as reported in accordance with GAAP</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Amortization and earnout 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Restructuring expenses</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640" w:type="dxa"/>
            <w:vAlign w:val="bottom"/>
            <w:gridSpan w:val="5"/>
            <w:shd w:val="clear" w:color="auto" w:fill="CFF0FC"/>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Acquisition and integration expenses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Foreign currency remeasurement</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50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(0.3 )</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2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Tax benefit expense of adjustments</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(0.7 )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(0.9 )</w:t>
            </w: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60" w:type="dxa"/>
            <w:vAlign w:val="bottom"/>
          </w:tcPr>
          <w:p>
            <w:pPr>
              <w:spacing w:after="0"/>
              <w:rPr>
                <w:sz w:val="18"/>
                <w:szCs w:val="18"/>
                <w:color w:val="auto"/>
              </w:rPr>
            </w:pPr>
          </w:p>
        </w:tc>
      </w:tr>
      <w:tr>
        <w:trPr>
          <w:trHeight w:val="210"/>
        </w:trPr>
        <w:tc>
          <w:tcPr>
            <w:tcW w:w="55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top w:val="single" w:sz="8" w:color="auto"/>
            </w:tcBorders>
            <w:shd w:val="clear" w:color="auto" w:fill="CFF0FC"/>
          </w:tcPr>
          <w:p>
            <w:pPr>
              <w:spacing w:after="0"/>
              <w:rPr>
                <w:sz w:val="18"/>
                <w:szCs w:val="18"/>
                <w:color w:val="auto"/>
              </w:rPr>
            </w:pPr>
          </w:p>
        </w:tc>
        <w:tc>
          <w:tcPr>
            <w:tcW w:w="3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Non-cash stock compensation</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(1.6 )</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(0.2 )</w:t>
            </w:r>
          </w:p>
        </w:tc>
        <w:tc>
          <w:tcPr>
            <w:tcW w:w="26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(1.5 )</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(0.4 )</w:t>
            </w:r>
          </w:p>
        </w:tc>
        <w:tc>
          <w:tcPr>
            <w:tcW w:w="60" w:type="dxa"/>
            <w:vAlign w:val="bottom"/>
          </w:tcPr>
          <w:p>
            <w:pPr>
              <w:spacing w:after="0"/>
              <w:rPr>
                <w:sz w:val="18"/>
                <w:szCs w:val="18"/>
                <w:color w:val="auto"/>
              </w:rPr>
            </w:pPr>
          </w:p>
        </w:tc>
      </w:tr>
      <w:tr>
        <w:trPr>
          <w:trHeight w:val="216"/>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Interest expense</w:t>
            </w: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Income tax expense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tcBorders>
              <w:bottom w:val="single" w:sz="8" w:color="auto"/>
            </w:tcBorders>
            <w:shd w:val="clear" w:color="auto" w:fill="CFF0FC"/>
          </w:tcPr>
          <w:p>
            <w:pPr>
              <w:spacing w:after="0"/>
              <w:rPr>
                <w:sz w:val="18"/>
                <w:szCs w:val="18"/>
                <w:color w:val="auto"/>
              </w:rPr>
            </w:pPr>
          </w:p>
        </w:tc>
        <w:tc>
          <w:tcPr>
            <w:tcW w:w="78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CFF0FC"/>
            </w:tcBorders>
            <w:shd w:val="clear" w:color="auto" w:fill="CFF0FC"/>
          </w:tcPr>
          <w:p>
            <w:pPr>
              <w:spacing w:after="0"/>
              <w:rPr>
                <w:sz w:val="18"/>
                <w:szCs w:val="18"/>
                <w:color w:val="auto"/>
              </w:rPr>
            </w:pPr>
          </w:p>
        </w:tc>
        <w:tc>
          <w:tcPr>
            <w:tcW w:w="120" w:type="dxa"/>
            <w:vAlign w:val="bottom"/>
            <w:tcBorders>
              <w:bottom w:val="single" w:sz="8" w:color="auto"/>
            </w:tcBorders>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20" w:type="dxa"/>
            <w:vAlign w:val="bottom"/>
            <w:tcBorders>
              <w:bottom w:val="single" w:sz="8" w:color="CFF0FC"/>
            </w:tcBorders>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tcBorders>
              <w:bottom w:val="single" w:sz="8" w:color="CFF0FC"/>
            </w:tcBorders>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FF0FC"/>
            </w:tcBorders>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0"/>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Adjusted EBITDA</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Earnings per share: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2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w:t>
            </w: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56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840" w:type="dxa"/>
            <w:vAlign w:val="bottom"/>
            <w:shd w:val="clear" w:color="auto" w:fill="CFF0FC"/>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shd w:val="clear" w:color="auto" w:fill="CFF0FC"/>
          </w:tcPr>
          <w:p>
            <w:pPr>
              <w:spacing w:after="0"/>
              <w:rPr>
                <w:sz w:val="18"/>
                <w:szCs w:val="18"/>
                <w:color w:val="auto"/>
              </w:rPr>
            </w:pPr>
          </w:p>
        </w:tc>
        <w:tc>
          <w:tcPr>
            <w:tcW w:w="60" w:type="dxa"/>
            <w:vAlign w:val="bottom"/>
          </w:tcPr>
          <w:p>
            <w:pPr>
              <w:spacing w:after="0"/>
              <w:rPr>
                <w:sz w:val="18"/>
                <w:szCs w:val="18"/>
                <w:color w:val="auto"/>
              </w:rPr>
            </w:pPr>
          </w:p>
        </w:tc>
      </w:tr>
      <w:tr>
        <w:trPr>
          <w:trHeight w:val="234"/>
        </w:trPr>
        <w:tc>
          <w:tcPr>
            <w:tcW w:w="556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40" w:type="dxa"/>
            <w:vAlign w:val="bottom"/>
          </w:tcPr>
          <w:p>
            <w:pPr>
              <w:jc w:val="right"/>
              <w:ind w:right="677"/>
              <w:spacing w:after="0"/>
              <w:rPr>
                <w:sz w:val="20"/>
                <w:szCs w:val="20"/>
                <w:color w:val="auto"/>
              </w:rPr>
            </w:pPr>
            <w:r>
              <w:rPr>
                <w:rFonts w:ascii="Times New Roman" w:cs="Times New Roman" w:eastAsia="Times New Roman" w:hAnsi="Times New Roman"/>
                <w:sz w:val="17"/>
                <w:szCs w:val="17"/>
                <w:color w:val="auto"/>
                <w:w w:val="70"/>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2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13"/>
        </w:trPr>
        <w:tc>
          <w:tcPr>
            <w:tcW w:w="556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3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9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4385310</wp:posOffset>
            </wp:positionH>
            <wp:positionV relativeFrom="paragraph">
              <wp:posOffset>-4036695</wp:posOffset>
            </wp:positionV>
            <wp:extent cx="7747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-4036695</wp:posOffset>
            </wp:positionV>
            <wp:extent cx="6858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-4036695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-4036695</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-3891280</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4368165</wp:posOffset>
            </wp:positionH>
            <wp:positionV relativeFrom="paragraph">
              <wp:posOffset>-1464945</wp:posOffset>
            </wp:positionV>
            <wp:extent cx="7747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-1464945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6177280</wp:posOffset>
            </wp:positionH>
            <wp:positionV relativeFrom="paragraph">
              <wp:posOffset>-1464945</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300"/>
          </w:cols>
          <w:pgMar w:left="320" w:top="117" w:right="27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20"/>
          <w:szCs w:val="20"/>
          <w:b w:val="1"/>
          <w:bCs w:val="1"/>
          <w:color w:val="auto"/>
        </w:rPr>
        <w:t>NOTE REGARDING NON-GAAP FINANCIAL MEASURES</w:t>
      </w:r>
    </w:p>
    <w:p>
      <w:pPr>
        <w:spacing w:after="0" w:line="204" w:lineRule="exact"/>
        <w:rPr>
          <w:sz w:val="20"/>
          <w:szCs w:val="20"/>
          <w:color w:val="auto"/>
        </w:rPr>
      </w:pPr>
    </w:p>
    <w:p>
      <w:pPr>
        <w:ind w:right="120"/>
        <w:spacing w:after="0" w:line="250" w:lineRule="auto"/>
        <w:rPr>
          <w:sz w:val="20"/>
          <w:szCs w:val="20"/>
          <w:color w:val="auto"/>
        </w:rPr>
      </w:pPr>
      <w:r>
        <w:rPr>
          <w:rFonts w:ascii="Arial" w:cs="Arial" w:eastAsia="Arial" w:hAnsi="Arial"/>
          <w:sz w:val="20"/>
          <w:szCs w:val="20"/>
          <w:color w:val="auto"/>
        </w:rPr>
        <w:t>CECO is providing certain non-GAAP historical financial measures as presented above as we believe that these figures are helpful in allowing individuals to better assess the ongoing nature of CECO’s core operations. A "non-GAAP financial measure" is a numerical measure of a company's historical financial performance that excludes amounts that are included in the most directly comparable measure calculated and presented in accordance with GAAP.</w:t>
      </w:r>
    </w:p>
    <w:p>
      <w:pPr>
        <w:spacing w:after="0" w:line="176" w:lineRule="exact"/>
        <w:rPr>
          <w:sz w:val="20"/>
          <w:szCs w:val="20"/>
          <w:color w:val="auto"/>
        </w:rPr>
      </w:pPr>
    </w:p>
    <w:p>
      <w:pPr>
        <w:ind w:right="100"/>
        <w:spacing w:after="0" w:line="241"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as we present them in the financial data included in this press release, have been adjusted to exclude the effects of amortization expenses for acquisition related intangible assets, contingent retention and earnout expenses, restructuring expenses primarily relating to severance and legal expenses, acquisition and integration expenses which include retention, legal, accounting, banking, and other expenses, foreign currency remeasurement and other nonrecurring or infrequent items and the associated tax benefit of these items. Management believes that these items are not necessarily indicative of the Company’s ongoing operations and their exclusion provides individuals with additional information to compare the Company's results over multiple periods. Management utilizes this information to evaluate its ongoing financial performance. Our financial statements may continue to be affected by items similar to those excluded in the non-GAAP adjustments described above, and exclusion of these items from our non-GAAP financial measures should not be construed as an inference that all such costs are unusual or infrequent.</w:t>
      </w:r>
    </w:p>
    <w:p>
      <w:pPr>
        <w:spacing w:after="0" w:line="200" w:lineRule="exact"/>
        <w:rPr>
          <w:sz w:val="20"/>
          <w:szCs w:val="20"/>
          <w:color w:val="auto"/>
        </w:rPr>
      </w:pPr>
    </w:p>
    <w:p>
      <w:pPr>
        <w:spacing w:after="0" w:line="242" w:lineRule="auto"/>
        <w:rPr>
          <w:sz w:val="20"/>
          <w:szCs w:val="20"/>
          <w:color w:val="auto"/>
        </w:rPr>
      </w:pPr>
      <w:r>
        <w:rPr>
          <w:rFonts w:ascii="Arial" w:cs="Arial" w:eastAsia="Arial" w:hAnsi="Arial"/>
          <w:sz w:val="20"/>
          <w:szCs w:val="20"/>
          <w:color w:val="auto"/>
        </w:rPr>
        <w:t>Non-GAAP operating income, non-GAAP net income, non-GAAP operating margin, non-GAAP earnings per basic and diluted share and adjusted EBITDA are not calculated in accordance with GAAP, and should be considered supplemental to, and not as a substitute for, or superior to, financial measures calculated in accordance with GAAP. Non-GAAP financial measures have limitations in that they do not reflect all of the costs associated with the operations of our business as determined in accordance with GAAP. As a result, you should not consider these measures in isolation or as a substitute for analysis of CECO’s results as reported under GAAP. Additionally, CECO cautions investors that non-GAAP financial measures used by the Company may not be comparable to similarly titled measures of other companies.</w:t>
      </w:r>
    </w:p>
    <w:p>
      <w:pPr>
        <w:spacing w:after="0" w:line="186" w:lineRule="exact"/>
        <w:rPr>
          <w:sz w:val="20"/>
          <w:szCs w:val="20"/>
          <w:color w:val="auto"/>
        </w:rPr>
      </w:pPr>
    </w:p>
    <w:p>
      <w:pPr>
        <w:ind w:right="40"/>
        <w:spacing w:after="0" w:line="255" w:lineRule="auto"/>
        <w:rPr>
          <w:sz w:val="20"/>
          <w:szCs w:val="20"/>
          <w:color w:val="auto"/>
        </w:rPr>
      </w:pPr>
      <w:r>
        <w:rPr>
          <w:rFonts w:ascii="Arial" w:cs="Arial" w:eastAsia="Arial" w:hAnsi="Arial"/>
          <w:sz w:val="20"/>
          <w:szCs w:val="20"/>
          <w:color w:val="auto"/>
        </w:rPr>
        <w:t>In accordance with the requirements of Regulation G issued by the Securities and Exchange Commission, non-GAAP operating income, non-GAAP net income, non-GAAP operating margin, non-GAAP earnings per basic and diluted share and adjusted EBITDA stated in the tables above are reconciled to the most directly comparable GAAP financial measures.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170180</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5" w:right="359" w:bottom="1440" w:gutter="0" w:footer="0" w:header="0"/>
        </w:sectPr>
      </w:pPr>
    </w:p>
    <w:bookmarkStart w:id="9" w:name="page10"/>
    <w:bookmarkEnd w:id="9"/>
    <w:p>
      <w:pPr>
        <w:jc w:val="center"/>
        <w:spacing w:after="0"/>
        <w:rPr>
          <w:sz w:val="20"/>
          <w:szCs w:val="20"/>
          <w:color w:val="auto"/>
        </w:rPr>
      </w:pPr>
      <w:r>
        <w:rPr>
          <w:rFonts w:ascii="Arial" w:cs="Arial" w:eastAsia="Arial" w:hAnsi="Arial"/>
          <w:sz w:val="20"/>
          <w:szCs w:val="20"/>
          <w:b w:val="1"/>
          <w:bCs w:val="1"/>
          <w:color w:val="auto"/>
        </w:rPr>
        <w:t>SAFE HARBOR</w:t>
      </w:r>
    </w:p>
    <w:p>
      <w:pPr>
        <w:spacing w:after="0" w:line="218" w:lineRule="exact"/>
        <w:rPr>
          <w:sz w:val="20"/>
          <w:szCs w:val="20"/>
          <w:color w:val="auto"/>
        </w:rPr>
      </w:pPr>
    </w:p>
    <w:p>
      <w:pPr>
        <w:jc w:val="both"/>
        <w:spacing w:after="0" w:line="251" w:lineRule="auto"/>
        <w:rPr>
          <w:sz w:val="20"/>
          <w:szCs w:val="20"/>
          <w:color w:val="auto"/>
        </w:rPr>
      </w:pPr>
      <w:r>
        <w:rPr>
          <w:rFonts w:ascii="Arial" w:cs="Arial" w:eastAsia="Arial" w:hAnsi="Arial"/>
          <w:sz w:val="19"/>
          <w:szCs w:val="19"/>
          <w:color w:val="auto"/>
        </w:rPr>
        <w:t>Any statements contained in this Press Release, other than statements of historical fact, including statements about management’s beliefs and expectations, are forward-looking statements within the meaning of Section 27A of the Securities Act of 1933 and Section 21E of the Securities Exchange Act of 1934, both as amended, and should be evaluated as such. These statements are made on the basis of management’s views and assumptions regarding future events and business performance. We use words such as “believe,” “expect,” “anticipate,” “intends,” “estimate,” “forecast,” “project,” “will,” “plan,” “should” and similar expressions to identify forward-looking statements. Forward-looking statements involve risks and uncertainties that may cause actual results to differ materially from any future results, performance or achievements expressed or implied by such statements. Potential risks and uncertainties, among others, that could cause actual results to differ materially are discussed under “Part I – Item 1A. Risk Factors” of the Company’s Annual Report on Form 10-K for the fiscal year ended December 31, 2021, and include, but are not limited to: the sensitivity of our business to economic and financial market conditions generally and economic conditions in CECO’s service areas; dependence on fixed price contracts and the risks associated therewith, including actual costs exceeding estimates and method of accounting for revenue; the effect of growth on CECO’s infrastructure, resources, and existing sales; the ability to expand operations in both new and existing markets; the potential for contract delay or cancellation as a result of on-going or worsening supply chain challenges; liabilities arising from faulty services or products that could result in significant professional or product liability, warranty, or other claims; changes in or developments with respect to any litigation or investigation; failure to meet timely completion or performance standards that could result in higher cost and reduced profits or, in some cases, losses on projects; the potential for fluctuations in prices for manufactured components and raw materials, including as a result of tariffs and surcharges; the substantial amount of debt incurred in connection with our strategic transactions and our ability to repay or refinance it or incur additional debt in the future; the impact of federal, state or local government regulations; our ability to repurchase shares of our common stock and the amounts and timing of repurchases, if any; economic and political conditions generally; our ability to successfully realize the expected benefits of our restructuring program; our ability to successfully integrate acquired businesses and realize the synergies from strategic transactions; and unpredictability and severity of catastrophic events, including cyber security threats, acts of terrorism or outbreak of war or hostilities or public health crises, such as uncertainties regarding the extent and duration of impacts of matters associated with the novel coronavirus (“COVID-19”), as well as management’s response to any of the aforementioned factors. Many of these risks are beyond management’s ability to control or predict. Should one or more of these risks or uncertainties materialize, or should the assumptions prove incorrect, actual results may vary in material aspects from those currently anticipated. Investors are cautioned not to place undue reliance on such forward-looking statements as they speak only to our views as of the date the statement is made. Furthermore, forward-looking statements speak only as of the date they are made. Except as required under the federal securities laws or the rules and regulations of the Securities and Exchange Commission, we undertake no obligation to update or review any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500380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8" w:right="339" w:bottom="1440" w:gutter="0" w:footer="0" w:header="0"/>
        </w:sectPr>
      </w:pPr>
    </w:p>
    <w:bookmarkStart w:id="10" w:name="page11"/>
    <w:bookmarkEnd w:id="10"/>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469"/>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2022-08-08T06:14:28Z</dcterms:created>
  <dcterms:modified xsi:type="dcterms:W3CDTF">2022-08-08T06:14:28Z</dcterms:modified>
</cp:coreProperties>
</file>