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8704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870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Gleason Todd 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CECO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</w:tr>
      <w:tr>
        <w:trPr>
          <w:trHeight w:val="3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510,835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51.3014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410,835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101,899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512,734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49.1024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427,734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16,199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50.3832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411,535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51.1536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410,835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09/22/2025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98,101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508,936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09/22/2025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98,101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50.4493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410,835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12.72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798,204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12.72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101,899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101,899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696,305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12.72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98,101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98,101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598,204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340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6.36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316,902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316,902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21.32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25,446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25,446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67,347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67,347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 w:right="16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$51.00 to $51.96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$48.75 to $49.65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$50.00 to $50.97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$51.04 to $51.38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$50.15 to $50.71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vested in four equal annual installments beginning on July 6, 2021, and expires on July 6, 2027.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three equal annual installments beginning on March 15, 2025, and expires on March 15, 2034.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three equal annual installments beginning on March 17, 2026, and expires on March 17, 2035.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units. Each restricted stock unit represents a contingent right to receive one share of the Company's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200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restricted stock units to the Company's common stock will occur on July 5, 2027 assuming the applicable conditions are satisfied.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80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restricted stock units to the Company's common stock will occur on June 4, 2029 assuming the applicable conditions are satisfied.</w:t>
      </w:r>
    </w:p>
    <w:p>
      <w:pPr>
        <w:ind w:left="658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Kiril Kovachev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-26035</wp:posOffset>
            </wp:positionV>
            <wp:extent cx="1325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Todd Gleason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-21590</wp:posOffset>
            </wp:positionV>
            <wp:extent cx="1057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5575935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/>
        <w:spacing w:after="0" w:line="332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1235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2025-09-22T19:58:18Z</dcterms:created>
  <dcterms:modified xsi:type="dcterms:W3CDTF">2025-09-22T19:58:18Z</dcterms:modified>
</cp:coreProperties>
</file>