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466090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6" w:lineRule="exact"/>
        <w:rPr>
          <w:sz w:val="24"/>
          <w:szCs w:val="24"/>
          <w:color w:val="auto"/>
        </w:rPr>
      </w:pPr>
    </w:p>
    <w:p>
      <w:pPr>
        <w:jc w:val="center"/>
        <w:ind w:right="-79"/>
        <w:spacing w:after="0"/>
        <w:rPr>
          <w:sz w:val="20"/>
          <w:szCs w:val="20"/>
          <w:color w:val="auto"/>
        </w:rPr>
      </w:pPr>
      <w:r>
        <w:rPr>
          <w:rFonts w:ascii="Arial" w:cs="Arial" w:eastAsia="Arial" w:hAnsi="Arial"/>
          <w:sz w:val="29"/>
          <w:szCs w:val="29"/>
          <w:b w:val="1"/>
          <w:bCs w:val="1"/>
          <w:color w:val="auto"/>
        </w:rPr>
        <w:t>SECURITIES AND EXCHANGE COMMISSION</w:t>
      </w:r>
    </w:p>
    <w:p>
      <w:pPr>
        <w:spacing w:after="0" w:line="1"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124460</wp:posOffset>
            </wp:positionV>
            <wp:extent cx="23831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319" w:lineRule="exact"/>
        <w:rPr>
          <w:sz w:val="24"/>
          <w:szCs w:val="24"/>
          <w:color w:val="auto"/>
        </w:rPr>
      </w:pPr>
    </w:p>
    <w:p>
      <w:pPr>
        <w:jc w:val="center"/>
        <w:ind w:right="-79"/>
        <w:spacing w:after="0"/>
        <w:rPr>
          <w:sz w:val="20"/>
          <w:szCs w:val="20"/>
          <w:color w:val="auto"/>
        </w:rPr>
      </w:pPr>
      <w:r>
        <w:rPr>
          <w:rFonts w:ascii="Arial" w:cs="Arial" w:eastAsia="Arial" w:hAnsi="Arial"/>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151765</wp:posOffset>
            </wp:positionV>
            <wp:extent cx="23831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367"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Pursuant to Section 13 or 15(d)</w:t>
      </w:r>
    </w:p>
    <w:p>
      <w:pPr>
        <w:jc w:val="center"/>
        <w:ind w:right="-9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47" w:lineRule="exact"/>
        <w:rPr>
          <w:sz w:val="24"/>
          <w:szCs w:val="24"/>
          <w:color w:val="auto"/>
        </w:rPr>
      </w:pPr>
    </w:p>
    <w:p>
      <w:pPr>
        <w:jc w:val="center"/>
        <w:ind w:right="-179"/>
        <w:spacing w:after="0"/>
        <w:rPr>
          <w:sz w:val="20"/>
          <w:szCs w:val="20"/>
          <w:color w:val="auto"/>
        </w:rPr>
      </w:pPr>
      <w:r>
        <w:rPr>
          <w:rFonts w:ascii="Arial" w:cs="Arial" w:eastAsia="Arial" w:hAnsi="Arial"/>
          <w:sz w:val="19"/>
          <w:szCs w:val="19"/>
          <w:b w:val="1"/>
          <w:bCs w:val="1"/>
          <w:color w:val="auto"/>
        </w:rPr>
        <w:t>Date of Report (Date of earliest event reported): September 1,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161290</wp:posOffset>
            </wp:positionV>
            <wp:extent cx="23831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369"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CECO ENVIRONMENTAL CORP.</w:t>
      </w:r>
    </w:p>
    <w:p>
      <w:pPr>
        <w:spacing w:after="0" w:line="3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133350</wp:posOffset>
            </wp:positionV>
            <wp:extent cx="23831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383155" cy="8890"/>
                    </a:xfrm>
                    <a:prstGeom prst="rect">
                      <a:avLst/>
                    </a:prstGeom>
                    <a:noFill/>
                  </pic:spPr>
                </pic:pic>
              </a:graphicData>
            </a:graphic>
          </wp:anchor>
        </w:drawing>
      </w:r>
    </w:p>
    <w:p>
      <w:pPr>
        <w:sectPr>
          <w:pgSz w:w="11900" w:h="16838" w:orient="portrait"/>
          <w:cols w:equalWidth="0" w:num="1">
            <w:col w:w="11080"/>
          </w:cols>
          <w:pgMar w:left="320" w:top="796" w:right="499" w:bottom="1440" w:gutter="0" w:footer="0" w:header="0"/>
        </w:sectPr>
      </w:pPr>
    </w:p>
    <w:p>
      <w:pPr>
        <w:spacing w:after="0" w:line="200" w:lineRule="exact"/>
        <w:rPr>
          <w:sz w:val="24"/>
          <w:szCs w:val="24"/>
          <w:color w:val="auto"/>
        </w:rPr>
      </w:pPr>
    </w:p>
    <w:p>
      <w:pPr>
        <w:spacing w:after="0" w:line="221" w:lineRule="exact"/>
        <w:rPr>
          <w:sz w:val="24"/>
          <w:szCs w:val="24"/>
          <w:color w:val="auto"/>
        </w:rPr>
      </w:pPr>
    </w:p>
    <w:p>
      <w:pPr>
        <w:ind w:left="144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1" w:lineRule="exact"/>
        <w:rPr>
          <w:sz w:val="24"/>
          <w:szCs w:val="24"/>
          <w:color w:val="auto"/>
        </w:rPr>
      </w:pPr>
    </w:p>
    <w:p>
      <w:pPr>
        <w:jc w:val="center"/>
        <w:ind w:right="2300"/>
        <w:spacing w:after="0"/>
        <w:rPr>
          <w:sz w:val="20"/>
          <w:szCs w:val="20"/>
          <w:color w:val="auto"/>
        </w:rPr>
      </w:pPr>
      <w:r>
        <w:rPr>
          <w:rFonts w:ascii="Arial" w:cs="Arial" w:eastAsia="Arial" w:hAnsi="Arial"/>
          <w:sz w:val="16"/>
          <w:szCs w:val="16"/>
          <w:b w:val="1"/>
          <w:bCs w:val="1"/>
          <w:color w:val="auto"/>
        </w:rPr>
        <w:t>000-7099</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1"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13-2566064</w:t>
      </w:r>
    </w:p>
    <w:p>
      <w:pPr>
        <w:spacing w:after="0" w:line="55" w:lineRule="exact"/>
        <w:rPr>
          <w:sz w:val="24"/>
          <w:szCs w:val="24"/>
          <w:color w:val="auto"/>
        </w:rPr>
      </w:pPr>
    </w:p>
    <w:p>
      <w:pPr>
        <w:sectPr>
          <w:pgSz w:w="11900" w:h="16838" w:orient="portrait"/>
          <w:cols w:equalWidth="0" w:num="3">
            <w:col w:w="4580" w:space="720"/>
            <w:col w:w="2980" w:space="720"/>
            <w:col w:w="2080"/>
          </w:cols>
          <w:pgMar w:left="320" w:top="796" w:right="499" w:bottom="1440" w:gutter="0" w:footer="0" w:header="0"/>
          <w:type w:val="continuous"/>
        </w:sectPr>
      </w:pPr>
    </w:p>
    <w:p>
      <w:pPr>
        <w:jc w:val="center"/>
        <w:ind w:right="880"/>
        <w:spacing w:after="0"/>
        <w:rPr>
          <w:sz w:val="20"/>
          <w:szCs w:val="20"/>
          <w:color w:val="auto"/>
        </w:rPr>
      </w:pPr>
      <w:r>
        <w:rPr>
          <w:rFonts w:ascii="Arial" w:cs="Arial" w:eastAsia="Arial" w:hAnsi="Arial"/>
          <w:sz w:val="13"/>
          <w:szCs w:val="13"/>
          <w:b w:val="1"/>
          <w:bCs w:val="1"/>
          <w:color w:val="auto"/>
        </w:rPr>
        <w:t>(State or other jurisdiction</w:t>
      </w:r>
    </w:p>
    <w:p>
      <w:pPr>
        <w:spacing w:after="0" w:line="15" w:lineRule="exact"/>
        <w:rPr>
          <w:sz w:val="24"/>
          <w:szCs w:val="24"/>
          <w:color w:val="auto"/>
        </w:rPr>
      </w:pPr>
    </w:p>
    <w:p>
      <w:pPr>
        <w:jc w:val="center"/>
        <w:ind w:right="88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27"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080"/>
        <w:spacing w:after="0"/>
        <w:rPr>
          <w:sz w:val="20"/>
          <w:szCs w:val="20"/>
          <w:color w:val="auto"/>
        </w:rPr>
      </w:pPr>
      <w:r>
        <w:rPr>
          <w:rFonts w:ascii="Arial" w:cs="Arial" w:eastAsia="Arial" w:hAnsi="Arial"/>
          <w:sz w:val="14"/>
          <w:szCs w:val="14"/>
          <w:b w:val="1"/>
          <w:bCs w:val="1"/>
          <w:color w:val="auto"/>
        </w:rPr>
        <w:t>(IRS Employer</w:t>
      </w:r>
    </w:p>
    <w:p>
      <w:pPr>
        <w:spacing w:after="0" w:line="4" w:lineRule="exact"/>
        <w:rPr>
          <w:sz w:val="24"/>
          <w:szCs w:val="24"/>
          <w:color w:val="auto"/>
        </w:rPr>
      </w:pPr>
    </w:p>
    <w:p>
      <w:pPr>
        <w:jc w:val="center"/>
        <w:ind w:right="1080"/>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500" w:space="720"/>
            <w:col w:w="2940" w:space="720"/>
            <w:col w:w="2200"/>
          </w:cols>
          <w:pgMar w:left="320" w:top="796" w:right="499" w:bottom="1440" w:gutter="0" w:footer="0" w:header="0"/>
          <w:type w:val="continuous"/>
        </w:sectPr>
      </w:pPr>
    </w:p>
    <w:p>
      <w:pPr>
        <w:spacing w:after="0" w:line="19" w:lineRule="exact"/>
        <w:rPr>
          <w:sz w:val="24"/>
          <w:szCs w:val="24"/>
          <w:color w:val="auto"/>
        </w:rPr>
      </w:pPr>
    </w:p>
    <w:p>
      <w:pPr>
        <w:jc w:val="center"/>
        <w:ind w:right="2020"/>
        <w:spacing w:after="0"/>
        <w:rPr>
          <w:sz w:val="20"/>
          <w:szCs w:val="20"/>
          <w:color w:val="auto"/>
        </w:rPr>
      </w:pPr>
      <w:r>
        <w:rPr>
          <w:rFonts w:ascii="Arial" w:cs="Arial" w:eastAsia="Arial" w:hAnsi="Arial"/>
          <w:sz w:val="16"/>
          <w:szCs w:val="16"/>
          <w:b w:val="1"/>
          <w:bCs w:val="1"/>
          <w:color w:val="auto"/>
        </w:rPr>
        <w:t>14651 North Dallas Parkway, Suite 500</w:t>
      </w:r>
    </w:p>
    <w:p>
      <w:pPr>
        <w:spacing w:after="0" w:line="50" w:lineRule="exact"/>
        <w:rPr>
          <w:sz w:val="24"/>
          <w:szCs w:val="24"/>
          <w:color w:val="auto"/>
        </w:rPr>
      </w:pPr>
    </w:p>
    <w:p>
      <w:pPr>
        <w:jc w:val="center"/>
        <w:ind w:right="2020"/>
        <w:spacing w:after="0"/>
        <w:rPr>
          <w:sz w:val="20"/>
          <w:szCs w:val="20"/>
          <w:color w:val="auto"/>
        </w:rPr>
      </w:pPr>
      <w:r>
        <w:rPr>
          <w:rFonts w:ascii="Arial" w:cs="Arial" w:eastAsia="Arial" w:hAnsi="Arial"/>
          <w:sz w:val="18"/>
          <w:szCs w:val="18"/>
          <w:b w:val="1"/>
          <w:bCs w:val="1"/>
          <w:color w:val="auto"/>
        </w:rPr>
        <w:t>Dallas, Texas</w:t>
      </w:r>
    </w:p>
    <w:p>
      <w:pPr>
        <w:spacing w:after="0" w:line="20" w:lineRule="exact"/>
        <w:rPr>
          <w:sz w:val="24"/>
          <w:szCs w:val="24"/>
          <w:color w:val="auto"/>
        </w:rPr>
      </w:pPr>
      <w:r>
        <w:rPr>
          <w:sz w:val="24"/>
          <w:szCs w:val="24"/>
          <w:color w:val="auto"/>
        </w:rPr>
        <w:br w:type="column"/>
      </w:r>
    </w:p>
    <w:p>
      <w:pPr>
        <w:spacing w:after="0" w:line="215"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75254</w:t>
      </w:r>
    </w:p>
    <w:p>
      <w:pPr>
        <w:spacing w:after="0" w:line="54" w:lineRule="exact"/>
        <w:rPr>
          <w:sz w:val="24"/>
          <w:szCs w:val="24"/>
          <w:color w:val="auto"/>
        </w:rPr>
      </w:pPr>
    </w:p>
    <w:p>
      <w:pPr>
        <w:sectPr>
          <w:pgSz w:w="11900" w:h="16838" w:orient="portrait"/>
          <w:cols w:equalWidth="0" w:num="2">
            <w:col w:w="7540" w:space="720"/>
            <w:col w:w="2820"/>
          </w:cols>
          <w:pgMar w:left="320" w:top="796" w:right="499" w:bottom="1440" w:gutter="0" w:footer="0" w:header="0"/>
          <w:type w:val="continuous"/>
        </w:sectPr>
      </w:pPr>
    </w:p>
    <w:p>
      <w:pPr>
        <w:ind w:left="158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79" w:lineRule="exact"/>
        <w:rPr>
          <w:sz w:val="24"/>
          <w:szCs w:val="24"/>
          <w:color w:val="auto"/>
        </w:rPr>
      </w:pPr>
    </w:p>
    <w:p>
      <w:pPr>
        <w:sectPr>
          <w:pgSz w:w="11900" w:h="16838" w:orient="portrait"/>
          <w:cols w:equalWidth="0" w:num="2">
            <w:col w:w="7440" w:space="720"/>
            <w:col w:w="2920"/>
          </w:cols>
          <w:pgMar w:left="320" w:top="796" w:right="499" w:bottom="1440" w:gutter="0" w:footer="0" w:header="0"/>
          <w:type w:val="continuous"/>
        </w:sectPr>
      </w:pPr>
    </w:p>
    <w:p>
      <w:pPr>
        <w:jc w:val="center"/>
        <w:ind w:right="-179"/>
        <w:spacing w:after="0"/>
        <w:rPr>
          <w:sz w:val="20"/>
          <w:szCs w:val="20"/>
          <w:color w:val="auto"/>
        </w:rPr>
      </w:pPr>
      <w:r>
        <w:rPr>
          <w:rFonts w:ascii="Arial" w:cs="Arial" w:eastAsia="Arial" w:hAnsi="Arial"/>
          <w:sz w:val="18"/>
          <w:szCs w:val="18"/>
          <w:b w:val="1"/>
          <w:bCs w:val="1"/>
          <w:color w:val="auto"/>
        </w:rPr>
        <w:t>Registrant’s telephone number, including area code: (214) 357-6181</w:t>
      </w:r>
    </w:p>
    <w:p>
      <w:pPr>
        <w:spacing w:after="0" w:line="175"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49" w:lineRule="exact"/>
        <w:rPr>
          <w:sz w:val="24"/>
          <w:szCs w:val="24"/>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03"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03"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17"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08" w:lineRule="exact"/>
        <w:rPr>
          <w:sz w:val="24"/>
          <w:szCs w:val="24"/>
          <w:color w:val="auto"/>
        </w:rPr>
      </w:pPr>
    </w:p>
    <w:tbl>
      <w:tblPr>
        <w:tblLayout w:type="fixed"/>
        <w:tblInd w:w="350" w:type="dxa"/>
        <w:tblCellMar>
          <w:top w:w="0" w:type="dxa"/>
          <w:left w:w="0" w:type="dxa"/>
          <w:bottom w:w="0" w:type="dxa"/>
          <w:right w:w="0" w:type="dxa"/>
        </w:tblCellMar>
      </w:tblPr>
      <w:tr>
        <w:trPr>
          <w:trHeight w:val="202"/>
        </w:trPr>
        <w:tc>
          <w:tcPr>
            <w:tcW w:w="396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2"/>
              </w:rPr>
              <w:t>Title of each class</w:t>
            </w:r>
          </w:p>
        </w:tc>
        <w:tc>
          <w:tcPr>
            <w:tcW w:w="20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5"/>
              </w:rPr>
              <w:t>Trading Symbol</w:t>
            </w:r>
          </w:p>
        </w:tc>
        <w:tc>
          <w:tcPr>
            <w:tcW w:w="45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1"/>
              </w:rPr>
              <w:t>Name of each exchange on which registered</w:t>
            </w:r>
          </w:p>
        </w:tc>
      </w:tr>
      <w:tr>
        <w:trPr>
          <w:trHeight w:val="61"/>
        </w:trPr>
        <w:tc>
          <w:tcPr>
            <w:tcW w:w="3960" w:type="dxa"/>
            <w:vAlign w:val="bottom"/>
            <w:tcBorders>
              <w:left w:val="single" w:sz="8" w:color="auto"/>
              <w:bottom w:val="single" w:sz="8" w:color="auto"/>
              <w:right w:val="single" w:sz="8" w:color="auto"/>
            </w:tcBorders>
          </w:tcPr>
          <w:p>
            <w:pPr>
              <w:spacing w:after="0"/>
              <w:rPr>
                <w:sz w:val="5"/>
                <w:szCs w:val="5"/>
                <w:color w:val="auto"/>
              </w:rPr>
            </w:pPr>
          </w:p>
        </w:tc>
        <w:tc>
          <w:tcPr>
            <w:tcW w:w="2080" w:type="dxa"/>
            <w:vAlign w:val="bottom"/>
            <w:tcBorders>
              <w:bottom w:val="single" w:sz="8" w:color="auto"/>
              <w:right w:val="single" w:sz="8" w:color="auto"/>
            </w:tcBorders>
          </w:tcPr>
          <w:p>
            <w:pPr>
              <w:spacing w:after="0"/>
              <w:rPr>
                <w:sz w:val="5"/>
                <w:szCs w:val="5"/>
                <w:color w:val="auto"/>
              </w:rPr>
            </w:pPr>
          </w:p>
        </w:tc>
        <w:tc>
          <w:tcPr>
            <w:tcW w:w="4520" w:type="dxa"/>
            <w:vAlign w:val="bottom"/>
            <w:tcBorders>
              <w:bottom w:val="single" w:sz="8" w:color="auto"/>
              <w:right w:val="single" w:sz="8" w:color="auto"/>
            </w:tcBorders>
          </w:tcPr>
          <w:p>
            <w:pPr>
              <w:spacing w:after="0"/>
              <w:rPr>
                <w:sz w:val="5"/>
                <w:szCs w:val="5"/>
                <w:color w:val="auto"/>
              </w:rPr>
            </w:pPr>
          </w:p>
        </w:tc>
      </w:tr>
      <w:tr>
        <w:trPr>
          <w:trHeight w:val="162"/>
        </w:trPr>
        <w:tc>
          <w:tcPr>
            <w:tcW w:w="39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1"/>
              </w:rPr>
              <w:t>Common Stock, par value $0.01 per share</w:t>
            </w:r>
          </w:p>
        </w:tc>
        <w:tc>
          <w:tcPr>
            <w:tcW w:w="20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3"/>
              </w:rPr>
              <w:t>CECO</w:t>
            </w:r>
          </w:p>
        </w:tc>
        <w:tc>
          <w:tcPr>
            <w:tcW w:w="45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7"/>
              </w:rPr>
              <w:t>The NASDAQ Stock Market LLC</w:t>
            </w:r>
          </w:p>
        </w:tc>
      </w:tr>
      <w:tr>
        <w:trPr>
          <w:trHeight w:val="31"/>
        </w:trPr>
        <w:tc>
          <w:tcPr>
            <w:tcW w:w="3960" w:type="dxa"/>
            <w:vAlign w:val="bottom"/>
            <w:tcBorders>
              <w:left w:val="single" w:sz="8" w:color="auto"/>
              <w:bottom w:val="single" w:sz="8" w:color="auto"/>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4520" w:type="dxa"/>
            <w:vAlign w:val="bottom"/>
            <w:tcBorders>
              <w:bottom w:val="single" w:sz="8" w:color="auto"/>
              <w:right w:val="single" w:sz="8" w:color="auto"/>
            </w:tcBorders>
          </w:tcPr>
          <w:p>
            <w:pPr>
              <w:spacing w:after="0"/>
              <w:rPr>
                <w:sz w:val="2"/>
                <w:szCs w:val="2"/>
                <w:color w:val="auto"/>
              </w:rPr>
            </w:pPr>
          </w:p>
        </w:tc>
      </w:tr>
    </w:tbl>
    <w:p>
      <w:pPr>
        <w:spacing w:after="0" w:line="148" w:lineRule="exact"/>
        <w:rPr>
          <w:sz w:val="24"/>
          <w:szCs w:val="24"/>
          <w:color w:val="auto"/>
        </w:rPr>
      </w:pPr>
    </w:p>
    <w:p>
      <w:pPr>
        <w:ind w:right="3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72"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16" w:lineRule="exact"/>
        <w:rPr>
          <w:sz w:val="24"/>
          <w:szCs w:val="24"/>
          <w:color w:val="auto"/>
        </w:rPr>
      </w:pPr>
    </w:p>
    <w:p>
      <w:pPr>
        <w:spacing w:after="0" w:line="237" w:lineRule="exact"/>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Arial" w:cs="Arial" w:eastAsia="Arial" w:hAnsi="Arial"/>
          <w:sz w:val="19"/>
          <w:szCs w:val="19"/>
          <w:color w:val="auto"/>
        </w:rPr>
        <w:t>.</w:t>
      </w:r>
      <w:r>
        <w:rPr>
          <w:rFonts w:ascii="Arial" w:cs="Arial" w:eastAsia="Arial" w:hAnsi="Arial"/>
          <w:sz w:val="18"/>
          <w:szCs w:val="18"/>
          <w:color w:val="auto"/>
        </w:rPr>
        <w:t xml:space="preserve">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394335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613410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796" w:right="499" w:bottom="1440" w:gutter="0" w:footer="0" w:header="0"/>
          <w:type w:val="continuous"/>
        </w:sectPr>
      </w:pPr>
    </w:p>
    <w:bookmarkStart w:id="1" w:name="page2"/>
    <w:bookmarkEnd w:id="1"/>
    <w:p>
      <w:pPr>
        <w:ind w:right="1100"/>
        <w:spacing w:after="0" w:line="267" w:lineRule="auto"/>
        <w:rPr>
          <w:sz w:val="20"/>
          <w:szCs w:val="20"/>
          <w:color w:val="auto"/>
        </w:rPr>
      </w:pPr>
      <w:r>
        <w:rPr>
          <w:rFonts w:ascii="Arial" w:cs="Arial" w:eastAsia="Arial" w:hAnsi="Arial"/>
          <w:sz w:val="20"/>
          <w:szCs w:val="20"/>
          <w:b w:val="1"/>
          <w:bCs w:val="1"/>
          <w:color w:val="auto"/>
        </w:rPr>
        <w:t>5.02. Departure of Directors or Certain Officers; Election of Directors; Appointment of Certain Officers; Compensatory Arrangements of Certain Officers.</w:t>
      </w:r>
    </w:p>
    <w:p>
      <w:pPr>
        <w:spacing w:after="0" w:line="17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On July 5, 2023, CECO Environmental Corp. (the “Company”) reported on a Form 8-K filed with the Securities and Exchange Commission that Paul Gohr, Chief Accounting Officer of the Company, would cease serving as Chief Accounting Officer. Mr. Gohr remained an employee of the Company through September 1, 2023 (the “Departure Date”) to facilitate a smooth and orderly transition of his responsibilities and was compensated in accordance with existing arrangements through the Departure Date. Kiril Kovachev succeeded Mr. Gohr as the Company’s Chief Accounting Officer, effective September 2, 2023.</w:t>
      </w:r>
    </w:p>
    <w:p>
      <w:pPr>
        <w:spacing w:after="0" w:line="188"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On the Departure Date, Mr. Gohr and the Company entered into a written separation agreement and release (the “Separation Agreement”), providing for certain severance payments and benefits to Mr. Gohr and a general release of claims in favor of the Company.</w:t>
      </w:r>
    </w:p>
    <w:p>
      <w:pPr>
        <w:spacing w:after="0" w:line="17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Pursuant to the Separation Agreement, in exchange for Mr. Gohr’s execution and non-revocation of a general release of claims contained in the Separation Agreement (the “Release”), he will receive (subject to applicable taxes) certain compensation and benefits, consisting of: (1) accrued obligations to pay Mr. Gohr base salary through the Departure Date; (2) $144,800 as a lump sum cash severance payment, of which $20,000 is intended to cover outplacement services; (3) payments to the insurance carrier for Mr. Gohr’s benefit 6 months of taxable COBRA premiums for continued health care insurance coverage for Mr. Gohr and his family; and (4) subject to the good faith fulfillment of his transition duties, $66,473, representing a pro-rated portion of Mr. Gohr’s full-year 2023 annual cash incentive award target opportunity.</w:t>
      </w:r>
    </w:p>
    <w:p>
      <w:pPr>
        <w:spacing w:after="0" w:line="192"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In addition, under the Separation Agreement, the Compensation Committee of the Company’s Board of Directors provided for Mr. Gohr to receive, contingent on the Release and compliance with applicable restrictive covenants, accelerated vesting and payout on the Departure Date of 18,506 service-based restricted stock units that were granted to Mr. Gohr on various dates across 2020, 2021 and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447040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20"/>
          <w:szCs w:val="20"/>
          <w:b w:val="1"/>
          <w:bCs w:val="1"/>
          <w:color w:val="auto"/>
        </w:rPr>
        <w:t>Signatures</w:t>
      </w:r>
    </w:p>
    <w:p>
      <w:pPr>
        <w:spacing w:after="0" w:line="22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20"/>
        <w:spacing w:after="0"/>
        <w:tabs>
          <w:tab w:leader="none" w:pos="6640" w:val="left"/>
        </w:tabs>
        <w:rPr>
          <w:sz w:val="20"/>
          <w:szCs w:val="20"/>
          <w:color w:val="auto"/>
        </w:rPr>
      </w:pPr>
      <w:r>
        <w:rPr>
          <w:rFonts w:ascii="Arial" w:cs="Arial" w:eastAsia="Arial" w:hAnsi="Arial"/>
          <w:sz w:val="18"/>
          <w:szCs w:val="18"/>
          <w:color w:val="auto"/>
        </w:rPr>
        <w:t>Date: September 8, 2023</w:t>
      </w:r>
      <w:r>
        <w:rPr>
          <w:sz w:val="20"/>
          <w:szCs w:val="20"/>
          <w:color w:val="auto"/>
        </w:rPr>
        <w:tab/>
      </w:r>
      <w:r>
        <w:rPr>
          <w:rFonts w:ascii="Arial" w:cs="Arial" w:eastAsia="Arial" w:hAnsi="Arial"/>
          <w:sz w:val="16"/>
          <w:szCs w:val="16"/>
          <w:color w:val="auto"/>
        </w:rPr>
        <w:t>CECO Environmental Corp.</w:t>
      </w:r>
    </w:p>
    <w:p>
      <w:pPr>
        <w:spacing w:after="0" w:line="279" w:lineRule="exact"/>
        <w:rPr>
          <w:sz w:val="20"/>
          <w:szCs w:val="20"/>
          <w:color w:val="auto"/>
        </w:rPr>
      </w:pPr>
    </w:p>
    <w:p>
      <w:pPr>
        <w:ind w:left="6660"/>
        <w:spacing w:after="0"/>
        <w:tabs>
          <w:tab w:leader="none" w:pos="72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Joycelynn Watkins-Asiyanbi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23495</wp:posOffset>
            </wp:positionV>
            <wp:extent cx="25628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30"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Joycelynn Watkins-Asiyanbi</w:t>
      </w:r>
    </w:p>
    <w:p>
      <w:pPr>
        <w:spacing w:after="0" w:line="36"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SVP, Chief Administrative and Legal Officer and</w:t>
      </w:r>
    </w:p>
    <w:p>
      <w:pPr>
        <w:spacing w:after="0" w:line="23"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361950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46" w:right="379" w:bottom="144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2023-09-08T08:29:24Z</dcterms:created>
  <dcterms:modified xsi:type="dcterms:W3CDTF">2023-09-08T08:29:24Z</dcterms:modified>
</cp:coreProperties>
</file>