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000-07099</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15" w:lineRule="exact"/>
        <w:rPr>
          <w:sz w:val="24"/>
          <w:szCs w:val="24"/>
          <w:color w:val="auto"/>
        </w:rPr>
      </w:pPr>
    </w:p>
    <w:p>
      <w:pPr>
        <w:sectPr>
          <w:pgSz w:w="11900" w:h="16838" w:orient="portrait"/>
          <w:cols w:equalWidth="0" w:num="3">
            <w:col w:w="4560" w:space="720"/>
            <w:col w:w="3060" w:space="720"/>
            <w:col w:w="2140"/>
          </w:cols>
          <w:pgMar w:left="320" w:top="1440" w:right="379" w:bottom="1440" w:gutter="0" w:footer="0" w:header="0"/>
          <w:type w:val="continuous"/>
        </w:sect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4" w:lineRule="exact"/>
        <w:rPr>
          <w:sz w:val="24"/>
          <w:szCs w:val="24"/>
          <w:color w:val="auto"/>
        </w:rPr>
      </w:pPr>
    </w:p>
    <w:p>
      <w:pPr>
        <w:sectPr>
          <w:pgSz w:w="11900" w:h="16838" w:orient="portrait"/>
          <w:cols w:equalWidth="0" w:num="3">
            <w:col w:w="4500" w:space="720"/>
            <w:col w:w="2940" w:space="720"/>
            <w:col w:w="2320"/>
          </w:cols>
          <w:pgMar w:left="320" w:top="1440" w:right="379" w:bottom="1440" w:gutter="0" w:footer="0" w:header="0"/>
          <w:type w:val="continuous"/>
        </w:sect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East Tower, Suite 800E</w:t>
      </w:r>
    </w:p>
    <w:p>
      <w:pPr>
        <w:spacing w:after="0" w:line="1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Addison, Texas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28" w:lineRule="exact"/>
        <w:rPr>
          <w:sz w:val="24"/>
          <w:szCs w:val="24"/>
          <w:color w:val="auto"/>
        </w:rPr>
      </w:pPr>
    </w:p>
    <w:p>
      <w:pPr>
        <w:sectPr>
          <w:pgSz w:w="11900" w:h="16838" w:orient="portrait"/>
          <w:cols w:equalWidth="0" w:num="2">
            <w:col w:w="7580" w:space="720"/>
            <w:col w:w="2900"/>
          </w:cols>
          <w:pgMar w:left="320" w:top="1440" w:right="37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3" w:lineRule="exact"/>
        <w:rPr>
          <w:sz w:val="24"/>
          <w:szCs w:val="24"/>
          <w:color w:val="auto"/>
        </w:rPr>
      </w:pPr>
    </w:p>
    <w:p>
      <w:pPr>
        <w:sectPr>
          <w:pgSz w:w="11900" w:h="16838" w:orient="portrait"/>
          <w:cols w:equalWidth="0" w:num="2">
            <w:col w:w="7440" w:space="720"/>
            <w:col w:w="3040"/>
          </w:cols>
          <w:pgMar w:left="320" w:top="1440"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40" w:type="dxa"/>
        <w:tblCellMar>
          <w:top w:w="0" w:type="dxa"/>
          <w:left w:w="0" w:type="dxa"/>
          <w:bottom w:w="0" w:type="dxa"/>
          <w:right w:w="0" w:type="dxa"/>
        </w:tblCellMar>
      </w:tblPr>
      <w:tr>
        <w:trPr>
          <w:trHeight w:val="188"/>
        </w:trPr>
        <w:tc>
          <w:tcPr>
            <w:tcW w:w="308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Definitive Material Agreement.</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March 30, 2026 (the “Effective Date”), CECO Environmental Corp. (the “Company”) entered into that certain Amendment No. 1 to Fourth Amended and Restated Credit Agreement (the “Amendment”), among the Company, its subsidiaries party thereto, the Lenders (as defined below) party thereto, and Bank of America, N.A., as administrative agent (the “Agent”), which amends the Company’s Fourth Amended and Restated Credit Agreement (the “Existing Credit Agreement”; the Existing Credit Agreement as amended by the Amendment, the “Credit Agreement”), among the Company, its subsidiaries from time to time party thereto, the lenders from time to time party thereto (the “Lenders”), and the Agent.</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Amendment amends the Existing Credit Agreement to, among other things, (i) increase the aggregate principal amount of the senior secured revolving credit facility commitments under the Credit Agreement to $740 million (the “Revolving Facility”); (ii) add an incremental senior secured delayed-draw term loan commitment in an initial aggregate principal amount of $235 million (the “Incremental Term A-1 Loan Facility”; together with the Revolving Facility, the “Credit Facility”), subject only to the satisfaction or waiver of the related conditions precedent set forth in the Credit Agreement, including, without limitation, the consummation of the merger and acquisition contemplated by that certain Agreement and Plan of Merger, dated as of February 23, 2026, by and among the Company, Longhorn Merger Sub, Inc., Longhorn Merger Sub LLC, and Thermon Group Holdings, Inc. originally disclosed, and as further described, in the Company’s Current Report on Form 8-K filed February 24, 2026, as from time to time in effect (such merger and acquisition, the “Longhorn Acquisition”); (iii) amend the aggregate principal amount by which the Company may elect from time to time to increase the Credit Facility, in the form of additional revolving credit and/or one or more tranches of term loans (and inclusive of the Incremental Term A-1 Loan Facility), or incur certain incremental equivalent indebtedness, to up to (a) (1) the greater of (A) $230 million (or, prior to the date of the funding of the Longhorn Acquisition under the Credit Agreement (the “Longhorn Acquisition Funding Date”), $80 million) and (B) an amount equal to 100% of consolidated EBITDA, calculated on a pro forma basis, for the most recently ended period of four consecutive fiscal quarters of the Company available prior to the incurrence of such additional debt, plus (2) the sum of certain prepayments of indebtedness, minus (3) the aggregate principal amount of any such prior increases or incremental equivalent indebtedness, plus (b) such additional amount, if any, as would not cause the Company’s Consolidated Secured Net Leverage Ratio (as defined in the Credit Agreement) to exceed 3.50 to 1.00 after giving pro forma effect to such increased amount, subject to certain conditions, including the consent of the Agent and any increasing or additional lenders, all as further detailed in the Credit Agreement; (iv) add a maturity date extension option to be exercised at the Company’s election, subject to certain conditions including, without limitation, the consent of the extending Lenders, as further detailed in the Credit Agreement; (v) replace the minimum Consolidated Fixed Charge Coverage Ratio (as defined in the Credit Agreement) of 1.25 to 1.00 required to be maintained under the Credit Agreement (which will apply only until the occurrence of the Longhorn Acquisition Funding Date) with a minimum Consolidated Interest Coverage Ratio (as defined in the Credit Agreement) of 3.00 to 1.00, as applicable; (vi) increase the Company’s maximum Consolidated Net Leverage Ratio required to be maintained under the Credit Agreement from 4.00 to 1.00 (which will apply only until the occurrence of the Longhorn Acquisition Funding Date) to (a) 4.50 to 1.00 from the Longhorn Acquisition Funding Date through the third full fiscal quarter ending thereafter, (b) 4.25 to 1.00 for the succeeding two full fiscal quarters, and (c) 4.00 to 1.00 thereafter; (vii) increase the Company’s maximum Consolidated Secured Net Leverage Ratio required to be maintained under the Credit Agreement from 3.50 to 1.00 (which will apply only until the occurrence of the Longhorn Acquisition Funding Date) to (a) 4.25 to 1.00 from the Longhorn Acquisition Funding Date through the third full fiscal quarter ending thereafter,</w:t>
      </w:r>
    </w:p>
    <w:p>
      <w:pPr>
        <w:spacing w:after="0" w:line="7" w:lineRule="exact"/>
        <w:rPr>
          <w:sz w:val="20"/>
          <w:szCs w:val="20"/>
          <w:color w:val="auto"/>
        </w:rPr>
      </w:pPr>
    </w:p>
    <w:p>
      <w:pPr>
        <w:ind w:right="80" w:firstLine="8"/>
        <w:spacing w:after="0" w:line="26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to 1.00 for the succeeding two full fiscal quarters, and (c) 3.50 to 1.00 thereafter; and (viii) increase the size of, or add additional flexibility for the Company in respect of, various of the other covenants in the Credit Agreement, as further detailed in the Credit Agreement.</w:t>
      </w:r>
    </w:p>
    <w:p>
      <w:pPr>
        <w:spacing w:after="0" w:line="1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Incremental Term A-1 Loan Facility will amortize quarterly, beginning with the first calendar quarter following the Longhorn Acquisition Funding Date, in an amount equal to (i) 1.25% of the outstanding principal amount of all Incremental Term A-1 Loans (as defined in the Credit Agreement) for the first eight quarterly installments and (ii) 1.875% of the outstanding principal amount of all Incremental Term A-1 Loans for each quarterly installment thereafter.</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Subject to the Extension Option, the Credit Facility will mature on January 30, 2031. The Credit Facility will accrue interest (a) with respect to base rate loans, at an annual rate equal to an applicable rate of between 0.50% and 2.00% (fluctuating based on the Company’s Consolidated Net Leverage Ratio, as defined in the Credit Agreement), plus a rate equal to the highest of (1) the Agent’s prime rate, (2) the federal funds rate plus one-half of 1.00%, (3) Daily Simple SOFR (as defined in the Credit Agreement) plus 1.00% and (4) 1.00%, (b) for all other loans, at an annual rate equal to an applicable rate of between 1.50% and 3.00% (fluctuating based on the Company’s Consolidated Net Leverage Ratio), plus a rate determined based on the denominated currency and, as applicable pursuant to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t>Agreement, whether the Company has elected for interest on such loans to accrue at a daily rate or a term rate: (a) for term rate loans, if denominated (1) in U.S. Dollars, Term SOFR (as defined in the Credit Agreement), (2) in euros, EURIBOR, (3) in Canadian dollars, the Term CORRA Rate (as defined in the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w:t>
      </w:r>
    </w:p>
    <w:p>
      <w:pPr>
        <w:spacing w:after="0" w:line="3" w:lineRule="exact"/>
        <w:rPr>
          <w:sz w:val="20"/>
          <w:szCs w:val="20"/>
          <w:color w:val="auto"/>
        </w:rPr>
      </w:pPr>
    </w:p>
    <w:p>
      <w:pPr>
        <w:ind w:right="100" w:firstLine="8"/>
        <w:spacing w:after="0" w:line="253"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U.S. dollars, Daily Simple SOFR (as defined in the Credit Agreement), (2) in pounds sterling, a rate per annum equal to SONIA (as defined in the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proceeds of the Revolving Facility may be used for general corporate purposes of the Company and its subsidiaries (including, without limitation, for and in connection with consummation of the Longhorn Acquisition), and the proceeds of the Incremental Term A-1 Loan Facility may be used solely for and in connection with consummation of the Longhorn Acquisition. As of the Effective Date, approximately $254.8 million in aggregate principal amount of loans were outstanding under the Revolving Facility and $0 in aggregate principal amount of loans were outstanding under the Incremental Term A-1 Loan Facility.</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Certain of the Lenders, as well as certain of their respective affiliates, have performed and may in the future perform for the Company, various commercial banking, investment banking, lending, underwriting, trust services, financial advisory and other financial services, for which they have received and may in the future receive customary fees and expenses.</w:t>
      </w:r>
    </w:p>
    <w:p>
      <w:pPr>
        <w:spacing w:after="0" w:line="17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a copy of which is attached hereto as Exhibit 10.1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merger transaction (the “Proposed Transaction”) involving Thermon and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t>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CECO, Thermon and certain of their respective directors and executive officers may be deemed to be participants in the solicitation of proxies in respect of the Proposed Transaction.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https://www.sec.gov/ix?doc=/Archives/edgar/data/3197/000155837025004649/ceco-20250520xdef14a.htm), (ii) a Form 8-K filed by CECO on July 24, 2025 (and which is available at https://www.sec.gov/ix?doc=/Archives/edgar/data/0000003197/000095017025098303/ceco-20250718.htm), (iii) a Form 8-K filed by CECO on September 16, 2025 (and which is available at https://www.sec.gov/ix? doc=/Archives/edgar/data/0000003197/000119312525204657/ceco-20250912.htm) and (iv)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https://www.sec.gov/Archives/edgar/data/1489096/000148909625000097/thr-20250618.htm), (ii) a Form 8-K filed by Thermon on</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July 1, 2025 (as amended July 15, 2025) (and which is available at https://www.sec.gov/ix? doc=/Archives/edgar/data/0001489096/000148909625000115/thr-20250701.htm)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actual results to differ materially from the forward-looking statements included in this communication. These include the expected timing and likelihood of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https://www.sec.gov.</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3"/>
        </w:trPr>
        <w:tc>
          <w:tcPr>
            <w:tcW w:w="936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5"/>
                <w:szCs w:val="15"/>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9"/>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Amendment No. 1 to</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Fourth Amended and</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Restated Credit</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Agreement, dated as</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March 30, 2026,</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among CECO</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Environmental Corp.,</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its subsidiaries party</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thereto, the lenders</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party thereto, and</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Bank of America,</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 as</w:t>
            </w:r>
          </w:p>
        </w:tc>
      </w:tr>
      <w:tr>
        <w:trPr>
          <w:trHeight w:val="234"/>
        </w:trPr>
        <w:tc>
          <w:tcPr>
            <w:tcW w:w="9360" w:type="dxa"/>
            <w:vAlign w:val="bottom"/>
          </w:tcPr>
          <w:p>
            <w:pPr>
              <w:spacing w:after="0"/>
              <w:rPr>
                <w:sz w:val="20"/>
                <w:szCs w:val="20"/>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Administrative Agent.</w:t>
            </w:r>
          </w:p>
        </w:tc>
      </w:tr>
      <w:tr>
        <w:trPr>
          <w:trHeight w:val="414"/>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Cover Page Interactive</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Data File (embedded</w:t>
            </w:r>
          </w:p>
        </w:tc>
      </w:tr>
      <w:tr>
        <w:trPr>
          <w:trHeight w:val="216"/>
        </w:trPr>
        <w:tc>
          <w:tcPr>
            <w:tcW w:w="936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within the Inline</w:t>
            </w:r>
          </w:p>
        </w:tc>
      </w:tr>
      <w:tr>
        <w:trPr>
          <w:trHeight w:val="234"/>
        </w:trPr>
        <w:tc>
          <w:tcPr>
            <w:tcW w:w="9360" w:type="dxa"/>
            <w:vAlign w:val="bottom"/>
          </w:tcPr>
          <w:p>
            <w:pPr>
              <w:spacing w:after="0"/>
              <w:rPr>
                <w:sz w:val="20"/>
                <w:szCs w:val="20"/>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XBRL document).</w:t>
            </w: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*Certain schedules, exhibits, and similar attachments have been omitted pursuant to Item 601(a)(5) of Regulation S-K. The Company hereby undertakes to furnish supplemental copies of any of the omitted schedules or exhibits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8"/>
          <w:szCs w:val="18"/>
          <w:color w:val="auto"/>
        </w:rPr>
        <w:t>Date: April 2, 2026</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78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17145</wp:posOffset>
            </wp:positionV>
            <wp:extent cx="251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AMENDMENT NO. 1 TO</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FOURTH AMENDED AND RESTATED CREDIT AGREEMENT</w:t>
      </w:r>
    </w:p>
    <w:p>
      <w:pPr>
        <w:spacing w:after="0" w:line="200" w:lineRule="exact"/>
        <w:rPr>
          <w:sz w:val="20"/>
          <w:szCs w:val="20"/>
          <w:color w:val="auto"/>
        </w:rPr>
      </w:pPr>
    </w:p>
    <w:p>
      <w:pPr>
        <w:spacing w:after="0" w:line="233" w:lineRule="exact"/>
        <w:rPr>
          <w:sz w:val="20"/>
          <w:szCs w:val="20"/>
          <w:color w:val="auto"/>
        </w:rPr>
      </w:pPr>
    </w:p>
    <w:p>
      <w:pPr>
        <w:jc w:val="both"/>
        <w:ind w:firstLine="40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AMENDMENT NO. 1 TO FOURTH AMENDED AND RESTATED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effective as of March 30, 2026 (the “</w:t>
      </w:r>
      <w:r>
        <w:rPr>
          <w:rFonts w:ascii="Times New Roman" w:cs="Times New Roman" w:eastAsia="Times New Roman" w:hAnsi="Times New Roman"/>
          <w:sz w:val="20"/>
          <w:szCs w:val="20"/>
          <w:u w:val="single" w:color="auto"/>
          <w:color w:val="auto"/>
        </w:rPr>
        <w:t>Amendment No. 1 Effective Date</w:t>
      </w:r>
      <w:r>
        <w:rPr>
          <w:rFonts w:ascii="Times New Roman" w:cs="Times New Roman" w:eastAsia="Times New Roman" w:hAnsi="Times New Roman"/>
          <w:sz w:val="20"/>
          <w:szCs w:val="20"/>
          <w:color w:val="auto"/>
        </w:rPr>
        <w:t>”), is among CECO ENVIRONMENTAL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BANK OF AMERICA, N.A., in its capacity as the administrative agent (in such capacity,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each of the Subsidiary Guarantors party hereto and each of the Lenders (as defined below) party 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 The Company, the lenders party thereto prior to the effectiveness of this Amendment (the “</w:t>
      </w:r>
      <w:r>
        <w:rPr>
          <w:rFonts w:ascii="Times New Roman" w:cs="Times New Roman" w:eastAsia="Times New Roman" w:hAnsi="Times New Roman"/>
          <w:sz w:val="20"/>
          <w:szCs w:val="20"/>
          <w:u w:val="single" w:color="auto"/>
          <w:color w:val="auto"/>
        </w:rPr>
        <w:t>Existing Lenders</w:t>
      </w:r>
      <w:r>
        <w:rPr>
          <w:rFonts w:ascii="Times New Roman" w:cs="Times New Roman" w:eastAsia="Times New Roman" w:hAnsi="Times New Roman"/>
          <w:sz w:val="20"/>
          <w:szCs w:val="20"/>
          <w:color w:val="auto"/>
        </w:rPr>
        <w:t>”) and the Administrative Agent have entered into a Fourth Amended and Restated Credit Agreement dated as of January 30, 2026 (as amended, restated,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Capitalized terms used and not otherwise defined herein shall have the meanings ascribed to them in the Credit Agreement (as defined below).</w:t>
      </w:r>
    </w:p>
    <w:p>
      <w:pPr>
        <w:spacing w:after="0" w:line="180" w:lineRule="exact"/>
        <w:rPr>
          <w:sz w:val="20"/>
          <w:szCs w:val="20"/>
          <w:color w:val="auto"/>
        </w:rPr>
      </w:pPr>
    </w:p>
    <w:p>
      <w:pPr>
        <w:ind w:firstLine="757"/>
        <w:spacing w:after="0" w:line="269" w:lineRule="auto"/>
        <w:tabs>
          <w:tab w:leader="none" w:pos="10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Guarantors and the Administrative Agent have entered into a Third Amended and Restated Subsidiary Guaranty Agreement dated as of January 30, 2026 (the “</w:t>
      </w:r>
      <w:r>
        <w:rPr>
          <w:rFonts w:ascii="Times New Roman" w:cs="Times New Roman" w:eastAsia="Times New Roman" w:hAnsi="Times New Roman"/>
          <w:sz w:val="20"/>
          <w:szCs w:val="20"/>
          <w:u w:val="single" w:color="auto"/>
          <w:color w:val="auto"/>
        </w:rPr>
        <w:t>Subsidiary Guaranty</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(i) requested that certain of the Existing Lenders and certain other Persons party hereto that have been invited to become Lenders (such Persons, the “</w:t>
      </w:r>
      <w:r>
        <w:rPr>
          <w:rFonts w:ascii="Times New Roman" w:cs="Times New Roman" w:eastAsia="Times New Roman" w:hAnsi="Times New Roman"/>
          <w:sz w:val="20"/>
          <w:szCs w:val="20"/>
          <w:u w:val="single" w:color="auto"/>
          <w:color w:val="auto"/>
        </w:rPr>
        <w:t>Joining Lenders,</w:t>
      </w:r>
      <w:r>
        <w:rPr>
          <w:rFonts w:ascii="Times New Roman" w:cs="Times New Roman" w:eastAsia="Times New Roman" w:hAnsi="Times New Roman"/>
          <w:sz w:val="20"/>
          <w:szCs w:val="20"/>
          <w:color w:val="auto"/>
        </w:rPr>
        <w:t>” and together with the Existing Lenders,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provide the Incremental Term A-1 Loans pursuant to the Credit Agreement and the increase in the Revolving Credit Commitments contemplated in the Credit Agreement and (ii) advised the Administrative Agent and the Lenders that it desires to otherwise amend the Existing Credit Agreement as set forth herein.</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below, the Administrative Agent and the Lenders party hereto have agreed to (i) to the extent applicable, provide the Incremental Term A-1 Loans and the increase to the Revolving Credit Commitments and (ii) so amend the Existing Credit Agreement.</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 furtherance of the foregoing, the parties agree as follows:</w:t>
      </w:r>
    </w:p>
    <w:p>
      <w:pPr>
        <w:spacing w:after="0" w:line="225" w:lineRule="exact"/>
        <w:rPr>
          <w:sz w:val="20"/>
          <w:szCs w:val="20"/>
          <w:color w:val="auto"/>
        </w:rPr>
      </w:pPr>
    </w:p>
    <w:p>
      <w:pPr>
        <w:ind w:firstLine="3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0"/>
          <w:szCs w:val="20"/>
          <w:b w:val="1"/>
          <w:bCs w:val="1"/>
          <w:u w:val="single" w:color="auto"/>
          <w:color w:val="auto"/>
        </w:rPr>
        <w:t>Amendments to Existing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terms and conditions set forth herein and in reliance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representations and warranties set forth herein:</w:t>
      </w:r>
    </w:p>
    <w:p>
      <w:pPr>
        <w:spacing w:after="0" w:line="169" w:lineRule="exact"/>
        <w:rPr>
          <w:sz w:val="20"/>
          <w:szCs w:val="20"/>
          <w:color w:val="auto"/>
        </w:rPr>
      </w:pPr>
    </w:p>
    <w:p>
      <w:pPr>
        <w:ind w:right="20" w:firstLine="757"/>
        <w:spacing w:after="0" w:line="269" w:lineRule="auto"/>
        <w:tabs>
          <w:tab w:leader="none" w:pos="11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(other than the Exhibits and Schedules attached thereto) is hereby amended in its entirety to read in the form of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 (as so amended,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(Form of Loan Notice),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(Form of Compliance Certificate) and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(Form of Notice of Loan Prepayment) attached to the Existing Credit Agreement is hereby amended in its entirety to read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is hereby amended in its entirety to read in the form of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Annex C</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ind w:firstLine="757"/>
        <w:spacing w:after="0" w:line="269" w:lineRule="auto"/>
        <w:tabs>
          <w:tab w:leader="none" w:pos="114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to (i) replace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(Form of Note) with a new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 xml:space="preserve"> (Form of Revolving Credit Note) and (ii) add a new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 xml:space="preserve"> (Form of Term Loan Note), in each case in the form attached hereto as </w:t>
      </w:r>
      <w:r>
        <w:rPr>
          <w:rFonts w:ascii="Times New Roman" w:cs="Times New Roman" w:eastAsia="Times New Roman" w:hAnsi="Times New Roman"/>
          <w:sz w:val="20"/>
          <w:szCs w:val="20"/>
          <w:u w:val="single" w:color="auto"/>
          <w:color w:val="auto"/>
        </w:rPr>
        <w:t>Annex D</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to add new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(Form of Solvency Certificate)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Annex 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amendments to the Existing Credit Agreement and the above referenced Schedule(s) and Exhibit(s) to the Existing Credit Agreement are limited to the extent specifically set forth above and no other terms, covenants or provisions of the Loan Documents are intended to be affected hereby.</w:t>
      </w:r>
    </w:p>
    <w:p>
      <w:pPr>
        <w:spacing w:after="0" w:line="184" w:lineRule="exact"/>
        <w:rPr>
          <w:sz w:val="20"/>
          <w:szCs w:val="20"/>
          <w:color w:val="auto"/>
        </w:rPr>
      </w:pPr>
    </w:p>
    <w:p>
      <w:pPr>
        <w:ind w:left="7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u w:val="single" w:color="auto"/>
          <w:color w:val="auto"/>
        </w:rPr>
        <w:t>Joinder of Joining Lenders; Revised Commitments and Applicable Percentages; Reallocation of Outstanding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Loans</w:t>
      </w:r>
      <w:r>
        <w:rPr>
          <w:rFonts w:ascii="Times New Roman" w:cs="Times New Roman" w:eastAsia="Times New Roman" w:hAnsi="Times New Roman"/>
          <w:sz w:val="20"/>
          <w:szCs w:val="20"/>
          <w:b w:val="1"/>
          <w:bCs w:val="1"/>
          <w:color w:val="auto"/>
        </w:rPr>
        <w:t>.</w:t>
      </w:r>
    </w:p>
    <w:p>
      <w:pPr>
        <w:spacing w:after="0" w:line="207" w:lineRule="exact"/>
        <w:rPr>
          <w:sz w:val="20"/>
          <w:szCs w:val="20"/>
          <w:color w:val="auto"/>
        </w:rPr>
      </w:pPr>
    </w:p>
    <w:p>
      <w:pPr>
        <w:jc w:val="both"/>
        <w:ind w:firstLine="757"/>
        <w:spacing w:after="0"/>
        <w:tabs>
          <w:tab w:leader="none" w:pos="120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Joining Lenders.</w:t>
      </w:r>
      <w:r>
        <w:rPr>
          <w:rFonts w:ascii="Times New Roman" w:cs="Times New Roman" w:eastAsia="Times New Roman" w:hAnsi="Times New Roman"/>
          <w:sz w:val="20"/>
          <w:szCs w:val="20"/>
          <w:color w:val="auto"/>
        </w:rPr>
        <w:t xml:space="preserve"> Each Joining Lender (i) represents and warrants that (A) it has full power and authority, and has taken all action necessary, to execute and deliver this Amendment and to consummate the transactions contemplated hereby and to become a Lender under the Credit Agreement, (B) it meets the requirements of an Eligible Assignee under the Credit Agreement (subject to such consents, if any, as may be required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 xml:space="preserve"> of the Credit Agreement), (C) from and after the Amendment No. 1 Effective Date, it shall be bound by the provisions of the Credit Agreement as a Lender thereunder and shall have the obligations of a Lender thereunder with the Commitments and Loans applicable to such Joining Lender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hereto (as such Commitments and Loans may be modified at any time or from time to time pursuant to the terms of the Loan Documents), (D) it is sophisticated with respect to decisions to acquire assets of the type represented by its Commitments and Loans and either it, or the Person exercising discretion in making its decision to acquire its Commitments and Loans, is experienced in acquiring assets of such type, (E)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thereof, as applicable, and such other documents and information as it deems appropriate to make its own credit analysis and decision to enter into this Amendment and to acquire its Commitments and Loans, (F) it has, independently and without reliance upon the Administrative Agent, the Arranger or any other Lender and based on such documents and information as it has deemed appropriate, made its own credit analysis and decision to enter into this Amendment and to acquire its Commitments and Loans, and (G) if it is a Foreign Lender, it has delivered to the Administrative Agent and the Company any documentation required to be delivered by it pursuant to the terms of the Credit Agreement, duly completed and executed by such Joining Lender; and (ii) agrees that (A) it will, independently and without reliance upon the Administrative Agent, any Arranger or any other Lender, and based on such documents and information as it shall deem appropriate at the time, continue to make its own credit decisions in taking or not taking action under the Loan Documents, and (B) it will perform in accordance with their terms all of the obligations which by the terms of the Loan Documents are required to be performed by it as a Lender. On and after the Amendment No. 1 Effective Date, all references to the “Lenders” in the Credit Agreement and the other Loan Documents shall be deemed to include the Joining Lenders.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both"/>
        <w:ind w:firstLine="757"/>
        <w:spacing w:after="0" w:line="258" w:lineRule="auto"/>
        <w:tabs>
          <w:tab w:leader="none" w:pos="115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w:t>
      </w:r>
      <w:r>
        <w:rPr>
          <w:rFonts w:ascii="Times New Roman" w:cs="Times New Roman" w:eastAsia="Times New Roman" w:hAnsi="Times New Roman"/>
          <w:sz w:val="19"/>
          <w:szCs w:val="19"/>
          <w:color w:val="auto"/>
        </w:rPr>
        <w:t xml:space="preserve">. Each Lender party hereto acknowledges and agrees that its Commitments and Applicable Percentages as of the Amendment No. 1 Effective Date (after giving effect to this Amendment) are set forth on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 xml:space="preserve"> attached hereto. Each of the parties hereto acknowledges and agrees that, on the Amendment No. 1 Effective Date, any outstanding Revolving Credit Loans and the Applicable Percentages of Swing Line Loans and L/C Obligations shall be reallocated by the Administrative Agent among the Revolving Credit Lenders in accordance with their respective Commitments set forth on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 xml:space="preserve"> attached hereto and the requisite assignments shall be deemed to be made in such amounts among the Lenders to the extent necessary to make such reallocation, with the same force and effect as if such assignments were evidenced by applicable Assignments and Assumptions. Each Lender agrees to make all payments and adjustments necessary to effect such reallocation, either directly or through the Administrative Agent, as the Administrative Agent may direct or approve.</w:t>
      </w:r>
    </w:p>
    <w:p>
      <w:pPr>
        <w:spacing w:after="0" w:line="186" w:lineRule="exact"/>
        <w:rPr>
          <w:rFonts w:ascii="Times New Roman" w:cs="Times New Roman" w:eastAsia="Times New Roman" w:hAnsi="Times New Roman"/>
          <w:sz w:val="19"/>
          <w:szCs w:val="19"/>
          <w:color w:val="auto"/>
        </w:rPr>
      </w:pPr>
    </w:p>
    <w:p>
      <w:pPr>
        <w:jc w:val="both"/>
        <w:ind w:firstLine="757"/>
        <w:spacing w:after="0" w:line="246" w:lineRule="auto"/>
        <w:tabs>
          <w:tab w:leader="none" w:pos="127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Documentation</w:t>
      </w:r>
      <w:r>
        <w:rPr>
          <w:rFonts w:ascii="Times New Roman" w:cs="Times New Roman" w:eastAsia="Times New Roman" w:hAnsi="Times New Roman"/>
          <w:sz w:val="20"/>
          <w:szCs w:val="20"/>
          <w:color w:val="auto"/>
        </w:rPr>
        <w:t xml:space="preserve">. Notwithstanding anything to the contrary in the Credit Agreement, no other documents or instruments, including any Assignment and Assumption, shall be executed in connection with any assignments (all of which requirements are hereby waived) necessary to achieve the allocations of Commitments and Applicable Percentages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hereto and such assignments shall be deemed to be made with all applicable representations, warranties and covenants as if evidenced by an Assignment and Assumption.</w:t>
      </w:r>
    </w:p>
    <w:p>
      <w:pPr>
        <w:spacing w:after="0" w:line="194"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b w:val="1"/>
          <w:bCs w:val="1"/>
          <w:u w:val="single" w:color="auto"/>
          <w:color w:val="auto"/>
        </w:rPr>
        <w:t>Conditions Precedent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effectiveness of this Amendment and the amendments and other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contemplated hereby is subject to the satisfaction of the following conditions precedent:</w:t>
      </w:r>
    </w:p>
    <w:p>
      <w:pPr>
        <w:spacing w:after="0" w:line="169" w:lineRule="exact"/>
        <w:rPr>
          <w:sz w:val="20"/>
          <w:szCs w:val="20"/>
          <w:color w:val="auto"/>
        </w:rPr>
      </w:pPr>
    </w:p>
    <w:p>
      <w:pPr>
        <w:ind w:left="1160" w:hanging="403"/>
        <w:spacing w:after="0"/>
        <w:tabs>
          <w:tab w:leader="none" w:pos="11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The Administrative Agent shall have received the following:</w:t>
      </w:r>
    </w:p>
    <w:p>
      <w:pPr>
        <w:spacing w:after="0" w:line="215"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this Amendment, duly executed and delivered by the Company, the Subsidiary Guarantors, the Administrative Agent and all of the Lenders;</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Note executed by the Company in favor of each Lender requesting a Note;</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each Loan Party signed by a Responsible Officer of such Loan Party certifying and attaching (A) copies of the Organization Documents of such Loan Party (or as to no change since the last delivery to the Administrative Agent) and a good standing (or equivalent) certificate as of a recent date for such Loan Party from the relevant authority of its jurisdiction of incorporation (to the extent applicable), (B) the resolutions adopted by the board of directors (or other appropriate governing body) of such Loan Party approving or consenting to this Amendment, and (C) to the extent not previously provided to the Administrative Agent, the identity, authority, signature and capacity of each Responsible Officer thereof authorized to act as a Responsible Officer in connection with the Loan Documents to which such Loan Party is a party;</w:t>
      </w:r>
    </w:p>
    <w:p>
      <w:pPr>
        <w:spacing w:after="0" w:line="185"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certificate of the Company signed by a Responsible Officer of the Company, certifying as to the satisfaction of the conditions set forth in </w:t>
      </w:r>
      <w:r>
        <w:rPr>
          <w:rFonts w:ascii="Times New Roman" w:cs="Times New Roman" w:eastAsia="Times New Roman" w:hAnsi="Times New Roman"/>
          <w:sz w:val="20"/>
          <w:szCs w:val="20"/>
          <w:u w:val="single" w:color="auto"/>
          <w:color w:val="auto"/>
        </w:rPr>
        <w:t>Sections 2.15(f)(i)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of the Credit Agreement;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Company signed by a Responsible Officer of the Company attaching true, correct and complete copies of the Longhorn Acquisition Agreement and all amendments, restatements, supplements and other modifications thereto, in each case, as in effect as of the Amendment No.1 Effective Date; and</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opinions of counsel to the Loan Parties addressed to the Administrative Agent and each Lender, as to the matters concerning the Loan Parties and the Loan Documents as</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ind w:left="760"/>
        <w:spacing w:after="0"/>
        <w:rPr>
          <w:sz w:val="20"/>
          <w:szCs w:val="20"/>
          <w:color w:val="auto"/>
        </w:rPr>
      </w:pPr>
      <w:r>
        <w:rPr>
          <w:rFonts w:ascii="Times New Roman" w:cs="Times New Roman" w:eastAsia="Times New Roman" w:hAnsi="Times New Roman"/>
          <w:sz w:val="20"/>
          <w:szCs w:val="20"/>
          <w:color w:val="auto"/>
        </w:rPr>
        <w:t>the Administrative Agent may reasonably request.</w:t>
      </w:r>
    </w:p>
    <w:p>
      <w:pPr>
        <w:spacing w:after="0" w:line="216" w:lineRule="exact"/>
        <w:rPr>
          <w:sz w:val="20"/>
          <w:szCs w:val="20"/>
          <w:color w:val="auto"/>
        </w:rPr>
      </w:pPr>
    </w:p>
    <w:p>
      <w:pPr>
        <w:ind w:firstLine="757"/>
        <w:spacing w:after="0" w:line="269" w:lineRule="auto"/>
        <w:tabs>
          <w:tab w:leader="none" w:pos="1145"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Any fees required to be paid to the Administrative Agent, the Arrangers or the Lenders on or before the Amendment No. 1 Effective Date shall have been paid.</w:t>
      </w:r>
    </w:p>
    <w:p>
      <w:pPr>
        <w:spacing w:after="0" w:line="159" w:lineRule="exact"/>
        <w:rPr>
          <w:rFonts w:ascii="Times New Roman" w:cs="Times New Roman" w:eastAsia="Times New Roman" w:hAnsi="Times New Roman"/>
          <w:sz w:val="20"/>
          <w:szCs w:val="20"/>
          <w:color w:val="auto"/>
        </w:rPr>
      </w:pPr>
    </w:p>
    <w:p>
      <w:pPr>
        <w:jc w:val="both"/>
        <w:ind w:firstLine="757"/>
        <w:spacing w:after="0" w:line="245" w:lineRule="auto"/>
        <w:tabs>
          <w:tab w:leader="none" w:pos="117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Fees and Expenses</w:t>
      </w:r>
      <w:r>
        <w:rPr>
          <w:rFonts w:ascii="Times New Roman" w:cs="Times New Roman" w:eastAsia="Times New Roman" w:hAnsi="Times New Roman"/>
          <w:sz w:val="20"/>
          <w:szCs w:val="20"/>
          <w:color w:val="auto"/>
        </w:rPr>
        <w:t>. Unless waived by the Administrative Agent, the Company shall have paid all reasonable and documented out-of-pocket fees, charges and disbursements of counsel to the Administrative Agent (directly to such counsel if requested by the Administrative Agent) to the extent invoiced at least two Business Days prior to the date hereof (or otherwise reflected in a settlement statement approved by the Company),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the Company and the Administrative Agent or its counsel).</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To the extent reasonably requested by the Administrative Agent or any Lender at least five Business Days prior to the Amendment No. 1 Effective Date, the Company shall have provided to the Administrative Agent or such Lender, and the Administrative Agent or such Lender shall be reasonably satisfied with, the documentation and other information so reasonably requested in connection with applicable “know your customer” and anti-money-laundering rules and regulations, including, without limitation, the Act, in each case at least three Business Days prior to the Amendment No. 1 Effective Date. At least three Business Days prior to the Amendment No. 1 Effective Date, any Loan Party that qualifies as a “legal entity customer” under the Beneficial Ownership Regulation shall have delivered, to each Lender that so requests, a Beneficial Ownership Certification in relation to such Loan Party.</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of the Credit Agreement, for purposes of determining compliance with the conditions specified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No. 1 Effective Date specifying its objection thereto.</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u w:val="single" w:color="auto"/>
          <w:color w:val="auto"/>
        </w:rPr>
        <w:t>Representations and Warranties</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ind w:right="40" w:firstLine="757"/>
        <w:spacing w:after="0" w:line="269" w:lineRule="auto"/>
        <w:tabs>
          <w:tab w:leader="none" w:pos="114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induce the Administrative Agent and the Lenders to enter into this Amendment, the Company represents and warrants to the Administrative Agent and the Lenders as follows:</w:t>
      </w:r>
    </w:p>
    <w:p>
      <w:pPr>
        <w:spacing w:after="0" w:line="172"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this Amendment, the representations and warranties of the Company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the Credit Agreement and in each other Loan Document are true and correct on and as of the Amendment No. 1 Effective Date, except to the extent that such representations and warranties specifically refer to an earlier date, in which case they are true and correct as of such earlier date, and except that for purposes of this Amendment, the representations and warranties contained in </w:t>
      </w:r>
      <w:r>
        <w:rPr>
          <w:rFonts w:ascii="Times New Roman" w:cs="Times New Roman" w:eastAsia="Times New Roman" w:hAnsi="Times New Roman"/>
          <w:sz w:val="20"/>
          <w:szCs w:val="20"/>
          <w:u w:val="single" w:color="auto"/>
          <w:color w:val="auto"/>
        </w:rPr>
        <w:t>Sections 5.05(a)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Credit Agreement 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respectively, of the Credit Agreement.</w:t>
      </w:r>
    </w:p>
    <w:p>
      <w:pPr>
        <w:spacing w:after="0" w:line="19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w:t>
      </w:r>
    </w:p>
    <w:p>
      <w:pPr>
        <w:spacing w:after="0" w:line="22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induce the Administrative Agent and the Lenders to enter into this Amendment, each of the Company and each Subsidiary Guarantor represents and warrants to the Administrative Agent and the Lenders that this Amendment has been duly authorized, executed and delivered by it and constitutes</w:t>
      </w:r>
    </w:p>
    <w:p>
      <w:pPr>
        <w:spacing w:after="0" w:line="3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20"/>
          <w:szCs w:val="20"/>
          <w:color w:val="auto"/>
        </w:rPr>
        <w:t>its legal, valid and binding obligation,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8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jc w:val="both"/>
        <w:ind w:firstLine="404"/>
        <w:spacing w:after="0" w:line="245" w:lineRule="auto"/>
        <w:tabs>
          <w:tab w:leader="none" w:pos="85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and Confirmation of Loan Documents</w:t>
      </w:r>
      <w:r>
        <w:rPr>
          <w:rFonts w:ascii="Times New Roman" w:cs="Times New Roman" w:eastAsia="Times New Roman" w:hAnsi="Times New Roman"/>
          <w:sz w:val="20"/>
          <w:szCs w:val="20"/>
          <w:color w:val="auto"/>
        </w:rPr>
        <w:t>. Each of the Company and each Subsidiary Guarantor hereby consents, acknowledges and agrees to the amendments and other agreements set forth herein and hereby confirms and ratifies in all respects the Loan Documents to which such Person is a party (including without limitation, with respect to each Subsidiary Guarantor, the continuation of its payment and performance obligations under the Subsidiary Guaranty and, with respect to both the Company and each Subsidiary Guarantor, the continuation and extension of the liens granted under the Collateral Documents to secure the Secured Obligations), in each case after giving effect to the amendments and other agreements contemplated hereby.</w:t>
      </w:r>
    </w:p>
    <w:p>
      <w:pPr>
        <w:spacing w:after="0" w:line="197" w:lineRule="exact"/>
        <w:rPr>
          <w:rFonts w:ascii="Times New Roman" w:cs="Times New Roman" w:eastAsia="Times New Roman" w:hAnsi="Times New Roman"/>
          <w:sz w:val="20"/>
          <w:szCs w:val="20"/>
          <w:color w:val="auto"/>
        </w:rPr>
      </w:pPr>
    </w:p>
    <w:p>
      <w:pPr>
        <w:jc w:val="both"/>
        <w:ind w:firstLine="404"/>
        <w:spacing w:after="0" w:line="249" w:lineRule="auto"/>
        <w:tabs>
          <w:tab w:leader="none" w:pos="85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xml:space="preserve">. The Company shall pay on demand all reasonable costs and expenses of the Administrative Agent in connection with the preparation, negotiation, execution, and delivery of this Amendment and any other documents prepared in connection herewith, including, without limitation, the reasonable and documented fees and out-of-pocket expenses of counsel for the Administrative Agent, in each case, as set forth in </w:t>
      </w:r>
      <w:r>
        <w:rPr>
          <w:rFonts w:ascii="Times New Roman" w:cs="Times New Roman" w:eastAsia="Times New Roman" w:hAnsi="Times New Roman"/>
          <w:sz w:val="20"/>
          <w:szCs w:val="20"/>
          <w:u w:val="single" w:color="auto"/>
          <w:color w:val="auto"/>
        </w:rPr>
        <w:t>Section 10.04(a)</w:t>
      </w:r>
      <w:r>
        <w:rPr>
          <w:rFonts w:ascii="Times New Roman" w:cs="Times New Roman" w:eastAsia="Times New Roman" w:hAnsi="Times New Roman"/>
          <w:sz w:val="20"/>
          <w:szCs w:val="20"/>
          <w:color w:val="auto"/>
        </w:rPr>
        <w:t xml:space="preserve"> of the Credit Agreement.</w:t>
      </w:r>
    </w:p>
    <w:p>
      <w:pPr>
        <w:spacing w:after="0" w:line="193" w:lineRule="exact"/>
        <w:rPr>
          <w:rFonts w:ascii="Times New Roman" w:cs="Times New Roman" w:eastAsia="Times New Roman" w:hAnsi="Times New Roman"/>
          <w:sz w:val="20"/>
          <w:szCs w:val="20"/>
          <w:color w:val="auto"/>
        </w:rPr>
      </w:pPr>
    </w:p>
    <w:p>
      <w:pPr>
        <w:ind w:firstLine="404"/>
        <w:spacing w:after="0" w:line="269" w:lineRule="auto"/>
        <w:tabs>
          <w:tab w:leader="none" w:pos="79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and subsection headings in this Amendment are included herein for convenience of reference only and shall not constitute a part of this Amendment for any other purpose or be given any substantive effect.</w:t>
      </w:r>
    </w:p>
    <w:p>
      <w:pPr>
        <w:spacing w:after="0" w:line="172" w:lineRule="exact"/>
        <w:rPr>
          <w:rFonts w:ascii="Times New Roman" w:cs="Times New Roman" w:eastAsia="Times New Roman" w:hAnsi="Times New Roman"/>
          <w:sz w:val="20"/>
          <w:szCs w:val="20"/>
          <w:color w:val="auto"/>
        </w:rPr>
      </w:pPr>
    </w:p>
    <w:p>
      <w:pPr>
        <w:ind w:firstLine="404"/>
        <w:spacing w:after="0" w:line="269" w:lineRule="auto"/>
        <w:tabs>
          <w:tab w:leader="none" w:pos="80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Waiver of Jury Trial; Etc</w:t>
      </w:r>
      <w:r>
        <w:rPr>
          <w:rFonts w:ascii="Times New Roman" w:cs="Times New Roman" w:eastAsia="Times New Roman" w:hAnsi="Times New Roman"/>
          <w:sz w:val="20"/>
          <w:szCs w:val="20"/>
          <w:color w:val="auto"/>
        </w:rPr>
        <w:t xml:space="preserve">. This Amendment shall be governed by and construed in accordance with the laws of the State of New York, and shall be further subject to the provisions of </w:t>
      </w:r>
      <w:r>
        <w:rPr>
          <w:rFonts w:ascii="Times New Roman" w:cs="Times New Roman" w:eastAsia="Times New Roman" w:hAnsi="Times New Roman"/>
          <w:sz w:val="20"/>
          <w:szCs w:val="20"/>
          <w:u w:val="single" w:color="auto"/>
          <w:color w:val="auto"/>
        </w:rPr>
        <w:t>Sections 10.14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of the Credit Agreement.</w:t>
      </w:r>
    </w:p>
    <w:p>
      <w:pPr>
        <w:spacing w:after="0" w:line="172" w:lineRule="exact"/>
        <w:rPr>
          <w:rFonts w:ascii="Times New Roman" w:cs="Times New Roman" w:eastAsia="Times New Roman" w:hAnsi="Times New Roman"/>
          <w:sz w:val="20"/>
          <w:szCs w:val="20"/>
          <w:color w:val="auto"/>
        </w:rPr>
      </w:pPr>
    </w:p>
    <w:p>
      <w:pPr>
        <w:jc w:val="both"/>
        <w:ind w:firstLine="404"/>
        <w:spacing w:after="0" w:line="244" w:lineRule="auto"/>
        <w:tabs>
          <w:tab w:leader="none" w:pos="81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in the form of an electronic record (in “.pdf” form or otherwise) and may be executed using electronic signatures, which shall be considered as originals and shall have the same legal effect, validity and enforceability as a paper record. This Amendment may be executed in as many counterparts as necessary or convenient, including both paper and electronic counterparts, but all such counterparts shall be one and the same Amendment. For the avoidance of doubt, the authorization under this paragraph may include, without limitation, use or acceptance by the Administrative Agent of a manually signed Amendment which has been converted into electronic form (such as scanned into “.pdf” format), or an electronically signed Amendment converted into another format, for transmission, delivery and/or retention.</w:t>
      </w:r>
    </w:p>
    <w:p>
      <w:pPr>
        <w:spacing w:after="0" w:line="199" w:lineRule="exact"/>
        <w:rPr>
          <w:rFonts w:ascii="Times New Roman" w:cs="Times New Roman" w:eastAsia="Times New Roman" w:hAnsi="Times New Roman"/>
          <w:sz w:val="20"/>
          <w:szCs w:val="20"/>
          <w:color w:val="auto"/>
        </w:rPr>
      </w:pPr>
    </w:p>
    <w:p>
      <w:pPr>
        <w:jc w:val="both"/>
        <w:ind w:firstLine="404"/>
        <w:spacing w:after="0" w:line="243" w:lineRule="auto"/>
        <w:tabs>
          <w:tab w:leader="none" w:pos="83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together with the Fee Letters and the other Loan Documents (collectively, the “</w:t>
      </w:r>
      <w:r>
        <w:rPr>
          <w:rFonts w:ascii="Times New Roman" w:cs="Times New Roman" w:eastAsia="Times New Roman" w:hAnsi="Times New Roman"/>
          <w:sz w:val="20"/>
          <w:szCs w:val="20"/>
          <w:u w:val="single" w:color="auto"/>
          <w:color w:val="auto"/>
        </w:rPr>
        <w:t>Relevant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Credit Agreement.</w:t>
      </w:r>
    </w:p>
    <w:p>
      <w:pPr>
        <w:spacing w:after="0" w:line="3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spacing w:after="0" w:line="203" w:lineRule="exact"/>
        <w:rPr>
          <w:sz w:val="20"/>
          <w:szCs w:val="20"/>
          <w:color w:val="auto"/>
        </w:rPr>
      </w:pPr>
    </w:p>
    <w:p>
      <w:pPr>
        <w:ind w:left="-20" w:firstLine="404"/>
        <w:spacing w:after="0" w:line="269" w:lineRule="auto"/>
        <w:tabs>
          <w:tab w:leader="none" w:pos="77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72" w:lineRule="exact"/>
        <w:rPr>
          <w:rFonts w:ascii="Times New Roman" w:cs="Times New Roman" w:eastAsia="Times New Roman" w:hAnsi="Times New Roman"/>
          <w:sz w:val="20"/>
          <w:szCs w:val="20"/>
          <w:color w:val="auto"/>
        </w:rPr>
      </w:pPr>
    </w:p>
    <w:p>
      <w:pPr>
        <w:ind w:left="-20" w:firstLine="757"/>
        <w:spacing w:after="0" w:line="269" w:lineRule="auto"/>
        <w:tabs>
          <w:tab w:leader="none" w:pos="1152"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This Amendment shall be binding upon and inure to the benefit of the parties hereto and their respective successors and assigns (subject to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of the Credit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Pages Follow]</w:t>
      </w:r>
    </w:p>
    <w:p>
      <w:pPr>
        <w:spacing w:after="0" w:line="200" w:lineRule="exact"/>
        <w:rPr>
          <w:sz w:val="20"/>
          <w:szCs w:val="20"/>
          <w:color w:val="auto"/>
        </w:rPr>
      </w:pPr>
    </w:p>
    <w:p>
      <w:pPr>
        <w:spacing w:after="0" w:line="2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The following parties have caused this Amendment to be executed as of the date first written above.</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b w:val="1"/>
          <w:bCs w:val="1"/>
          <w:u w:val="single" w:color="auto"/>
          <w:color w:val="auto"/>
        </w:rPr>
        <w:t>COMPANY:</w:t>
      </w:r>
    </w:p>
    <w:p>
      <w:pPr>
        <w:spacing w:after="0" w:line="2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23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By: /s/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-10795</wp:posOffset>
            </wp:positionV>
            <wp:extent cx="10115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Name: Peter Johansson</w:t>
      </w:r>
    </w:p>
    <w:p>
      <w:pPr>
        <w:ind w:left="3360"/>
        <w:spacing w:after="0"/>
        <w:tabs>
          <w:tab w:leader="none" w:pos="39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 and Chief Financial Officer</w:t>
      </w:r>
    </w:p>
    <w:p>
      <w:pPr>
        <w:spacing w:after="0" w:line="20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u w:val="single" w:color="auto"/>
          <w:color w:val="auto"/>
        </w:rPr>
        <w:t>SUBSIDIARY GUARANTORS:</w:t>
      </w:r>
    </w:p>
    <w:p>
      <w:pPr>
        <w:spacing w:after="0" w:line="2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AARDING THERMAL ACOUSTICS USA INC.</w:t>
      </w:r>
    </w:p>
    <w:p>
      <w:pPr>
        <w:spacing w:after="0" w:line="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CECO ENVIRONMENTAL IP INC.</w:t>
      </w:r>
    </w:p>
    <w:p>
      <w:pPr>
        <w:ind w:left="3360"/>
        <w:spacing w:after="0"/>
        <w:rPr>
          <w:sz w:val="20"/>
          <w:szCs w:val="20"/>
          <w:color w:val="auto"/>
        </w:rPr>
      </w:pPr>
      <w:r>
        <w:rPr>
          <w:rFonts w:ascii="Times New Roman" w:cs="Times New Roman" w:eastAsia="Times New Roman" w:hAnsi="Times New Roman"/>
          <w:sz w:val="20"/>
          <w:szCs w:val="20"/>
          <w:b w:val="1"/>
          <w:bCs w:val="1"/>
          <w:color w:val="auto"/>
        </w:rPr>
        <w:t>CECO GROUP, INC.</w:t>
      </w:r>
    </w:p>
    <w:p>
      <w:pPr>
        <w:ind w:left="3360"/>
        <w:spacing w:after="0"/>
        <w:rPr>
          <w:sz w:val="20"/>
          <w:szCs w:val="20"/>
          <w:color w:val="auto"/>
        </w:rPr>
      </w:pPr>
      <w:r>
        <w:rPr>
          <w:rFonts w:ascii="Times New Roman" w:cs="Times New Roman" w:eastAsia="Times New Roman" w:hAnsi="Times New Roman"/>
          <w:sz w:val="20"/>
          <w:szCs w:val="20"/>
          <w:b w:val="1"/>
          <w:bCs w:val="1"/>
          <w:color w:val="auto"/>
        </w:rPr>
        <w:t>CECO INDUSTRIAL SOLUTIONS, INC.</w:t>
      </w:r>
    </w:p>
    <w:p>
      <w:pPr>
        <w:ind w:left="3360"/>
        <w:spacing w:after="0"/>
        <w:rPr>
          <w:sz w:val="20"/>
          <w:szCs w:val="20"/>
          <w:color w:val="auto"/>
        </w:rPr>
      </w:pPr>
      <w:r>
        <w:rPr>
          <w:rFonts w:ascii="Times New Roman" w:cs="Times New Roman" w:eastAsia="Times New Roman" w:hAnsi="Times New Roman"/>
          <w:sz w:val="20"/>
          <w:szCs w:val="20"/>
          <w:b w:val="1"/>
          <w:bCs w:val="1"/>
          <w:color w:val="auto"/>
        </w:rPr>
        <w:t>CECO MEXICO HOLDINGS LLC</w:t>
      </w:r>
    </w:p>
    <w:p>
      <w:pPr>
        <w:ind w:left="3360"/>
        <w:spacing w:after="0"/>
        <w:rPr>
          <w:sz w:val="20"/>
          <w:szCs w:val="20"/>
          <w:color w:val="auto"/>
        </w:rPr>
      </w:pPr>
      <w:r>
        <w:rPr>
          <w:rFonts w:ascii="Times New Roman" w:cs="Times New Roman" w:eastAsia="Times New Roman" w:hAnsi="Times New Roman"/>
          <w:sz w:val="20"/>
          <w:szCs w:val="20"/>
          <w:b w:val="1"/>
          <w:bCs w:val="1"/>
          <w:color w:val="auto"/>
        </w:rPr>
        <w:t>EMTROL LLC</w:t>
      </w:r>
    </w:p>
    <w:p>
      <w:pPr>
        <w:ind w:left="3360"/>
        <w:spacing w:after="0"/>
        <w:rPr>
          <w:sz w:val="20"/>
          <w:szCs w:val="20"/>
          <w:color w:val="auto"/>
        </w:rPr>
      </w:pPr>
      <w:r>
        <w:rPr>
          <w:rFonts w:ascii="Times New Roman" w:cs="Times New Roman" w:eastAsia="Times New Roman" w:hAnsi="Times New Roman"/>
          <w:sz w:val="20"/>
          <w:szCs w:val="20"/>
          <w:b w:val="1"/>
          <w:bCs w:val="1"/>
          <w:color w:val="auto"/>
        </w:rPr>
        <w:t>FKI, LLC</w:t>
      </w:r>
    </w:p>
    <w:p>
      <w:pPr>
        <w:ind w:left="3360"/>
        <w:spacing w:after="0"/>
        <w:rPr>
          <w:sz w:val="20"/>
          <w:szCs w:val="20"/>
          <w:color w:val="auto"/>
        </w:rPr>
      </w:pPr>
      <w:r>
        <w:rPr>
          <w:rFonts w:ascii="Times New Roman" w:cs="Times New Roman" w:eastAsia="Times New Roman" w:hAnsi="Times New Roman"/>
          <w:sz w:val="20"/>
          <w:szCs w:val="20"/>
          <w:b w:val="1"/>
          <w:bCs w:val="1"/>
          <w:color w:val="auto"/>
        </w:rPr>
        <w:t>H.M. WHITE, INC.</w:t>
      </w:r>
    </w:p>
    <w:p>
      <w:pPr>
        <w:ind w:left="3360"/>
        <w:spacing w:after="0"/>
        <w:rPr>
          <w:sz w:val="20"/>
          <w:szCs w:val="20"/>
          <w:color w:val="auto"/>
        </w:rPr>
      </w:pPr>
      <w:r>
        <w:rPr>
          <w:rFonts w:ascii="Times New Roman" w:cs="Times New Roman" w:eastAsia="Times New Roman" w:hAnsi="Times New Roman"/>
          <w:sz w:val="20"/>
          <w:szCs w:val="20"/>
          <w:b w:val="1"/>
          <w:bCs w:val="1"/>
          <w:color w:val="auto"/>
        </w:rPr>
        <w:t>KEMCO SYSTEMS CO., LLC</w:t>
      </w:r>
    </w:p>
    <w:p>
      <w:pPr>
        <w:ind w:left="3360"/>
        <w:spacing w:after="0"/>
        <w:rPr>
          <w:sz w:val="20"/>
          <w:szCs w:val="20"/>
          <w:color w:val="auto"/>
        </w:rPr>
      </w:pPr>
      <w:r>
        <w:rPr>
          <w:rFonts w:ascii="Times New Roman" w:cs="Times New Roman" w:eastAsia="Times New Roman" w:hAnsi="Times New Roman"/>
          <w:sz w:val="20"/>
          <w:szCs w:val="20"/>
          <w:b w:val="1"/>
          <w:bCs w:val="1"/>
          <w:color w:val="auto"/>
        </w:rPr>
        <w:t>MET-PRO TECHNOLOGIES LLC</w:t>
      </w:r>
    </w:p>
    <w:p>
      <w:pPr>
        <w:ind w:left="3360"/>
        <w:spacing w:after="0"/>
        <w:rPr>
          <w:sz w:val="20"/>
          <w:szCs w:val="20"/>
          <w:color w:val="auto"/>
        </w:rPr>
      </w:pPr>
      <w:r>
        <w:rPr>
          <w:rFonts w:ascii="Times New Roman" w:cs="Times New Roman" w:eastAsia="Times New Roman" w:hAnsi="Times New Roman"/>
          <w:sz w:val="20"/>
          <w:szCs w:val="20"/>
          <w:b w:val="1"/>
          <w:bCs w:val="1"/>
          <w:color w:val="auto"/>
        </w:rPr>
        <w:t>PEERLESS MFG. CO.</w:t>
      </w:r>
    </w:p>
    <w:p>
      <w:pPr>
        <w:ind w:left="3360"/>
        <w:spacing w:after="0"/>
        <w:rPr>
          <w:sz w:val="20"/>
          <w:szCs w:val="20"/>
          <w:color w:val="auto"/>
        </w:rPr>
      </w:pPr>
      <w:r>
        <w:rPr>
          <w:rFonts w:ascii="Times New Roman" w:cs="Times New Roman" w:eastAsia="Times New Roman" w:hAnsi="Times New Roman"/>
          <w:sz w:val="20"/>
          <w:szCs w:val="20"/>
          <w:b w:val="1"/>
          <w:bCs w:val="1"/>
          <w:color w:val="auto"/>
        </w:rPr>
        <w:t>THE KIRK &amp; BLUM MANUFACTURING COMPANY</w:t>
      </w:r>
    </w:p>
    <w:p>
      <w:pPr>
        <w:ind w:left="3360"/>
        <w:spacing w:after="0"/>
        <w:rPr>
          <w:sz w:val="20"/>
          <w:szCs w:val="20"/>
          <w:color w:val="auto"/>
        </w:rPr>
      </w:pPr>
      <w:r>
        <w:rPr>
          <w:rFonts w:ascii="Times New Roman" w:cs="Times New Roman" w:eastAsia="Times New Roman" w:hAnsi="Times New Roman"/>
          <w:sz w:val="20"/>
          <w:szCs w:val="20"/>
          <w:b w:val="1"/>
          <w:bCs w:val="1"/>
          <w:color w:val="auto"/>
        </w:rPr>
        <w:t>COMPASS WATER SOLUTIONS, INC.</w:t>
      </w:r>
    </w:p>
    <w:p>
      <w:pPr>
        <w:ind w:left="3360"/>
        <w:spacing w:after="0"/>
        <w:rPr>
          <w:sz w:val="20"/>
          <w:szCs w:val="20"/>
          <w:color w:val="auto"/>
        </w:rPr>
      </w:pPr>
      <w:r>
        <w:rPr>
          <w:rFonts w:ascii="Times New Roman" w:cs="Times New Roman" w:eastAsia="Times New Roman" w:hAnsi="Times New Roman"/>
          <w:sz w:val="20"/>
          <w:szCs w:val="20"/>
          <w:b w:val="1"/>
          <w:bCs w:val="1"/>
          <w:color w:val="auto"/>
        </w:rPr>
        <w:t>ENVIROCARE INTERNATIONAL, LLC</w:t>
      </w:r>
    </w:p>
    <w:p>
      <w:pPr>
        <w:ind w:left="3360"/>
        <w:spacing w:after="0"/>
        <w:rPr>
          <w:sz w:val="20"/>
          <w:szCs w:val="20"/>
          <w:color w:val="auto"/>
        </w:rPr>
      </w:pPr>
      <w:r>
        <w:rPr>
          <w:rFonts w:ascii="Times New Roman" w:cs="Times New Roman" w:eastAsia="Times New Roman" w:hAnsi="Times New Roman"/>
          <w:sz w:val="20"/>
          <w:szCs w:val="20"/>
          <w:b w:val="1"/>
          <w:bCs w:val="1"/>
          <w:color w:val="auto"/>
        </w:rPr>
        <w:t>TRANSCEND SOLUTIONS, LLC.</w:t>
      </w:r>
    </w:p>
    <w:p>
      <w:pPr>
        <w:ind w:left="3360"/>
        <w:spacing w:after="0"/>
        <w:rPr>
          <w:sz w:val="20"/>
          <w:szCs w:val="20"/>
          <w:color w:val="auto"/>
        </w:rPr>
      </w:pPr>
      <w:r>
        <w:rPr>
          <w:rFonts w:ascii="Times New Roman" w:cs="Times New Roman" w:eastAsia="Times New Roman" w:hAnsi="Times New Roman"/>
          <w:sz w:val="20"/>
          <w:szCs w:val="20"/>
          <w:b w:val="1"/>
          <w:bCs w:val="1"/>
          <w:color w:val="auto"/>
        </w:rPr>
        <w:t>CECO GROUP GLOBAL HOLDINGS LLC</w:t>
      </w:r>
    </w:p>
    <w:p>
      <w:pPr>
        <w:ind w:left="3360"/>
        <w:spacing w:after="0"/>
        <w:rPr>
          <w:sz w:val="20"/>
          <w:szCs w:val="20"/>
          <w:color w:val="auto"/>
        </w:rPr>
      </w:pPr>
      <w:r>
        <w:rPr>
          <w:rFonts w:ascii="Times New Roman" w:cs="Times New Roman" w:eastAsia="Times New Roman" w:hAnsi="Times New Roman"/>
          <w:sz w:val="20"/>
          <w:szCs w:val="20"/>
          <w:b w:val="1"/>
          <w:bCs w:val="1"/>
          <w:color w:val="auto"/>
        </w:rPr>
        <w:t>CECO PEERLESS CHINA HOLDINGS LLC</w:t>
      </w:r>
    </w:p>
    <w:p>
      <w:pPr>
        <w:ind w:left="3360"/>
        <w:spacing w:after="0"/>
        <w:rPr>
          <w:sz w:val="20"/>
          <w:szCs w:val="20"/>
          <w:color w:val="auto"/>
        </w:rPr>
      </w:pPr>
      <w:r>
        <w:rPr>
          <w:rFonts w:ascii="Times New Roman" w:cs="Times New Roman" w:eastAsia="Times New Roman" w:hAnsi="Times New Roman"/>
          <w:sz w:val="20"/>
          <w:szCs w:val="20"/>
          <w:b w:val="1"/>
          <w:bCs w:val="1"/>
          <w:color w:val="auto"/>
        </w:rPr>
        <w:t>VERANTIS HOLDINGS, INC.</w:t>
      </w:r>
    </w:p>
    <w:p>
      <w:pPr>
        <w:ind w:left="3360"/>
        <w:spacing w:after="0"/>
        <w:rPr>
          <w:sz w:val="20"/>
          <w:szCs w:val="20"/>
          <w:color w:val="auto"/>
        </w:rPr>
      </w:pPr>
      <w:r>
        <w:rPr>
          <w:rFonts w:ascii="Times New Roman" w:cs="Times New Roman" w:eastAsia="Times New Roman" w:hAnsi="Times New Roman"/>
          <w:sz w:val="20"/>
          <w:szCs w:val="20"/>
          <w:b w:val="1"/>
          <w:bCs w:val="1"/>
          <w:color w:val="auto"/>
        </w:rPr>
        <w:t>VERANTIS CORPORATION</w:t>
      </w:r>
    </w:p>
    <w:p>
      <w:pPr>
        <w:ind w:left="3360"/>
        <w:spacing w:after="0"/>
        <w:rPr>
          <w:sz w:val="20"/>
          <w:szCs w:val="20"/>
          <w:color w:val="auto"/>
        </w:rPr>
      </w:pPr>
      <w:r>
        <w:rPr>
          <w:rFonts w:ascii="Times New Roman" w:cs="Times New Roman" w:eastAsia="Times New Roman" w:hAnsi="Times New Roman"/>
          <w:sz w:val="20"/>
          <w:szCs w:val="20"/>
          <w:b w:val="1"/>
          <w:bCs w:val="1"/>
          <w:color w:val="auto"/>
        </w:rPr>
        <w:t>PROFIRE ENERGY, INC.</w:t>
      </w: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By: /s/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-10795</wp:posOffset>
            </wp:positionV>
            <wp:extent cx="10115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Name: Peter Johansson</w:t>
      </w:r>
    </w:p>
    <w:p>
      <w:pPr>
        <w:ind w:left="3360"/>
        <w:spacing w:after="0"/>
        <w:tabs>
          <w:tab w:leader="none" w:pos="39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13" w:right="1440" w:bottom="1440" w:gutter="0" w:footer="0" w:header="0"/>
        </w:sectPr>
      </w:pPr>
    </w:p>
    <w:bookmarkStart w:id="14" w:name="page15"/>
    <w:bookmarkEnd w:id="14"/>
    <w:p>
      <w:pPr>
        <w:ind w:left="302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Kyle D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Kyle D Harding</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5" w:name="page16"/>
    <w:bookmarkEnd w:id="15"/>
    <w:p>
      <w:pPr>
        <w:ind w:left="3380"/>
        <w:spacing w:after="0"/>
        <w:rPr>
          <w:sz w:val="20"/>
          <w:szCs w:val="20"/>
          <w:color w:val="auto"/>
        </w:rPr>
      </w:pPr>
      <w:r>
        <w:rPr>
          <w:rFonts w:ascii="Times New Roman" w:cs="Times New Roman" w:eastAsia="Times New Roman" w:hAnsi="Times New Roman"/>
          <w:sz w:val="20"/>
          <w:szCs w:val="20"/>
          <w:b w:val="1"/>
          <w:bCs w:val="1"/>
          <w:u w:val="single" w:color="auto"/>
          <w:color w:val="auto"/>
        </w:rPr>
        <w:t>LENDERS:</w:t>
      </w:r>
    </w:p>
    <w:p>
      <w:pPr>
        <w:spacing w:after="0" w:line="229"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 Lender and an L/C Issuer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Gregg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2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Gregg Bush</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6" w:name="page17"/>
    <w:bookmarkEnd w:id="16"/>
    <w:p>
      <w:pPr>
        <w:spacing w:after="0" w:line="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CITY NATIONAL BANK</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Sanjna Daphtary</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Sanjna Daphtary</w:t>
      </w:r>
    </w:p>
    <w:p>
      <w:pPr>
        <w:ind w:left="33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 as a Lender and an L/C Issuer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Marc Lalljee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Marc Lalljee</w:t>
      </w:r>
    </w:p>
    <w:p>
      <w:pPr>
        <w:ind w:left="3380"/>
        <w:spacing w:after="0"/>
        <w:rPr>
          <w:sz w:val="20"/>
          <w:szCs w:val="20"/>
          <w:color w:val="auto"/>
        </w:rPr>
      </w:pPr>
      <w:r>
        <w:rPr>
          <w:rFonts w:ascii="Times New Roman" w:cs="Times New Roman" w:eastAsia="Times New Roman" w:hAnsi="Times New Roman"/>
          <w:sz w:val="20"/>
          <w:szCs w:val="20"/>
          <w:color w:val="auto"/>
        </w:rPr>
        <w:t>Title: Authorized Signer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77"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20"/>
          <w:szCs w:val="20"/>
          <w:b w:val="1"/>
          <w:bCs w:val="1"/>
          <w:color w:val="auto"/>
        </w:rPr>
        <w:t>FIFTH THIRD BANK, NATIONAL ASSOCIATION</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Jacob Osterman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Jacob Osterman</w:t>
      </w:r>
    </w:p>
    <w:p>
      <w:pPr>
        <w:ind w:left="33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7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BMO BANK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Hassan Baig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Hassan Baig</w:t>
      </w:r>
    </w:p>
    <w:p>
      <w:pPr>
        <w:ind w:left="3380"/>
        <w:spacing w:after="0"/>
        <w:rPr>
          <w:sz w:val="20"/>
          <w:szCs w:val="20"/>
          <w:color w:val="auto"/>
        </w:rPr>
      </w:pPr>
      <w:r>
        <w:rPr>
          <w:rFonts w:ascii="Times New Roman" w:cs="Times New Roman" w:eastAsia="Times New Roman" w:hAnsi="Times New Roman"/>
          <w:sz w:val="20"/>
          <w:szCs w:val="20"/>
          <w:color w:val="auto"/>
        </w:rPr>
        <w:t>Title: Director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77"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Alexander Jodry</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Alexander Jodry</w:t>
      </w:r>
    </w:p>
    <w:p>
      <w:pPr>
        <w:ind w:left="33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jc w:val="right"/>
        <w:ind w:right="419"/>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Philip Kotev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Philip Kotev</w:t>
      </w:r>
    </w:p>
    <w:p>
      <w:pPr>
        <w:ind w:left="3380"/>
        <w:spacing w:after="0"/>
        <w:rPr>
          <w:sz w:val="20"/>
          <w:szCs w:val="20"/>
          <w:color w:val="auto"/>
        </w:rPr>
      </w:pPr>
      <w:r>
        <w:rPr>
          <w:rFonts w:ascii="Times New Roman" w:cs="Times New Roman" w:eastAsia="Times New Roman" w:hAnsi="Times New Roman"/>
          <w:sz w:val="20"/>
          <w:szCs w:val="20"/>
          <w:color w:val="auto"/>
        </w:rPr>
        <w:t>Title: Sr. Corporate Banking Manager/SVP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THE TORONTO-DOMINION BANK, NEW YORK BRANCH</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David Perlman</w:t>
      </w:r>
    </w:p>
    <w:p>
      <w:pPr>
        <w:ind w:left="33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1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09" w:right="699" w:bottom="1440" w:gutter="0" w:footer="0" w:header="0"/>
        </w:sectPr>
      </w:pPr>
    </w:p>
    <w:bookmarkStart w:id="23" w:name="page24"/>
    <w:bookmarkEnd w:id="23"/>
    <w:p>
      <w:pPr>
        <w:spacing w:after="0" w:line="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Matt 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997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Matt Valles</w:t>
      </w:r>
    </w:p>
    <w:p>
      <w:pPr>
        <w:ind w:left="3380"/>
        <w:spacing w:after="0"/>
        <w:rPr>
          <w:sz w:val="20"/>
          <w:szCs w:val="20"/>
          <w:color w:val="auto"/>
        </w:rPr>
      </w:pPr>
      <w:r>
        <w:rPr>
          <w:rFonts w:ascii="Times New Roman" w:cs="Times New Roman" w:eastAsia="Times New Roman" w:hAnsi="Times New Roman"/>
          <w:sz w:val="20"/>
          <w:szCs w:val="20"/>
          <w:color w:val="auto"/>
        </w:rPr>
        <w:t>Title: Authorized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Rick Macias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Rick Macias</w:t>
      </w:r>
    </w:p>
    <w:p>
      <w:pPr>
        <w:ind w:left="33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80"/>
          </w:cols>
          <w:pgMar w:left="1440" w:top="1440" w:right="1379" w:bottom="1440" w:gutter="0" w:footer="0" w:header="0"/>
        </w:sectPr>
      </w:pPr>
    </w:p>
    <w:bookmarkStart w:id="25" w:name="page26"/>
    <w:bookmarkEnd w:id="25"/>
    <w:p>
      <w:pPr>
        <w:spacing w:after="0" w:line="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SOUTH STATE BANK</w:t>
      </w:r>
      <w:r>
        <w:rPr>
          <w:rFonts w:ascii="Times New Roman" w:cs="Times New Roman" w:eastAsia="Times New Roman" w:hAnsi="Times New Roman"/>
          <w:sz w:val="20"/>
          <w:szCs w:val="20"/>
          <w:color w:val="auto"/>
        </w:rPr>
        <w:t>, as a Joining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Brian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Brian Combs</w:t>
      </w:r>
    </w:p>
    <w:p>
      <w:pPr>
        <w:jc w:val="right"/>
        <w:ind w:right="679"/>
        <w:spacing w:after="0"/>
        <w:rPr>
          <w:sz w:val="20"/>
          <w:szCs w:val="20"/>
          <w:color w:val="auto"/>
        </w:rPr>
      </w:pPr>
      <w:r>
        <w:rPr>
          <w:rFonts w:ascii="Times New Roman" w:cs="Times New Roman" w:eastAsia="Times New Roman" w:hAnsi="Times New Roman"/>
          <w:sz w:val="20"/>
          <w:szCs w:val="20"/>
          <w:color w:val="auto"/>
        </w:rPr>
        <w:t>Title: Senior Vice President Middle Market Regional 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spacing w:after="0" w:line="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HANCOCK WHITNEY BANK</w:t>
      </w:r>
      <w:r>
        <w:rPr>
          <w:rFonts w:ascii="Times New Roman" w:cs="Times New Roman" w:eastAsia="Times New Roman" w:hAnsi="Times New Roman"/>
          <w:sz w:val="20"/>
          <w:szCs w:val="20"/>
          <w:color w:val="auto"/>
        </w:rPr>
        <w:t>, as a Joining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Michael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Michael Doran</w:t>
      </w:r>
    </w:p>
    <w:p>
      <w:pPr>
        <w:ind w:left="3380"/>
        <w:spacing w:after="0"/>
        <w:rPr>
          <w:sz w:val="20"/>
          <w:szCs w:val="20"/>
          <w:color w:val="auto"/>
        </w:rPr>
      </w:pPr>
      <w:r>
        <w:rPr>
          <w:rFonts w:ascii="Times New Roman" w:cs="Times New Roman" w:eastAsia="Times New Roman" w:hAnsi="Times New Roman"/>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FOURTH AMENDED AND RESTATED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1185545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Published Deal CUSIP Number:  12514DAQ8</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Published Revolving Credit Facility CUSIP Number: 12514DAR6</w:t>
      </w:r>
    </w:p>
    <w:p>
      <w:pPr>
        <w:jc w:val="right"/>
        <w:spacing w:after="0"/>
        <w:rPr>
          <w:sz w:val="20"/>
          <w:szCs w:val="20"/>
          <w:color w:val="auto"/>
        </w:rPr>
      </w:pPr>
      <w:r>
        <w:rPr>
          <w:rFonts w:ascii="Times New Roman" w:cs="Times New Roman" w:eastAsia="Times New Roman" w:hAnsi="Times New Roman"/>
          <w:sz w:val="20"/>
          <w:szCs w:val="20"/>
          <w:b w:val="1"/>
          <w:bCs w:val="1"/>
          <w:color w:val="auto"/>
        </w:rPr>
        <w:t>Published Incremental Term A-1 Loan Facility CUSIP Number: 12514DAS4</w:t>
      </w: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FOURTH AMENDED AND RESTATED CREDIT AGREEMENT</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January 30, 2026</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CERTAIN SUBSIDIARIES</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Borrowers,</w:t>
      </w:r>
    </w:p>
    <w:p>
      <w:pPr>
        <w:spacing w:after="0" w:line="20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THE LENDERS PARTY HERETO</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as Administrative Agent, Swing Line Lender</w:t>
      </w:r>
    </w:p>
    <w:p>
      <w:pPr>
        <w:ind w:left="4340"/>
        <w:spacing w:after="0"/>
        <w:rPr>
          <w:sz w:val="20"/>
          <w:szCs w:val="20"/>
          <w:color w:val="auto"/>
        </w:rPr>
      </w:pPr>
      <w:r>
        <w:rPr>
          <w:rFonts w:ascii="Times New Roman" w:cs="Times New Roman" w:eastAsia="Times New Roman" w:hAnsi="Times New Roman"/>
          <w:sz w:val="20"/>
          <w:szCs w:val="20"/>
          <w:color w:val="auto"/>
        </w:rPr>
        <w:t>and</w:t>
      </w:r>
    </w:p>
    <w:p>
      <w:pPr>
        <w:ind w:left="3940"/>
        <w:spacing w:after="0"/>
        <w:rPr>
          <w:sz w:val="20"/>
          <w:szCs w:val="20"/>
          <w:color w:val="auto"/>
        </w:rPr>
      </w:pPr>
      <w:r>
        <w:rPr>
          <w:rFonts w:ascii="Times New Roman" w:cs="Times New Roman" w:eastAsia="Times New Roman" w:hAnsi="Times New Roman"/>
          <w:sz w:val="20"/>
          <w:szCs w:val="20"/>
          <w:color w:val="auto"/>
        </w:rPr>
        <w:t>an L/C Issuer,</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THE TORONTO-DOMINION BANK, NEW YORK BRANCH,</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FIFTH THIRD BANK, NATIONAL ASSOCIATION</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BMO BANK, N.A.</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CITY NATIONAL BANK</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TD SECURITIES (USA) LLC</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1564640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497205</wp:posOffset>
            </wp:positionV>
            <wp:extent cx="713232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996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9"/>
              </w:rPr>
              <w:t>TABLE OF CONTENTS</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399"/>
        </w:trPr>
        <w:tc>
          <w:tcPr>
            <w:tcW w:w="60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551"/>
        </w:trPr>
        <w:tc>
          <w:tcPr>
            <w:tcW w:w="600" w:type="dxa"/>
            <w:vAlign w:val="bottom"/>
          </w:tcPr>
          <w:p>
            <w:pPr>
              <w:spacing w:after="0"/>
              <w:rPr>
                <w:sz w:val="24"/>
                <w:szCs w:val="24"/>
                <w:color w:val="auto"/>
              </w:rPr>
            </w:pPr>
          </w:p>
        </w:tc>
        <w:tc>
          <w:tcPr>
            <w:tcW w:w="9060" w:type="dxa"/>
            <w:vAlign w:val="bottom"/>
          </w:tcPr>
          <w:p>
            <w:pPr>
              <w:jc w:val="center"/>
              <w:ind w:left="881"/>
              <w:spacing w:after="0"/>
              <w:rPr>
                <w:sz w:val="20"/>
                <w:szCs w:val="20"/>
                <w:color w:val="auto"/>
              </w:rPr>
            </w:pPr>
            <w:r>
              <w:rPr>
                <w:rFonts w:ascii="Times New Roman" w:cs="Times New Roman" w:eastAsia="Times New Roman" w:hAnsi="Times New Roman"/>
                <w:sz w:val="20"/>
                <w:szCs w:val="20"/>
                <w:color w:val="auto"/>
                <w:w w:val="98"/>
              </w:rPr>
              <w:t>ARTICLE I.</w:t>
            </w: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996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9"/>
              </w:rPr>
              <w:t>DEFINITIONS AND ACCOUNTING TERMS</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1.01</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Defined Terms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1.02</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1.03</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Accounting Terms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1.04</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Rounding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1.05</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Times of Day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1.06</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Letter of Credit Amounts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1.07</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Adjustments for Specified Transactions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1.08</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Exchange Rates; Currency Equivalents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1.09</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Additional Alternative Currencies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1.10</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Change of Currency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1.11</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Interest Rates; Licensing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1.12</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Limited Condition Transactions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1.13</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Covenant Compliance Generally  56</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17"/>
        </w:trPr>
        <w:tc>
          <w:tcPr>
            <w:tcW w:w="600" w:type="dxa"/>
            <w:vAlign w:val="bottom"/>
          </w:tcPr>
          <w:p>
            <w:pPr>
              <w:spacing w:after="0"/>
              <w:rPr>
                <w:sz w:val="24"/>
                <w:szCs w:val="24"/>
                <w:color w:val="auto"/>
              </w:rPr>
            </w:pPr>
          </w:p>
        </w:tc>
        <w:tc>
          <w:tcPr>
            <w:tcW w:w="996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8"/>
              </w:rPr>
              <w:t>ARTICLE II.</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99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THE COMMITMENTS AND CREDIT EXTENSIONS</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2.01</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 Loans.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2.02</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Borrowings, Conversions and Continuations of Loans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2.03</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Letters of Credit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2.04</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Swing Line Loans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2.05</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Prepayments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2.06</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Termination or Reduction of Commitments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2.07</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Repayment of Loans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2.08</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Interest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2.09</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Fees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2.10</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Computation of Interest and Fees; Retroactive Adjustments of Applicable Rate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2.11</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Evidence of Debt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2.12</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Payments Generally; Administrative Agent’s Clawback</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2.13</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Sharing of Payments by Lenders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2.14</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Designated Borrowers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2.15</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Increase Option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2.16</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Cash Collateral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2.17</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Defaulting Lenders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2.18</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Designation of Unrestricted and Restricted Subsidiaries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417"/>
        </w:trPr>
        <w:tc>
          <w:tcPr>
            <w:tcW w:w="600" w:type="dxa"/>
            <w:vAlign w:val="bottom"/>
          </w:tcPr>
          <w:p>
            <w:pPr>
              <w:spacing w:after="0"/>
              <w:rPr>
                <w:sz w:val="24"/>
                <w:szCs w:val="24"/>
                <w:color w:val="auto"/>
              </w:rPr>
            </w:pPr>
          </w:p>
        </w:tc>
        <w:tc>
          <w:tcPr>
            <w:tcW w:w="996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9"/>
              </w:rPr>
              <w:t>ARTICLE III.</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996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8"/>
              </w:rPr>
              <w:t>TAXES, YIELD PROTECTION AND ILLEGALITY</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3.01</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Taxes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3.02</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Illegality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3.03</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3.04</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Increased Costs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3.05</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Compensation for Losses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r>
    </w:tbl>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3.06</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3.07</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Survival</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417"/>
        </w:trPr>
        <w:tc>
          <w:tcPr>
            <w:tcW w:w="600" w:type="dxa"/>
            <w:vAlign w:val="bottom"/>
          </w:tcPr>
          <w:p>
            <w:pPr>
              <w:spacing w:after="0"/>
              <w:rPr>
                <w:sz w:val="24"/>
                <w:szCs w:val="24"/>
                <w:color w:val="auto"/>
              </w:rPr>
            </w:pPr>
          </w:p>
        </w:tc>
        <w:tc>
          <w:tcPr>
            <w:tcW w:w="8880" w:type="dxa"/>
            <w:vAlign w:val="bottom"/>
          </w:tcPr>
          <w:p>
            <w:pPr>
              <w:jc w:val="center"/>
              <w:ind w:left="1081"/>
              <w:spacing w:after="0"/>
              <w:rPr>
                <w:sz w:val="20"/>
                <w:szCs w:val="20"/>
                <w:color w:val="auto"/>
              </w:rPr>
            </w:pPr>
            <w:r>
              <w:rPr>
                <w:rFonts w:ascii="Times New Roman" w:cs="Times New Roman" w:eastAsia="Times New Roman" w:hAnsi="Times New Roman"/>
                <w:sz w:val="20"/>
                <w:szCs w:val="20"/>
                <w:color w:val="auto"/>
                <w:w w:val="98"/>
              </w:rPr>
              <w:t>ARTICLE IV.</w:t>
            </w:r>
          </w:p>
        </w:tc>
        <w:tc>
          <w:tcPr>
            <w:tcW w:w="176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880" w:type="dxa"/>
            <w:vAlign w:val="bottom"/>
          </w:tcPr>
          <w:p>
            <w:pPr>
              <w:jc w:val="center"/>
              <w:ind w:left="1061"/>
              <w:spacing w:after="0"/>
              <w:rPr>
                <w:sz w:val="20"/>
                <w:szCs w:val="20"/>
                <w:color w:val="auto"/>
              </w:rPr>
            </w:pPr>
            <w:r>
              <w:rPr>
                <w:rFonts w:ascii="Times New Roman" w:cs="Times New Roman" w:eastAsia="Times New Roman" w:hAnsi="Times New Roman"/>
                <w:sz w:val="20"/>
                <w:szCs w:val="20"/>
                <w:color w:val="auto"/>
                <w:w w:val="99"/>
              </w:rPr>
              <w:t>CONDITIONS PRECEDENT TO CREDIT EXTENSIONS</w:t>
            </w:r>
          </w:p>
        </w:tc>
        <w:tc>
          <w:tcPr>
            <w:tcW w:w="176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4.01</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Conditions of Initial Credit Extension</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4.02</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Conditions to All Credit Extensions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417"/>
        </w:trPr>
        <w:tc>
          <w:tcPr>
            <w:tcW w:w="600" w:type="dxa"/>
            <w:vAlign w:val="bottom"/>
          </w:tcPr>
          <w:p>
            <w:pPr>
              <w:spacing w:after="0"/>
              <w:rPr>
                <w:sz w:val="24"/>
                <w:szCs w:val="24"/>
                <w:color w:val="auto"/>
              </w:rPr>
            </w:pPr>
          </w:p>
        </w:tc>
        <w:tc>
          <w:tcPr>
            <w:tcW w:w="8880" w:type="dxa"/>
            <w:vAlign w:val="bottom"/>
          </w:tcPr>
          <w:p>
            <w:pPr>
              <w:jc w:val="center"/>
              <w:ind w:left="1061"/>
              <w:spacing w:after="0"/>
              <w:rPr>
                <w:sz w:val="20"/>
                <w:szCs w:val="20"/>
                <w:color w:val="auto"/>
              </w:rPr>
            </w:pPr>
            <w:r>
              <w:rPr>
                <w:rFonts w:ascii="Times New Roman" w:cs="Times New Roman" w:eastAsia="Times New Roman" w:hAnsi="Times New Roman"/>
                <w:sz w:val="20"/>
                <w:szCs w:val="20"/>
                <w:color w:val="auto"/>
                <w:w w:val="99"/>
              </w:rPr>
              <w:t>ARTICLE V.</w:t>
            </w:r>
          </w:p>
        </w:tc>
        <w:tc>
          <w:tcPr>
            <w:tcW w:w="176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880" w:type="dxa"/>
            <w:vAlign w:val="bottom"/>
          </w:tcPr>
          <w:p>
            <w:pPr>
              <w:jc w:val="center"/>
              <w:ind w:left="1081"/>
              <w:spacing w:after="0"/>
              <w:rPr>
                <w:sz w:val="20"/>
                <w:szCs w:val="20"/>
                <w:color w:val="auto"/>
              </w:rPr>
            </w:pPr>
            <w:r>
              <w:rPr>
                <w:rFonts w:ascii="Times New Roman" w:cs="Times New Roman" w:eastAsia="Times New Roman" w:hAnsi="Times New Roman"/>
                <w:sz w:val="20"/>
                <w:szCs w:val="20"/>
                <w:color w:val="auto"/>
                <w:w w:val="98"/>
              </w:rPr>
              <w:t>REPRESENTATIONS AND WARRANTIES</w:t>
            </w:r>
          </w:p>
        </w:tc>
        <w:tc>
          <w:tcPr>
            <w:tcW w:w="176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5.01</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Existence, Qualification and Power</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5.02</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Authorization; No Contravention</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5.03</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Governmental Authorization; Other Consents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5.04</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Binding Effect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5.05</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Financial Statements; No Material Adverse Effect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5.06</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Litigation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5.07</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 Default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5.08</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Ownership of Property; Liens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5.09</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Environmental Compliance</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5.10</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Insurance</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5.11</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Taxes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5.12</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ERISA Compliance</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5.13</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Subsidiaries; Equity Investments; Loan Parties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5.14</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Margin Regulations; Investment Company Act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5.15</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Disclosure</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5.16</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Compliance with Laws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5.17</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Intellectual Property; Licenses, Etc</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5.18</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OFAC</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5.19</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Solvency</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5.20</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[Reserved.]</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5.21</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Labor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5.22</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Collateral Documents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5.23</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Representations as to Foreign Obligors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5.24</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Anti-Corruption Laws; Sanctions; Use of Proceeds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5.25</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Affected Financial Institution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5.26</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Borrower ERISA Status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5.27</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Beneficial Ownership Certification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5.28</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Covered Entity</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5.29</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Residency for Dutch Tax Purposes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5.30</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Fiscal Unity for Dutch Tax Purposes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5.31</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Centre of Main Interests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417"/>
        </w:trPr>
        <w:tc>
          <w:tcPr>
            <w:tcW w:w="600" w:type="dxa"/>
            <w:vAlign w:val="bottom"/>
          </w:tcPr>
          <w:p>
            <w:pPr>
              <w:spacing w:after="0"/>
              <w:rPr>
                <w:sz w:val="24"/>
                <w:szCs w:val="24"/>
                <w:color w:val="auto"/>
              </w:rPr>
            </w:pPr>
          </w:p>
        </w:tc>
        <w:tc>
          <w:tcPr>
            <w:tcW w:w="8880" w:type="dxa"/>
            <w:vAlign w:val="bottom"/>
          </w:tcPr>
          <w:p>
            <w:pPr>
              <w:jc w:val="center"/>
              <w:ind w:left="1081"/>
              <w:spacing w:after="0"/>
              <w:rPr>
                <w:sz w:val="20"/>
                <w:szCs w:val="20"/>
                <w:color w:val="auto"/>
              </w:rPr>
            </w:pPr>
            <w:r>
              <w:rPr>
                <w:rFonts w:ascii="Times New Roman" w:cs="Times New Roman" w:eastAsia="Times New Roman" w:hAnsi="Times New Roman"/>
                <w:sz w:val="20"/>
                <w:szCs w:val="20"/>
                <w:color w:val="auto"/>
                <w:w w:val="98"/>
              </w:rPr>
              <w:t>ARTICLE VI.</w:t>
            </w:r>
          </w:p>
        </w:tc>
        <w:tc>
          <w:tcPr>
            <w:tcW w:w="176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880" w:type="dxa"/>
            <w:vAlign w:val="bottom"/>
          </w:tcPr>
          <w:p>
            <w:pPr>
              <w:jc w:val="center"/>
              <w:ind w:left="1081"/>
              <w:spacing w:after="0"/>
              <w:rPr>
                <w:sz w:val="20"/>
                <w:szCs w:val="20"/>
                <w:color w:val="auto"/>
              </w:rPr>
            </w:pPr>
            <w:r>
              <w:rPr>
                <w:rFonts w:ascii="Times New Roman" w:cs="Times New Roman" w:eastAsia="Times New Roman" w:hAnsi="Times New Roman"/>
                <w:sz w:val="20"/>
                <w:szCs w:val="20"/>
                <w:color w:val="auto"/>
                <w:w w:val="99"/>
              </w:rPr>
              <w:t>AFFIRMATIVE COVENANTS</w:t>
            </w:r>
          </w:p>
        </w:tc>
        <w:tc>
          <w:tcPr>
            <w:tcW w:w="176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6.01</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Financial Statements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6.02</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6.03</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Notices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6.04</w:t>
            </w:r>
          </w:p>
        </w:tc>
        <w:tc>
          <w:tcPr>
            <w:tcW w:w="8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Payment of Obligations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bl>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Preservation of Existence, Etc</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Maintenance of Insurance</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Compliance with Laws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6.09</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Books and Records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6.10</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Inspection Rights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Use of Proceeds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Additional Subsidiaries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Compliance with Environmental Laws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Further Assurances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Approvals and Authorizations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Anti-Corruption Laws; Sanctions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Residency for Dutch Tax Purposes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Fiscal Unity for Dutch Tax Purposes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6.19</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Centre of Main Interests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6.20</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Allocation of Tax Losses upon Termination of Fiscal Unity for Dutch Tax Purposes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417"/>
        </w:trPr>
        <w:tc>
          <w:tcPr>
            <w:tcW w:w="600" w:type="dxa"/>
            <w:vAlign w:val="bottom"/>
          </w:tcPr>
          <w:p>
            <w:pPr>
              <w:spacing w:after="0"/>
              <w:rPr>
                <w:sz w:val="24"/>
                <w:szCs w:val="24"/>
                <w:color w:val="auto"/>
              </w:rPr>
            </w:pPr>
          </w:p>
        </w:tc>
        <w:tc>
          <w:tcPr>
            <w:tcW w:w="8600" w:type="dxa"/>
            <w:vAlign w:val="bottom"/>
          </w:tcPr>
          <w:p>
            <w:pPr>
              <w:jc w:val="center"/>
              <w:ind w:left="1341"/>
              <w:spacing w:after="0"/>
              <w:rPr>
                <w:sz w:val="20"/>
                <w:szCs w:val="20"/>
                <w:color w:val="auto"/>
              </w:rPr>
            </w:pPr>
            <w:r>
              <w:rPr>
                <w:rFonts w:ascii="Times New Roman" w:cs="Times New Roman" w:eastAsia="Times New Roman" w:hAnsi="Times New Roman"/>
                <w:sz w:val="20"/>
                <w:szCs w:val="20"/>
                <w:color w:val="auto"/>
                <w:w w:val="98"/>
              </w:rPr>
              <w:t>ARTICLE VII.</w:t>
            </w:r>
          </w:p>
        </w:tc>
        <w:tc>
          <w:tcPr>
            <w:tcW w:w="204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600" w:type="dxa"/>
            <w:vAlign w:val="bottom"/>
          </w:tcPr>
          <w:p>
            <w:pPr>
              <w:jc w:val="center"/>
              <w:ind w:left="1341"/>
              <w:spacing w:after="0"/>
              <w:rPr>
                <w:sz w:val="20"/>
                <w:szCs w:val="20"/>
                <w:color w:val="auto"/>
              </w:rPr>
            </w:pPr>
            <w:r>
              <w:rPr>
                <w:rFonts w:ascii="Times New Roman" w:cs="Times New Roman" w:eastAsia="Times New Roman" w:hAnsi="Times New Roman"/>
                <w:sz w:val="20"/>
                <w:szCs w:val="20"/>
                <w:color w:val="auto"/>
                <w:w w:val="98"/>
              </w:rPr>
              <w:t>NEGATIVE COVENANTS</w:t>
            </w:r>
          </w:p>
        </w:tc>
        <w:tc>
          <w:tcPr>
            <w:tcW w:w="204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Liens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Indebtedness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Fundamental Changes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Dispositions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Restricted Payments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 in Nature of Business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7.09</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Burdensome Agreements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7.10</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Use of Proceeds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Financial Covenants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Amendment or Modification of Organization Documents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Accounting Changes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Payments and Modifications of Junior Indebtedness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Post-Closing Actions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417"/>
        </w:trPr>
        <w:tc>
          <w:tcPr>
            <w:tcW w:w="600" w:type="dxa"/>
            <w:vAlign w:val="bottom"/>
          </w:tcPr>
          <w:p>
            <w:pPr>
              <w:spacing w:after="0"/>
              <w:rPr>
                <w:sz w:val="24"/>
                <w:szCs w:val="24"/>
                <w:color w:val="auto"/>
              </w:rPr>
            </w:pPr>
          </w:p>
        </w:tc>
        <w:tc>
          <w:tcPr>
            <w:tcW w:w="8600" w:type="dxa"/>
            <w:vAlign w:val="bottom"/>
          </w:tcPr>
          <w:p>
            <w:pPr>
              <w:jc w:val="center"/>
              <w:ind w:left="1341"/>
              <w:spacing w:after="0"/>
              <w:rPr>
                <w:sz w:val="20"/>
                <w:szCs w:val="20"/>
                <w:color w:val="auto"/>
              </w:rPr>
            </w:pPr>
            <w:r>
              <w:rPr>
                <w:rFonts w:ascii="Times New Roman" w:cs="Times New Roman" w:eastAsia="Times New Roman" w:hAnsi="Times New Roman"/>
                <w:sz w:val="20"/>
                <w:szCs w:val="20"/>
                <w:color w:val="auto"/>
                <w:w w:val="99"/>
              </w:rPr>
              <w:t>ARTICLE VIII.</w:t>
            </w:r>
          </w:p>
        </w:tc>
        <w:tc>
          <w:tcPr>
            <w:tcW w:w="204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600" w:type="dxa"/>
            <w:vAlign w:val="bottom"/>
          </w:tcPr>
          <w:p>
            <w:pPr>
              <w:jc w:val="center"/>
              <w:ind w:left="1341"/>
              <w:spacing w:after="0"/>
              <w:rPr>
                <w:sz w:val="20"/>
                <w:szCs w:val="20"/>
                <w:color w:val="auto"/>
              </w:rPr>
            </w:pPr>
            <w:r>
              <w:rPr>
                <w:rFonts w:ascii="Times New Roman" w:cs="Times New Roman" w:eastAsia="Times New Roman" w:hAnsi="Times New Roman"/>
                <w:sz w:val="20"/>
                <w:szCs w:val="20"/>
                <w:color w:val="auto"/>
                <w:w w:val="98"/>
              </w:rPr>
              <w:t>EVENTS OF DEFAULT AND REMEDIES</w:t>
            </w:r>
          </w:p>
        </w:tc>
        <w:tc>
          <w:tcPr>
            <w:tcW w:w="204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8.01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Events of Default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8.02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8.03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Application of Funds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417"/>
        </w:trPr>
        <w:tc>
          <w:tcPr>
            <w:tcW w:w="600" w:type="dxa"/>
            <w:vAlign w:val="bottom"/>
          </w:tcPr>
          <w:p>
            <w:pPr>
              <w:spacing w:after="0"/>
              <w:rPr>
                <w:sz w:val="24"/>
                <w:szCs w:val="24"/>
                <w:color w:val="auto"/>
              </w:rPr>
            </w:pPr>
          </w:p>
        </w:tc>
        <w:tc>
          <w:tcPr>
            <w:tcW w:w="8600" w:type="dxa"/>
            <w:vAlign w:val="bottom"/>
          </w:tcPr>
          <w:p>
            <w:pPr>
              <w:jc w:val="center"/>
              <w:ind w:left="1361"/>
              <w:spacing w:after="0"/>
              <w:rPr>
                <w:sz w:val="20"/>
                <w:szCs w:val="20"/>
                <w:color w:val="auto"/>
              </w:rPr>
            </w:pPr>
            <w:r>
              <w:rPr>
                <w:rFonts w:ascii="Times New Roman" w:cs="Times New Roman" w:eastAsia="Times New Roman" w:hAnsi="Times New Roman"/>
                <w:sz w:val="20"/>
                <w:szCs w:val="20"/>
                <w:color w:val="auto"/>
                <w:w w:val="98"/>
              </w:rPr>
              <w:t>ARTICLE IX.</w:t>
            </w:r>
          </w:p>
        </w:tc>
        <w:tc>
          <w:tcPr>
            <w:tcW w:w="204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600" w:type="dxa"/>
            <w:vAlign w:val="bottom"/>
          </w:tcPr>
          <w:p>
            <w:pPr>
              <w:jc w:val="center"/>
              <w:ind w:left="1361"/>
              <w:spacing w:after="0"/>
              <w:rPr>
                <w:sz w:val="20"/>
                <w:szCs w:val="20"/>
                <w:color w:val="auto"/>
              </w:rPr>
            </w:pPr>
            <w:r>
              <w:rPr>
                <w:rFonts w:ascii="Times New Roman" w:cs="Times New Roman" w:eastAsia="Times New Roman" w:hAnsi="Times New Roman"/>
                <w:sz w:val="20"/>
                <w:szCs w:val="20"/>
                <w:color w:val="auto"/>
                <w:w w:val="99"/>
              </w:rPr>
              <w:t>ADMINISTRATIVE AGENT</w:t>
            </w:r>
          </w:p>
        </w:tc>
        <w:tc>
          <w:tcPr>
            <w:tcW w:w="204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Rights as a Lender</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Exculpatory Provisions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Reliance by Administrative Agent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Delegation of Duties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bl>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9.06</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Resignation of Administrative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9.07</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Non-Reliance on Administrative Agent, Arrangers and Other Lenders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9.08</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Other Duties, Etc</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9.09</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Administrative Agent May File Proofs of Claim; Credit Bidding</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9.10</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9.11</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Secured Cash Management Agreements, Secured Hedge Agreements and Secured Permitted Standalone Letters of Credit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9.12</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Certain ERISA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9.13</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Recovery of Erroneous 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417"/>
        </w:trPr>
        <w:tc>
          <w:tcPr>
            <w:tcW w:w="640" w:type="dxa"/>
            <w:vAlign w:val="bottom"/>
          </w:tcPr>
          <w:p>
            <w:pPr>
              <w:spacing w:after="0"/>
              <w:rPr>
                <w:sz w:val="24"/>
                <w:szCs w:val="24"/>
                <w:color w:val="auto"/>
              </w:rPr>
            </w:pPr>
          </w:p>
        </w:tc>
        <w:tc>
          <w:tcPr>
            <w:tcW w:w="10040" w:type="dxa"/>
            <w:vAlign w:val="bottom"/>
          </w:tcPr>
          <w:p>
            <w:pPr>
              <w:ind w:left="4440"/>
              <w:spacing w:after="0"/>
              <w:rPr>
                <w:sz w:val="20"/>
                <w:szCs w:val="20"/>
                <w:color w:val="auto"/>
              </w:rPr>
            </w:pPr>
            <w:r>
              <w:rPr>
                <w:rFonts w:ascii="Times New Roman" w:cs="Times New Roman" w:eastAsia="Times New Roman" w:hAnsi="Times New Roman"/>
                <w:sz w:val="20"/>
                <w:szCs w:val="20"/>
                <w:color w:val="auto"/>
              </w:rPr>
              <w:t>ARTICLE X.</w:t>
            </w:r>
          </w:p>
        </w:tc>
        <w:tc>
          <w:tcPr>
            <w:tcW w:w="560" w:type="dxa"/>
            <w:vAlign w:val="bottom"/>
          </w:tcPr>
          <w:p>
            <w:pPr>
              <w:spacing w:after="0"/>
              <w:rPr>
                <w:sz w:val="24"/>
                <w:szCs w:val="24"/>
                <w:color w:val="auto"/>
              </w:rPr>
            </w:pPr>
          </w:p>
        </w:tc>
      </w:tr>
      <w:tr>
        <w:trPr>
          <w:trHeight w:val="258"/>
        </w:trPr>
        <w:tc>
          <w:tcPr>
            <w:tcW w:w="640" w:type="dxa"/>
            <w:vAlign w:val="bottom"/>
          </w:tcPr>
          <w:p>
            <w:pPr>
              <w:spacing w:after="0"/>
              <w:rPr>
                <w:sz w:val="22"/>
                <w:szCs w:val="22"/>
                <w:color w:val="auto"/>
              </w:rPr>
            </w:pPr>
          </w:p>
        </w:tc>
        <w:tc>
          <w:tcPr>
            <w:tcW w:w="10040" w:type="dxa"/>
            <w:vAlign w:val="bottom"/>
          </w:tcPr>
          <w:p>
            <w:pPr>
              <w:ind w:left="4160"/>
              <w:spacing w:after="0"/>
              <w:rPr>
                <w:sz w:val="20"/>
                <w:szCs w:val="20"/>
                <w:color w:val="auto"/>
              </w:rPr>
            </w:pPr>
            <w:r>
              <w:rPr>
                <w:rFonts w:ascii="Times New Roman" w:cs="Times New Roman" w:eastAsia="Times New Roman" w:hAnsi="Times New Roman"/>
                <w:sz w:val="20"/>
                <w:szCs w:val="20"/>
                <w:color w:val="auto"/>
              </w:rPr>
              <w:t>MISCELLANEOUS</w:t>
            </w:r>
          </w:p>
        </w:tc>
        <w:tc>
          <w:tcPr>
            <w:tcW w:w="560" w:type="dxa"/>
            <w:vAlign w:val="bottom"/>
          </w:tcPr>
          <w:p>
            <w:pPr>
              <w:spacing w:after="0"/>
              <w:rPr>
                <w:sz w:val="22"/>
                <w:szCs w:val="22"/>
                <w:color w:val="auto"/>
              </w:rPr>
            </w:pPr>
          </w:p>
        </w:tc>
      </w:tr>
      <w:tr>
        <w:trPr>
          <w:trHeight w:val="41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10.01</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Amendments, Etc</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10.02</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Notices; Effectiveness; Electronic Communication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10.03</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Waiver; Cumulative Remedies; Enforcement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10.04</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10.05</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Payments Set Aside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10.06</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Successors and Assigns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10.07</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Treatment of Certain Information; Confidentiality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10.08</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Right of Setoff</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10.09</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Limitation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Integration; Effectiveness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Severability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Replacement of Lenders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Governing Law; Jurisdiction; Etc</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Waiver of Jury Trial</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Electronic Execution; Electronic Records; Counterparts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USA PATRIOT Act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Keepwell</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Judgment Currency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 and Restatement; No Novation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Acknowledgment and Consent to Bail-In of Affected Financial Institutions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u w:val="single" w:color="auto"/>
          <w:color w:val="auto"/>
        </w:rPr>
        <w:t>SCHEDULES</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1.01A</w:t>
      </w:r>
      <w:r>
        <w:rPr>
          <w:sz w:val="20"/>
          <w:szCs w:val="20"/>
          <w:color w:val="auto"/>
        </w:rPr>
        <w:tab/>
      </w:r>
      <w:r>
        <w:rPr>
          <w:rFonts w:ascii="Times New Roman" w:cs="Times New Roman" w:eastAsia="Times New Roman" w:hAnsi="Times New Roman"/>
          <w:sz w:val="19"/>
          <w:szCs w:val="19"/>
          <w:color w:val="auto"/>
        </w:rPr>
        <w:t>Specified Existing Capital Leases</w:t>
      </w:r>
    </w:p>
    <w:p>
      <w:pPr>
        <w:spacing w:after="0" w:line="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1.01B</w:t>
      </w:r>
      <w:r>
        <w:rPr>
          <w:sz w:val="20"/>
          <w:szCs w:val="20"/>
          <w:color w:val="auto"/>
        </w:rPr>
        <w:tab/>
      </w:r>
      <w:r>
        <w:rPr>
          <w:rFonts w:ascii="Times New Roman" w:cs="Times New Roman" w:eastAsia="Times New Roman" w:hAnsi="Times New Roman"/>
          <w:sz w:val="19"/>
          <w:szCs w:val="19"/>
          <w:color w:val="auto"/>
        </w:rPr>
        <w:t>Existing Letters of Credit</w:t>
      </w:r>
    </w:p>
    <w:p>
      <w:pPr>
        <w:spacing w:after="0"/>
        <w:rPr>
          <w:sz w:val="20"/>
          <w:szCs w:val="20"/>
          <w:color w:val="auto"/>
        </w:rPr>
      </w:pPr>
      <w:r>
        <w:rPr>
          <w:rFonts w:ascii="Times New Roman" w:cs="Times New Roman" w:eastAsia="Times New Roman" w:hAnsi="Times New Roman"/>
          <w:sz w:val="20"/>
          <w:szCs w:val="20"/>
          <w:color w:val="auto"/>
        </w:rPr>
        <w:t>2.01 Commitments and Applicable Percentages</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2.01LC</w:t>
      </w:r>
      <w:r>
        <w:rPr>
          <w:sz w:val="20"/>
          <w:szCs w:val="20"/>
          <w:color w:val="auto"/>
        </w:rPr>
        <w:tab/>
      </w:r>
      <w:r>
        <w:rPr>
          <w:rFonts w:ascii="Times New Roman" w:cs="Times New Roman" w:eastAsia="Times New Roman" w:hAnsi="Times New Roman"/>
          <w:sz w:val="19"/>
          <w:szCs w:val="19"/>
          <w:color w:val="auto"/>
        </w:rPr>
        <w:t>L/C Commitments</w:t>
      </w:r>
    </w:p>
    <w:p>
      <w:pPr>
        <w:spacing w:after="0"/>
        <w:rPr>
          <w:sz w:val="20"/>
          <w:szCs w:val="20"/>
          <w:color w:val="auto"/>
        </w:rPr>
      </w:pPr>
      <w:r>
        <w:rPr>
          <w:rFonts w:ascii="Times New Roman" w:cs="Times New Roman" w:eastAsia="Times New Roman" w:hAnsi="Times New Roman"/>
          <w:sz w:val="20"/>
          <w:szCs w:val="20"/>
          <w:color w:val="auto"/>
        </w:rPr>
        <w:t>2.10 Day Basis for Alternative Currencies</w:t>
      </w:r>
    </w:p>
    <w:p>
      <w:pPr>
        <w:spacing w:after="0"/>
        <w:rPr>
          <w:sz w:val="20"/>
          <w:szCs w:val="20"/>
          <w:color w:val="auto"/>
        </w:rPr>
      </w:pPr>
      <w:r>
        <w:rPr>
          <w:rFonts w:ascii="Times New Roman" w:cs="Times New Roman" w:eastAsia="Times New Roman" w:hAnsi="Times New Roman"/>
          <w:sz w:val="20"/>
          <w:szCs w:val="20"/>
          <w:color w:val="auto"/>
        </w:rPr>
        <w:t>2.18 Unrestricted Subsidiaries</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5.12(d)</w:t>
      </w:r>
      <w:r>
        <w:rPr>
          <w:sz w:val="20"/>
          <w:szCs w:val="20"/>
          <w:color w:val="auto"/>
        </w:rPr>
        <w:tab/>
      </w:r>
      <w:r>
        <w:rPr>
          <w:rFonts w:ascii="Times New Roman" w:cs="Times New Roman" w:eastAsia="Times New Roman" w:hAnsi="Times New Roman"/>
          <w:sz w:val="19"/>
          <w:szCs w:val="19"/>
          <w:color w:val="auto"/>
        </w:rPr>
        <w:t>Pension Plans</w:t>
      </w:r>
    </w:p>
    <w:p>
      <w:pPr>
        <w:spacing w:after="0"/>
        <w:rPr>
          <w:sz w:val="20"/>
          <w:szCs w:val="20"/>
          <w:color w:val="auto"/>
        </w:rPr>
      </w:pPr>
      <w:r>
        <w:rPr>
          <w:rFonts w:ascii="Times New Roman" w:cs="Times New Roman" w:eastAsia="Times New Roman" w:hAnsi="Times New Roman"/>
          <w:sz w:val="20"/>
          <w:szCs w:val="20"/>
          <w:color w:val="auto"/>
        </w:rPr>
        <w:t>5.13 Subsidiaries; Equity Investments; Loan Parties</w:t>
      </w:r>
    </w:p>
    <w:p>
      <w:pPr>
        <w:spacing w:after="0"/>
        <w:rPr>
          <w:sz w:val="20"/>
          <w:szCs w:val="20"/>
          <w:color w:val="auto"/>
        </w:rPr>
      </w:pPr>
      <w:r>
        <w:rPr>
          <w:rFonts w:ascii="Times New Roman" w:cs="Times New Roman" w:eastAsia="Times New Roman" w:hAnsi="Times New Roman"/>
          <w:sz w:val="20"/>
          <w:szCs w:val="20"/>
          <w:color w:val="auto"/>
        </w:rPr>
        <w:t>5.21 Collective Bargaining Agreements and Multiemployer Plans</w:t>
      </w:r>
    </w:p>
    <w:p>
      <w:pPr>
        <w:spacing w:after="0"/>
        <w:rPr>
          <w:sz w:val="20"/>
          <w:szCs w:val="20"/>
          <w:color w:val="auto"/>
        </w:rPr>
      </w:pPr>
      <w:r>
        <w:rPr>
          <w:rFonts w:ascii="Times New Roman" w:cs="Times New Roman" w:eastAsia="Times New Roman" w:hAnsi="Times New Roman"/>
          <w:sz w:val="20"/>
          <w:szCs w:val="20"/>
          <w:color w:val="auto"/>
        </w:rPr>
        <w:t>7.01 Existing Liens</w:t>
      </w:r>
    </w:p>
    <w:p>
      <w:pPr>
        <w:spacing w:after="0"/>
        <w:rPr>
          <w:sz w:val="20"/>
          <w:szCs w:val="20"/>
          <w:color w:val="auto"/>
        </w:rPr>
      </w:pPr>
      <w:r>
        <w:rPr>
          <w:rFonts w:ascii="Times New Roman" w:cs="Times New Roman" w:eastAsia="Times New Roman" w:hAnsi="Times New Roman"/>
          <w:sz w:val="20"/>
          <w:szCs w:val="20"/>
          <w:color w:val="auto"/>
        </w:rPr>
        <w:t>7.02 Existing Investments</w:t>
      </w:r>
    </w:p>
    <w:p>
      <w:pPr>
        <w:spacing w:after="0"/>
        <w:rPr>
          <w:sz w:val="20"/>
          <w:szCs w:val="20"/>
          <w:color w:val="auto"/>
        </w:rPr>
      </w:pPr>
      <w:r>
        <w:rPr>
          <w:rFonts w:ascii="Times New Roman" w:cs="Times New Roman" w:eastAsia="Times New Roman" w:hAnsi="Times New Roman"/>
          <w:sz w:val="20"/>
          <w:szCs w:val="20"/>
          <w:color w:val="auto"/>
        </w:rPr>
        <w:t>7.03 Existing Indebtedness</w:t>
      </w:r>
    </w:p>
    <w:p>
      <w:pPr>
        <w:spacing w:after="0"/>
        <w:rPr>
          <w:sz w:val="20"/>
          <w:szCs w:val="20"/>
          <w:color w:val="auto"/>
        </w:rPr>
      </w:pPr>
      <w:r>
        <w:rPr>
          <w:rFonts w:ascii="Times New Roman" w:cs="Times New Roman" w:eastAsia="Times New Roman" w:hAnsi="Times New Roman"/>
          <w:sz w:val="20"/>
          <w:szCs w:val="20"/>
          <w:color w:val="auto"/>
        </w:rPr>
        <w:t>7.15 Post-Closing Actions</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10.02</w:t>
      </w:r>
      <w:r>
        <w:rPr>
          <w:sz w:val="20"/>
          <w:szCs w:val="20"/>
          <w:color w:val="auto"/>
        </w:rPr>
        <w:tab/>
      </w:r>
      <w:r>
        <w:rPr>
          <w:rFonts w:ascii="Times New Roman" w:cs="Times New Roman" w:eastAsia="Times New Roman" w:hAnsi="Times New Roman"/>
          <w:sz w:val="19"/>
          <w:szCs w:val="19"/>
          <w:color w:val="auto"/>
        </w:rPr>
        <w:t>Administrative Agent’s Office; Certain Addresses for Notices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i w:val="1"/>
          <w:iCs w:val="1"/>
          <w:color w:val="auto"/>
        </w:rPr>
        <w:t>Form of</w:t>
      </w:r>
    </w:p>
    <w:p>
      <w:pPr>
        <w:ind w:left="800" w:hanging="792"/>
        <w:spacing w:after="0"/>
        <w:tabs>
          <w:tab w:leader="none" w:pos="8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Notice</w:t>
      </w:r>
    </w:p>
    <w:p>
      <w:pPr>
        <w:ind w:left="800" w:hanging="792"/>
        <w:spacing w:after="0"/>
        <w:tabs>
          <w:tab w:leader="none" w:pos="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 Line Loan Notice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C-1</w:t>
      </w:r>
      <w:r>
        <w:rPr>
          <w:rFonts w:ascii="Times New Roman" w:cs="Times New Roman" w:eastAsia="Times New Roman" w:hAnsi="Times New Roman"/>
          <w:sz w:val="19"/>
          <w:szCs w:val="19"/>
          <w:color w:val="auto"/>
        </w:rPr>
        <w:t>Revolving Credit Note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C-2</w:t>
      </w:r>
      <w:r>
        <w:rPr>
          <w:rFonts w:ascii="Times New Roman" w:cs="Times New Roman" w:eastAsia="Times New Roman" w:hAnsi="Times New Roman"/>
          <w:sz w:val="19"/>
          <w:szCs w:val="19"/>
          <w:color w:val="auto"/>
        </w:rPr>
        <w:t>Term Loan Note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9"/>
          <w:szCs w:val="19"/>
          <w:color w:val="auto"/>
        </w:rPr>
        <w:t>Compliance Certificate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9"/>
          <w:szCs w:val="19"/>
          <w:color w:val="auto"/>
        </w:rPr>
        <w:t>Assignment and Assumption</w:t>
      </w:r>
    </w:p>
    <w:p>
      <w:pPr>
        <w:ind w:left="800" w:hanging="792"/>
        <w:spacing w:after="0"/>
        <w:tabs>
          <w:tab w:leader="none" w:pos="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Tax Compliance Certificates</w:t>
      </w:r>
    </w:p>
    <w:p>
      <w:pPr>
        <w:ind w:left="800" w:hanging="792"/>
        <w:spacing w:after="0"/>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Letters of Credit Report</w:t>
      </w:r>
    </w:p>
    <w:p>
      <w:pPr>
        <w:ind w:left="800" w:hanging="792"/>
        <w:spacing w:after="0"/>
        <w:tabs>
          <w:tab w:leader="none" w:pos="8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Borrower Request and Assumption Agreement</w:t>
      </w:r>
    </w:p>
    <w:p>
      <w:pPr>
        <w:ind w:left="800" w:hanging="792"/>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Borrower Notice</w:t>
      </w:r>
    </w:p>
    <w:p>
      <w:pPr>
        <w:ind w:left="800" w:hanging="792"/>
        <w:spacing w:after="0"/>
        <w:tabs>
          <w:tab w:leader="none" w:pos="8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Loan Prepayment</w:t>
      </w:r>
    </w:p>
    <w:p>
      <w:pPr>
        <w:ind w:left="800" w:hanging="792"/>
        <w:spacing w:after="0"/>
        <w:tabs>
          <w:tab w:leader="none" w:pos="8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Solvency Certificate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FOURTH AMENDED AND RESTATED CREDIT AGREEMENT</w:t>
      </w:r>
    </w:p>
    <w:p>
      <w:pPr>
        <w:spacing w:after="0" w:line="22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This FOURTH AMENDED AND RESTATED CREDIT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entered into as of January 30, 2026, among CECO ENVIRONMENTAL CORP.,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xml:space="preserve">”), certain Restricted Subsidiaries of the Company party hereto pursuant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(each a “</w:t>
      </w:r>
      <w:r>
        <w:rPr>
          <w:rFonts w:ascii="Times New Roman" w:cs="Times New Roman" w:eastAsia="Times New Roman" w:hAnsi="Times New Roman"/>
          <w:sz w:val="19"/>
          <w:szCs w:val="19"/>
          <w:u w:val="single" w:color="auto"/>
          <w:color w:val="auto"/>
        </w:rPr>
        <w:t>Designated Borrower</w:t>
      </w:r>
      <w:r>
        <w:rPr>
          <w:rFonts w:ascii="Times New Roman" w:cs="Times New Roman" w:eastAsia="Times New Roman" w:hAnsi="Times New Roman"/>
          <w:sz w:val="19"/>
          <w:szCs w:val="19"/>
          <w:color w:val="auto"/>
        </w:rPr>
        <w:t>” and, together with the Company,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each lender from time to time party hereto (collectively,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and individually, a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BANK OF AMERICA, N.A., as Administrative Agent, Swing Line Lender and an L/C Issuer, and each other L/C Issuer from time to time party hereto.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16" w:lineRule="exact"/>
        <w:rPr>
          <w:sz w:val="20"/>
          <w:szCs w:val="20"/>
          <w:color w:val="auto"/>
        </w:rPr>
      </w:pPr>
    </w:p>
    <w:p>
      <w:pPr>
        <w:jc w:val="both"/>
        <w:ind w:firstLine="757"/>
        <w:spacing w:after="0" w:line="254" w:lineRule="auto"/>
        <w:tabs>
          <w:tab w:leader="none" w:pos="114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lenders party thereto and the Administrative Agent have entered into that certain Third Amended and Restated Credit Agreement, dated as of October 7, 2024 (as amended, restated,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have requested, and subject to the terms and conditions set forth in this Agreement, the Administrative Agent and the Lenders have agreed to amend and restate the Existing Credit Agreement and extend certain credit facilities to the Borrowers.</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1.01 Defined Terms. </w:t>
      </w:r>
      <w:r>
        <w:rPr>
          <w:rFonts w:ascii="Times New Roman" w:cs="Times New Roman" w:eastAsia="Times New Roman" w:hAnsi="Times New Roman"/>
          <w:sz w:val="20"/>
          <w:szCs w:val="20"/>
          <w:color w:val="auto"/>
        </w:rPr>
        <w:t>As used in this Agreement, the following terms shall have the meanings set forth below:</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Intercreditor Agreement</w:t>
      </w:r>
      <w:r>
        <w:rPr>
          <w:rFonts w:ascii="Times New Roman" w:cs="Times New Roman" w:eastAsia="Times New Roman" w:hAnsi="Times New Roman"/>
          <w:sz w:val="20"/>
          <w:szCs w:val="20"/>
          <w:color w:val="auto"/>
        </w:rPr>
        <w:t xml:space="preserve">” means an intercreditor agreement that is reasonably satisfactory to the Administrative Agent among the Administrative Agent and one or more representatives for the holders of any Indebtedness that is intended to be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basis with the Obligations.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by any Person, the acquisition by such Person, in a single transaction or in a series of related transactions, of</w:t>
      </w:r>
    </w:p>
    <w:p>
      <w:pPr>
        <w:spacing w:after="0" w:line="22" w:lineRule="exact"/>
        <w:rPr>
          <w:sz w:val="20"/>
          <w:szCs w:val="20"/>
          <w:color w:val="auto"/>
        </w:rPr>
      </w:pPr>
    </w:p>
    <w:p>
      <w:pPr>
        <w:jc w:val="both"/>
        <w:ind w:firstLine="8"/>
        <w:spacing w:after="0" w:line="241" w:lineRule="auto"/>
        <w:tabs>
          <w:tab w:leader="none" w:pos="28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50% of the voting Equity Interests of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(b) assets of another Person which constitute all or substantially all of the assets of such Person, a division of such Person or a line or lines of business conducted by such Person.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(or any of its designated branch offices or affiliates) in its capacity as administrative agent under any of the Loan Documents, or any successor administrative agent.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hereafter may designate by written notice to the Company and the Lenders.</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35" w:name="page36"/>
    <w:bookmarkEnd w:id="35"/>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substantially the form provided by the Administrative Agent or any other form approved by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Credit Commitments</w:t>
      </w:r>
      <w:r>
        <w:rPr>
          <w:rFonts w:ascii="Times New Roman" w:cs="Times New Roman" w:eastAsia="Times New Roman" w:hAnsi="Times New Roman"/>
          <w:sz w:val="20"/>
          <w:szCs w:val="20"/>
          <w:color w:val="auto"/>
        </w:rPr>
        <w:t>” means the Revolving Credit Commitments of all the Lenders.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Currency</w:t>
      </w:r>
      <w:r>
        <w:rPr>
          <w:rFonts w:ascii="Times New Roman" w:cs="Times New Roman" w:eastAsia="Times New Roman" w:hAnsi="Times New Roman"/>
          <w:sz w:val="20"/>
          <w:szCs w:val="20"/>
          <w:color w:val="auto"/>
        </w:rPr>
        <w:t>” means Dollars or any Alternative Currency, as applicable.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Fourth Amended and Restated Credit Agreement.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(a) with respect to Revolving Credit Loans, (i) Euro, Sterling and Canadian Dollars and (ii) each other currency (other than Dollars) that is approved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with respect to Revolving Credit Loans and (b) with respect to Letters of Credit issued by any L/C Issuer, (i) Euro, Sterling, Canadian Dollars and Rupees and (ii) each other currency (other than Dollars) that is approved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with respect to Letters of Credit issued by such L/C Issuer.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w:t>
      </w:r>
      <w:r>
        <w:rPr>
          <w:rFonts w:ascii="Times New Roman" w:cs="Times New Roman" w:eastAsia="Times New Roman" w:hAnsi="Times New Roman"/>
          <w:sz w:val="20"/>
          <w:szCs w:val="20"/>
          <w:color w:val="auto"/>
        </w:rPr>
        <w:t>” means, for any day, with respect to any Credit Extension:</w:t>
      </w:r>
    </w:p>
    <w:p>
      <w:pPr>
        <w:spacing w:after="0" w:line="216" w:lineRule="exact"/>
        <w:rPr>
          <w:sz w:val="20"/>
          <w:szCs w:val="20"/>
          <w:color w:val="auto"/>
        </w:rPr>
      </w:pPr>
    </w:p>
    <w:p>
      <w:pPr>
        <w:ind w:left="380" w:firstLine="751"/>
        <w:spacing w:after="0" w:line="269" w:lineRule="auto"/>
        <w:tabs>
          <w:tab w:leader="none" w:pos="15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Sterling, the rate per annum equal to SONIA determined pursuant to the definition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SONIA Adjustment; and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 xml:space="preserve"> plus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1.09(c)</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means a Revolving Credit Loan that bears interest at a rate based on the definition of “Alternative Currency Daily Rate.” All Alternative Currency Daily Rate Loans must be denominated in an Alternative Currency.</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xml:space="preserve">” means, at any time, with respect to any amount denominated in Dollars, the equivalent amount thereof in the applicable Alternative Currency as determined by the Administrative Agent or the applicable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no such rate is available, the “Alternative Currency Equivalent” shall be determined by the Administrative Agent or the applicable L/C Issuer, as the case may be, using any reasonable method of determination its deems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6" w:name="page37"/>
    <w:bookmarkEnd w:id="36"/>
    <w:p>
      <w:pPr>
        <w:spacing w:after="0" w:line="269" w:lineRule="auto"/>
        <w:rPr>
          <w:sz w:val="20"/>
          <w:szCs w:val="20"/>
          <w:color w:val="auto"/>
        </w:rPr>
      </w:pPr>
      <w:r>
        <w:rPr>
          <w:rFonts w:ascii="Times New Roman" w:cs="Times New Roman" w:eastAsia="Times New Roman" w:hAnsi="Times New Roman"/>
          <w:sz w:val="20"/>
          <w:szCs w:val="20"/>
          <w:color w:val="auto"/>
        </w:rPr>
        <w:t>appropriate in its sole discretion (and such determination shall be conclusive (including within the meaning of section 151 Dutch Code of Civil Procedure) absent manifest error).</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Sublimit</w:t>
      </w:r>
      <w:r>
        <w:rPr>
          <w:rFonts w:ascii="Times New Roman" w:cs="Times New Roman" w:eastAsia="Times New Roman" w:hAnsi="Times New Roman"/>
          <w:sz w:val="20"/>
          <w:szCs w:val="20"/>
          <w:color w:val="auto"/>
        </w:rPr>
        <w:t>” means an amount equal to the lesser of (a) the Aggregate Revolving Credit Commitments and (b) $75,000,000. The Alternative Currency Sublimit is part of, and not in addition to, the Aggregate Revolving Credit Commitments.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Credit Extension:</w:t>
      </w:r>
    </w:p>
    <w:p>
      <w:pPr>
        <w:spacing w:after="0" w:line="216" w:lineRule="exact"/>
        <w:rPr>
          <w:sz w:val="20"/>
          <w:szCs w:val="20"/>
          <w:color w:val="auto"/>
        </w:rPr>
      </w:pPr>
    </w:p>
    <w:p>
      <w:pPr>
        <w:jc w:val="both"/>
        <w:ind w:left="380" w:firstLine="751"/>
        <w:spacing w:after="0" w:line="249" w:lineRule="auto"/>
        <w:tabs>
          <w:tab w:leader="none" w:pos="152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79" w:lineRule="exact"/>
        <w:rPr>
          <w:rFonts w:ascii="Times New Roman" w:cs="Times New Roman" w:eastAsia="Times New Roman" w:hAnsi="Times New Roman"/>
          <w:sz w:val="20"/>
          <w:szCs w:val="20"/>
          <w:color w:val="auto"/>
        </w:rPr>
      </w:pPr>
    </w:p>
    <w:p>
      <w:pPr>
        <w:jc w:val="both"/>
        <w:ind w:left="380" w:right="20" w:firstLine="751"/>
        <w:spacing w:after="0" w:line="249" w:lineRule="auto"/>
        <w:tabs>
          <w:tab w:leader="none" w:pos="152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Canadian Dollars, the rate per annum equal to the forward-looking term rate based on CORRA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20"/>
          <w:szCs w:val="20"/>
          <w:u w:val="single" w:color="auto"/>
          <w:color w:val="auto"/>
        </w:rPr>
        <w:t>Term CORRA Rate</w:t>
      </w:r>
      <w:r>
        <w:rPr>
          <w:rFonts w:ascii="Times New Roman" w:cs="Times New Roman" w:eastAsia="Times New Roman" w:hAnsi="Times New Roman"/>
          <w:sz w:val="20"/>
          <w:szCs w:val="20"/>
          <w:color w:val="auto"/>
        </w:rPr>
        <w:t>”) on the Rate Determination Date with a term equivalent to such Interest Period plus the Term CORRA Adjustment for such Interest Period; or</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1.09(c)</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if any Alternative Currency Term Rate shall be less than zero, such rate shall be deemed zero for purposes of this Agreement.</w:t>
      </w:r>
    </w:p>
    <w:p>
      <w:pPr>
        <w:spacing w:after="0" w:line="22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Revolving Credit Loan that bears interest at a rate based on the definition of “Alternative Currency Term Rate.” All Alternative Currency Term Rate Loans must be denominated in an Alternative Currency.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w:t>
      </w:r>
      <w:r>
        <w:rPr>
          <w:rFonts w:ascii="Times New Roman" w:cs="Times New Roman" w:eastAsia="Times New Roman" w:hAnsi="Times New Roman"/>
          <w:sz w:val="20"/>
          <w:szCs w:val="20"/>
          <w:color w:val="auto"/>
        </w:rPr>
        <w:t>” means that certain Amendment No. 1 to Fourth Amended and Restated Credit Agreement dated as of the Amendment No. 1 Effective Date by and among the Company, the other Loan Parties party thereto, the Lenders party thereto and the Administrative Agent.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 Effective Date</w:t>
      </w:r>
      <w:r>
        <w:rPr>
          <w:rFonts w:ascii="Times New Roman" w:cs="Times New Roman" w:eastAsia="Times New Roman" w:hAnsi="Times New Roman"/>
          <w:sz w:val="20"/>
          <w:szCs w:val="20"/>
          <w:color w:val="auto"/>
        </w:rPr>
        <w:t>” means March 30, 2026.</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(a) in respect of the Revolving Credit Facility, with respect to any Lender at any time, the percentage (carried out to the ninth decimal place) of the Aggregate Revolving Credit Commitments represented by such Lender’s Revolving Credit Commitment at such time, subject to adjustment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and (b) in respect of the Incremental Term A-1 Loan Facility, with respect to any Lender at any time, the percentage (carried out to the ninth decimal place) of the sum of the aggregate unused Incremental Term A-1 Loan Commitments (if any)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outstanding principal amount of the Incremental Term A-1 Loans represented by such Lender’s unused Incremental Term A-1 Loan Commitment (if any)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outstanding principal amount of such Lender’s Incremental Term A-1 Loans at such time. If the commitment of each Revolving Credit Lender to make Revolving Credit Loans and the obligation of each L/C Issuer to make L/C Credit Extensions have been terminated, or if the Aggregate Revolving Credit Commitments have expired, then the Applicable Percentage of each Revolving Credit Lender in respect of the Revolving Credit Facility shall be determined based on the Applicable Percentage of such Lender in respect of the Revolving Credit Facility most recently in effect, giving effect to any subsequent assignments and to any Lender’s status as a Defaulting Lender at the time of determination. The initial Applicable Percentage of each Lender in respect of each Facility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w:t>
      </w:r>
    </w:p>
    <w:p>
      <w:pPr>
        <w:spacing w:after="0" w:line="19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(a) from the Closing Date until the earlier to occur of (i) the Longhorn Acquisition Funding Date and (ii) the first Business Day immediately following the date on which the Administrative Agent receives a Compliance Certificate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for the fiscal quarter ending March 31, 2026, 1.25% per annum for Base Rate Loans and 2.25% per annum for Term SOFR Loans, Daily Simple SOFR Loans, Alternative Currency Daily Rate Loans, Alternative Currency Term Rate Loans and Letter of Credit Fees and 0.300% for the Commitment Fee, (b) from the Longhorn Acquisition Funding Date until the first Business Day immediately following the date on which the Administrative Agent receives a Compliance Certificate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for the first full fiscal quarter ending after the Longhorn Acquisition Funding Date, 1.50% per annum for Base Rate Loans and 2.50% per annum for Term SOFR Loans, Daily Simple SOFR Loans, Alternative Currency Daily Rate Loans, Alternative Currency Term Rate Loans and Letter of Credit Fees and 0.350% for the Commitment Fee (or, if the pro forma calculation of the Consolidated Net Leverage Ratio delivered pursuant to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in connection with the Longhorn Acquisition reflects Pricing Level VI or no such pro forma calculation is so delivered, 2.00% per annum for Base Rate Loans and 3.00% per annum for Term SOFR Loans, Daily Simple SOFR Loans, Alternative Currency Daily Rate Loans, Alternative Currency Term Rate Loans and Letter of Credit Fees and 0.400% for the Commitment Fee) and (c) thereafter (subject, in the case of the foregoing clause (a)(ii), until the occurrence of the Longhorn Acquisition Funding Date), the following percentages per annum, based upon the Consolidated Net Leverage Ratio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1757045" cy="1079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57045" cy="1079500"/>
                    </a:xfrm>
                    <a:prstGeom prst="rect">
                      <a:avLst/>
                    </a:prstGeom>
                    <a:noFill/>
                  </pic:spPr>
                </pic:pic>
              </a:graphicData>
            </a:graphic>
          </wp:anchor>
        </w:drawing>
      </w:r>
    </w:p>
    <w:p>
      <w:pPr>
        <w:spacing w:after="0" w:line="177"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1680" w:type="dxa"/>
            <w:vAlign w:val="bottom"/>
          </w:tcPr>
          <w:p>
            <w:pPr>
              <w:spacing w:after="0"/>
              <w:rPr>
                <w:sz w:val="19"/>
                <w:szCs w:val="19"/>
                <w:color w:val="auto"/>
              </w:rPr>
            </w:pPr>
          </w:p>
        </w:tc>
        <w:tc>
          <w:tcPr>
            <w:tcW w:w="3780" w:type="dxa"/>
            <w:vAlign w:val="bottom"/>
            <w:tcBorders>
              <w:top w:val="single" w:sz="8" w:color="auto"/>
              <w:right w:val="single" w:sz="8" w:color="auto"/>
            </w:tcBorders>
          </w:tcPr>
          <w:p>
            <w:pPr>
              <w:spacing w:after="0"/>
              <w:rPr>
                <w:sz w:val="19"/>
                <w:szCs w:val="19"/>
                <w:color w:val="auto"/>
              </w:rPr>
            </w:pPr>
          </w:p>
        </w:tc>
        <w:tc>
          <w:tcPr>
            <w:tcW w:w="1760" w:type="dxa"/>
            <w:vAlign w:val="bottom"/>
            <w:tcBorders>
              <w:top w:val="single" w:sz="8" w:color="auto"/>
              <w:right w:val="single" w:sz="8" w:color="auto"/>
            </w:tcBorders>
          </w:tcPr>
          <w:p>
            <w:pPr>
              <w:spacing w:after="0"/>
              <w:rPr>
                <w:sz w:val="19"/>
                <w:szCs w:val="19"/>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Term SOFR</w:t>
            </w:r>
          </w:p>
        </w:tc>
        <w:tc>
          <w:tcPr>
            <w:tcW w:w="960" w:type="dxa"/>
            <w:vAlign w:val="bottom"/>
            <w:tcBorders>
              <w:top w:val="single" w:sz="8" w:color="auto"/>
              <w:right w:val="single" w:sz="8" w:color="auto"/>
            </w:tcBorders>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Loans, Daily</w:t>
            </w:r>
          </w:p>
        </w:tc>
        <w:tc>
          <w:tcPr>
            <w:tcW w:w="960" w:type="dxa"/>
            <w:vAlign w:val="bottom"/>
            <w:tcBorders>
              <w:right w:val="single" w:sz="8" w:color="auto"/>
            </w:tcBorders>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Simple SOFR</w:t>
            </w:r>
          </w:p>
        </w:tc>
        <w:tc>
          <w:tcPr>
            <w:tcW w:w="960" w:type="dxa"/>
            <w:vAlign w:val="bottom"/>
            <w:tcBorders>
              <w:right w:val="single" w:sz="8" w:color="auto"/>
            </w:tcBorders>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Loans,</w:t>
            </w:r>
          </w:p>
        </w:tc>
        <w:tc>
          <w:tcPr>
            <w:tcW w:w="960" w:type="dxa"/>
            <w:vAlign w:val="bottom"/>
            <w:tcBorders>
              <w:right w:val="single" w:sz="8" w:color="auto"/>
            </w:tcBorders>
          </w:tcPr>
          <w:p>
            <w:pPr>
              <w:spacing w:after="0"/>
              <w:rPr>
                <w:sz w:val="19"/>
                <w:szCs w:val="19"/>
                <w:color w:val="auto"/>
              </w:rPr>
            </w:pPr>
          </w:p>
        </w:tc>
      </w:tr>
      <w:tr>
        <w:trPr>
          <w:trHeight w:val="229"/>
        </w:trPr>
        <w:tc>
          <w:tcPr>
            <w:tcW w:w="168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Alternative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Base</w:t>
            </w:r>
          </w:p>
        </w:tc>
      </w:tr>
      <w:tr>
        <w:trPr>
          <w:trHeight w:val="230"/>
        </w:trPr>
        <w:tc>
          <w:tcPr>
            <w:tcW w:w="1680" w:type="dxa"/>
            <w:vAlign w:val="bottom"/>
          </w:tcPr>
          <w:p>
            <w:pPr>
              <w:jc w:val="center"/>
              <w:ind w:right="961"/>
              <w:spacing w:after="0"/>
              <w:rPr>
                <w:sz w:val="20"/>
                <w:szCs w:val="20"/>
                <w:color w:val="auto"/>
              </w:rPr>
            </w:pPr>
            <w:r>
              <w:rPr>
                <w:rFonts w:ascii="Times New Roman" w:cs="Times New Roman" w:eastAsia="Times New Roman" w:hAnsi="Times New Roman"/>
                <w:sz w:val="20"/>
                <w:szCs w:val="20"/>
                <w:b w:val="1"/>
                <w:bCs w:val="1"/>
                <w:color w:val="auto"/>
                <w:w w:val="99"/>
              </w:rPr>
              <w:t>Pricing</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Consolidated Net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Currency Daily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w:t>
            </w:r>
          </w:p>
        </w:tc>
      </w:tr>
      <w:tr>
        <w:trPr>
          <w:trHeight w:val="263"/>
        </w:trPr>
        <w:tc>
          <w:tcPr>
            <w:tcW w:w="1680" w:type="dxa"/>
            <w:vAlign w:val="bottom"/>
          </w:tcPr>
          <w:p>
            <w:pPr>
              <w:jc w:val="center"/>
              <w:ind w:right="961"/>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Leverage Ratio</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Fee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r>
    </w:tbl>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3780" w:type="dxa"/>
            <w:vAlign w:val="bottom"/>
            <w:tcBorders>
              <w:top w:val="single" w:sz="8" w:color="auto"/>
              <w:right w:val="single" w:sz="8" w:color="auto"/>
            </w:tcBorders>
          </w:tcPr>
          <w:p>
            <w:pPr>
              <w:spacing w:after="0"/>
              <w:rPr>
                <w:sz w:val="19"/>
                <w:szCs w:val="19"/>
                <w:color w:val="auto"/>
              </w:rPr>
            </w:pPr>
          </w:p>
        </w:tc>
        <w:tc>
          <w:tcPr>
            <w:tcW w:w="1760" w:type="dxa"/>
            <w:vAlign w:val="bottom"/>
            <w:tcBorders>
              <w:top w:val="single" w:sz="8" w:color="auto"/>
              <w:right w:val="single" w:sz="8" w:color="auto"/>
            </w:tcBorders>
          </w:tcPr>
          <w:p>
            <w:pPr>
              <w:spacing w:after="0"/>
              <w:rPr>
                <w:sz w:val="19"/>
                <w:szCs w:val="19"/>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Loans,</w:t>
            </w:r>
          </w:p>
        </w:tc>
        <w:tc>
          <w:tcPr>
            <w:tcW w:w="960" w:type="dxa"/>
            <w:vAlign w:val="bottom"/>
            <w:tcBorders>
              <w:top w:val="single" w:sz="8" w:color="auto"/>
              <w:right w:val="single" w:sz="8" w:color="auto"/>
            </w:tcBorders>
          </w:tcPr>
          <w:p>
            <w:pPr>
              <w:spacing w:after="0"/>
              <w:rPr>
                <w:sz w:val="19"/>
                <w:szCs w:val="19"/>
                <w:color w:val="auto"/>
              </w:rPr>
            </w:pPr>
          </w:p>
        </w:tc>
      </w:tr>
      <w:tr>
        <w:trPr>
          <w:trHeight w:val="229"/>
        </w:trPr>
        <w:tc>
          <w:tcPr>
            <w:tcW w:w="274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Alternative</w:t>
            </w:r>
          </w:p>
        </w:tc>
        <w:tc>
          <w:tcPr>
            <w:tcW w:w="960" w:type="dxa"/>
            <w:vAlign w:val="bottom"/>
            <w:tcBorders>
              <w:right w:val="single" w:sz="8" w:color="auto"/>
            </w:tcBorders>
          </w:tcPr>
          <w:p>
            <w:pPr>
              <w:spacing w:after="0"/>
              <w:rPr>
                <w:sz w:val="19"/>
                <w:szCs w:val="19"/>
                <w:color w:val="auto"/>
              </w:rPr>
            </w:pPr>
          </w:p>
        </w:tc>
      </w:tr>
      <w:tr>
        <w:trPr>
          <w:trHeight w:val="229"/>
        </w:trPr>
        <w:tc>
          <w:tcPr>
            <w:tcW w:w="274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Currency</w:t>
            </w:r>
          </w:p>
        </w:tc>
        <w:tc>
          <w:tcPr>
            <w:tcW w:w="960" w:type="dxa"/>
            <w:vAlign w:val="bottom"/>
            <w:tcBorders>
              <w:right w:val="single" w:sz="8" w:color="auto"/>
            </w:tcBorders>
          </w:tcPr>
          <w:p>
            <w:pPr>
              <w:spacing w:after="0"/>
              <w:rPr>
                <w:sz w:val="19"/>
                <w:szCs w:val="19"/>
                <w:color w:val="auto"/>
              </w:rPr>
            </w:pPr>
          </w:p>
        </w:tc>
      </w:tr>
      <w:tr>
        <w:trPr>
          <w:trHeight w:val="230"/>
        </w:trPr>
        <w:tc>
          <w:tcPr>
            <w:tcW w:w="274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Term Rate</w:t>
            </w:r>
          </w:p>
        </w:tc>
        <w:tc>
          <w:tcPr>
            <w:tcW w:w="960" w:type="dxa"/>
            <w:vAlign w:val="bottom"/>
            <w:tcBorders>
              <w:right w:val="single" w:sz="8" w:color="auto"/>
            </w:tcBorders>
          </w:tcPr>
          <w:p>
            <w:pPr>
              <w:spacing w:after="0"/>
              <w:rPr>
                <w:sz w:val="19"/>
                <w:szCs w:val="19"/>
                <w:color w:val="auto"/>
              </w:rPr>
            </w:pPr>
          </w:p>
        </w:tc>
      </w:tr>
      <w:tr>
        <w:trPr>
          <w:trHeight w:val="229"/>
        </w:trPr>
        <w:tc>
          <w:tcPr>
            <w:tcW w:w="274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Loans and</w:t>
            </w:r>
          </w:p>
        </w:tc>
        <w:tc>
          <w:tcPr>
            <w:tcW w:w="960" w:type="dxa"/>
            <w:vAlign w:val="bottom"/>
            <w:tcBorders>
              <w:right w:val="single" w:sz="8" w:color="auto"/>
            </w:tcBorders>
          </w:tcPr>
          <w:p>
            <w:pPr>
              <w:spacing w:after="0"/>
              <w:rPr>
                <w:sz w:val="19"/>
                <w:szCs w:val="19"/>
                <w:color w:val="auto"/>
              </w:rPr>
            </w:pPr>
          </w:p>
        </w:tc>
      </w:tr>
      <w:tr>
        <w:trPr>
          <w:trHeight w:val="230"/>
        </w:trPr>
        <w:tc>
          <w:tcPr>
            <w:tcW w:w="274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Letter of</w:t>
            </w:r>
          </w:p>
        </w:tc>
        <w:tc>
          <w:tcPr>
            <w:tcW w:w="960" w:type="dxa"/>
            <w:vAlign w:val="bottom"/>
            <w:tcBorders>
              <w:right w:val="single" w:sz="8" w:color="auto"/>
            </w:tcBorders>
          </w:tcPr>
          <w:p>
            <w:pPr>
              <w:spacing w:after="0"/>
              <w:rPr>
                <w:sz w:val="19"/>
                <w:szCs w:val="19"/>
                <w:color w:val="auto"/>
              </w:rPr>
            </w:pPr>
          </w:p>
        </w:tc>
      </w:tr>
      <w:tr>
        <w:trPr>
          <w:trHeight w:val="263"/>
        </w:trPr>
        <w:tc>
          <w:tcPr>
            <w:tcW w:w="2740" w:type="dxa"/>
            <w:vAlign w:val="bottom"/>
          </w:tcPr>
          <w:p>
            <w:pPr>
              <w:spacing w:after="0"/>
              <w:rPr>
                <w:sz w:val="22"/>
                <w:szCs w:val="22"/>
                <w:color w:val="auto"/>
              </w:rPr>
            </w:pPr>
          </w:p>
        </w:tc>
        <w:tc>
          <w:tcPr>
            <w:tcW w:w="37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Credit Fee</w:t>
            </w:r>
          </w:p>
        </w:tc>
        <w:tc>
          <w:tcPr>
            <w:tcW w:w="960" w:type="dxa"/>
            <w:vAlign w:val="bottom"/>
            <w:tcBorders>
              <w:bottom w:val="single" w:sz="8" w:color="auto"/>
              <w:right w:val="single" w:sz="8" w:color="auto"/>
            </w:tcBorders>
          </w:tcPr>
          <w:p>
            <w:pPr>
              <w:spacing w:after="0"/>
              <w:rPr>
                <w:sz w:val="22"/>
                <w:szCs w:val="22"/>
                <w:color w:val="auto"/>
              </w:rPr>
            </w:pPr>
          </w:p>
        </w:tc>
      </w:tr>
      <w:tr>
        <w:trPr>
          <w:trHeight w:val="270"/>
        </w:trPr>
        <w:tc>
          <w:tcPr>
            <w:tcW w:w="2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I</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Less than 1.50 to 1.00</w:t>
            </w:r>
          </w:p>
        </w:tc>
        <w:tc>
          <w:tcPr>
            <w:tcW w:w="1760" w:type="dxa"/>
            <w:vAlign w:val="bottom"/>
            <w:tcBorders>
              <w:bottom w:val="single" w:sz="8" w:color="auto"/>
              <w:right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0.175%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1.50%</w:t>
            </w:r>
          </w:p>
        </w:tc>
        <w:tc>
          <w:tcPr>
            <w:tcW w:w="960" w:type="dxa"/>
            <w:vAlign w:val="bottom"/>
            <w:tcBorders>
              <w:bottom w:val="single" w:sz="8" w:color="auto"/>
              <w:right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0.50%</w:t>
            </w:r>
          </w:p>
        </w:tc>
      </w:tr>
      <w:tr>
        <w:trPr>
          <w:trHeight w:val="241"/>
        </w:trPr>
        <w:tc>
          <w:tcPr>
            <w:tcW w:w="2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II</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Greater than or equal to 1.50 to 1.00 but less</w:t>
            </w:r>
          </w:p>
        </w:tc>
        <w:tc>
          <w:tcPr>
            <w:tcW w:w="1760" w:type="dxa"/>
            <w:vAlign w:val="bottom"/>
            <w:tcBorders>
              <w:right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0.225%</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1.75%</w:t>
            </w:r>
          </w:p>
        </w:tc>
        <w:tc>
          <w:tcPr>
            <w:tcW w:w="96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0.75%</w:t>
            </w:r>
          </w:p>
        </w:tc>
      </w:tr>
      <w:tr>
        <w:trPr>
          <w:trHeight w:val="252"/>
        </w:trPr>
        <w:tc>
          <w:tcPr>
            <w:tcW w:w="2740" w:type="dxa"/>
            <w:vAlign w:val="bottom"/>
            <w:tcBorders>
              <w:left w:val="single" w:sz="8" w:color="auto"/>
              <w:bottom w:val="single" w:sz="8" w:color="auto"/>
              <w:right w:val="single" w:sz="8" w:color="auto"/>
            </w:tcBorders>
          </w:tcPr>
          <w:p>
            <w:pPr>
              <w:spacing w:after="0"/>
              <w:rPr>
                <w:sz w:val="21"/>
                <w:szCs w:val="21"/>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than 2.00 to 1.00</w:t>
            </w:r>
          </w:p>
        </w:tc>
        <w:tc>
          <w:tcPr>
            <w:tcW w:w="176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1"/>
        </w:trPr>
        <w:tc>
          <w:tcPr>
            <w:tcW w:w="2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Greater than or equal to 2.00 to 1.00 but less</w:t>
            </w:r>
          </w:p>
        </w:tc>
        <w:tc>
          <w:tcPr>
            <w:tcW w:w="1760" w:type="dxa"/>
            <w:vAlign w:val="bottom"/>
            <w:tcBorders>
              <w:right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0.250%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2.00%</w:t>
            </w:r>
          </w:p>
        </w:tc>
        <w:tc>
          <w:tcPr>
            <w:tcW w:w="96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1.00%</w:t>
            </w:r>
          </w:p>
        </w:tc>
      </w:tr>
      <w:tr>
        <w:trPr>
          <w:trHeight w:val="262"/>
        </w:trPr>
        <w:tc>
          <w:tcPr>
            <w:tcW w:w="2740" w:type="dxa"/>
            <w:vAlign w:val="bottom"/>
            <w:tcBorders>
              <w:left w:val="single" w:sz="8" w:color="auto"/>
              <w:bottom w:val="single" w:sz="8" w:color="auto"/>
              <w:right w:val="single" w:sz="8" w:color="auto"/>
            </w:tcBorders>
          </w:tcPr>
          <w:p>
            <w:pPr>
              <w:spacing w:after="0"/>
              <w:rPr>
                <w:sz w:val="22"/>
                <w:szCs w:val="22"/>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than 2.50 to 1.00</w:t>
            </w:r>
          </w:p>
        </w:tc>
        <w:tc>
          <w:tcPr>
            <w:tcW w:w="176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r>
      <w:tr>
        <w:trPr>
          <w:trHeight w:val="244"/>
        </w:trPr>
        <w:tc>
          <w:tcPr>
            <w:tcW w:w="2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IV</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Greater than or equal to 2.50 to 1.00 but less</w:t>
            </w:r>
          </w:p>
        </w:tc>
        <w:tc>
          <w:tcPr>
            <w:tcW w:w="1760" w:type="dxa"/>
            <w:vAlign w:val="bottom"/>
            <w:tcBorders>
              <w:right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0.300%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2.25%</w:t>
            </w:r>
          </w:p>
        </w:tc>
        <w:tc>
          <w:tcPr>
            <w:tcW w:w="96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1.25%</w:t>
            </w:r>
          </w:p>
        </w:tc>
      </w:tr>
      <w:tr>
        <w:trPr>
          <w:trHeight w:val="262"/>
        </w:trPr>
        <w:tc>
          <w:tcPr>
            <w:tcW w:w="2740" w:type="dxa"/>
            <w:vAlign w:val="bottom"/>
            <w:tcBorders>
              <w:left w:val="single" w:sz="8" w:color="auto"/>
              <w:bottom w:val="single" w:sz="8" w:color="auto"/>
              <w:right w:val="single" w:sz="8" w:color="auto"/>
            </w:tcBorders>
          </w:tcPr>
          <w:p>
            <w:pPr>
              <w:spacing w:after="0"/>
              <w:rPr>
                <w:sz w:val="22"/>
                <w:szCs w:val="22"/>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than 3.00 to 1.00</w:t>
            </w:r>
          </w:p>
        </w:tc>
        <w:tc>
          <w:tcPr>
            <w:tcW w:w="176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r>
      <w:tr>
        <w:trPr>
          <w:trHeight w:val="244"/>
        </w:trPr>
        <w:tc>
          <w:tcPr>
            <w:tcW w:w="2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V</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Greater than or equal to 3.00 to 1.00 but less</w:t>
            </w:r>
          </w:p>
        </w:tc>
        <w:tc>
          <w:tcPr>
            <w:tcW w:w="1760" w:type="dxa"/>
            <w:vAlign w:val="bottom"/>
            <w:tcBorders>
              <w:right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0.350%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2.50%</w:t>
            </w:r>
          </w:p>
        </w:tc>
        <w:tc>
          <w:tcPr>
            <w:tcW w:w="96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1.50%</w:t>
            </w:r>
          </w:p>
        </w:tc>
      </w:tr>
      <w:tr>
        <w:trPr>
          <w:trHeight w:val="252"/>
        </w:trPr>
        <w:tc>
          <w:tcPr>
            <w:tcW w:w="2740" w:type="dxa"/>
            <w:vAlign w:val="bottom"/>
            <w:tcBorders>
              <w:left w:val="single" w:sz="8" w:color="auto"/>
              <w:bottom w:val="single" w:sz="8" w:color="auto"/>
              <w:right w:val="single" w:sz="8" w:color="auto"/>
            </w:tcBorders>
          </w:tcPr>
          <w:p>
            <w:pPr>
              <w:spacing w:after="0"/>
              <w:rPr>
                <w:sz w:val="21"/>
                <w:szCs w:val="21"/>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than 3.50 to 1.00</w:t>
            </w:r>
          </w:p>
        </w:tc>
        <w:tc>
          <w:tcPr>
            <w:tcW w:w="176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71"/>
        </w:trPr>
        <w:tc>
          <w:tcPr>
            <w:tcW w:w="2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VI</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or equal to 3.50 to 1.00</w:t>
            </w:r>
          </w:p>
        </w:tc>
        <w:tc>
          <w:tcPr>
            <w:tcW w:w="1760" w:type="dxa"/>
            <w:vAlign w:val="bottom"/>
            <w:tcBorders>
              <w:bottom w:val="single" w:sz="8" w:color="auto"/>
              <w:right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0.400%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3.00%</w:t>
            </w:r>
          </w:p>
        </w:tc>
        <w:tc>
          <w:tcPr>
            <w:tcW w:w="960" w:type="dxa"/>
            <w:vAlign w:val="bottom"/>
            <w:tcBorders>
              <w:bottom w:val="single" w:sz="8" w:color="auto"/>
              <w:right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2.00%</w:t>
            </w: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847725</wp:posOffset>
            </wp:positionV>
            <wp:extent cx="1757045" cy="10801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57045" cy="1080135"/>
                    </a:xfrm>
                    <a:prstGeom prst="rect">
                      <a:avLst/>
                    </a:prstGeom>
                    <a:noFill/>
                  </pic:spPr>
                </pic:pic>
              </a:graphicData>
            </a:graphic>
          </wp:anchor>
        </w:drawing>
      </w: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Compliance Certificate is not delivered when due in accordance with such Section, then, upon the request of the Required Lenders, Pricing Level VI shall apply as of the first Business Day after the date on which such Compliance Certificate was required to have been delivered until the first Business Day after such Compliance Certificate is delivered.</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Revolving Credit Percentage</w:t>
      </w:r>
      <w:r>
        <w:rPr>
          <w:rFonts w:ascii="Times New Roman" w:cs="Times New Roman" w:eastAsia="Times New Roman" w:hAnsi="Times New Roman"/>
          <w:sz w:val="20"/>
          <w:szCs w:val="20"/>
          <w:color w:val="auto"/>
        </w:rPr>
        <w:t>” means with respect to any Revolving Credit Lender at any time, such Revolving Credit Lender’s Applicable Percentage in respect of the Revolving Credit Facility at such time.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collectively, BAS and TD Securities (USA) LLC in each case in its capacity as joint lead arranger and joint bookrunner.</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39" w:name="page40"/>
    <w:bookmarkEnd w:id="39"/>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(including electronic documentation generated by use of an electronic platform) approved by the Administrative Agent.</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in respect of any Securitization Transaction of any Person, the amount of obligations outstanding on any date of determination that would be characterized as principal if such Securitization Transaction had been structured as a secured loan rather than a sale.</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Company and its Subsidiaries for the fiscal year ended December 31, 2024, and the related consolidated statements of income or operations, shareholders’ equity and cash flows for such fiscal year of the Company and its Subsidiaries, including the notes thereto.</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the period from and including the Closing Date to the earliest of (a) the Maturity Date with respect to the Revolving Credit Facility, (b) the date of termination of the Aggregate Revolving Credit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 of each Lender to make Revolving Credit Loans and of the obligation of each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w:t>
      </w:r>
      <w:r>
        <w:rPr>
          <w:rFonts w:ascii="Times New Roman" w:cs="Times New Roman" w:eastAsia="Times New Roman" w:hAnsi="Times New Roman"/>
          <w:sz w:val="20"/>
          <w:szCs w:val="20"/>
          <w:color w:val="auto"/>
        </w:rPr>
        <w:t>” means BofA Securities, Inc. and its successors.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plus 1/2 of 1%, (b) the rate of interest in effect for such day as publicly announced from time to time by Bank of America as its “prime rate,” (c) Daily Simple SOFR for such date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0" w:name="page41"/>
    <w:bookmarkEnd w:id="40"/>
    <w:p>
      <w:pPr>
        <w:ind w:left="760"/>
        <w:spacing w:after="0"/>
        <w:tabs>
          <w:tab w:leader="none" w:pos="726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w:t>
        <w:tab/>
        <w:t>All Base Rate Loans are only available to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Borrowers and shall be denominated in Dollars.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Revolving Credit Loan</w:t>
      </w:r>
      <w:r>
        <w:rPr>
          <w:rFonts w:ascii="Times New Roman" w:cs="Times New Roman" w:eastAsia="Times New Roman" w:hAnsi="Times New Roman"/>
          <w:sz w:val="20"/>
          <w:szCs w:val="20"/>
          <w:color w:val="auto"/>
        </w:rPr>
        <w:t>” means a Revolving Credit Loan that is a Base Rate Loan.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has the meaning specified in the introductory paragraph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Term Borrowing, a Revolving Credit Borrowing or a Swing Line Borrowing, as the context may require.</w:t>
      </w:r>
    </w:p>
    <w:p>
      <w:pPr>
        <w:spacing w:after="0" w:line="22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59" w:lineRule="exact"/>
        <w:rPr>
          <w:sz w:val="20"/>
          <w:szCs w:val="20"/>
          <w:color w:val="auto"/>
        </w:rPr>
      </w:pPr>
    </w:p>
    <w:p>
      <w:pPr>
        <w:jc w:val="both"/>
        <w:ind w:left="380" w:firstLine="751"/>
        <w:spacing w:after="0" w:line="249" w:lineRule="auto"/>
        <w:tabs>
          <w:tab w:leader="none" w:pos="152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mean the lawful currency of Canada.</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59"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w:t>
      </w:r>
      <w:r>
        <w:rPr>
          <w:rFonts w:ascii="Times New Roman" w:cs="Times New Roman" w:eastAsia="Times New Roman" w:hAnsi="Times New Roman"/>
          <w:sz w:val="20"/>
          <w:szCs w:val="20"/>
          <w:color w:val="auto"/>
        </w:rPr>
        <w:t>” means any lease that has been or is required to be, in accordance with GAAP, recorded, classified and accounted for as a capitalized lease or financing lease.</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1" w:name="page42"/>
    <w:bookmarkEnd w:id="41"/>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one or more of the L/C Issuers, the Lenders or PSLOC Banks, as collateral for L/C Obligations, Secured Permitted Standalone Letters of Credit or obligations of the Lenders to fund participations in respect of L/C Obligations, cash or deposit account balances or, if the Administrative Agent and the L/C Issuers shall agree in their sole discretion, other credit support, in each case pursuant to documentation in form and substance reasonably satisfactory to (a) the Administrative Agent and (b) the L/C Issuers. “Cash Collateral” shall have a meaning correlative to the foregoing and shall include the proceeds of such cash collateral and other credit support.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any of the following types of Investments:</w:t>
      </w:r>
    </w:p>
    <w:p>
      <w:pPr>
        <w:spacing w:after="0" w:line="216" w:lineRule="exact"/>
        <w:rPr>
          <w:sz w:val="20"/>
          <w:szCs w:val="20"/>
          <w:color w:val="auto"/>
        </w:rPr>
      </w:pPr>
    </w:p>
    <w:p>
      <w:pPr>
        <w:jc w:val="both"/>
        <w:ind w:left="380" w:firstLine="751"/>
        <w:spacing w:after="0" w:line="254" w:lineRule="auto"/>
        <w:tabs>
          <w:tab w:leader="none" w:pos="152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obligations issued or directly and fully guaranteed or insured by the United States or any agency or instrumentality thereof having maturities of not more than 360 days from the date of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full faith and credit of the United States is pledged in support thereof;</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definition and (iii) has combined capital and surplus of at least $1,000,000,000, in each case with maturities of not more than 90 days from the date of acquisition thereof;</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180 days from the date of acquisition thereof; and</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definition.</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 (including any Treasury Management Agreement).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means any Person in its capacity as a party to a Cash Management Agreement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 (even if such Person ceases to be a Lender or such Person’s Affiliate ceased to be a Lender).</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Agreement</w:t>
      </w:r>
      <w:r>
        <w:rPr>
          <w:rFonts w:ascii="Times New Roman" w:cs="Times New Roman" w:eastAsia="Times New Roman" w:hAnsi="Times New Roman"/>
          <w:sz w:val="20"/>
          <w:szCs w:val="20"/>
          <w:color w:val="auto"/>
        </w:rPr>
        <w:t>” means any cash pooling arrangement or agreement entered into in the ordinary course of business that provides a cash management system for Foreign Subsidiaries of the</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Company and is subject to customary terms;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arrangement or agreement will create any Indebtedness, or Lien on the property, of the Company or any of its Subsidiaries for any other purpose.</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CECO BV</w:t>
      </w:r>
      <w:r>
        <w:rPr>
          <w:rFonts w:ascii="Times New Roman" w:cs="Times New Roman" w:eastAsia="Times New Roman" w:hAnsi="Times New Roman"/>
          <w:sz w:val="20"/>
          <w:szCs w:val="20"/>
          <w:color w:val="auto"/>
        </w:rPr>
        <w:t xml:space="preserve">” means CECO Environmental Netherlands B.V.,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xml:space="preserve"> (a private limited liability company) incorporated in the Netherlands.</w:t>
      </w:r>
    </w:p>
    <w:p>
      <w:pPr>
        <w:spacing w:after="0" w:line="15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Closing Date, of any of the following: (a) the adoption, phase-in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16" w:lineRule="exact"/>
        <w:rPr>
          <w:sz w:val="20"/>
          <w:szCs w:val="20"/>
          <w:color w:val="auto"/>
        </w:rPr>
      </w:pPr>
    </w:p>
    <w:p>
      <w:pPr>
        <w:jc w:val="both"/>
        <w:ind w:left="380" w:firstLine="751"/>
        <w:spacing w:after="0" w:line="243" w:lineRule="auto"/>
        <w:tabs>
          <w:tab w:leader="none" w:pos="152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20"/>
          <w:szCs w:val="20"/>
          <w:u w:val="single" w:color="auto"/>
          <w:color w:val="auto"/>
        </w:rPr>
        <w:t>option right</w:t>
      </w:r>
      <w:r>
        <w:rPr>
          <w:rFonts w:ascii="Times New Roman" w:cs="Times New Roman" w:eastAsia="Times New Roman" w:hAnsi="Times New Roman"/>
          <w:sz w:val="20"/>
          <w:szCs w:val="20"/>
          <w:color w:val="auto"/>
        </w:rPr>
        <w:t>”)), directly or indirectly, of 35%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89" w:lineRule="exact"/>
        <w:rPr>
          <w:rFonts w:ascii="Times New Roman" w:cs="Times New Roman" w:eastAsia="Times New Roman" w:hAnsi="Times New Roman"/>
          <w:sz w:val="20"/>
          <w:szCs w:val="20"/>
          <w:color w:val="auto"/>
        </w:rPr>
      </w:pPr>
    </w:p>
    <w:p>
      <w:pPr>
        <w:jc w:val="both"/>
        <w:ind w:left="380" w:firstLine="751"/>
        <w:spacing w:after="0" w:line="244" w:lineRule="auto"/>
        <w:tabs>
          <w:tab w:leader="none" w:pos="152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Credit Loans, Replacement Revolving Credit Loans, Incremental Term A-1 Loans, Incremental Term Loans, Refinancing Term Loans or Extended Term Loans and, when used in reference to any Commitment, refers to whether such Commitment is a Revolving Credit Commitment, a Replacement Revolving Credit Commitment (of the same series), an Extended Revolving Credit Commitment (of the same series), an Incremental Term A-1 Loan Commitment or an Incremental Term Loan Commitment.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3" w:name="page44"/>
    <w:bookmarkEnd w:id="4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first date all the conditions precedent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of the property that is or is intended under the terms of the Collateral Documents to be subject to Liens in favor of the Administrative Agent for the benefit of the Secured Parties, including all of the “Collateral” referred to therein.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each Security Agreement, each Security Joinder Agreement, each Pledge Agreement, each Pledge Joinder Agreement, each Pledge Agreement Supplement and each of the other security agreements, pledge agreements, collateral assignments or other similar agreements, instruments or documents that creates or purports to create a Lien in favor of the Administrative Agent for the benefit of the Secured Parties.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 Term Loan Commitment or a Revolving Credit Commitment, as the context may require.</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amendment, approval, consent, information, notice, certificate, request, statement, disclosure or authorization related to any Loan Document.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Guaranty</w:t>
      </w:r>
      <w:r>
        <w:rPr>
          <w:rFonts w:ascii="Times New Roman" w:cs="Times New Roman" w:eastAsia="Times New Roman" w:hAnsi="Times New Roman"/>
          <w:sz w:val="20"/>
          <w:szCs w:val="20"/>
          <w:color w:val="auto"/>
        </w:rPr>
        <w:t>” means the Third Amended and Restated Company Guaranty Agreement dated as of the Closing Date, made by the Company in favor of the Administrative Agent for the benefit of the Secured Parties.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means (a) any Person (a “</w:t>
      </w:r>
      <w:r>
        <w:rPr>
          <w:rFonts w:ascii="Times New Roman" w:cs="Times New Roman" w:eastAsia="Times New Roman" w:hAnsi="Times New Roman"/>
          <w:sz w:val="20"/>
          <w:szCs w:val="20"/>
          <w:u w:val="single" w:color="auto"/>
          <w:color w:val="auto"/>
        </w:rPr>
        <w:t>Direct Competitor</w:t>
      </w:r>
      <w:r>
        <w:rPr>
          <w:rFonts w:ascii="Times New Roman" w:cs="Times New Roman" w:eastAsia="Times New Roman" w:hAnsi="Times New Roman"/>
          <w:sz w:val="20"/>
          <w:szCs w:val="20"/>
          <w:color w:val="auto"/>
        </w:rPr>
        <w:t>”) that is a bona fide direct competitor of the Company or any of its Subsidiaries in the same industry or a substantially similar industry which offers a substantially similar product or service as the Company or any of its Subsidiaries, and (b) any Person whose primary business is owning a Direct Competitor.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the use, administration of or any conventions associated with SOFR, SONIA or any proposed Successor Rate for an Agreed Currency, Daily Simple SOFR or Term SOFR, as applicable, any conforming changes to the definitions of “Base Rate”, “SOFR”, “SONIA”, “Daily Simple SOFR”, “Term SOFR”,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and the day basis for calculating interest for an Agreed Currency listed on </w:t>
      </w:r>
      <w:r>
        <w:rPr>
          <w:rFonts w:ascii="Times New Roman" w:cs="Times New Roman" w:eastAsia="Times New Roman" w:hAnsi="Times New Roman"/>
          <w:sz w:val="20"/>
          <w:szCs w:val="20"/>
          <w:u w:val="single" w:color="auto"/>
          <w:color w:val="auto"/>
        </w:rPr>
        <w:t>Schedule 2.10</w:t>
      </w:r>
      <w:r>
        <w:rPr>
          <w:rFonts w:ascii="Times New Roman" w:cs="Times New Roman" w:eastAsia="Times New Roman" w:hAnsi="Times New Roman"/>
          <w:sz w:val="20"/>
          <w:szCs w:val="20"/>
          <w:color w:val="auto"/>
        </w:rPr>
        <w:t>)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20"/>
          <w:szCs w:val="20"/>
          <w:color w:val="auto"/>
        </w:rPr>
        <w:t>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means, for any period, for the Company and its Restricted Subsidiaries on a consolidated basis, subject to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an amount equal to:</w:t>
      </w:r>
    </w:p>
    <w:p>
      <w:pPr>
        <w:spacing w:after="0" w:line="194" w:lineRule="exact"/>
        <w:rPr>
          <w:sz w:val="20"/>
          <w:szCs w:val="20"/>
          <w:color w:val="auto"/>
        </w:rPr>
      </w:pPr>
    </w:p>
    <w:p>
      <w:pPr>
        <w:ind w:left="1500" w:right="6400" w:hanging="369"/>
        <w:spacing w:after="0" w:line="464" w:lineRule="auto"/>
        <w:tabs>
          <w:tab w:leader="none" w:pos="152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u w:val="single" w:color="auto"/>
          <w:color w:val="auto"/>
        </w:rPr>
        <w:t>plus</w:t>
      </w:r>
    </w:p>
    <w:p>
      <w:pPr>
        <w:spacing w:after="0" w:line="1"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to the extent deducted in calculating such Consolidated Net Income (without duplication):</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Charges for such period,</w:t>
      </w:r>
    </w:p>
    <w:p>
      <w:pPr>
        <w:spacing w:after="0" w:line="215" w:lineRule="exact"/>
        <w:rPr>
          <w:rFonts w:ascii="Times New Roman" w:cs="Times New Roman" w:eastAsia="Times New Roman" w:hAnsi="Times New Roman"/>
          <w:sz w:val="20"/>
          <w:szCs w:val="20"/>
          <w:color w:val="auto"/>
        </w:rPr>
      </w:pPr>
    </w:p>
    <w:p>
      <w:pPr>
        <w:ind w:left="1140" w:right="20" w:firstLine="740"/>
        <w:spacing w:after="0" w:line="269" w:lineRule="auto"/>
        <w:tabs>
          <w:tab w:leader="none" w:pos="228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for Federal, state, local and foreign income taxes by the Company and its Restricted Subsidiaries for such period,</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 for such period,</w:t>
      </w:r>
    </w:p>
    <w:p>
      <w:pPr>
        <w:spacing w:after="0" w:line="215" w:lineRule="exact"/>
        <w:rPr>
          <w:rFonts w:ascii="Times New Roman" w:cs="Times New Roman" w:eastAsia="Times New Roman" w:hAnsi="Times New Roman"/>
          <w:sz w:val="20"/>
          <w:szCs w:val="20"/>
          <w:color w:val="auto"/>
        </w:rPr>
      </w:pPr>
    </w:p>
    <w:p>
      <w:pPr>
        <w:ind w:left="1140" w:right="20" w:firstLine="740"/>
        <w:spacing w:after="0" w:line="269" w:lineRule="auto"/>
        <w:tabs>
          <w:tab w:leader="none" w:pos="228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“earn-out” or deferred purchase price and similar expenses in connection with Investments permitted hereby that reduced Consolidated Net Income for such period,</w:t>
      </w:r>
    </w:p>
    <w:p>
      <w:pPr>
        <w:spacing w:after="0" w:line="159" w:lineRule="exact"/>
        <w:rPr>
          <w:rFonts w:ascii="Times New Roman" w:cs="Times New Roman" w:eastAsia="Times New Roman" w:hAnsi="Times New Roman"/>
          <w:sz w:val="20"/>
          <w:szCs w:val="20"/>
          <w:color w:val="auto"/>
        </w:rPr>
      </w:pPr>
    </w:p>
    <w:p>
      <w:pPr>
        <w:jc w:val="both"/>
        <w:ind w:left="1140" w:firstLine="740"/>
        <w:spacing w:after="0" w:line="241" w:lineRule="auto"/>
        <w:tabs>
          <w:tab w:leader="none" w:pos="228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non-recurring cash expenses or charges (including, without limitation, as part of a restructuring, business optimization, consolidation, relocation or integration) and (B) the amount of any cost synergies, operating expense reductions and other net cost savings and integration costs, in each case projected by the Company in connection with Permitted Acquisitions, Dispositions (including the termination or discontinuance of activities constituting such business) and/or other operating improvement, restructuring, cost savings initiative or other similar initiative taken after the Closing Date that have been consummated during the applicable measurement period (calculated on a Pro Forma Basis as though such cost synergies, expense reductions and cost savings had been realized on the first day of the period for which Consolidated EBITDA is being determined), net of the amount of actual benefits realized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such cost synergies, expense reductions and cost savings are reasonably identifiable, factually supportable, expected to have a continuing impact on the operations of the Company and its Restricted Subsidiaries and have been determined by the Company in good faith to be reasonably anticipated to be realizable within 18 months following any such action as set forth in reasonable detail on a certificate of a Responsible Officer of the Company delivered to the Administrative Agent, (2) no such amounts shall be added pursuant to this clause to the extent duplicative of any expenses or charges otherwise added to Consolidated EBITDA, whether through a pro forma adjustment or otherwise and (3) the aggregate amount permitted to be added back pursuant to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with respect to any particular period of four consecutive fiscal quarters shall not exceed the greater of (A) $5,000,000 or (B) 20% of Consolidated EBITDA for such period (calculated without giving effect to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1.07(b)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5" w:name="page46"/>
    <w:bookmarkEnd w:id="45"/>
    <w:p>
      <w:pPr>
        <w:jc w:val="both"/>
        <w:ind w:left="1140" w:firstLine="740"/>
        <w:spacing w:after="0" w:line="254" w:lineRule="auto"/>
        <w:tabs>
          <w:tab w:leader="none" w:pos="2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associated with foreign exchange remeasurements;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permitted to be added back pursuant to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with respect to any particular period of four consecutive fiscal quarters shall not exceed $3,000,000,</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items reducing Consolidated Net Income that do not constitute a cash charge or cash expense in such period or in any future period, including, without limitation, goodwill impairment charges, stock compensation or other stock related charges (excluding amortization of a prepaid cash item that was paid in a prior period),</w:t>
      </w:r>
    </w:p>
    <w:p>
      <w:pPr>
        <w:spacing w:after="0" w:line="174" w:lineRule="exact"/>
        <w:rPr>
          <w:rFonts w:ascii="Times New Roman" w:cs="Times New Roman" w:eastAsia="Times New Roman" w:hAnsi="Times New Roman"/>
          <w:sz w:val="20"/>
          <w:szCs w:val="20"/>
          <w:color w:val="auto"/>
        </w:rPr>
      </w:pPr>
    </w:p>
    <w:p>
      <w:pPr>
        <w:ind w:left="2680" w:hanging="800"/>
        <w:spacing w:after="0"/>
        <w:tabs>
          <w:tab w:leader="none" w:pos="26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costs and expenses incurred in connection with this Agreement and the transactions contemplated</w:t>
      </w:r>
    </w:p>
    <w:p>
      <w:pPr>
        <w:spacing w:after="0" w:line="21" w:lineRule="exact"/>
        <w:rPr>
          <w:rFonts w:ascii="Times New Roman" w:cs="Times New Roman" w:eastAsia="Times New Roman" w:hAnsi="Times New Roman"/>
          <w:sz w:val="20"/>
          <w:szCs w:val="20"/>
          <w:color w:val="auto"/>
        </w:rPr>
      </w:pPr>
    </w:p>
    <w:p>
      <w:pPr>
        <w:ind w:left="1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hereby,</w:t>
      </w:r>
    </w:p>
    <w:p>
      <w:pPr>
        <w:spacing w:after="0" w:line="193" w:lineRule="exact"/>
        <w:rPr>
          <w:rFonts w:ascii="Times New Roman" w:cs="Times New Roman" w:eastAsia="Times New Roman" w:hAnsi="Times New Roman"/>
          <w:sz w:val="20"/>
          <w:szCs w:val="20"/>
          <w:color w:val="auto"/>
        </w:rPr>
      </w:pPr>
    </w:p>
    <w:p>
      <w:pPr>
        <w:jc w:val="both"/>
        <w:ind w:left="1140" w:right="20" w:firstLine="740"/>
        <w:spacing w:after="0" w:line="254" w:lineRule="auto"/>
        <w:tabs>
          <w:tab w:leader="none" w:pos="2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charges, costs and expenses incurred in connection with proposed or closed Dispositions, Acquisitions or Investments (including, without limitation, legal costs and accounting fees), incurrence of Indebtedness or issuance of Equity Interests (in each case, whether or not consummated), including amendments thereof, and</w:t>
      </w:r>
    </w:p>
    <w:p>
      <w:pPr>
        <w:spacing w:after="0" w:line="174" w:lineRule="exact"/>
        <w:rPr>
          <w:rFonts w:ascii="Times New Roman" w:cs="Times New Roman" w:eastAsia="Times New Roman" w:hAnsi="Times New Roman"/>
          <w:sz w:val="20"/>
          <w:szCs w:val="20"/>
          <w:color w:val="auto"/>
        </w:rPr>
      </w:pPr>
    </w:p>
    <w:p>
      <w:pPr>
        <w:jc w:val="both"/>
        <w:ind w:left="1140" w:right="20" w:firstLine="740"/>
        <w:spacing w:after="0" w:line="254" w:lineRule="auto"/>
        <w:tabs>
          <w:tab w:leader="none" w:pos="2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financing costs written off and premiums paid in connection with the any early extinguishment or conversion of Indebtedness, Swap Contracts or other derivative instruments (including deferred financing expenses written off and premiums paid),</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16" w:lineRule="exact"/>
        <w:rPr>
          <w:sz w:val="20"/>
          <w:szCs w:val="20"/>
          <w:color w:val="auto"/>
        </w:rPr>
      </w:pPr>
    </w:p>
    <w:p>
      <w:pPr>
        <w:ind w:left="1520" w:hanging="389"/>
        <w:spacing w:after="0"/>
        <w:tabs>
          <w:tab w:leader="none" w:pos="15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to the extent included in calculating such Consolidated Net Income:</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state, local and foreign income tax credits of the Company and its Restricted Subsidiaries for such</w:t>
      </w:r>
    </w:p>
    <w:p>
      <w:pPr>
        <w:spacing w:after="0" w:line="21" w:lineRule="exact"/>
        <w:rPr>
          <w:rFonts w:ascii="Times New Roman" w:cs="Times New Roman" w:eastAsia="Times New Roman" w:hAnsi="Times New Roman"/>
          <w:sz w:val="20"/>
          <w:szCs w:val="20"/>
          <w:color w:val="auto"/>
        </w:rPr>
      </w:pPr>
    </w:p>
    <w:p>
      <w:pPr>
        <w:ind w:left="1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w:t>
      </w:r>
    </w:p>
    <w:p>
      <w:pPr>
        <w:spacing w:after="0" w:line="193"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benefit associated with foreign exchange remeasurements, and</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non-cash items increasing Consolidated Net Income for such period.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Fixed Charge Coverage Ratio</w:t>
      </w:r>
      <w:r>
        <w:rPr>
          <w:rFonts w:ascii="Times New Roman" w:cs="Times New Roman" w:eastAsia="Times New Roman" w:hAnsi="Times New Roman"/>
          <w:sz w:val="19"/>
          <w:szCs w:val="19"/>
          <w:color w:val="auto"/>
        </w:rPr>
        <w:t xml:space="preserve">” means, as of any date of determination, the ratio of (a) the remainder of (i) Consolidated EBITDA for the period of the four fiscal quarters most recently ended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Capital Expenditures during such period (excluding (A) Capital Expenditures constituting payments in respect of Capitalized Leases and Capital Expenditures financed by Indebtedness permitted hereunder, (B) amounts expended as consideration for Acquisitions permitted hereunder to the extent such amounts would otherwise be included as Capital Expenditures and (C) Capital Expenditures paid for with proceeds of casualty insurance as evidenced in writing and submitted to the Administrative Agent together with any Compliance Certificate delivered pursuant to </w:t>
      </w:r>
      <w:r>
        <w:rPr>
          <w:rFonts w:ascii="Times New Roman" w:cs="Times New Roman" w:eastAsia="Times New Roman" w:hAnsi="Times New Roman"/>
          <w:sz w:val="19"/>
          <w:szCs w:val="19"/>
          <w:u w:val="single" w:color="auto"/>
          <w:color w:val="auto"/>
        </w:rPr>
        <w:t>Section 6.02(a)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minus</w:t>
      </w:r>
    </w:p>
    <w:p>
      <w:pPr>
        <w:spacing w:after="0" w:line="1" w:lineRule="exact"/>
        <w:rPr>
          <w:sz w:val="20"/>
          <w:szCs w:val="20"/>
          <w:color w:val="auto"/>
        </w:rPr>
      </w:pPr>
    </w:p>
    <w:p>
      <w:pPr>
        <w:ind w:firstLine="8"/>
        <w:spacing w:after="0" w:line="246" w:lineRule="auto"/>
        <w:tabs>
          <w:tab w:leader="none" w:pos="34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Federal, state, local and foreign income taxes paid by the Company and its Restricted Subsidiaries during such period </w:t>
      </w:r>
      <w:r>
        <w:rPr>
          <w:rFonts w:ascii="Times New Roman" w:cs="Times New Roman" w:eastAsia="Times New Roman" w:hAnsi="Times New Roman"/>
          <w:sz w:val="20"/>
          <w:szCs w:val="20"/>
          <w:i w:val="1"/>
          <w:iCs w:val="1"/>
          <w:color w:val="auto"/>
        </w:rPr>
        <w:t>to</w:t>
      </w:r>
      <w:r>
        <w:rPr>
          <w:rFonts w:ascii="Times New Roman" w:cs="Times New Roman" w:eastAsia="Times New Roman" w:hAnsi="Times New Roman"/>
          <w:sz w:val="20"/>
          <w:szCs w:val="20"/>
          <w:color w:val="auto"/>
        </w:rPr>
        <w:t xml:space="preserve"> (b) Consolidated Fixed Charges for such period.</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Fixed Charges</w:t>
      </w:r>
      <w:r>
        <w:rPr>
          <w:rFonts w:ascii="Times New Roman" w:cs="Times New Roman" w:eastAsia="Times New Roman" w:hAnsi="Times New Roman"/>
          <w:sz w:val="20"/>
          <w:szCs w:val="20"/>
          <w:color w:val="auto"/>
        </w:rPr>
        <w:t>” means, for any period, for the Company and its Restricted Subsidiaries on a consolidated basis, the sum of (a) Consolidated Interest Charges paid in cash during such period, (b) scheduled principal payments of Consolidated Funded Indebtedness during such period (it being acknowledged and agreed that, solely for purposes of calculating the foregoing, scheduled principal payments of Consolidated Funded Indebtedness shall be those originally scheduled either at the time of incurrence of such Consolidated Funded Indebtedness or as subsequently modified by an agreement expressly modifying such originally scheduled principal payments (without giving effect to any reduction in such originally scheduled principal payments as a result of the application of any principal prepayments)), (c) dividends and distributions paid in cash by the Company to its shareholders or cash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6" w:name="page47"/>
    <w:bookmarkEnd w:id="46"/>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redemptions by the Company of its Equity Interests (other than pursuant to </w:t>
      </w:r>
      <w:r>
        <w:rPr>
          <w:rFonts w:ascii="Times New Roman" w:cs="Times New Roman" w:eastAsia="Times New Roman" w:hAnsi="Times New Roman"/>
          <w:sz w:val="20"/>
          <w:szCs w:val="20"/>
          <w:u w:val="single" w:color="auto"/>
          <w:color w:val="auto"/>
        </w:rPr>
        <w:t>Section 7.06(e)</w:t>
      </w:r>
      <w:r>
        <w:rPr>
          <w:rFonts w:ascii="Times New Roman" w:cs="Times New Roman" w:eastAsia="Times New Roman" w:hAnsi="Times New Roman"/>
          <w:sz w:val="20"/>
          <w:szCs w:val="20"/>
          <w:color w:val="auto"/>
        </w:rPr>
        <w:t>) during such period and (d) any “earn-out” or deferred purchase price and similar payments in connection with Investments that are paid in cash during such period.</w:t>
      </w:r>
    </w:p>
    <w:p>
      <w:pPr>
        <w:spacing w:after="0" w:line="15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Funded Indebtedness</w:t>
      </w:r>
      <w:r>
        <w:rPr>
          <w:rFonts w:ascii="Times New Roman" w:cs="Times New Roman" w:eastAsia="Times New Roman" w:hAnsi="Times New Roman"/>
          <w:sz w:val="20"/>
          <w:szCs w:val="20"/>
          <w:color w:val="auto"/>
        </w:rPr>
        <w:t xml:space="preserve">” means, as of any date of determination, for the Company and its Restricted Subsidiaries on a consolidated basis, and without duplication,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(excluding from such calculation direct obligations with respect to (i) undrawn performance standby letters of credit, (ii) undrawn performance-based bankers’ acceptances and undrawn performance-based bank guarantees, (iii) performance-based surety bonds on which no claims have been asserted and (iv) undrawn letters of credit, undrawn bankers’ acceptances and undrawn bank guarantees securing customer contracts, but in all cases including (x) any payment and reimbursement obligations due in respect of the foregoing, and (y) all obligations with respect to financial standby letters of credit, bankers’ acceptances and bank guarantees or bonds providing assurance with respect to financial obligations), (d) all obligations in respect of the deferred purchase price of property or services (other than (x) trade accounts payable in the ordinary course of business and (y) (i) until such time as the financial covenant set forth in </w:t>
      </w:r>
      <w:r>
        <w:rPr>
          <w:rFonts w:ascii="Times New Roman" w:cs="Times New Roman" w:eastAsia="Times New Roman" w:hAnsi="Times New Roman"/>
          <w:sz w:val="20"/>
          <w:szCs w:val="20"/>
          <w:u w:val="single" w:color="auto"/>
          <w:color w:val="auto"/>
        </w:rPr>
        <w:t>Section 7.11(a)(ii)</w:t>
      </w:r>
      <w:r>
        <w:rPr>
          <w:rFonts w:ascii="Times New Roman" w:cs="Times New Roman" w:eastAsia="Times New Roman" w:hAnsi="Times New Roman"/>
          <w:sz w:val="20"/>
          <w:szCs w:val="20"/>
          <w:color w:val="auto"/>
        </w:rPr>
        <w:t xml:space="preserve"> is in effect, “earnout” and similar payments in connection with Acquisitions permitted hereby and (ii) thereafter, “earnout” and similar payments in connection with Acquisitions permitted hereby solely to the extent any such “earnout” or similar payment remains contingent and has not become an earned liability on the balance sheet of such Person in accordance with GAAP), (e) Attributable Indebtedness in respect of Capitalized Leases, Synthetic Lease Obligations and Securitization Transactions (for the purpose of calculating the Consolidated Net Leverage Ratio and Consolidated Secured Net Leverage Ratio only, excluding the Specified Existing Capital Leases), (f) without duplication, all Guarantees with respect to outstanding Indebtedness of the types specified in clauses (a) through (e) above of Persons other than the Company or any Restricted Subsidiary, and (g) all Indebtedness of the types referred to in clauses (a) 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(it being understood that any Indebtedness owed by the Company to any Restricted Subsidiary, by any Restricted Subsidiary to the Company or by any Restricted Subsidiary to another Restricted Subsidiary will be netted out for purposes of calculating Consolidated Funded Indebtedness to the extent such netting would be made when making calculations on “a consolidated basis” in accordance with GAAP).</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Charges</w:t>
      </w:r>
      <w:r>
        <w:rPr>
          <w:rFonts w:ascii="Times New Roman" w:cs="Times New Roman" w:eastAsia="Times New Roman" w:hAnsi="Times New Roman"/>
          <w:sz w:val="20"/>
          <w:szCs w:val="20"/>
          <w:color w:val="auto"/>
        </w:rPr>
        <w:t>” means, for any period, for the Company and its Restricted Subsidiaries on a consolidated basis, the sum of (a) all interest, premium payments, debt discount, fees, charges and related expenses of the Company and its Restricted Subsidiaries in connection with borrowed money (including capitalized interest) or in connection with the deferred purchase price of assets, in each case to the extent treated as interest in accordance with GAAP, and (b) the portion of rent expense of the Company and its Restricted Subsidiaries with respect to such period under Capitalized Leases that is treated as interest in accordance with GAAP.</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xml:space="preserve">” means, as of any date of determination, the ratio of (a) Consolidated EBITDA for the period of the four fiscal quarters most recently ended </w:t>
      </w:r>
      <w:r>
        <w:rPr>
          <w:rFonts w:ascii="Times New Roman" w:cs="Times New Roman" w:eastAsia="Times New Roman" w:hAnsi="Times New Roman"/>
          <w:sz w:val="20"/>
          <w:szCs w:val="20"/>
          <w:i w:val="1"/>
          <w:iCs w:val="1"/>
          <w:color w:val="auto"/>
        </w:rPr>
        <w:t>to</w:t>
      </w:r>
      <w:r>
        <w:rPr>
          <w:rFonts w:ascii="Times New Roman" w:cs="Times New Roman" w:eastAsia="Times New Roman" w:hAnsi="Times New Roman"/>
          <w:sz w:val="20"/>
          <w:szCs w:val="20"/>
          <w:color w:val="auto"/>
        </w:rPr>
        <w:t xml:space="preserve"> (b) Consolidated Interest Charges for such period.</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for any period, for the Company and its Restricted Subsidiaries on a consolidated basis, 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the net income (or loss) of the Company and its Restricted</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7" w:name="page48"/>
    <w:bookmarkEnd w:id="47"/>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Subsidiaries for such period determined on a consolidated basis in accordance with GAAP, but excluding therefrom (to the extent otherwise included therein) (a) any gains or losses that are unusual and non-recurring (excluding losses from discontinued operations), (b) any gains attributable to a sale of assets (other than inventory sold in the ordinary course of business) and the write-up of assets, (c) any equity interest of the Company or any Restricted Subsidiary of the Company in the unremitted earnings of any Person that is not a Restricted Subsidiary, (d) the net income of any Restricted Subsidiary to the extent that the declaration or payment of dividends or similar distributions by such Restricted Subsidiary of such income is not permitted by operation of the terms of its Organization Documents or any agreement, instrument or Law applicable to such Restricted Subsidiary, except that the Company’s equity in any net loss of any such Restricted Subsidiary shall be included in determining Consolidated Net Income and (e) any income (or loss) of any Person accrued prior to the date it becomes a Restricted Subsidiary or is merged into or consolidated with the Company or any Restricted Subsidiary or the date that such Person’s assets are acquired by the Company or any Restricted Subsidiary;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to the extent not already included therein, Consolidated Net Income for any period shall be increased by the amount of cash dividends or other distributions actually paid to the Company or any Restricted Subsidiary by any Person that is not a Restricted Subsidiary during such period in respect of the income earned by such Person in such period or in any prior period (to the extent not previously included in Consolidated Net Income) (and in the case of a dividend or other distribution to a Restricted Subsidiary, such Restricted Subsidiary is not precluded from further distributing such amount to the Company as described in the foregoing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means, as of any date of determination, the ratio of (a) the difference of (i) Consolidated Funded Indebtedness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100% of unrestricted cash or Cash Equivalents of the Loan Parties maintained in the United States or Canada with a Lender </w:t>
      </w:r>
      <w:r>
        <w:rPr>
          <w:rFonts w:ascii="Times New Roman" w:cs="Times New Roman" w:eastAsia="Times New Roman" w:hAnsi="Times New Roman"/>
          <w:sz w:val="20"/>
          <w:szCs w:val="20"/>
          <w:i w:val="1"/>
          <w:iCs w:val="1"/>
          <w:color w:val="auto"/>
        </w:rPr>
        <w:t>to</w:t>
      </w:r>
      <w:r>
        <w:rPr>
          <w:rFonts w:ascii="Times New Roman" w:cs="Times New Roman" w:eastAsia="Times New Roman" w:hAnsi="Times New Roman"/>
          <w:sz w:val="20"/>
          <w:szCs w:val="20"/>
          <w:color w:val="auto"/>
        </w:rPr>
        <w:t xml:space="preserve"> (b) Consolidated EBITDA for the period of the four fiscal quarters most recently ended.</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Tangible Assets</w:t>
      </w:r>
      <w:r>
        <w:rPr>
          <w:rFonts w:ascii="Times New Roman" w:cs="Times New Roman" w:eastAsia="Times New Roman" w:hAnsi="Times New Roman"/>
          <w:sz w:val="20"/>
          <w:szCs w:val="20"/>
          <w:color w:val="auto"/>
        </w:rPr>
        <w:t>” means, as of any date of determination, with respect to the Company and its Restricted Subsidiaries on a consolidated basis, without duplication, in accordance with GAAP, (a) the total amount of all assets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related depreciation, amortization, applicable reserves, and other properly deductible items)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all current liabilities (excluding current maturities of long-term debt)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 all intangible assets (including, without limitation, customer lists, goodwill, computer software, copyrights, trade names, trademarks, patents, franchises, licenses, unamortized deferred charges, unamortized debt discount and capitalized research and development costs).</w:t>
      </w:r>
    </w:p>
    <w:p>
      <w:pPr>
        <w:spacing w:after="0" w:line="18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Secured Net Leverage Ratio</w:t>
      </w:r>
      <w:r>
        <w:rPr>
          <w:rFonts w:ascii="Times New Roman" w:cs="Times New Roman" w:eastAsia="Times New Roman" w:hAnsi="Times New Roman"/>
          <w:sz w:val="19"/>
          <w:szCs w:val="19"/>
          <w:color w:val="auto"/>
        </w:rPr>
        <w:t xml:space="preserve">” means, as of any date of determination, the ratio of (a) the difference of (i) Consolidated Funded Indebtedness (excluding any Consolidated Funded Indebtedness not secured by a Lien on any asset of the Company or any Restricted Subsidiary thereof ) as of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100% of unrestricted cash or Cash Equivalents of the Loan Parties maintained in the United States or Canada with a Lender </w:t>
      </w:r>
      <w:r>
        <w:rPr>
          <w:rFonts w:ascii="Times New Roman" w:cs="Times New Roman" w:eastAsia="Times New Roman" w:hAnsi="Times New Roman"/>
          <w:sz w:val="19"/>
          <w:szCs w:val="19"/>
          <w:i w:val="1"/>
          <w:iCs w:val="1"/>
          <w:color w:val="auto"/>
        </w:rPr>
        <w:t>to</w:t>
      </w:r>
      <w:r>
        <w:rPr>
          <w:rFonts w:ascii="Times New Roman" w:cs="Times New Roman" w:eastAsia="Times New Roman" w:hAnsi="Times New Roman"/>
          <w:sz w:val="19"/>
          <w:szCs w:val="19"/>
          <w:color w:val="auto"/>
        </w:rPr>
        <w:t xml:space="preserve"> (b) Consolidated EBITDA for the period of the four fiscal quarters most recently ended.</w:t>
      </w:r>
    </w:p>
    <w:p>
      <w:pPr>
        <w:spacing w:after="0" w:line="16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any date of determination, the net book value of all assets of the Company and its Subsidiaries on such date determined on a consolidated basis in accordance with GAAP.</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8" w:name="page49"/>
    <w:bookmarkEnd w:id="48"/>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Obligations</w:t>
      </w:r>
      <w:r>
        <w:rPr>
          <w:rFonts w:ascii="Times New Roman" w:cs="Times New Roman" w:eastAsia="Times New Roman" w:hAnsi="Times New Roman"/>
          <w:sz w:val="20"/>
          <w:szCs w:val="20"/>
          <w:color w:val="auto"/>
        </w:rPr>
        <w:t>” means all Obligations other than the Parallel Debts.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xml:space="preserve">” means, with respect to any applicable determination date, the rate per annum equal to SOFR published on the second U.S. Government Securities Business Day preceding such date by the SOFR Administrator on the Federal Reserve Bank of New York’s website (or any successor source);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if such determination date is not a U.S. Government Securities Business Day, then Daily Simple SOFR means such rate that applied on the first U.S. Government Securities Business Day immediately prior thereto. Any change in Daily Simple SOFR shall be effective from and including the date of such change without further notice. If the rate as so determined would be less than zero, such rate shall be deemed to be zero for purposes of this Agreement.</w:t>
      </w:r>
    </w:p>
    <w:p>
      <w:pPr>
        <w:spacing w:after="0" w:line="18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 Loan</w:t>
      </w:r>
      <w:r>
        <w:rPr>
          <w:rFonts w:ascii="Times New Roman" w:cs="Times New Roman" w:eastAsia="Times New Roman" w:hAnsi="Times New Roman"/>
          <w:sz w:val="20"/>
          <w:szCs w:val="20"/>
          <w:color w:val="auto"/>
        </w:rPr>
        <w:t>” means a Loan that bears interest at a rate based on Daily Simple SOFR (other than pursuant to clause (c) of the definition of Base Rate).</w:t>
      </w:r>
    </w:p>
    <w:p>
      <w:pPr>
        <w:spacing w:after="0" w:line="15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the Dutch Bankruptcy Act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 any insolvency proceedings within the meaning of the Insolvency Regulation listed or to be listed in Annex A thereto and all other liquidation, conservatorship, bankruptcy, assignment for the benefit of creditors, moratorium, rearrangement, receivership, insolvency, reorganization, or similar debtor relief Laws of the United States or other applicable jurisdictions from time to time in effect, including with respect to any Loan Party incorporated in the Netherlands the filing of a declaration under article 370(3) of the Dutch Bankruptcy Act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 or the filing of a notice under Section 36 of the Tax Collection Act of the Netherlands (</w:t>
      </w:r>
      <w:r>
        <w:rPr>
          <w:rFonts w:ascii="Times New Roman" w:cs="Times New Roman" w:eastAsia="Times New Roman" w:hAnsi="Times New Roman"/>
          <w:sz w:val="20"/>
          <w:szCs w:val="20"/>
          <w:i w:val="1"/>
          <w:iCs w:val="1"/>
          <w:color w:val="auto"/>
        </w:rPr>
        <w:t>Invorderingswet 1990</w:t>
      </w:r>
      <w:r>
        <w:rPr>
          <w:rFonts w:ascii="Times New Roman" w:cs="Times New Roman" w:eastAsia="Times New Roman" w:hAnsi="Times New Roman"/>
          <w:sz w:val="20"/>
          <w:szCs w:val="20"/>
          <w:color w:val="auto"/>
        </w:rPr>
        <w:t>) or Section 60 of the Social Insurance Financing Act of the Netherlands (</w:t>
      </w:r>
      <w:r>
        <w:rPr>
          <w:rFonts w:ascii="Times New Roman" w:cs="Times New Roman" w:eastAsia="Times New Roman" w:hAnsi="Times New Roman"/>
          <w:sz w:val="20"/>
          <w:szCs w:val="20"/>
          <w:i w:val="1"/>
          <w:iCs w:val="1"/>
          <w:color w:val="auto"/>
        </w:rPr>
        <w:t>Wet Financiering Sociale Verzekeringen</w:t>
      </w:r>
      <w:r>
        <w:rPr>
          <w:rFonts w:ascii="Times New Roman" w:cs="Times New Roman" w:eastAsia="Times New Roman" w:hAnsi="Times New Roman"/>
          <w:sz w:val="20"/>
          <w:szCs w:val="20"/>
          <w:color w:val="auto"/>
        </w:rPr>
        <w:t>) in conjunction with Section 36 of the Tax Collection Act of the Netherlands (</w:t>
      </w:r>
      <w:r>
        <w:rPr>
          <w:rFonts w:ascii="Times New Roman" w:cs="Times New Roman" w:eastAsia="Times New Roman" w:hAnsi="Times New Roman"/>
          <w:sz w:val="20"/>
          <w:szCs w:val="20"/>
          <w:i w:val="1"/>
          <w:iCs w:val="1"/>
          <w:color w:val="auto"/>
        </w:rPr>
        <w:t>Invorderingswet 1990</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Rate, if any,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 Term SOFR Loan, a Daily Simple SOFR Loan or an Alternative Currency Loan, the Default Rate shall be an interest rate equal to the interest rate (including any Applicable Rate) otherwise applicable to such Loan plus 2% per annum, and (b) when used with respect to Letter of Credit Fees, a rate equal to the Applicable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any L/C Issuer or the Swing Line Lender in writing that it does not intend to comply with its funding obligations hereunder, or has made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9"/>
          <w:szCs w:val="19"/>
          <w:color w:val="auto"/>
        </w:rPr>
        <w:t>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and the Company), or</w:t>
      </w:r>
    </w:p>
    <w:p>
      <w:pPr>
        <w:spacing w:after="0" w:line="1" w:lineRule="exact"/>
        <w:rPr>
          <w:sz w:val="20"/>
          <w:szCs w:val="20"/>
          <w:color w:val="auto"/>
        </w:rPr>
      </w:pPr>
    </w:p>
    <w:p>
      <w:pPr>
        <w:jc w:val="both"/>
        <w:ind w:firstLine="8"/>
        <w:spacing w:after="0"/>
        <w:tabs>
          <w:tab w:leader="none" w:pos="29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Company, each L/C Issuer, the Swing Line Lender and each other Lender promptly following such determination.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Non-U.S. Borrower Sublimit</w:t>
      </w:r>
      <w:r>
        <w:rPr>
          <w:rFonts w:ascii="Times New Roman" w:cs="Times New Roman" w:eastAsia="Times New Roman" w:hAnsi="Times New Roman"/>
          <w:sz w:val="20"/>
          <w:szCs w:val="20"/>
          <w:color w:val="auto"/>
        </w:rPr>
        <w:t>” means an amount equal to the lesser of (a) the Aggregate Revolving Credit Commitments and (b) $75,000,000. The Designated Non-U.S. Borrower Sublimit is part of, and not in addition to, the Aggregate Revolving Credit Commitments.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itself is the subject of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Sanction.</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Asset Sales</w:t>
      </w:r>
      <w:r>
        <w:rPr>
          <w:rFonts w:ascii="Times New Roman" w:cs="Times New Roman" w:eastAsia="Times New Roman" w:hAnsi="Times New Roman"/>
          <w:sz w:val="20"/>
          <w:szCs w:val="20"/>
          <w:color w:val="auto"/>
        </w:rPr>
        <w:t>” means those certain planned asset sales with terms and conditions as disclosed by the Company to the Lenders prior to the Closing Date.</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Interests</w:t>
      </w:r>
      <w:r>
        <w:rPr>
          <w:rFonts w:ascii="Times New Roman" w:cs="Times New Roman" w:eastAsia="Times New Roman" w:hAnsi="Times New Roman"/>
          <w:sz w:val="20"/>
          <w:szCs w:val="20"/>
          <w:color w:val="auto"/>
        </w:rPr>
        <w:t>” means, with respect to any Person, any Equity Interests of such Person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fundamental change or asset sale so long as any rights of the holders thereof upon the occurrence of a change of control, fundamental change or asset sale event shall be subject to the prior repayment in full in cash of the Loans and all other Obligations ((other than contingent indemnification obligations not then due) and the termination of the Commitments),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0" w:name="page51"/>
    <w:bookmarkEnd w:id="50"/>
    <w:p>
      <w:pPr>
        <w:jc w:val="both"/>
        <w:ind w:firstLine="8"/>
        <w:spacing w:after="0" w:line="242" w:lineRule="auto"/>
        <w:tabs>
          <w:tab w:leader="none" w:pos="30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redeemable at the option of the holder thereof (other than solely for Qualified Equity Interests) (except as a result of a change of control, fundamental change or asset sale so long as any rights of the holders thereof upon the occurrence of a change of control, fundamental change or asset sale event shall be subject to the prior repayment in full in cash of the Loans and all other Obligations ((other than contingent indemnification obligations not then due) and the termination of the Aggregate Commitments), in whole or in part, (c) provide for the scheduled payment of dividends in cash or (d) are or become convertible into, or exchangeable for, Indebtedness or any other Equity Interests that would constitute Disqualified Equity Interests, in each case of clauses (a) through (d), prior to the date that is 91 days after the latest scheduled maturity date of the Loans and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Equity Interests are issued pursuant to a plan for the benefit of the Company or its Subsidiaries or by any such plan to such officers or employees, such Equity Interests shall not constitute Disqualified Equity Interests solely because they may be required to be repurchased by the Company or its Subsidiaries in order to satisfy applicable statutory or regulatory obligations.</w:t>
      </w:r>
    </w:p>
    <w:p>
      <w:pPr>
        <w:spacing w:after="0" w:line="19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For the avoidance of doubt, the issuance by any Person of shares of Equity Interests in such Person shall not constitute a Disposition. For the avoidance of doubt, none of</w:t>
      </w:r>
    </w:p>
    <w:p>
      <w:pPr>
        <w:jc w:val="both"/>
        <w:ind w:firstLine="8"/>
        <w:spacing w:after="0" w:line="241" w:lineRule="auto"/>
        <w:tabs>
          <w:tab w:leader="none" w:pos="32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or sale of any Permitted Convertible Indebtedness by the Company, (x) the sale of any Permitted Warrant Transaction by the Company, (y) the purchase of any Permitted Bond Hedge Transaction nor (z) the performance by the Company and/or any Subsidiary thereof of the Company’s or such Subsidiary’s obligations under any Permitted Convertible Indebtedness, any Permitted Warrant Transaction or any Permitted Bond Hedge Transaction, shall constitute a Disposition.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has the meaning assigned to it in the definition of “</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means the division of the assets, liabilities and/or obligations of a Person (the “</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L/C Issuer, as applicable using any method of determination it deems appropriate in its sole discretion) and (c) if such amount is denominated in any other currency, the equivalent of such amount in Dollars as determined by the Administrative Agent or the applicable L/C Issuer, as applicable, using any method of determination it deems appropriate in its sole discretion. Any determination by the Administrative Agent or the applicable L/C Issuer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above shall be conclusive (including within the meaning of section 151 Dutch Code of Civil Procedure) absent manifest error.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1" w:name="page52"/>
    <w:bookmarkEnd w:id="51"/>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any political subdivision of the United States.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xml:space="preserve">” shall have the meaning specified in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Currency</w:t>
      </w:r>
      <w:r>
        <w:rPr>
          <w:rFonts w:ascii="Times New Roman" w:cs="Times New Roman" w:eastAsia="Times New Roman" w:hAnsi="Times New Roman"/>
          <w:sz w:val="20"/>
          <w:szCs w:val="20"/>
          <w:color w:val="auto"/>
        </w:rPr>
        <w:t xml:space="preserve">” means any lawful currency other than Dollars that is readily available, freely transferable and convertible into Dollars in the international interbank market available to the Lenders or an L/C Issuer, as applicable, in such market and as to which a Dollar Equivalent may be readily calculated. If, after the designation by the Lenders or an L/C Issuer, as applicable, of any currency as an Alternative Currency (or if, with respect to any currency that constitutes an Alternative Currency on the Closing Date, after the Closing Date),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Revolving Credit Loans to be denominated in an Alternative Currency) or the applicable L/C Issuer (in the case of any Letter of Credit to be denominated in an Alternative Currency), (a) such currency no longer being readily available, freely transferable and convertible into Dollars, (b) a Dollar Equivalent being no longer readily calculable with respect to such currency or (c) providing such currency being impracticable for the Lenders or any L/C Issuer, as applicable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Disqualifying Event</w:t>
      </w:r>
      <w:r>
        <w:rPr>
          <w:rFonts w:ascii="Times New Roman" w:cs="Times New Roman" w:eastAsia="Times New Roman" w:hAnsi="Times New Roman"/>
          <w:sz w:val="20"/>
          <w:szCs w:val="20"/>
          <w:color w:val="auto"/>
        </w:rPr>
        <w:t>”), then the Administrative Agent shall promptly notify the Lenders and the Company, and such country’s currency shall no longer be an Alternative Currency until such time as the Disqualifying Event(s) no longer exist(s).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9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any other</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9"/>
          <w:szCs w:val="19"/>
          <w:color w:val="auto"/>
        </w:rPr>
        <w:t>Loan Party or any of their respective Subsidiaries directly or indirectly resulting from or based upon (a) violation of any Environmental Law,</w:t>
      </w:r>
    </w:p>
    <w:p>
      <w:pPr>
        <w:spacing w:after="0" w:line="33" w:lineRule="exact"/>
        <w:rPr>
          <w:sz w:val="20"/>
          <w:szCs w:val="20"/>
          <w:color w:val="auto"/>
        </w:rPr>
      </w:pPr>
    </w:p>
    <w:p>
      <w:pPr>
        <w:jc w:val="both"/>
        <w:ind w:firstLine="8"/>
        <w:spacing w:after="0" w:line="242" w:lineRule="auto"/>
        <w:tabs>
          <w:tab w:leader="none" w:pos="29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w:t>
      </w:r>
      <w:r>
        <w:rPr>
          <w:rFonts w:ascii="Times New Roman" w:cs="Times New Roman" w:eastAsia="Times New Roman" w:hAnsi="Times New Roman"/>
          <w:sz w:val="20"/>
          <w:szCs w:val="20"/>
          <w:color w:val="auto"/>
        </w:rPr>
        <w:t>” means any permit, approval, identification number, license or other authorization required under any Environmental Law.</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Permitted Convertible Indebtedness, other debt securities that are or by their terms may be convertible or exchangeable into or for Qualified Equity Interests (or into or for any combination cash and Qualified Equity Interests by reference to the price of such Qualified Equity Interests) nor any Permitted Warrant Transactions, in each case, shall constitute Equity Interests of the Company or any of its Subsidiaries prior to settlement, conversion, exchange or exercise thereof into or for securities that would otherwise constitute Equity Interests under this definition.</w:t>
      </w:r>
    </w:p>
    <w:p>
      <w:pPr>
        <w:spacing w:after="0" w:line="19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the rules and regulations promulgated thereunder.</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7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insolvent;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81"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single currency of the Participating Member States.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Swap Obligation</w:t>
      </w:r>
      <w:r>
        <w:rPr>
          <w:rFonts w:ascii="Times New Roman" w:cs="Times New Roman" w:eastAsia="Times New Roman" w:hAnsi="Times New Roman"/>
          <w:sz w:val="19"/>
          <w:szCs w:val="19"/>
          <w:color w:val="auto"/>
        </w:rPr>
        <w:t xml:space="preserve">” means, with respect to any Subsidiary Guarantor, any Swap Obligation if, and to the extent that, all or a portion of the Guarantee of such Subsidiary Guarantor of, or the grant by such Subsidiary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Subsidiary Guarantor’s failure for any reason to constitute an “eligible contract participant” as defined in the Commodity Exchange Act (determined after giving effect to </w:t>
      </w:r>
      <w:r>
        <w:rPr>
          <w:rFonts w:ascii="Times New Roman" w:cs="Times New Roman" w:eastAsia="Times New Roman" w:hAnsi="Times New Roman"/>
          <w:sz w:val="19"/>
          <w:szCs w:val="19"/>
          <w:u w:val="single" w:color="auto"/>
          <w:color w:val="auto"/>
        </w:rPr>
        <w:t>Section 10.19</w:t>
      </w:r>
      <w:r>
        <w:rPr>
          <w:rFonts w:ascii="Times New Roman" w:cs="Times New Roman" w:eastAsia="Times New Roman" w:hAnsi="Times New Roman"/>
          <w:sz w:val="19"/>
          <w:szCs w:val="19"/>
          <w:color w:val="auto"/>
        </w:rPr>
        <w:t xml:space="preserve"> and any other “keepwell, support or other agreement” for the benefit of such Subsidiary Guarantor and any and all guarantees of such Subsidiary Guarantor’s Swap Obligations by other Loan Parties) at the time the Guarantee of such Subsidiary Guarantor, or a grant by such Subsidiary Guarantor of a Lien,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8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3.01(a)(ii)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3.01(e)</w:t>
      </w:r>
      <w:r>
        <w:rPr>
          <w:rFonts w:ascii="Times New Roman" w:cs="Times New Roman" w:eastAsia="Times New Roman" w:hAnsi="Times New Roman"/>
          <w:sz w:val="20"/>
          <w:szCs w:val="20"/>
          <w:color w:val="auto"/>
        </w:rPr>
        <w:t xml:space="preserve"> and (d) any Taxes imposed pursuant to FATCA.</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Recital 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those letters of credit described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Credit Commitment</w:t>
      </w:r>
      <w:r>
        <w:rPr>
          <w:rFonts w:ascii="Times New Roman" w:cs="Times New Roman" w:eastAsia="Times New Roman" w:hAnsi="Times New Roman"/>
          <w:sz w:val="20"/>
          <w:szCs w:val="20"/>
          <w:color w:val="auto"/>
        </w:rPr>
        <w:t xml:space="preserve">” means any Class of Revolving Credit Commitments or Replacement Revolving Credit Commitments the maturity of which shall have been extended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Credit Loans</w:t>
      </w:r>
      <w:r>
        <w:rPr>
          <w:rFonts w:ascii="Times New Roman" w:cs="Times New Roman" w:eastAsia="Times New Roman" w:hAnsi="Times New Roman"/>
          <w:sz w:val="20"/>
          <w:szCs w:val="20"/>
          <w:color w:val="auto"/>
        </w:rPr>
        <w:t>” means any Revolving Credit Loans made pursuant to the Extended Revolving Credit Commitments.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xml:space="preserve">” means any Class of Term Loans the maturity of which shall have been extended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means an amendment to this Agreement (which may, at the option of the Administrative Agent and the Company, be in the form of an amendment and restatement of this Agreement) among the Loan Parties, the applicable extending Lenders, the Administrative Agent and, to</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4" w:name="page55"/>
    <w:bookmarkEnd w:id="54"/>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the extent required by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 L/C Issuer(s) and/or the Swing Line Lender implementing an Extension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any Term Loan Facility or the Revolving Credit Facility, as the context may require.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 described above) and any intergovernmental agreement (and related fiscal or regulatory legislation, or related official rules or practices) implementing the foregoing.</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Rate as so determined would be less than zero, such rate shall be deemed to be zero for purposes of this Agreement.</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Letters</w:t>
      </w:r>
      <w:r>
        <w:rPr>
          <w:rFonts w:ascii="Times New Roman" w:cs="Times New Roman" w:eastAsia="Times New Roman" w:hAnsi="Times New Roman"/>
          <w:sz w:val="20"/>
          <w:szCs w:val="20"/>
          <w:color w:val="auto"/>
        </w:rPr>
        <w:t>” means (a) the letter agreement dated as of December 22, 2025, between the Company, Bank of America, N.A. and BAS, as amended, and (b) any other letter agreement(s) entered into from time to time between the Company, Bank of America, N.A. and BAS, and/or any other Arranger (or Affiliate thereof), as amended.</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Obligor</w:t>
      </w:r>
      <w:r>
        <w:rPr>
          <w:rFonts w:ascii="Times New Roman" w:cs="Times New Roman" w:eastAsia="Times New Roman" w:hAnsi="Times New Roman"/>
          <w:sz w:val="20"/>
          <w:szCs w:val="20"/>
          <w:color w:val="auto"/>
        </w:rPr>
        <w:t>” means a Loan Party that is a Foreign Subsidiary.</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xml:space="preserve">” means (a) any Subsidiary that is not a Domestic Subsidiary, (b) any Domestic Subsidiary all or substantially all of the assets of which consist of equity or debt of one or more Subsidiaries of the type described in the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and (c) any Subsidiary of any Subsidiary of the type described in the preceding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any L/C Issuer, such Defaulting Lender’s Applicable Revolving Credit Percentage of the outstanding L/C Obligations on account of Letters of Credit issued by such L/C Issuer other than L/C Obligations as to which such Defaulting Lender’s participation obligation has been reallocated to other Lenders or Cash Collateralized in accordance with the terms hereof, and (b) with respect to the Swing Line Lender, such Defaulting Lender’s Applicable Revolving Credit Percentage of Swing Line Loans other than Swing Line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5" w:name="page56"/>
    <w:bookmarkEnd w:id="55"/>
    <w:p>
      <w:pPr>
        <w:jc w:val="both"/>
        <w:spacing w:after="0" w:line="269" w:lineRule="auto"/>
        <w:rPr>
          <w:sz w:val="20"/>
          <w:szCs w:val="20"/>
          <w:color w:val="auto"/>
        </w:rPr>
      </w:pPr>
      <w:r>
        <w:rPr>
          <w:rFonts w:ascii="Times New Roman" w:cs="Times New Roman" w:eastAsia="Times New Roman" w:hAnsi="Times New Roman"/>
          <w:sz w:val="20"/>
          <w:szCs w:val="20"/>
          <w:color w:val="auto"/>
        </w:rPr>
        <w:t>Loans as to which such Defaulting Lender’s participation obligation has been reallocated to other Lenders in accordance with the terms hereof.</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General Rubber Joint Venture Investment</w:t>
      </w:r>
      <w:r>
        <w:rPr>
          <w:rFonts w:ascii="Times New Roman" w:cs="Times New Roman" w:eastAsia="Times New Roman" w:hAnsi="Times New Roman"/>
          <w:sz w:val="20"/>
          <w:szCs w:val="20"/>
          <w:color w:val="auto"/>
        </w:rPr>
        <w:t>” means, collectively, (a) the outstanding loan(s) made by a Loan Party to Pinnacle Process Solutions, LLC (f/k/a EFM Equipment Company, LLC), a Delaware limited liability company (“</w:t>
      </w:r>
      <w:r>
        <w:rPr>
          <w:rFonts w:ascii="Times New Roman" w:cs="Times New Roman" w:eastAsia="Times New Roman" w:hAnsi="Times New Roman"/>
          <w:sz w:val="20"/>
          <w:szCs w:val="20"/>
          <w:u w:val="single" w:color="auto"/>
          <w:color w:val="auto"/>
        </w:rPr>
        <w:t>PPS</w:t>
      </w:r>
      <w:r>
        <w:rPr>
          <w:rFonts w:ascii="Times New Roman" w:cs="Times New Roman" w:eastAsia="Times New Roman" w:hAnsi="Times New Roman"/>
          <w:sz w:val="20"/>
          <w:szCs w:val="20"/>
          <w:color w:val="auto"/>
        </w:rPr>
        <w:t>”), the proceeds of which were used in connection with the Acquisition by PPS of General Rubber LLC (f/k/a General Rubber Corporation), and (b) any additional loan(s) made by a Loan Party to PPS and/or its Subsidiaries from time to time, so long as the aggregate outstanding principal amount of all such loans referenced in the foregoing clauses (a) and (b) does not exceed $22,580,000 at any time and such loans are evidenced by one or more notes in form and substance reasonably satisfactory to the Administrative Agent and pledged and delivered to the Administrative Agent pursuant to the Collateral Documents.</w:t>
      </w:r>
    </w:p>
    <w:p>
      <w:pPr>
        <w:spacing w:after="0" w:line="18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6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Guaranties</w:t>
      </w:r>
      <w:r>
        <w:rPr>
          <w:rFonts w:ascii="Times New Roman" w:cs="Times New Roman" w:eastAsia="Times New Roman" w:hAnsi="Times New Roman"/>
          <w:sz w:val="20"/>
          <w:szCs w:val="20"/>
          <w:color w:val="auto"/>
        </w:rPr>
        <w:t>” means, collectively, the Company Guaranty and the Subsidiary Guaranties.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6" w:name="page57"/>
    <w:bookmarkEnd w:id="56"/>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that, (a) at the time it enters into a Swap Contract not prohibited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is a Lender or an Affiliate of a Lender, or (b) at the time it (or its Affiliate) becomes a Lender, is party to a Swap Contract, in each case, in its capacity as a party to such Swap Contract.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Indebtedness</w:t>
      </w:r>
      <w:r>
        <w:rPr>
          <w:rFonts w:ascii="Times New Roman" w:cs="Times New Roman" w:eastAsia="Times New Roman" w:hAnsi="Times New Roman"/>
          <w:sz w:val="20"/>
          <w:szCs w:val="20"/>
          <w:color w:val="auto"/>
        </w:rPr>
        <w:t>” means subordinated or senior Indebtedness (which Indebtedness may be (a) unsecured, (b) Pari Passu Indebtedness or (c) secured by Liens only on assets constituting Collateral having a lien priority that ranks junior to the Liens securing the Obligations), in each case incurred by a Loan Party and subject to the satisfaction of each of the Permitted Indebtedness Conditions.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Facilities Limit</w:t>
      </w:r>
      <w:r>
        <w:rPr>
          <w:rFonts w:ascii="Times New Roman" w:cs="Times New Roman" w:eastAsia="Times New Roman" w:hAnsi="Times New Roman"/>
          <w:sz w:val="20"/>
          <w:szCs w:val="20"/>
          <w:color w:val="auto"/>
        </w:rPr>
        <w:t xml:space="preserve">” means, with respect to any proposed Incremental Increase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any Incremental Equivalent Indebtedness, as of any date of determination, an amount equal to the sum of:</w:t>
      </w:r>
    </w:p>
    <w:p>
      <w:pPr>
        <w:spacing w:after="0" w:line="159" w:lineRule="exact"/>
        <w:rPr>
          <w:sz w:val="20"/>
          <w:szCs w:val="20"/>
          <w:color w:val="auto"/>
        </w:rPr>
      </w:pPr>
    </w:p>
    <w:p>
      <w:pPr>
        <w:jc w:val="both"/>
        <w:ind w:left="760" w:firstLine="745"/>
        <w:spacing w:after="0" w:line="245" w:lineRule="auto"/>
        <w:tabs>
          <w:tab w:leader="none" w:pos="190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greater of (A) $230,000,000 (or, prior to the Longhorn Acquisition Funding Date, $80,000,000) and (B) an amount equal to 100% of Consolidated EBITDA, calculated on a Pro Forma Basis, for the most recently ended period of four consecutive fiscal quarters of the Company for which financial statements are available prior to the incurrence of such Incremental Increase or Incremental Equivalent Indebtedness (or in the case of any Incremental Term Loan or Incremental Equivalent Indebtedness, the proceeds of which will finance a substantially concurrent Limited Condition Transaction, the last day of the most recently ended fiscal quarter for which financial information is available prior to the LCT Test Date);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jc w:val="both"/>
        <w:ind w:left="760" w:firstLine="1494"/>
        <w:spacing w:after="0" w:line="244" w:lineRule="auto"/>
        <w:tabs>
          <w:tab w:leader="none" w:pos="265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(A) the aggregate principal amount of Term Loans prepaid pursuant to </w:t>
      </w:r>
      <w:r>
        <w:rPr>
          <w:rFonts w:ascii="Times New Roman" w:cs="Times New Roman" w:eastAsia="Times New Roman" w:hAnsi="Times New Roman"/>
          <w:sz w:val="20"/>
          <w:szCs w:val="20"/>
          <w:u w:val="single" w:color="auto"/>
          <w:color w:val="auto"/>
        </w:rPr>
        <w:t>Section 2.05(a) plus</w:t>
      </w:r>
      <w:r>
        <w:rPr>
          <w:rFonts w:ascii="Times New Roman" w:cs="Times New Roman" w:eastAsia="Times New Roman" w:hAnsi="Times New Roman"/>
          <w:sz w:val="20"/>
          <w:szCs w:val="20"/>
          <w:color w:val="auto"/>
        </w:rPr>
        <w:t xml:space="preserve"> (B) the aggregate amount of all optional prepayments of Revolving Credit Loans or Replacement Revolving Credit Loans or Incremental Equivalent Indebtedness (solely to the extent accompanied by permanent optional reductions in the Revolving Credit Commitments or Replacement Revolving Credit Commitments or any commitments with respect to such Incremental Equivalent Indebtedness, as applicable) in each case to the extent that the Indebtedness prepaid under this clause (a)(ii) is Pari Passu Indebtedness and such prepayments are not funded with the proceeds of Refinancing Debt or any Indebtedness that, in accordance with GAAP constitutes (or when incurred, constituted) a long-term liability; </w:t>
      </w:r>
      <w:r>
        <w:rPr>
          <w:rFonts w:ascii="Times New Roman" w:cs="Times New Roman" w:eastAsia="Times New Roman" w:hAnsi="Times New Roman"/>
          <w:sz w:val="20"/>
          <w:szCs w:val="20"/>
          <w:u w:val="single" w:color="auto"/>
          <w:color w:val="auto"/>
        </w:rPr>
        <w:t>less</w:t>
      </w:r>
    </w:p>
    <w:p>
      <w:pPr>
        <w:spacing w:after="0" w:line="185" w:lineRule="exact"/>
        <w:rPr>
          <w:rFonts w:ascii="Times New Roman" w:cs="Times New Roman" w:eastAsia="Times New Roman" w:hAnsi="Times New Roman"/>
          <w:sz w:val="20"/>
          <w:szCs w:val="20"/>
          <w:color w:val="auto"/>
        </w:rPr>
      </w:pPr>
    </w:p>
    <w:p>
      <w:pPr>
        <w:ind w:left="760" w:firstLine="1494"/>
        <w:spacing w:after="0" w:line="295" w:lineRule="auto"/>
        <w:tabs>
          <w:tab w:leader="none" w:pos="2653"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total aggregate initial principal amount (as of the date of incurrence thereof) of all Incremental Increases and Incremental Equivalent Indebtedness (in each case, whether or not funded) previously incurred under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p>
    <w:p>
      <w:pPr>
        <w:spacing w:after="0" w:line="137" w:lineRule="exact"/>
        <w:rPr>
          <w:rFonts w:ascii="Times New Roman" w:cs="Times New Roman" w:eastAsia="Times New Roman" w:hAnsi="Times New Roman"/>
          <w:sz w:val="19"/>
          <w:szCs w:val="19"/>
          <w:color w:val="auto"/>
        </w:rPr>
      </w:pPr>
    </w:p>
    <w:p>
      <w:pPr>
        <w:jc w:val="both"/>
        <w:ind w:left="760" w:firstLine="745"/>
        <w:spacing w:after="0" w:line="246" w:lineRule="auto"/>
        <w:tabs>
          <w:tab w:leader="none" w:pos="190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that would not cause the Consolidated Secured Net Leverage Ratio, calculated on a Pro Forma Basis as of the last day of the most recently ended fiscal quarter for which financial information is available prior to the incurrence of such Incremental Increase or Incremental Equivalent Indebtedness (or in the case of any Incremental Term Loan or Incremental Equivalent Indebtedness, the proceeds of which will finance a substantially concurrent Limited Condition Transaction, the last day of the most recently ended fiscal quarter for which financial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7" w:name="page58"/>
    <w:bookmarkEnd w:id="57"/>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 xml:space="preserve">information is available prior to the LCT Test Date), to exceed 3.50 to 1.00, as demonstrated by the Company in a written certification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calculating such Consolidated Secured Net Leverage Ratio pursuant to this clause (b), (i) such Incremental Term Loan, Incremental Revolving Credit Facility Increase or Incremental Equivalent Indebtedness shall be assumed to be fully funded on the effective date thereof, (ii) all such additional Indebtedness incurred pursuant to any Incremental Term Loan, Incremental Revolving Credit Facility Increase or any Incremental Equivalent Indebtedness shall be deemed to be secured Indebtedness (whether or not such Indebtedness is in fact so secured) and (iii) the proceeds from any such additional Indebtedness incurred pursuant to any Incremental Term Loan, Incremental Revolving Credit Facility Increase or any Incremental Equivalent Indebtedness shall not be netted from Consolidated Funded Indebtedness.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Unless the Company otherwise notifies the Administrative Agent, (1) if all or any portion of any Incremental Increase (or any Loans to made thereunder) or Incremental Equivalent Indebtedness would be permitted under clause (b) above on the applicable date of incurrence, such Incremental Increase or Incremental Equivalent Indebtedness (or the relevant portion thereof) shall be deemed to have been incurred in reliance on clause (b) above prior to the utilization of any amount available under clause (a) above and (2) notwithstanding clause</w:t>
      </w:r>
    </w:p>
    <w:p>
      <w:pPr>
        <w:spacing w:after="0" w:line="1" w:lineRule="exact"/>
        <w:rPr>
          <w:sz w:val="20"/>
          <w:szCs w:val="20"/>
          <w:color w:val="auto"/>
        </w:rPr>
      </w:pPr>
    </w:p>
    <w:p>
      <w:pPr>
        <w:ind w:right="20" w:firstLine="8"/>
        <w:spacing w:after="0" w:line="246" w:lineRule="auto"/>
        <w:tabs>
          <w:tab w:leader="none" w:pos="28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Indebtedness may be simultaneously incurred under any or each of the clauses above, and proceeds from such incurrence may be utilized in a single transaction by calculating the incurrence in accordance with </w:t>
      </w:r>
      <w:r>
        <w:rPr>
          <w:rFonts w:ascii="Times New Roman" w:cs="Times New Roman" w:eastAsia="Times New Roman" w:hAnsi="Times New Roman"/>
          <w:sz w:val="20"/>
          <w:szCs w:val="20"/>
          <w:u w:val="single" w:color="auto"/>
          <w:color w:val="auto"/>
        </w:rPr>
        <w:t>Section 1.13(b</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Increases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Credit Facility Increase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A-1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A-1 Loan Borrowing</w:t>
      </w:r>
      <w:r>
        <w:rPr>
          <w:rFonts w:ascii="Times New Roman" w:cs="Times New Roman" w:eastAsia="Times New Roman" w:hAnsi="Times New Roman"/>
          <w:sz w:val="20"/>
          <w:szCs w:val="20"/>
          <w:color w:val="auto"/>
        </w:rPr>
        <w:t xml:space="preserve">” means a borrowing consisting of simultaneous Incremental Term A-1 Loans of the same Type and, in the case of Term SOFR Loans, having the same Interest Period made by each of the Incremental Term A-1 Lenders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A-1 Loan Commitment</w:t>
      </w:r>
      <w:r>
        <w:rPr>
          <w:rFonts w:ascii="Times New Roman" w:cs="Times New Roman" w:eastAsia="Times New Roman" w:hAnsi="Times New Roman"/>
          <w:sz w:val="20"/>
          <w:szCs w:val="20"/>
          <w:color w:val="auto"/>
        </w:rPr>
        <w:t xml:space="preserve">” means, as to each Lender, its obligation to make a single Incremental Term A-1 Loan to the Company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on the Longhorn Acquisition Funding Date in a principal amount not to exceed the amount set forth opposite such Lender’s name on the relevant part of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“Incremental Term A-1 Loan Commitment” or opposite such caption in the Assignment and Assumption pursuant to which such Lender becomes a party hereto, as applicable, as such amount may be adjusted from time to time in accordance with this Agreement.</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A-1 Loan Facility</w:t>
      </w:r>
      <w:r>
        <w:rPr>
          <w:rFonts w:ascii="Times New Roman" w:cs="Times New Roman" w:eastAsia="Times New Roman" w:hAnsi="Times New Roman"/>
          <w:sz w:val="20"/>
          <w:szCs w:val="20"/>
          <w:color w:val="auto"/>
        </w:rPr>
        <w:t xml:space="preserve">” means the term loan facility established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which shall be in the aggregate amount, at any time, equal to the aggregate unused Incremental Term A-1 Loan Commitments (if any)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outstanding principal amount of the Incremental Term A-1 Loans at such time.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A-1 Loan Lender</w:t>
      </w:r>
      <w:r>
        <w:rPr>
          <w:rFonts w:ascii="Times New Roman" w:cs="Times New Roman" w:eastAsia="Times New Roman" w:hAnsi="Times New Roman"/>
          <w:sz w:val="20"/>
          <w:szCs w:val="20"/>
          <w:color w:val="auto"/>
        </w:rPr>
        <w:t>” means, at any time, any Lender that has an Incremental Term A-1 Loan Commitment at such time or, if the Incremental Term A-1 Loan Commitments have been terminated, any Lender that holds Incremental Term A-1 Loans at such time.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8" w:name="page59"/>
    <w:bookmarkEnd w:id="5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left="380" w:right="20" w:firstLine="751"/>
        <w:spacing w:after="0" w:line="269" w:lineRule="auto"/>
        <w:tabs>
          <w:tab w:leader="none" w:pos="15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59"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and commercial), bankers’ acceptances, bank guaranties, surety bonds and similar instruments;</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(other than trade accounts payable in the ordinary course of business that are (i) not past due for more than 90 days after the date on which such trade account payable was created or (ii) being contested in good faith by appropriate proceedings diligently conducted and adequate reserves in accordance with GAAP are being maintained by the applicable Person);</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4" w:lineRule="exact"/>
        <w:rPr>
          <w:rFonts w:ascii="Times New Roman" w:cs="Times New Roman" w:eastAsia="Times New Roman" w:hAnsi="Times New Roman"/>
          <w:sz w:val="20"/>
          <w:szCs w:val="20"/>
          <w:color w:val="auto"/>
        </w:rPr>
      </w:pPr>
    </w:p>
    <w:p>
      <w:pPr>
        <w:ind w:left="380" w:right="80" w:firstLine="751"/>
        <w:spacing w:after="0" w:line="269" w:lineRule="auto"/>
        <w:tabs>
          <w:tab w:leader="none" w:pos="15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in respect of Capitalized Leases, Synthetic Lease Obligations and Securitization Transactions of such Person;</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 respect of Disqualified Equity Interests; and</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Notwithstanding the foregoing, the obligations of the Company under any Permitted Warrant Transaction shall not constitute Indebtedness so long as the terms of such Permitted Warrant Transaction provide for “net share settlement” (or substantially equivalent term) as the default “settlement method” (or substantially equivalent term) thereunder, except to the extent it is accounted for as a liability under GAAP. For purposes hereof, the amount of any Permitted Convertible Indebtedness shall be the aggregate stated principal amount thereof without giving effect to any obligation to pay cash or deliver shares with value in excess of such principal amount, and without giving effect to any integration thereof with any Permitted Bond Hedge Transaction pursuant to U.S. Treasury Regulation § 1.1275-6. The amount of obligations in respect of any Disqualified Equity Interests shall be valued, in the case of a redeemable preferred interest, at the greater of its voluntary or involuntary liquidation preference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dividends.</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9" w:name="page60"/>
    <w:bookmarkEnd w:id="59"/>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Regulation</w:t>
      </w:r>
      <w:r>
        <w:rPr>
          <w:rFonts w:ascii="Times New Roman" w:cs="Times New Roman" w:eastAsia="Times New Roman" w:hAnsi="Times New Roman"/>
          <w:sz w:val="20"/>
          <w:szCs w:val="20"/>
          <w:color w:val="auto"/>
        </w:rPr>
        <w:t>” means Regulation (EU) 2015/848 of the European Parliament and of the Council of 20 May 2015 on insolvency proceedings (recast) as amended from time to time and as lastly amended on 15 December 2021 by replacing its Annexes A and B.</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and Condemnation Event</w:t>
      </w:r>
      <w:r>
        <w:rPr>
          <w:rFonts w:ascii="Times New Roman" w:cs="Times New Roman" w:eastAsia="Times New Roman" w:hAnsi="Times New Roman"/>
          <w:sz w:val="20"/>
          <w:szCs w:val="20"/>
          <w:color w:val="auto"/>
        </w:rPr>
        <w:t>” means the receipt by any Loan Party or any Restricted Subsidiary of any proceeds of insurance (other than proceeds of business interruption insurance to the extent such proceeds constitute compensation for lost earnings) or condemnation award payable by reason of theft, loss, physical destruction or damage, taking or similar event with respect to any of their respective property.</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Term SOFR Loan, the last day of each Interest Period applicable to such Loan and the Maturity Date of the Facility under which such Loan was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Interest Period for a Term SOFR Loan exceeds three months, the respective dates that fall every three months after the beginning of such Interest Period shall also be Interest Payment Dates; (b) as to any Daily Simple SOFR Loan, the last Business Day of each month and the Maturity Date of the Facility under which such Loan was made; (c) as to any Base Rate Loan (including a Swing Line Loan), the last Business Day of each March, June, September and December and the Maturity Date of the Facility under which such Loan was made; (d) as to any Swing Line Loan, such other date as may be specified in any Treasury Management Agreement; (e) as to any Alternative Currency Daily Rate Loan, the last Business Day of each month and the Maturity Date of the Facility under which such Loan was made; and (f) as to any Alternative Currency Term Rate Loan, the last day of each Interest Period applicable to such Loan and the Maturity Date of the Facility under which such Loan was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an Alternative Currency Term Rate Loan exceeds three months, the respective dates that fall every three months after the beginning of such Interest Period shall be Interest Payment Dates.</w:t>
      </w:r>
    </w:p>
    <w:p>
      <w:pPr>
        <w:spacing w:after="0" w:line="19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as to each Alternative Currency Term Rate Loan or Term SOFR Loan, the period commencing on the date such Alternative Currency Term Rate Loan or Term SOFR Loan, as applicable, is disbursed or converted to or continued as an Alternative Currency Term Rate Loan or Term SOFR Loan, as applicable, and ending on the date one, three or six months thereafter (in each case subject to availability for the interest rate applicable to the relevant currency), as selected by the Company in its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65" w:lineRule="exact"/>
        <w:rPr>
          <w:sz w:val="20"/>
          <w:szCs w:val="20"/>
          <w:color w:val="auto"/>
        </w:rPr>
      </w:pPr>
    </w:p>
    <w:p>
      <w:pPr>
        <w:jc w:val="both"/>
        <w:ind w:left="380" w:firstLine="751"/>
        <w:spacing w:after="0" w:line="254" w:lineRule="auto"/>
        <w:tabs>
          <w:tab w:leader="none" w:pos="152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in the case of an Alternative Currency Term Rate Loan or Term SOFR Loan, such Business Day falls in another calendar month, in which case such Interest Period shall end on the next preceding Business Day;</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an Alternative Currency Term Rate Loan or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 of the Facility under which such Loan was made.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20"/>
          <w:szCs w:val="20"/>
          <w:color w:val="auto"/>
        </w:rPr>
        <w:t>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Amount</w:t>
      </w:r>
      <w:r>
        <w:rPr>
          <w:rFonts w:ascii="Times New Roman" w:cs="Times New Roman" w:eastAsia="Times New Roman" w:hAnsi="Times New Roman"/>
          <w:sz w:val="20"/>
          <w:szCs w:val="20"/>
          <w:color w:val="auto"/>
        </w:rPr>
        <w:t xml:space="preserve">” means the sum of (a) $75,000,000,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cumulative amount of all dividends and distributions received in cash by the Company or any Restricted Subsidiary after the Closing Date in respect of Investments made pursuant to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7.02(g)(ii)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cumulative amount of all gains received in cash by the Company or any Restricted Subsidiary after the Closing Date in respect of Investments made pursuant to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7.02(g)(ii)</w:t>
      </w:r>
      <w:r>
        <w:rPr>
          <w:rFonts w:ascii="Times New Roman" w:cs="Times New Roman" w:eastAsia="Times New Roman" w:hAnsi="Times New Roman"/>
          <w:sz w:val="20"/>
          <w:szCs w:val="20"/>
          <w:color w:val="auto"/>
        </w:rPr>
        <w:t xml:space="preserve"> as a result of the sale, transfer or other disposition of its ownership interest in any such Investment.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applicable L/C Issuer and the Company (or any Subsidiary) or in favor of such L/C Issuer and relating to such Letter of Credit.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Indebtedness</w:t>
      </w:r>
      <w:r>
        <w:rPr>
          <w:rFonts w:ascii="Times New Roman" w:cs="Times New Roman" w:eastAsia="Times New Roman" w:hAnsi="Times New Roman"/>
          <w:sz w:val="20"/>
          <w:szCs w:val="20"/>
          <w:color w:val="auto"/>
        </w:rPr>
        <w:t>” means means, with respect to the Company and its Restricted Subsidiaries, any (a) Subordinated Indebtedness, (b) Indebtedness secured by Liens that are junior to the Liens securing the Obligations and (c) unsecured Indebtedness (in each case other than any permitted intercompany Indebtedness owing to any Loan Party).</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date or expiration date applicable to any Loan or Commitment hereunder at such time, including the latest maturity date of any Incremental Term Loan or Extended Term Loan or any Refinancing Debt, in each case as extended in accordance with this Agreement from time to time.</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Revolving Credit Lender, such Revolving Credit Lender’s funding of its participation in any L/C Borrowing in accordance with its Applicable Revolving Credit Percentage. All L/C Advances shall be denominated in Dollars.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Credit Borrowing. All L/C Borrowings shall be denominated in Dollars.</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1" w:name="page62"/>
    <w:bookmarkEnd w:id="61"/>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has the meaning specified in the definition of “L/C Issuer”.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xml:space="preserve">” means, individually or collectively as the context may indicate, (a) Bank of America, in its capacity as an issuer of commercial and standby Letters of Credit hereunder or any successor to Bank of America in its capacity as an issuer of Letters of Credit hereunder, (b) Citibank, N.A., in its capacity as an issuer of standby Letters of Credit hereunder or any successor to Citibank, N.A. in its capacity as an issuer of Letters of Credit hereunder, (c) City National Bank, in its capacity as an issuer of standby Letters of Credit hereunder or any successor to City National Bank in its capacity as an issuer of Letters of Credit hereunder and (d) to the extent approved by the Administrative Agent in its sole discretion, any other Lender selected by the Company, which consents to its appointment by the Company as an issuer of Letters of Credit hereunder and becomes an L/C Issuer hereunder pursuant to a joinder agreement in form and substance reasonably satisfactory to the Administrative Agent, in its capacity as an issuer of Letters of Credit hereunder or any successor to such Lender in its capacity as an issuer of Letters of Credit hereunder, each with the commitment set forth opposite such L/C Issuer’s name on </w:t>
      </w:r>
      <w:r>
        <w:rPr>
          <w:rFonts w:ascii="Times New Roman" w:cs="Times New Roman" w:eastAsia="Times New Roman" w:hAnsi="Times New Roman"/>
          <w:sz w:val="20"/>
          <w:szCs w:val="20"/>
          <w:u w:val="single" w:color="auto"/>
          <w:color w:val="auto"/>
        </w:rPr>
        <w:t>Schedule 2.01LC</w:t>
      </w:r>
      <w:r>
        <w:rPr>
          <w:rFonts w:ascii="Times New Roman" w:cs="Times New Roman" w:eastAsia="Times New Roman" w:hAnsi="Times New Roman"/>
          <w:sz w:val="20"/>
          <w:szCs w:val="20"/>
          <w:color w:val="auto"/>
        </w:rPr>
        <w:t xml:space="preserve"> under the caption “L/C Commitment” or in the joinder agreement pursuant to which such L/C Issuer becomes a party hereto as an L/C Issuer, as applicable, as such amount may be adjusted from time to time in accordance with this Agreement (each such commitment, a “</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Any L/C Issuer may, in its discretion, arrange for one or more Letters of Credit to be issued by Affiliates of such L/C Issuer, in which case the term “L/C Issuer” shall include any such Affiliate with respect to Letters of Credit issued by such Affiliate.</w:t>
      </w:r>
    </w:p>
    <w:p>
      <w:pPr>
        <w:spacing w:after="0" w:line="19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Borrowers and each Revolving Credit Lender shall remain in full force and effect until the L/C Issuers and the Revolving Credit Lenders shall have no further obligations to make any payments or disbursements under any circumstances with respect to any Letter of Credit.</w:t>
      </w:r>
    </w:p>
    <w:p>
      <w:pPr>
        <w:spacing w:after="0" w:line="18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has the meaning specified in the introductory paragraph hereto and, unless the context requires otherwise, includes the Swing Line Lender.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Parties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 Recipient Parties</w:t>
      </w:r>
      <w:r>
        <w:rPr>
          <w:rFonts w:ascii="Times New Roman" w:cs="Times New Roman" w:eastAsia="Times New Roman" w:hAnsi="Times New Roman"/>
          <w:sz w:val="20"/>
          <w:szCs w:val="20"/>
          <w:color w:val="auto"/>
        </w:rPr>
        <w:t>” mean, collectively, the Lenders, the Swing Line Lenders and the L/C Issuers.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(including in its capacity as an L/C Issuer) shall include its applicable Lending Office.</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2" w:name="page63"/>
    <w:bookmarkEnd w:id="62"/>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hereunder and shall include the Existing Letters of Credit. Letters of Credit may be issued in Dollars or in an Alternative Currency. A Letter of Credit may be a commercial letter of credit or a standby letter of credit.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applicable L/C Issuer.</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days prior to the Maturity Date then in effect (or, if such day is not a Business Day, the next preceding Business Day).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Sublimit</w:t>
      </w:r>
      <w:r>
        <w:rPr>
          <w:rFonts w:ascii="Times New Roman" w:cs="Times New Roman" w:eastAsia="Times New Roman" w:hAnsi="Times New Roman"/>
          <w:sz w:val="19"/>
          <w:szCs w:val="19"/>
          <w:color w:val="auto"/>
        </w:rPr>
        <w:t>” means (a) in the case of all Letters of Credit, an amount equal to the lesser of (i) the Aggregate Revolving Credit Commitments and (ii) $125,000,000 (the amount in this clause (a), the “</w:t>
      </w:r>
      <w:r>
        <w:rPr>
          <w:rFonts w:ascii="Times New Roman" w:cs="Times New Roman" w:eastAsia="Times New Roman" w:hAnsi="Times New Roman"/>
          <w:sz w:val="19"/>
          <w:szCs w:val="19"/>
          <w:u w:val="single" w:color="auto"/>
          <w:color w:val="auto"/>
        </w:rPr>
        <w:t>Overall LC Sublimit</w:t>
      </w:r>
      <w:r>
        <w:rPr>
          <w:rFonts w:ascii="Times New Roman" w:cs="Times New Roman" w:eastAsia="Times New Roman" w:hAnsi="Times New Roman"/>
          <w:sz w:val="19"/>
          <w:szCs w:val="19"/>
          <w:color w:val="auto"/>
        </w:rPr>
        <w:t>”) and (b) in the case of all commercial Letters of Credit, an amount equal to the lesser of (i) the Aggregate Revolving Credit Commitments, (ii) the Overall LC Sublimit and (iii) $25,000,000. The Letter of Credit Sublimit is part of, and not in addition to, the Aggregate Revolving Credit Commitments.</w:t>
      </w:r>
    </w:p>
    <w:p>
      <w:pPr>
        <w:spacing w:after="0" w:line="16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charge, or preference, priority, privilege (voorrecht), right of retention (recht van retentie), right of reclamation (recht van reclame), any right in rem (beperkt recht) created for the purpose of granting security (goederenrechtelijk zekerheidsrecht),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any Acquisition permitted under this Agreement, any Investment or any redemption, repurchase, defeasance, satisfaction and discharge or repayment of Indebtedness requiring irrevocable notice in advance of such redemption, repurchase, defeasance, satisfaction and discharge or repayment that (a) is not prohibited hereunder and (b) is not conditioned on the availability of, or on obtaining, third-party financing.</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Term Loan, a Revolving Credit Loan or a Swing Line Loan.</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collectively, this Agreement, each Designated Borrower Request and Assumption Agreement, each Note, each Collateral Document, each Issuer Document,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Fee Letters, the Company Guaranty, each Subsidiary Guaranty and each Subsidiary Guaranty Joinder Agreement and any amendments, modifications or supplements hereto or to any other Loan Document or waivers hereof or to any other Loan Document.</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a Term Borrowing or a Revolving Credit Borrowing, (b) a conversion of Loans from one Type to the other, or (c) a continuation of Term SOFR Loans or Alternative Currency Term Rate Loans,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3" w:name="page64"/>
    <w:bookmarkEnd w:id="6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Company, each Subsidiary Guarantor and each Designated Borrower.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Longhorn</w:t>
      </w:r>
      <w:r>
        <w:rPr>
          <w:rFonts w:ascii="Times New Roman" w:cs="Times New Roman" w:eastAsia="Times New Roman" w:hAnsi="Times New Roman"/>
          <w:sz w:val="20"/>
          <w:szCs w:val="20"/>
          <w:color w:val="auto"/>
        </w:rPr>
        <w:t>” means Thermon Group Holdings, Inc., a Delaware corporation.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Longhorn Acquisition</w:t>
      </w:r>
      <w:r>
        <w:rPr>
          <w:rFonts w:ascii="Times New Roman" w:cs="Times New Roman" w:eastAsia="Times New Roman" w:hAnsi="Times New Roman"/>
          <w:sz w:val="20"/>
          <w:szCs w:val="20"/>
          <w:color w:val="auto"/>
        </w:rPr>
        <w:t>” means the Acquisition contemplated by the Longhorn Acquisition Agreement.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Longhorn Acquisition Agreement</w:t>
      </w:r>
      <w:r>
        <w:rPr>
          <w:rFonts w:ascii="Times New Roman" w:cs="Times New Roman" w:eastAsia="Times New Roman" w:hAnsi="Times New Roman"/>
          <w:sz w:val="20"/>
          <w:szCs w:val="20"/>
          <w:color w:val="auto"/>
        </w:rPr>
        <w:t>” means that certain Agreement and Plan of Merger, dated as of February 23, 2026, by and among the Company, the Subsidiaries of the Company party thereto and Longhorn, as in effect on the Amendment No. 1 Effective Date and as hereafter amended, restated, supplemented or otherwise modified as permitted hereunder.</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Longhorn Acquisition Commitment Termination Date</w:t>
      </w:r>
      <w:r>
        <w:rPr>
          <w:rFonts w:ascii="Times New Roman" w:cs="Times New Roman" w:eastAsia="Times New Roman" w:hAnsi="Times New Roman"/>
          <w:sz w:val="20"/>
          <w:szCs w:val="20"/>
          <w:color w:val="auto"/>
        </w:rPr>
        <w:t>” means the earliest to occur (a) 11:59 p.m. on the fifth Business Day following (A) August 24, 2026 (the “</w:t>
      </w:r>
      <w:r>
        <w:rPr>
          <w:rFonts w:ascii="Times New Roman" w:cs="Times New Roman" w:eastAsia="Times New Roman" w:hAnsi="Times New Roman"/>
          <w:sz w:val="20"/>
          <w:szCs w:val="20"/>
          <w:u w:val="single" w:color="auto"/>
          <w:color w:val="auto"/>
        </w:rPr>
        <w:t>Initial Outside Date</w:t>
      </w:r>
      <w:r>
        <w:rPr>
          <w:rFonts w:ascii="Times New Roman" w:cs="Times New Roman" w:eastAsia="Times New Roman" w:hAnsi="Times New Roman"/>
          <w:sz w:val="20"/>
          <w:szCs w:val="20"/>
          <w:color w:val="auto"/>
        </w:rPr>
        <w:t xml:space="preserve">”) or, (B) if the Initial Outside Date is extended pursuant to the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7.1(b)(i)</w:t>
      </w:r>
      <w:r>
        <w:rPr>
          <w:rFonts w:ascii="Times New Roman" w:cs="Times New Roman" w:eastAsia="Times New Roman" w:hAnsi="Times New Roman"/>
          <w:sz w:val="20"/>
          <w:szCs w:val="20"/>
          <w:color w:val="auto"/>
        </w:rPr>
        <w:t xml:space="preserve"> of the Longhorn Acquisition Agreement as expressly set forth therein and in effect on the Amendment No. 1 Effective Date, November 23, 2026, (c) the closing of the Longhorn Acquisition without the use of the credit facilities provided under this Agreement, (d) the date the Longhorn Acquisition Agreement terminates by its terms without the consummation of the Longhorn Acquisition and (e) the occurrence of the Longhorn Acquisition Funding Date (after the funding of the Incremental Term A-1 Loan Facility).</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Longhorn Acquisition Costs</w:t>
      </w:r>
      <w:r>
        <w:rPr>
          <w:rFonts w:ascii="Times New Roman" w:cs="Times New Roman" w:eastAsia="Times New Roman" w:hAnsi="Times New Roman"/>
          <w:sz w:val="20"/>
          <w:szCs w:val="20"/>
          <w:color w:val="auto"/>
        </w:rPr>
        <w:t>” means, collectively, (a) the amounts necessary to fund the cash purchase price for the Longhorn Acquisition and (b) the amounts necessary to permit the Company to pay fees, commissions and expenses incurred by the Company in connection with the Longhorn Transaction.</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Longhorn Acquisition Funding Date</w:t>
      </w:r>
      <w:r>
        <w:rPr>
          <w:rFonts w:ascii="Times New Roman" w:cs="Times New Roman" w:eastAsia="Times New Roman" w:hAnsi="Times New Roman"/>
          <w:sz w:val="20"/>
          <w:szCs w:val="20"/>
          <w:color w:val="auto"/>
        </w:rPr>
        <w:t xml:space="preserve">” means the first date all the conditions precedent in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Longhorn Acquisition Revolving Borrowing</w:t>
      </w:r>
      <w:r>
        <w:rPr>
          <w:rFonts w:ascii="Times New Roman" w:cs="Times New Roman" w:eastAsia="Times New Roman" w:hAnsi="Times New Roman"/>
          <w:sz w:val="20"/>
          <w:szCs w:val="20"/>
          <w:color w:val="auto"/>
        </w:rPr>
        <w:t>” means the Revolving Credit Loans in an aggregate principal amount equal to the lesser of (a) $365,000,000 and (b) an amount equal to the unused portion of the Revolving Credit Facility as in effect on the Amendment No. 1 Effective Date.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Longhorn Refinancing</w:t>
      </w:r>
      <w:r>
        <w:rPr>
          <w:rFonts w:ascii="Times New Roman" w:cs="Times New Roman" w:eastAsia="Times New Roman" w:hAnsi="Times New Roman"/>
          <w:sz w:val="20"/>
          <w:szCs w:val="20"/>
          <w:color w:val="auto"/>
        </w:rPr>
        <w:t>” means the refinancing of all Indebtedness arising under that certain Second Amended and Restated Credit Agreement dated as of July 24, 2025 among Longhorn, certain of its subsidiaries, the lenders party thereto and JPMorgan Chase Bank, N.A., as administrative agent.</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Longhorn Specified Acquisition Agreement Representations</w:t>
      </w:r>
      <w:r>
        <w:rPr>
          <w:rFonts w:ascii="Times New Roman" w:cs="Times New Roman" w:eastAsia="Times New Roman" w:hAnsi="Times New Roman"/>
          <w:sz w:val="20"/>
          <w:szCs w:val="20"/>
          <w:color w:val="auto"/>
        </w:rPr>
        <w:t>” means each of the representations and warranties made by Longhorn, or any of its Subsidiaries or Affiliates, with respect to Longhorn or its Subsidiaries or Affiliates or their respective businesses in the Longhorn Acquisition Agreement as are material to the interests of the Administrative Agent or the Lenders, but only to the extent that the Company or any of its Subsidiaries or Affiliates has the right to terminate its or their respective obligations under the Longhorn Acquisition Agreement, or to decline to consummate the Longhorn Acquisition pursuant to the Longhorn Acquisition Agreement, as a result of a breach of any such representations and warranties or any such representations and warranties not being accurate (in each case, determined without regard to any cure period or whether any notice is required to be delivered by the Company, Longhorn or any of its or their respective Subsidiaries or Affiliates party to the Longhorn Acquisition Agreement).</w:t>
      </w:r>
    </w:p>
    <w:p>
      <w:pPr>
        <w:spacing w:after="0" w:line="189"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Longhorn Specified Representations</w:t>
      </w:r>
      <w:r>
        <w:rPr>
          <w:rFonts w:ascii="Times New Roman" w:cs="Times New Roman" w:eastAsia="Times New Roman" w:hAnsi="Times New Roman"/>
          <w:sz w:val="19"/>
          <w:szCs w:val="19"/>
          <w:color w:val="auto"/>
        </w:rPr>
        <w:t xml:space="preserve">” means the representations and warranties (including to the extent incorporated by reference in other Loan Documents) set forth in </w:t>
      </w:r>
      <w:r>
        <w:rPr>
          <w:rFonts w:ascii="Times New Roman" w:cs="Times New Roman" w:eastAsia="Times New Roman" w:hAnsi="Times New Roman"/>
          <w:sz w:val="19"/>
          <w:szCs w:val="19"/>
          <w:u w:val="single" w:color="auto"/>
          <w:color w:val="auto"/>
        </w:rPr>
        <w:t>Sections 5.01(a)</w:t>
      </w:r>
      <w:r>
        <w:rPr>
          <w:rFonts w:ascii="Times New Roman" w:cs="Times New Roman" w:eastAsia="Times New Roman" w:hAnsi="Times New Roman"/>
          <w:sz w:val="19"/>
          <w:szCs w:val="19"/>
          <w:color w:val="auto"/>
        </w:rPr>
        <w:t xml:space="preserve"> (but only with respect to Loan Parties), </w:t>
      </w:r>
      <w:r>
        <w:rPr>
          <w:rFonts w:ascii="Times New Roman" w:cs="Times New Roman" w:eastAsia="Times New Roman" w:hAnsi="Times New Roman"/>
          <w:sz w:val="19"/>
          <w:szCs w:val="19"/>
          <w:u w:val="single" w:color="auto"/>
          <w:color w:val="auto"/>
        </w:rPr>
        <w:t>5.01(b)(ii)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5.02</w:t>
      </w:r>
      <w:r>
        <w:rPr>
          <w:rFonts w:ascii="Times New Roman" w:cs="Times New Roman" w:eastAsia="Times New Roman" w:hAnsi="Times New Roman"/>
          <w:sz w:val="19"/>
          <w:szCs w:val="19"/>
          <w:color w:val="auto"/>
        </w:rPr>
        <w:t xml:space="preserve"> (but only with respect to due authorization and no contravention of the terms of any of the Loan Parties’ Organization Documents), </w:t>
      </w:r>
      <w:r>
        <w:rPr>
          <w:rFonts w:ascii="Times New Roman" w:cs="Times New Roman" w:eastAsia="Times New Roman" w:hAnsi="Times New Roman"/>
          <w:sz w:val="19"/>
          <w:szCs w:val="19"/>
          <w:u w:val="single" w:color="auto"/>
          <w:color w:val="auto"/>
        </w:rPr>
        <w:t>5.04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5.07</w:t>
      </w:r>
      <w:r>
        <w:rPr>
          <w:rFonts w:ascii="Times New Roman" w:cs="Times New Roman" w:eastAsia="Times New Roman" w:hAnsi="Times New Roman"/>
          <w:sz w:val="19"/>
          <w:szCs w:val="19"/>
          <w:color w:val="auto"/>
        </w:rPr>
        <w:t xml:space="preserve"> (but only with respect to the</w:t>
      </w: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4" w:name="page65"/>
    <w:bookmarkEnd w:id="64"/>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last sentence thereof and only as such sentence relates to no Default under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5.24</w:t>
      </w:r>
      <w:r>
        <w:rPr>
          <w:rFonts w:ascii="Times New Roman" w:cs="Times New Roman" w:eastAsia="Times New Roman" w:hAnsi="Times New Roman"/>
          <w:sz w:val="20"/>
          <w:szCs w:val="20"/>
          <w:color w:val="auto"/>
        </w:rPr>
        <w:t xml:space="preserve"> (but, in the case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5.24</w:t>
      </w:r>
      <w:r>
        <w:rPr>
          <w:rFonts w:ascii="Times New Roman" w:cs="Times New Roman" w:eastAsia="Times New Roman" w:hAnsi="Times New Roman"/>
          <w:sz w:val="20"/>
          <w:szCs w:val="20"/>
          <w:color w:val="auto"/>
        </w:rPr>
        <w:t xml:space="preserve">, only with respect to compliance with the Act and the use of proceeds hereunder not being used in violation of such Sections), </w:t>
      </w:r>
      <w:r>
        <w:rPr>
          <w:rFonts w:ascii="Times New Roman" w:cs="Times New Roman" w:eastAsia="Times New Roman" w:hAnsi="Times New Roman"/>
          <w:sz w:val="20"/>
          <w:szCs w:val="20"/>
          <w:u w:val="single" w:color="auto"/>
          <w:color w:val="auto"/>
        </w:rPr>
        <w:t>5.19</w:t>
      </w:r>
      <w:r>
        <w:rPr>
          <w:rFonts w:ascii="Times New Roman" w:cs="Times New Roman" w:eastAsia="Times New Roman" w:hAnsi="Times New Roman"/>
          <w:sz w:val="20"/>
          <w:szCs w:val="20"/>
          <w:color w:val="auto"/>
        </w:rPr>
        <w:t xml:space="preserve"> (giving effect on a Pro Forma Basis to the Longhorn Transaction), </w:t>
      </w:r>
      <w:r>
        <w:rPr>
          <w:rFonts w:ascii="Times New Roman" w:cs="Times New Roman" w:eastAsia="Times New Roman" w:hAnsi="Times New Roman"/>
          <w:sz w:val="20"/>
          <w:szCs w:val="20"/>
          <w:u w:val="single" w:color="auto"/>
          <w:color w:val="auto"/>
        </w:rPr>
        <w:t>5.22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5.28</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Longhorn Transaction</w:t>
      </w:r>
      <w:r>
        <w:rPr>
          <w:rFonts w:ascii="Times New Roman" w:cs="Times New Roman" w:eastAsia="Times New Roman" w:hAnsi="Times New Roman"/>
          <w:sz w:val="20"/>
          <w:szCs w:val="20"/>
          <w:color w:val="auto"/>
        </w:rPr>
        <w:t>” means, collectively, the Longhorn Acquisition, the provision of the consideration for the Longhorn Acquisition comprised of Equity Interests in the Company (as contemplated by the Longhorn Acquisition Agreement), the incurrence of the Incremental Term A-1 Loan Facility, the negotiation, execution and delivery of the Loan Documents entered into in connection with the Longhorn Acquisition, the incurrence of the Longhorn Acquisition Revolving Borrowing and the Longhorn Refinancing.</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liabilities (actual or contingent) or financial condition of the Company and its Restricted Subsidiaries taken as a whole; (b) a material impairment of the rights and remedies of the Administrative Agent or any Lender under any Loan Document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means, as of any date of determination, each direct or indirect Subsidiary of the Company that either (a) has assets as of such date equal to 5% or more of the Consolidated Total Assets as of the last day of the four fiscal quarter period of the Company most recently ended for which financial information is available or (b) had revenues in such four fiscal quarter period equal to 5% or more of the consolidated total revenues of the Company and its Subsidiaries. For the purpose of the foregoing calculations, (i) revenues shall be calculated giving effect to any pro forma adjustments, with respect to any Specified Transaction, in a manner consistent with the adjustments described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and (ii) the assets and revenues of a Subsidiary shall be deemed to include the assets and revenues of its Subsidiaries.</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(a) with respect to the Revolving Credit Facility, the later of (i) January 30, 2031 and (ii) if maturity is extended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such extended maturity date as determined pursuant to such Section, and (b) with respect to the Incremental Term A-1 Loan Facility, the later of (i) January 30, 2031 and (ii) if maturity is extended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such extended maturity date as determined pursuant to such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such date is not a Business Day, the applicable Maturity Date shall be the next preceding Business Day.</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xml:space="preserve">” means, at any time, (a) with respect to Cash Collateral consisting of cash or deposit account balances provided to reduce or eliminate Fronting Exposure during the existence of a Defaulting Lender, an amount equal to 103% of the Fronting Exposure of any L/C Issuer with respect to Letters of Credit issued by such L/C Issuer and outstanding at such time, (b) with respect to Cash Collateral consisting of cash or deposit account balances provided in accordance with the provisions of </w:t>
      </w:r>
      <w:r>
        <w:rPr>
          <w:rFonts w:ascii="Times New Roman" w:cs="Times New Roman" w:eastAsia="Times New Roman" w:hAnsi="Times New Roman"/>
          <w:sz w:val="20"/>
          <w:szCs w:val="20"/>
          <w:u w:val="single" w:color="auto"/>
          <w:color w:val="auto"/>
        </w:rPr>
        <w:t>Section 2.16(a)(i)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an amount equal to 103% of the Outstanding Amount of all L/C Obligations, and (c) otherwise, an amount determined by the Administrative Agent and the L/C Issuers in their sole discretion.</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5" w:name="page66"/>
    <w:bookmarkEnd w:id="65"/>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Company or any ERISA Affiliate) at least two of whom are not under common control, as such a plan is described in Section 4064 of ERISA.</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380" w:firstLine="751"/>
        <w:spacing w:after="0" w:line="242" w:lineRule="auto"/>
        <w:tabs>
          <w:tab w:leader="none" w:pos="152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Disposition by the Company or any of its Restricted Subsidiaries or any Insurance and Condemnation Event,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any Incremental Equivalent Indebtedness or any Indebtedness permitted hereunder that is Pari Passu Indebtedness), (B) the reasonable and customary out-of-pocket expenses incurred by the Company or such Restricted Subsidiary in connection with such transaction and (C) income taxes reasonably estimated to be actually payable within two years of the date of the relevant transaction as a result of any gain recognized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amount of any estimated taxes pursuant to </w:t>
      </w:r>
      <w:r>
        <w:rPr>
          <w:rFonts w:ascii="Times New Roman" w:cs="Times New Roman" w:eastAsia="Times New Roman" w:hAnsi="Times New Roman"/>
          <w:sz w:val="20"/>
          <w:szCs w:val="20"/>
          <w:u w:val="single" w:color="auto"/>
          <w:color w:val="auto"/>
        </w:rPr>
        <w:t>subclause (C)</w:t>
      </w:r>
      <w:r>
        <w:rPr>
          <w:rFonts w:ascii="Times New Roman" w:cs="Times New Roman" w:eastAsia="Times New Roman" w:hAnsi="Times New Roman"/>
          <w:sz w:val="20"/>
          <w:szCs w:val="20"/>
          <w:color w:val="auto"/>
        </w:rPr>
        <w:t xml:space="preserve"> exceeds the amount of taxes actually required to be paid in cash in respect of such transaction, the aggregate amount of such excess shall constitute Net Cash Proceeds; and</w:t>
      </w:r>
    </w:p>
    <w:p>
      <w:pPr>
        <w:spacing w:after="0" w:line="18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incurrence or issuance of any Indebtedness by the Company or any of its Restricted Subsidiaries, the excess of (i) the sum of the cash and Cash Equivalents received in connection with such transaction over (ii) the underwriting discounts and commissions, and other reasonable and customary out-of-pocket expenses, incurred by the Company or such Restricted Subsidiary in connection therewith.</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w:t>
      </w:r>
      <w:r>
        <w:rPr>
          <w:rFonts w:ascii="Times New Roman" w:cs="Times New Roman" w:eastAsia="Times New Roman" w:hAnsi="Times New Roman"/>
          <w:sz w:val="20"/>
          <w:szCs w:val="20"/>
          <w:color w:val="auto"/>
        </w:rPr>
        <w:t>” means the European part of the Kingdom of the Netherlands and "Dutch" means in or of the Netherlands.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 Designated Borrower</w:t>
      </w:r>
      <w:r>
        <w:rPr>
          <w:rFonts w:ascii="Times New Roman" w:cs="Times New Roman" w:eastAsia="Times New Roman" w:hAnsi="Times New Roman"/>
          <w:sz w:val="20"/>
          <w:szCs w:val="20"/>
          <w:color w:val="auto"/>
        </w:rPr>
        <w:t>” means CECO BV.</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 Security Agreement</w:t>
      </w:r>
      <w:r>
        <w:rPr>
          <w:rFonts w:ascii="Times New Roman" w:cs="Times New Roman" w:eastAsia="Times New Roman" w:hAnsi="Times New Roman"/>
          <w:sz w:val="20"/>
          <w:szCs w:val="20"/>
          <w:color w:val="auto"/>
        </w:rPr>
        <w:t>” means the Dutch law governed security agreement to be entered into between the Netherlands Designated Borrower as pledgor and the Administrative Agent as pledgee.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 Security Documents</w:t>
      </w:r>
      <w:r>
        <w:rPr>
          <w:rFonts w:ascii="Times New Roman" w:cs="Times New Roman" w:eastAsia="Times New Roman" w:hAnsi="Times New Roman"/>
          <w:sz w:val="20"/>
          <w:szCs w:val="20"/>
          <w:color w:val="auto"/>
        </w:rPr>
        <w:t>” means the Netherlands Security Agreement, the Netherlands Share Pledge and any other security agreement purported to be governed by Dutch law that creates or purports to create a Lien in favor of the Administrative Agent for the benefit of the Secured Parties.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 Share Pledge</w:t>
      </w:r>
      <w:r>
        <w:rPr>
          <w:rFonts w:ascii="Times New Roman" w:cs="Times New Roman" w:eastAsia="Times New Roman" w:hAnsi="Times New Roman"/>
          <w:sz w:val="20"/>
          <w:szCs w:val="20"/>
          <w:color w:val="auto"/>
        </w:rPr>
        <w:t>” means the Dutch law governed notarial deed of pledge over shares in the company of the Netherlands Designated Borrower to be entered into among CECO Group Global Holdings LLC as pledgor, the Administrative Agent as pledgee and the Netherlands Designated Borrower as company.</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and (b) has been approved by the Required Lenders.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means, collectively, the Revolving Credit Notes and the Term Loan Notes.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all advances to, and debts, liabilities, obligations, covenants and duties of, any Loan Party arising under any Loan Document or otherwise with respect to any Loan, Letter of Credit, Secured Cash Management Agreement, Secured Hedge Agreement or Secured Permitted Standalone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“Obligations” of a Subsidiary Guarantor shall exclude any Excluded Swap Obligations with respect to such Subsidiary Guarantor. Without limiting the foregoing, the Obligations include (a) the obligation to pay principal, interest, Letter of Credit commissions, charges, expenses, fees, indemnities and other amounts payable by any Loan Party under any Loan Document and (b) the obligation of the Loan Parties to reimburse any amount in respect of any of the foregoing that the Administrative Agent or any Lender, in each case in its sole discretion, may elect to pay or advance on behalf of the Loan Parties. For the avoidance of doubt, any obligation under any Permitted Bond Hedge Transaction or any Permitted Warrant Transaction shall not constitute Obligations.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agreement (or equivalent or comparable constitutive documents with respect to any non-U.S. jurisdiction, , including the deed of incorporation (</w:t>
      </w:r>
      <w:r>
        <w:rPr>
          <w:rFonts w:ascii="Times New Roman" w:cs="Times New Roman" w:eastAsia="Times New Roman" w:hAnsi="Times New Roman"/>
          <w:sz w:val="20"/>
          <w:szCs w:val="20"/>
          <w:i w:val="1"/>
          <w:iCs w:val="1"/>
          <w:color w:val="auto"/>
        </w:rPr>
        <w:t>akte van oprichting</w:t>
      </w:r>
      <w:r>
        <w:rPr>
          <w:rFonts w:ascii="Times New Roman" w:cs="Times New Roman" w:eastAsia="Times New Roman" w:hAnsi="Times New Roman"/>
          <w:sz w:val="20"/>
          <w:szCs w:val="20"/>
          <w:color w:val="auto"/>
        </w:rPr>
        <w:t>) and articles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with respect to any limited liability incorporated in the Netherlands); and (c) with respect to any partnership, joint venture, trust or other form of business entity, the partnership, joint venture or other applicable agreement of formation or organization (or equivalent or comparable constitutive documents with respect to any non-U.S. jurisdiction)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equivalent or comparable constitutive documents with respect to any non-U.S. jurisdiction).</w:t>
      </w:r>
    </w:p>
    <w:p>
      <w:pPr>
        <w:spacing w:after="0" w:line="19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5"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Term Loans, Revolving Credit Loans and Swing Line Loans on any date, the Dollar Equivalent Amount of the aggregate outstanding principal amount thereof after giving effect to any borrowings and prepayments or repayments of Term Loans, Revolving Credit Loans and Swing Line Loans, as the case may be, occurring on such date; and (b) with respect to any L/C Obligations on any date, the Dollar Equivalent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banking industry rules on interbank compensation, and (b) with respect to any amount denominated in an Alternative Currency, an overnight rate determined by the Administrative Agent or the applicable L/C Issuer, as the case may be, in accordance with banking industry rules on interbank compensation.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Pari Passu Indebtedness</w:t>
      </w:r>
      <w:r>
        <w:rPr>
          <w:rFonts w:ascii="Times New Roman" w:cs="Times New Roman" w:eastAsia="Times New Roman" w:hAnsi="Times New Roman"/>
          <w:sz w:val="20"/>
          <w:szCs w:val="20"/>
          <w:color w:val="auto"/>
        </w:rPr>
        <w:t>” means Indebtedness that is secured by Liens only on assets constituting Collateral and having the same lien priority as the Obligations (without regard to control of remedies).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Funding Rules</w:t>
      </w:r>
      <w:r>
        <w:rPr>
          <w:rFonts w:ascii="Times New Roman" w:cs="Times New Roman" w:eastAsia="Times New Roman" w:hAnsi="Times New Roman"/>
          <w:sz w:val="20"/>
          <w:szCs w:val="20"/>
          <w:color w:val="auto"/>
        </w:rPr>
        <w:t>” means the rules of the Code and ERISA regarding minimum funding standards with respect to Pension Plans and set forth in Sections 412, 430, 431, 432 and 436 of the Code and Sections 302, 303, 304 and 305 of ERISA.</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any Acquisition by the Company or any Restricted Subsidiary as to which the following conditions are satisfied, which in the case of a Limited Condition Transaction shall be 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380" w:right="20" w:firstLine="751"/>
        <w:spacing w:after="0" w:line="269" w:lineRule="auto"/>
        <w:tabs>
          <w:tab w:leader="none" w:pos="152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immediately after giving effect to any such Acquisition (including any assumption or incurrence of Indebtedness in connection therewith), no Event of Default shall have occurred and be continuing;</w:t>
      </w:r>
    </w:p>
    <w:p>
      <w:pPr>
        <w:spacing w:after="0" w:line="159"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the required majority of the Board of Directors (or other equivalent governing body) of the Person so to be acquired (or that owns the assets to be acquired) incumbent at the time such</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8" w:name="page69"/>
    <w:bookmarkEnd w:id="68"/>
    <w:p>
      <w:pPr>
        <w:ind w:left="380"/>
        <w:spacing w:after="0" w:line="269" w:lineRule="auto"/>
        <w:rPr>
          <w:sz w:val="20"/>
          <w:szCs w:val="20"/>
          <w:color w:val="auto"/>
        </w:rPr>
      </w:pPr>
      <w:r>
        <w:rPr>
          <w:rFonts w:ascii="Times New Roman" w:cs="Times New Roman" w:eastAsia="Times New Roman" w:hAnsi="Times New Roman"/>
          <w:sz w:val="20"/>
          <w:szCs w:val="20"/>
          <w:color w:val="auto"/>
        </w:rPr>
        <w:t>Acquisition is proposed has acquiesced to such Acquisition, or such Acquisition is otherwise deemed in the reasonable judgment of the Administrative Agent to be a “friendly” Acquisition;</w:t>
      </w:r>
    </w:p>
    <w:p>
      <w:pPr>
        <w:spacing w:after="0" w:line="159" w:lineRule="exact"/>
        <w:rPr>
          <w:sz w:val="20"/>
          <w:szCs w:val="20"/>
          <w:color w:val="auto"/>
        </w:rPr>
      </w:pPr>
    </w:p>
    <w:p>
      <w:pPr>
        <w:ind w:left="1140"/>
        <w:spacing w:after="0"/>
        <w:tabs>
          <w:tab w:leader="none" w:pos="15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 xml:space="preserve">the lines of business of the Person to be (or the property of which is to be) so acquired shall be permitted by </w:t>
      </w:r>
      <w:r>
        <w:rPr>
          <w:rFonts w:ascii="Times New Roman" w:cs="Times New Roman" w:eastAsia="Times New Roman" w:hAnsi="Times New Roman"/>
          <w:sz w:val="19"/>
          <w:szCs w:val="19"/>
          <w:u w:val="single" w:color="auto"/>
          <w:color w:val="auto"/>
        </w:rPr>
        <w:t>Section 7.07</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and</w:t>
      </w:r>
    </w:p>
    <w:p>
      <w:pPr>
        <w:spacing w:after="0" w:line="194" w:lineRule="exact"/>
        <w:rPr>
          <w:sz w:val="20"/>
          <w:szCs w:val="20"/>
          <w:color w:val="auto"/>
        </w:rPr>
      </w:pPr>
    </w:p>
    <w:p>
      <w:pPr>
        <w:jc w:val="both"/>
        <w:ind w:left="380" w:firstLine="751"/>
        <w:spacing w:after="0" w:line="246" w:lineRule="auto"/>
        <w:tabs>
          <w:tab w:leader="none" w:pos="152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(giving effect to any then applicable Elevated Ratio Period), in each case determined on a Pro Forma Basis as of the most recently ended period of four consecutive fiscal quarters for which financial information is available prior to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Acquisition or series of related Acquisitions involving aggregate consideration of $40,000,000 or more, the Company shall have delivered to the Administrative Agent a Compliance Certificate demonstrating the pro forma compliance required by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Longhorn Acquisition constitutes a Permitted Acquisition.</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Bond Hedge Transaction</w:t>
      </w:r>
      <w:r>
        <w:rPr>
          <w:rFonts w:ascii="Times New Roman" w:cs="Times New Roman" w:eastAsia="Times New Roman" w:hAnsi="Times New Roman"/>
          <w:sz w:val="20"/>
          <w:szCs w:val="20"/>
          <w:color w:val="auto"/>
        </w:rPr>
        <w:t xml:space="preserve">” means any bond hedge, call or capped call option (or substantively equivalent derivative transaction) relating to the Company’s common stock (or other securities or property following a merger event, reclassification or other change of the common stock of the Company) purchased by the Company or a Restricted Subsidiary thereof in connection with the issuance of any Permitted Convertible Indebtedness and settled in common stock of the Company (or such other securities or property), cash or a combination thereof (such amount of cash determined by reference to the price of the Company’s common stock or such other securities or property), and cash in lieu of fractional shares of common stock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purchase of any such Permitted Bond Hedge Transaction is made with, and the purchase price thereof less the proceeds received from the Company from the sale of any substantially concurrently executed Permitted Warrant Transaction, does not exceed, the net proceeds received by the Company or a Restricted Subsidiary thereof in connection with the issuance of any Permitted Convertible Indebtedness;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other terms, conditions and covenants of each such transaction shall be such as are customary for transactions of such type (as determined by the Company in good faith).</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Bridge Indebtedness</w:t>
      </w:r>
      <w:r>
        <w:rPr>
          <w:rFonts w:ascii="Times New Roman" w:cs="Times New Roman" w:eastAsia="Times New Roman" w:hAnsi="Times New Roman"/>
          <w:sz w:val="20"/>
          <w:szCs w:val="20"/>
          <w:color w:val="auto"/>
        </w:rPr>
        <w:t>” means any customary bridge facility, escrow or similar arrangement of the Company or any Restricted Subsidiary that (a) is issued with the intent to convert such facility into another instrument or product that, if constituting Indebtedness, otherwise would satisfy all applicable maturity and weighted average life limitations or (b) otherwise provides that if such facility is not converted into the intended conversion product, is automatically (subject to the satisfaction of certain conditions) convertible into Indebtedness that satisfies all applicable maturity and weighted average life limitations.</w:t>
      </w:r>
    </w:p>
    <w:p>
      <w:pPr>
        <w:spacing w:after="0" w:line="18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Convertible Indebtednes</w:t>
      </w:r>
      <w:r>
        <w:rPr>
          <w:rFonts w:ascii="Times New Roman" w:cs="Times New Roman" w:eastAsia="Times New Roman" w:hAnsi="Times New Roman"/>
          <w:sz w:val="19"/>
          <w:szCs w:val="19"/>
          <w:color w:val="auto"/>
        </w:rPr>
        <w:t xml:space="preserve">s” means (a) unsecured Indebtedness of the Company or a Restricted Subsidiary thereof that (i) as of the date of issuance thereof contains customary conversion or exchange rights, customary premiums and customary offer to repurchase rights for transactions of such type (in each case, as determined by the Company in good faith) and (ii) is convertible into or exchangeable for shares of common stock of the Company (or other securities or property following a merger event, reclassification or other change of the common stock of the Company), cash or a combination thereof (such amount of cash determined by reference to the price of the Company’s common stock or such other securities or property), and cash in lieu of fractional shares of common stock of the Company, (b) any refinancings, refundings, renewals or extensions of any such unsecured Indebtedness described in the foregoing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so long as such refinancing, refunding, renewal and extension otherwise complies with preceding clause (i) and (ii);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Indebtedness remains unsecured and the amount of such Indebtedness is not increased at the time of such refinancing, refunding, renewal or extension except by an</w:t>
      </w:r>
    </w:p>
    <w:p>
      <w:pPr>
        <w:spacing w:after="0" w:line="200" w:lineRule="exact"/>
        <w:rPr>
          <w:sz w:val="20"/>
          <w:szCs w:val="20"/>
          <w:color w:val="auto"/>
        </w:rPr>
      </w:pPr>
    </w:p>
    <w:p>
      <w:pPr>
        <w:spacing w:after="0" w:line="3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9" w:name="page70"/>
    <w:bookmarkEnd w:id="69"/>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amount equal to a reasonable premium or other reasonable amount paid, and fees and expenses reasonably incurred, in connection with such refinancing and (c) any guarantee by any Loan Party of Indebtedness of the Company or a Restricted Subsidiary thereof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that such Indebtedness is permitted to be incurred under </w:t>
      </w:r>
      <w:r>
        <w:rPr>
          <w:rFonts w:ascii="Times New Roman" w:cs="Times New Roman" w:eastAsia="Times New Roman" w:hAnsi="Times New Roman"/>
          <w:sz w:val="20"/>
          <w:szCs w:val="20"/>
          <w:u w:val="single" w:color="auto"/>
          <w:color w:val="auto"/>
        </w:rPr>
        <w:t>Section 7.03(q)</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Indebtedness Conditions</w:t>
      </w:r>
      <w:r>
        <w:rPr>
          <w:rFonts w:ascii="Times New Roman" w:cs="Times New Roman" w:eastAsia="Times New Roman" w:hAnsi="Times New Roman"/>
          <w:sz w:val="20"/>
          <w:szCs w:val="20"/>
          <w:color w:val="auto"/>
        </w:rPr>
        <w:t>” means, with respect to any applicable Indebtedness that such Indebtedness meets each of the following requirements:</w:t>
      </w:r>
    </w:p>
    <w:p>
      <w:pPr>
        <w:spacing w:after="0" w:line="159" w:lineRule="exact"/>
        <w:rPr>
          <w:sz w:val="20"/>
          <w:szCs w:val="20"/>
          <w:color w:val="auto"/>
        </w:rPr>
      </w:pPr>
    </w:p>
    <w:p>
      <w:pPr>
        <w:jc w:val="both"/>
        <w:ind w:left="380" w:firstLine="751"/>
        <w:spacing w:after="0" w:line="241" w:lineRule="auto"/>
        <w:tabs>
          <w:tab w:leader="none" w:pos="152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stated maturity date of such Indebtedness shall be no earlier than, and the terms of such Indebtedness do not provide for any scheduled payment, mandatory repayment or redemption or sinking fund or similar obligations at any time prior to (i) in the case of such Indebtedness that is Pari Passu Indebtedness, the Latest Maturity Date in effect at the time of such incurrence, assumption or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Pari Passu Indebtedness may have scheduled payments, mandatory repayments or redemptions or similar obligations prior to its stated maturity so long as (A) such Indebtedness does not have a shorter Weighted Average Life to Maturity than the remaining Weighted Average Life to Maturity of any Class of Term Loans then outstanding at the time of incurrence, assumption or acquisition thereof and (B) such mandatory repayments or redemptions or similar obligations are no more restrictive on the Company or its Restricted Subsidiaries than the provisions of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and (ii) in all other cases, the date that is 91 days after the Latest Maturity Date in effect at the time of such incurrence (other than, in each case, to the extent permitted by any applicable subordination and intercreditor terms with respect thereto, customary offers or obligations to repurchase or repay such Indebtedness upon a change of control, excess cash flow sweep, asset sale or casualty or condemnation event, in each case that provides for the prior repayment in full of the Loans and other Obligations and customary acceleration rights after an event of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restrictions of this clause (a) shall not apply to the extent such Indebtedness constitutes Permitted Bridge Indebtedness;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purposes of determining whether Permitted Convertible Indebtedness meets the foregoing requirements, neither any settlement upon conversion of or exchange for such Permitted Convertible Indebtedness (whether in cash, stock or other property) nor any required redemption or repurchase thereof upon a “fundamental change” (as customarily defined for such Permitted Convertible Indebtedness) shall disqualify such Permitted Convertible Indebtedness from satisfying such requirements notwithstanding a possible occurrence prior to the then Latest Maturity Date;</w:t>
      </w:r>
    </w:p>
    <w:p>
      <w:pPr>
        <w:spacing w:after="0" w:line="190" w:lineRule="exact"/>
        <w:rPr>
          <w:rFonts w:ascii="Times New Roman" w:cs="Times New Roman" w:eastAsia="Times New Roman" w:hAnsi="Times New Roman"/>
          <w:sz w:val="20"/>
          <w:szCs w:val="20"/>
          <w:color w:val="auto"/>
        </w:rPr>
      </w:pPr>
    </w:p>
    <w:p>
      <w:pPr>
        <w:ind w:left="380" w:firstLine="751"/>
        <w:spacing w:after="0" w:line="244" w:lineRule="auto"/>
        <w:tabs>
          <w:tab w:leader="none" w:pos="152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covenants with respect to such Indebtedness, when taken as a whole, are not materially more restrictive to the Company and the Restricted Subsidiaries than those herein (taken as a whole) (except (i) for covenants with respect to such Indebtedness that are applicable only to the periods after the Latest Maturity Date in effect at the time of incurrence or assumption of such Indebtedness and (ii) to the extent that any financial maintenance covenant is added for the benefit of any such Indebtedness, no consent shall be required by the Administrative Agent or any of the Lenders if such financial maintenance covenant is also added for the benefit of the Lenders hereunder with respect to any Loans or Commitments remaining outstanding after giving effect to the incurrence, assumption or acquisition of such Indebtedness and the application of the proceeds thereof);</w:t>
      </w:r>
    </w:p>
    <w:p>
      <w:pPr>
        <w:spacing w:after="0" w:line="18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may not be recourse to or Guaranteed by any Person that is not a Loan Party;</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74" w:lineRule="auto"/>
        <w:tabs>
          <w:tab w:leader="none" w:pos="1525"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Indebtedness is secured it is secured only by assets included within the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Indebtedness may be secured by the proceeds thereof, and any related deposit of cash or Cash Equivalents to cover interest and premiums with respect to such Indebtedness, to the extent and only for so long as such proceeds and related deposit are subject to a customary escrow or</w:t>
      </w: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0" w:name="page71"/>
    <w:bookmarkEnd w:id="70"/>
    <w:p>
      <w:pPr>
        <w:jc w:val="both"/>
        <w:ind w:left="380" w:right="20"/>
        <w:spacing w:after="0" w:line="254" w:lineRule="auto"/>
        <w:rPr>
          <w:sz w:val="20"/>
          <w:szCs w:val="20"/>
          <w:color w:val="auto"/>
        </w:rPr>
      </w:pPr>
      <w:r>
        <w:rPr>
          <w:rFonts w:ascii="Times New Roman" w:cs="Times New Roman" w:eastAsia="Times New Roman" w:hAnsi="Times New Roman"/>
          <w:sz w:val="20"/>
          <w:szCs w:val="20"/>
          <w:color w:val="auto"/>
        </w:rPr>
        <w:t>similar arrangement to secure such Indebtedness (or interest or premium thereon) pending application of the proceeds thereof) and, unless such Indebtedness constitutes Obligations hereunder, the holders thereof (or a duly authorized agent or trustee on their behalf) shall enter into an Acceptable Intercreditor Agreement;</w:t>
      </w:r>
    </w:p>
    <w:p>
      <w:pPr>
        <w:spacing w:after="0" w:line="174" w:lineRule="exact"/>
        <w:rPr>
          <w:sz w:val="20"/>
          <w:szCs w:val="20"/>
          <w:color w:val="auto"/>
        </w:rPr>
      </w:pPr>
    </w:p>
    <w:p>
      <w:pPr>
        <w:ind w:left="380" w:right="20" w:firstLine="751"/>
        <w:spacing w:after="0" w:line="269" w:lineRule="auto"/>
        <w:tabs>
          <w:tab w:leader="none" w:pos="152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shall have pricing (including interest rates, fees and premiums), optional prepayment and redemption terms as may be agreed to by the Company and the lenders or holders of such Indebtedness; and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in the case of any Indebtedness incurred to finance a substantially concurrent Limited Condition Transaction, immediately after giving effect to the incurrence of such Indebtedness and the use of proceeds thereof, no Default or Event of Default shall have occurred and be continuing or would result therefrom.</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the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means any Indebtedness (the “</w:t>
      </w:r>
      <w:r>
        <w:rPr>
          <w:rFonts w:ascii="Times New Roman" w:cs="Times New Roman" w:eastAsia="Times New Roman" w:hAnsi="Times New Roman"/>
          <w:sz w:val="20"/>
          <w:szCs w:val="20"/>
          <w:u w:val="single" w:color="auto"/>
          <w:color w:val="auto"/>
        </w:rPr>
        <w:t>Refinancing Indebtedness</w:t>
      </w:r>
      <w:r>
        <w:rPr>
          <w:rFonts w:ascii="Times New Roman" w:cs="Times New Roman" w:eastAsia="Times New Roman" w:hAnsi="Times New Roman"/>
          <w:sz w:val="20"/>
          <w:szCs w:val="20"/>
          <w:color w:val="auto"/>
        </w:rPr>
        <w:t>”), the proceeds of which are used to refinance, refund, renew, extend or replace outstanding Indebtedness (such outstanding Indebtedness, the “</w:t>
      </w:r>
      <w:r>
        <w:rPr>
          <w:rFonts w:ascii="Times New Roman" w:cs="Times New Roman" w:eastAsia="Times New Roman" w:hAnsi="Times New Roman"/>
          <w:sz w:val="20"/>
          <w:szCs w:val="20"/>
          <w:u w:val="single" w:color="auto"/>
          <w:color w:val="auto"/>
        </w:rPr>
        <w:t>Refinanced Indebtedness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4" w:lineRule="exact"/>
        <w:rPr>
          <w:sz w:val="20"/>
          <w:szCs w:val="20"/>
          <w:color w:val="auto"/>
        </w:rPr>
      </w:pPr>
    </w:p>
    <w:p>
      <w:pPr>
        <w:ind w:left="380" w:firstLine="751"/>
        <w:spacing w:after="0" w:line="244" w:lineRule="auto"/>
        <w:tabs>
          <w:tab w:leader="none" w:pos="152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(or accreted value, if applicable) of such Refinancing Indebtedness (including any unused commitments thereunder) is not greater than the principal amount (or accreted value, if applicable) of the Refinanced Indebtedness at the time of such refinancing, refunding, renewal, extension or replacement, except by an amount equal to any original issue discount thereon and the amount of unpaid accrued interest and premium thereon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other reasonable amounts paid, and fees and expenses (including original issue discount) reasonably incurred, in connection with such refinancing, refunding, renewal, extension or replacement, and by an amount equal to any existing commitments thereunder that have not been utilized at the time of such refinancing, refunding, renewal, extension or replacement;</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41" w:lineRule="auto"/>
        <w:tabs>
          <w:tab w:leader="none" w:pos="152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final stated maturity and Weighted Average Life to Maturity of such Refinancing Indebtedness shall not be prior to or shorter than that applicable to the Refinanced Indebtedness and such Refinancing Indebtedness does not require any scheduled payment of principal, mandatory repayment, redemption or repurchase that is more favorable to the holders of the Refinancing Indebtedness than the corresponding terms (if any) of the Refinanced Indebtedness (including by virtue of such Refinancing Indebtedness participating on a greater basis in any mandatory repayment, redemption or repurchase as compared to the Refinanced Indebtedness, but excluding any scheduled payment of principal, mandatory repayment, redemption or repurchase occurring on or after the date that is 91 days after the latest scheduled maturity date of the Loans and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restrictions of this clause (b) shall not apply to the extent such Refinancing Indebtedness constitutes Permitted Bridge Indebtedness;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for purposes of determining whether Permitted Convertible Indebtedness meets the foregoing requirements, neither any settlement upon conversion of or exchange for such Permitted Convertible Indebtedness (whether in cash, stock or other property) nor any required redemption or repurchase thereof upon a “fundamental change” (as customarily defined for such Permitted Convertible Indebtedness) shall disqualify such Permitted Convertible Indebtedness from satisfying such requirements notwithstanding a possible occurrence prior to the then Latest Maturity Date;</w:t>
      </w:r>
    </w:p>
    <w:p>
      <w:pPr>
        <w:spacing w:after="0" w:line="197"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Refinancing Indebtedness shall not be secured by (i) Liens on assets other than assets securing the Refinanced Indebtedness at the time of such refinancing, refunding, renewal, extension or</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1" w:name="page72"/>
    <w:bookmarkEnd w:id="71"/>
    <w:p>
      <w:pPr>
        <w:ind w:left="380"/>
        <w:spacing w:after="0" w:line="269" w:lineRule="auto"/>
        <w:rPr>
          <w:sz w:val="20"/>
          <w:szCs w:val="20"/>
          <w:color w:val="auto"/>
        </w:rPr>
      </w:pPr>
      <w:r>
        <w:rPr>
          <w:rFonts w:ascii="Times New Roman" w:cs="Times New Roman" w:eastAsia="Times New Roman" w:hAnsi="Times New Roman"/>
          <w:sz w:val="20"/>
          <w:szCs w:val="20"/>
          <w:color w:val="auto"/>
        </w:rPr>
        <w:t>replacement or (ii) Liens having a higher priority than the Liens, if any, securing the Refinanced Indebtedness at the time of such refinancing, refunding, renewal, extension or replacement;</w:t>
      </w:r>
    </w:p>
    <w:p>
      <w:pPr>
        <w:spacing w:after="0" w:line="159" w:lineRule="exact"/>
        <w:rPr>
          <w:sz w:val="20"/>
          <w:szCs w:val="20"/>
          <w:color w:val="auto"/>
        </w:rPr>
      </w:pPr>
    </w:p>
    <w:p>
      <w:pPr>
        <w:jc w:val="both"/>
        <w:ind w:left="380" w:firstLine="751"/>
        <w:spacing w:after="0" w:line="254" w:lineRule="auto"/>
        <w:tabs>
          <w:tab w:leader="none" w:pos="152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Refinancing Indebtedness shall not be guaranteed by or otherwise recourse to any Person other than the Person(s) to whom the Refinanced Indebtedness is recourse or by whom it is guaranteed, in each case as of the time of such refinancing, refunding, renewal, extension or replacement;</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such Refinanced Indebtedness is subordinated in right of payment to the Obligations (or the Liens securing such Indebtedness were originally contractually subordinated to the Liens securing the Collateral pursuant to the Collateral Documents), such refinancing, refunding, renewal, extension or replacement is subordinated in right of payment to the Obligations (or the Liens securing such Indebtedness shall be subordinated to the Liens securing the Collateral pursuant to the Collateral Documents) on terms at least as favorable to the Lenders as those contained in the documentation governing such Refinanced Indebtedness or otherwise reasonably acceptable to the Administrative Agent;</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4" w:lineRule="auto"/>
        <w:tabs>
          <w:tab w:leader="none" w:pos="152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covenants with respect to such Refinancing Indebtedness, when taken as a whole, are not materially more restrictive to the Company and the Restricted Subsidiaries than those in the Refinanced Indebtedness (taken as a whole) (except (i) for covenants with respect to such Indebtedness that are applicable only to the periods after the Latest Maturity Date in effect at the time of incurrence of such Refinancing Indebtedness and (ii) to the extent that any financial maintenance covenant is added for the benefit of any such Refinancing Indebtedness, no consent shall be required by the Administrative Agent or any of the Lenders if such financial maintenance covenant is also added for the benefit of the Lenders hereunder with respect to any Loans or Commitments remaining outstanding after giving effect to the incurrence of such Refinancing Indebtedness and the application of the proceeds thereof;</w:t>
      </w:r>
    </w:p>
    <w:p>
      <w:pPr>
        <w:spacing w:after="0" w:line="185" w:lineRule="exact"/>
        <w:rPr>
          <w:rFonts w:ascii="Times New Roman" w:cs="Times New Roman" w:eastAsia="Times New Roman" w:hAnsi="Times New Roman"/>
          <w:sz w:val="20"/>
          <w:szCs w:val="20"/>
          <w:color w:val="auto"/>
        </w:rPr>
      </w:pPr>
    </w:p>
    <w:p>
      <w:pPr>
        <w:ind w:left="380" w:right="60" w:firstLine="751"/>
        <w:spacing w:after="0" w:line="269" w:lineRule="auto"/>
        <w:tabs>
          <w:tab w:leader="none" w:pos="152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at the time of, or would result from, such refinancing, refunding, renewal, extension or replacement; and</w:t>
      </w:r>
    </w:p>
    <w:p>
      <w:pPr>
        <w:spacing w:after="0" w:line="159"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Refinancing Indebtedness shall have pricing (including interest rates, fees and premiums), optional prepayment and redemption terms as may be agreed to by the Company and the lenders or holders of such Refinancing Indebtedness.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Standalone Letter of Credit</w:t>
      </w:r>
      <w:r>
        <w:rPr>
          <w:rFonts w:ascii="Times New Roman" w:cs="Times New Roman" w:eastAsia="Times New Roman" w:hAnsi="Times New Roman"/>
          <w:sz w:val="20"/>
          <w:szCs w:val="20"/>
          <w:color w:val="auto"/>
        </w:rPr>
        <w:t xml:space="preserve">” means any commercial letter of credit, standby letter of credit, bankers’ acceptance or bank guarantee issued by a PSLOC Bank for the account of any Loan Party or any Subsidiary on a bilateral basis and not as part of the facilities provided under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face amount of all such letters of credit, bankers’ acceptances and bank guarantees shall not exceed (a) at any time prior to the Longhorn Acquisition Funding Date, $150,000,000 and (b) at any time on or after the Longhorn Acquisition Funding Date, $175,000,000.</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Warrant Transaction</w:t>
      </w:r>
      <w:r>
        <w:rPr>
          <w:rFonts w:ascii="Times New Roman" w:cs="Times New Roman" w:eastAsia="Times New Roman" w:hAnsi="Times New Roman"/>
          <w:sz w:val="20"/>
          <w:szCs w:val="20"/>
          <w:color w:val="auto"/>
        </w:rPr>
        <w:t xml:space="preserve">” means any call option, warrant or right to purchase (or substantively equivalent derivative transaction) relating to the Company’s common stock (or other securities or property following a merger event, reclassification or other change of the common stock of the Company) sold by the Company substantially concurrently with any purchase by the Company of a Permitted Bond Hedge Transaction and settled in common stock of the Company (or such other securities or property), cash or a combination thereof (such amount of cash determined by reference to the price of the Company’s common stock or such other securities or property), and cash in lieu of fractional shares of common stock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terms, conditions and covenants of each such transaction shall be such as are customary for transactions of such type (as determined by the Company in good faith).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2" w:name="page73"/>
    <w:bookmarkEnd w:id="72"/>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Agreements</w:t>
      </w:r>
      <w:r>
        <w:rPr>
          <w:rFonts w:ascii="Times New Roman" w:cs="Times New Roman" w:eastAsia="Times New Roman" w:hAnsi="Times New Roman"/>
          <w:sz w:val="20"/>
          <w:szCs w:val="20"/>
          <w:color w:val="auto"/>
        </w:rPr>
        <w:t>” means, collectively, (a) the Third Amended and Restated Securities Pledge Agreement (the “</w:t>
      </w:r>
      <w:r>
        <w:rPr>
          <w:rFonts w:ascii="Times New Roman" w:cs="Times New Roman" w:eastAsia="Times New Roman" w:hAnsi="Times New Roman"/>
          <w:sz w:val="20"/>
          <w:szCs w:val="20"/>
          <w:u w:val="single" w:color="auto"/>
          <w:color w:val="auto"/>
        </w:rPr>
        <w:t>U.S. Pledge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the date hereof, made by the Company and certain other Loan Parties in favor of the Administrative Agent for the benefit of the Secured Parties specified therein and (b) any other securities pledge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Pledge Joinder Agreements and Pledge Agreement Supplements.</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Agreement Supplement</w:t>
      </w:r>
      <w:r>
        <w:rPr>
          <w:rFonts w:ascii="Times New Roman" w:cs="Times New Roman" w:eastAsia="Times New Roman" w:hAnsi="Times New Roman"/>
          <w:sz w:val="20"/>
          <w:szCs w:val="20"/>
          <w:color w:val="auto"/>
        </w:rPr>
        <w:t>” means each Pledge Agreement Supplement, substantially in the form thereof attached to a Pledge Agreement, executed and delivered by a Loan Party to the Administrative Agent.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Joinder Agreement</w:t>
      </w:r>
      <w:r>
        <w:rPr>
          <w:rFonts w:ascii="Times New Roman" w:cs="Times New Roman" w:eastAsia="Times New Roman" w:hAnsi="Times New Roman"/>
          <w:sz w:val="20"/>
          <w:szCs w:val="20"/>
          <w:color w:val="auto"/>
        </w:rPr>
        <w:t>” means each Pledge Joinder Agreement, substantially in the form thereof attached to a Pledge Agreement, executed and delivered by a Restricted Subsidiary to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380" w:right="40" w:firstLine="751"/>
        <w:spacing w:after="0" w:line="269" w:lineRule="auto"/>
        <w:tabs>
          <w:tab w:leader="none" w:pos="152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calculating Consolidated EBITDA for any period during which one or more Specified Transactions occurs, calculating it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2" w:lineRule="auto"/>
        <w:tabs>
          <w:tab w:leader="none" w:pos="152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Company or any Restricted Subsidiary incurs (including by assumption or guarantees) (including the incurrence of any Incremental Increase or Incremental Equivalent Indebtedness) or repays (including by redemption, repayment, retirement, discharge, defeasance or extinguishment) any Indebtedness included in the calculations of any financial incurrence ratio or incurrence test (in each case, other than Indebtedness incurred or repaid under any revolving credit facility in the ordinary course of business for working capital purposes), (i) during the applicable period or (ii) subsequent to the end of the applicable period and prior to or simultaneously with the event for which the calculation of any such ratio or test is made, then such financial ratio or test shall be calculated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incurrence or repayment of Indebtedness, to the extent required, as if the same had occurred on the first day of the applicable period and any such Indebtedness that is incurred (including by assumption or guarantee) that has a floating or formula rate of interest shall have an implied rate of interest for the applicable period determined by utilizing the rate which is or would be in effect with respect to such Indebtedness as of the relevant date of determination.</w:t>
      </w:r>
    </w:p>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PSLOC Bank</w:t>
      </w:r>
      <w:r>
        <w:rPr>
          <w:rFonts w:ascii="Times New Roman" w:cs="Times New Roman" w:eastAsia="Times New Roman" w:hAnsi="Times New Roman"/>
          <w:sz w:val="20"/>
          <w:szCs w:val="20"/>
          <w:color w:val="auto"/>
        </w:rPr>
        <w:t>” means any Person that, (a) at the time it issues a Permitted Standalone Letter of Credit for the account of any Loan Party or any Subsidiary, is a Lender or an Affiliate of a Lender, or (b) at the time it (or its Affiliate) becomes a Lender, is party to a Permitted Standalone Letter of Credit, in each case, in its capacity as the issuer of such Permitted Standalone Letter of Credit.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3" w:name="page74"/>
    <w:bookmarkEnd w:id="7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any Equity Interests that are not Disqualified Equity Interests.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Securitization Assets</w:t>
      </w:r>
      <w:r>
        <w:rPr>
          <w:rFonts w:ascii="Times New Roman" w:cs="Times New Roman" w:eastAsia="Times New Roman" w:hAnsi="Times New Roman"/>
          <w:sz w:val="20"/>
          <w:szCs w:val="20"/>
          <w:color w:val="auto"/>
        </w:rPr>
        <w:t>” means accounts (as defined in the UCC), payment intangibles (as defined in the UCC), notes receivable, rights to future lease payments or residuals, including all “claims” as defined in Section 101(5) of Title 11 of the United States Code, as amended, and any and all rights to receive principal, interest and other amounts in respect of such claims, certain property relating thereto, the right to collections thereon, and any proceeds thereof, including all lockboxes, lockbox accounts, collection accounts or other deposit accounts into which such collections or proceeds are deposited.</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Supply Chain Finance Program</w:t>
      </w:r>
      <w:r>
        <w:rPr>
          <w:rFonts w:ascii="Times New Roman" w:cs="Times New Roman" w:eastAsia="Times New Roman" w:hAnsi="Times New Roman"/>
          <w:sz w:val="20"/>
          <w:szCs w:val="20"/>
          <w:color w:val="auto"/>
        </w:rPr>
        <w:t xml:space="preserve">” means a supply chain finance program offered to vendors of the Company or any Restricted Subsidiary, pursuant to which program the Company or a Restricted Subsidiary sells accounts receivable owing to the Company or a Restricted Subsidiary by such vendors;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the sale of such accounts receivable is made without recourse for credit risk to the Company or its Subsidiaries and otherwise on terms customary for supply chain finance arrangements (as determined in good faith by the Company), but which shall not constitute a factoring or financing or securitization transaction and (b) any Liens arising under any Qualified Supply Chain Finance Program shall not at any time encumber any property other than the identified accounts receivable (and related assets customarily included in such transactions) sold pursuant thereto.</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Subsidiary</w:t>
      </w:r>
      <w:r>
        <w:rPr>
          <w:rFonts w:ascii="Times New Roman" w:cs="Times New Roman" w:eastAsia="Times New Roman" w:hAnsi="Times New Roman"/>
          <w:sz w:val="20"/>
          <w:szCs w:val="20"/>
          <w:color w:val="auto"/>
        </w:rPr>
        <w:t>” means any special purpose, bankruptcy-remote, wholly-owned Subsidiary of the Company formed for the sole and exclusive purpose of engaging in activities in connection with the financing of trade receivables in connection with and pursuant to a Securitization Transaction permitted hereunder.</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any L/C Issuer or any other recipient of any payment to be made by or on account of any obligation of any Loan Party hereunder.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FRB, as in effect from time to time and all official rulings and interpretations thereunder or thereof.</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any Credit Extension denominated in (a) Dollars, Daily Simple SOFR, Term SOFR or SOFR, as applicable, (b) Sterling, SONIA, (c) Euros, EURIBOR, and (d) Canadian Dollars, the Term CORRA Rate, as applicable.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2.20(e)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4" w:name="page75"/>
    <w:bookmarkEnd w:id="74"/>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Lender</w:t>
      </w:r>
      <w:r>
        <w:rPr>
          <w:rFonts w:ascii="Times New Roman" w:cs="Times New Roman" w:eastAsia="Times New Roman" w:hAnsi="Times New Roman"/>
          <w:sz w:val="20"/>
          <w:szCs w:val="20"/>
          <w:color w:val="auto"/>
        </w:rPr>
        <w:t>” means with respect to any Refinancing Term Loan Series, collectively, all of the Persons agreeing to make a Refinancing Term Loan of such Refinancing Term Loan Series.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 Series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2.20(c)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Refinancing/Replacement Effective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Credit Commitment Percentage</w:t>
      </w:r>
      <w:r>
        <w:rPr>
          <w:rFonts w:ascii="Times New Roman" w:cs="Times New Roman" w:eastAsia="Times New Roman" w:hAnsi="Times New Roman"/>
          <w:sz w:val="20"/>
          <w:szCs w:val="20"/>
          <w:color w:val="auto"/>
        </w:rPr>
        <w:t>” means, with respect to any Replacement Revolving Credit Lender with respect to any Replacement Revolving Credit Commitment Series at any time, the percentage of the total Replacement Revolving Credit Commitments with respect to such Replacement Revolving Credit Commitment Series of all the Replacement Revolving Credit Lenders represented by such Replacement Revolving Credit Lender’s Replacement Revolving Credit Commitment with respect to such Replacement Revolving Credit Commitment Series.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Credit Commitment Series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2.20(c)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Credit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Credit Lenders</w:t>
      </w:r>
      <w:r>
        <w:rPr>
          <w:rFonts w:ascii="Times New Roman" w:cs="Times New Roman" w:eastAsia="Times New Roman" w:hAnsi="Times New Roman"/>
          <w:sz w:val="20"/>
          <w:szCs w:val="20"/>
          <w:color w:val="auto"/>
        </w:rPr>
        <w:t>” means, with respect to any Replacement Revolving Credit Commitment Series, collectively, all of the Persons with a Replacement Revolving Credit Commitment with respect to such Replacement Revolving Credit Commitment Series.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Credit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Term Loans or Revolving Credit Loans, a Loan Notice, (b) with respect to an L/C Credit Extension, a Letter of Credit Application, and (c) with respect to a Swing Line Loan, a Swing Line Loan Notice.</w:t>
      </w:r>
    </w:p>
    <w:p>
      <w:pPr>
        <w:spacing w:after="0" w:line="174"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Class Lenders</w:t>
      </w:r>
      <w:r>
        <w:rPr>
          <w:rFonts w:ascii="Times New Roman" w:cs="Times New Roman" w:eastAsia="Times New Roman" w:hAnsi="Times New Roman"/>
          <w:sz w:val="19"/>
          <w:szCs w:val="19"/>
          <w:color w:val="auto"/>
        </w:rPr>
        <w:t>” means, at any time with respect to any Class of Loans or Commitments, Lenders having Total Credit Exposures with respect to such Class representing more than 50% of the Total Credit Exposures of all Lenders of such Class. The Total Credit Exposure of any Defaulting Lender with respect to such Class shall be disregarded in determining Required Class Lenders at any time.</w:t>
      </w:r>
    </w:p>
    <w:p>
      <w:pPr>
        <w:spacing w:after="0" w:line="15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of any participation in any Swing Line Loan and Unreimbursed Amounts that any Defaulting Lender has failed to fund that have not been reallocated to and funded by another Lender shall be deemed to be held by the Lender that is the Swing Line Lender or an L/C Issuer, as the case may be, in making such determination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this definition is subject to </w:t>
      </w:r>
      <w:r>
        <w:rPr>
          <w:rFonts w:ascii="Times New Roman" w:cs="Times New Roman" w:eastAsia="Times New Roman" w:hAnsi="Times New Roman"/>
          <w:sz w:val="19"/>
          <w:szCs w:val="19"/>
          <w:u w:val="single" w:color="auto"/>
          <w:color w:val="auto"/>
        </w:rPr>
        <w:t>Section 3.03</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Credit Lenders</w:t>
      </w:r>
      <w:r>
        <w:rPr>
          <w:rFonts w:ascii="Times New Roman" w:cs="Times New Roman" w:eastAsia="Times New Roman" w:hAnsi="Times New Roman"/>
          <w:sz w:val="20"/>
          <w:szCs w:val="20"/>
          <w:color w:val="auto"/>
        </w:rPr>
        <w:t xml:space="preserve">” means, at any time,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unused Revolving Credit</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5" w:name="page76"/>
    <w:bookmarkEnd w:id="75"/>
    <w:p>
      <w:pPr>
        <w:jc w:val="both"/>
        <w:spacing w:after="0" w:line="269" w:lineRule="auto"/>
        <w:rPr>
          <w:sz w:val="20"/>
          <w:szCs w:val="20"/>
          <w:color w:val="auto"/>
        </w:rPr>
      </w:pPr>
      <w:r>
        <w:rPr>
          <w:rFonts w:ascii="Times New Roman" w:cs="Times New Roman" w:eastAsia="Times New Roman" w:hAnsi="Times New Roman"/>
          <w:sz w:val="20"/>
          <w:szCs w:val="20"/>
          <w:color w:val="auto"/>
        </w:rPr>
        <w:t>Commitment of, and the portion of the Total Revolving Credit Outstandings held or deemed held by, any Defaulting Lender shall be excluded for purposes of making a determination of Required Revolving Credit Lenders.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Term Loan Lenders</w:t>
      </w:r>
      <w:r>
        <w:rPr>
          <w:rFonts w:ascii="Times New Roman" w:cs="Times New Roman" w:eastAsia="Times New Roman" w:hAnsi="Times New Roman"/>
          <w:sz w:val="20"/>
          <w:szCs w:val="20"/>
          <w:color w:val="auto"/>
        </w:rPr>
        <w:t xml:space="preserve">” means, at any time, Incremental Term A-Loan Lenders holding more than 50% of the Incremental Term A-1 Loan Facility on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portion of the Incremental Term A-1 Loan Facility held by any Defaulting Lender shall be excluded for purposes of making a determination of Required Term Loan Lenders.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 defined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chief financial officer, treasurer, assistant treasurer or controller of a Loan Party, or in the case of the Netherlands Designated Borrower, a signatory authorized to represent such Netherlands Designated Borrower, solely for purposes of the delivery of incumbency certificates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otherwise in connection herewith, the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reasonably requested by the Administrative Agent, appropriate authorization documentation, in form and substance reasonably satisfactory to the Administrative Agent.</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capital stock or other Equity Interest of the Company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 For the avoidance of doubt, the payment of interest or other amounts on (and including the settlement of any conversions of) any Permitted Convertible Indebtedness shall not constitute a Restricted Payment.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the Company that is not an Unrestricted Subsidiary.</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Revolving Credit Loan, each of the following: (i) each date of a Borrowing of an Alternative Currency Loan, (ii) each date of a continuation of an Alternative Currency Term Rate Loan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(iii) with respect to an Alternative Currency Daily Rate Loan, each Interest Payment Date, and (iv) such additional dates as the Administrative Agent shall in good faith and reasonably determine or the Required Revolving Credit Lenders shall in good faith and reasonably require; and (b) with respect to any Letter of Credit, each of the following: (i) each date of issuance, amendment and/or extension of a Letter of Credit denominated in an Alternative Currency, (ii) each date of any payment by the applicable L/C Issuer under any Letter of Credit denominated in an Alternative Currency, (iii) in the case of all Existing Letters of Credit denominated in Alternative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6" w:name="page77"/>
    <w:bookmarkEnd w:id="76"/>
    <w:p>
      <w:pPr>
        <w:jc w:val="both"/>
        <w:spacing w:after="0" w:line="269" w:lineRule="auto"/>
        <w:rPr>
          <w:sz w:val="20"/>
          <w:szCs w:val="20"/>
          <w:color w:val="auto"/>
        </w:rPr>
      </w:pPr>
      <w:r>
        <w:rPr>
          <w:rFonts w:ascii="Times New Roman" w:cs="Times New Roman" w:eastAsia="Times New Roman" w:hAnsi="Times New Roman"/>
          <w:sz w:val="20"/>
          <w:szCs w:val="20"/>
          <w:color w:val="auto"/>
        </w:rPr>
        <w:t>Currencies, the Closing Date and (iv) such additional dates as the Administrative Agent or any L/C Issuer shall in good faith and reasonably determine or the Required Revolving Credit Lenders shall in good faith and reasonably require.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Borrowing</w:t>
      </w:r>
      <w:r>
        <w:rPr>
          <w:rFonts w:ascii="Times New Roman" w:cs="Times New Roman" w:eastAsia="Times New Roman" w:hAnsi="Times New Roman"/>
          <w:sz w:val="20"/>
          <w:szCs w:val="20"/>
          <w:color w:val="auto"/>
        </w:rPr>
        <w:t xml:space="preserve">” means a borrowing consisting of simultaneous Revolving Credit Loans of the same Type, in the same currency and, in the case of Term SOFR Loans and Alternative Currency Term Rate Loans, having the same Interest Period made by each of the Revolving Credit Lenders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w:t>
      </w:r>
      <w:r>
        <w:rPr>
          <w:rFonts w:ascii="Times New Roman" w:cs="Times New Roman" w:eastAsia="Times New Roman" w:hAnsi="Times New Roman"/>
          <w:sz w:val="20"/>
          <w:szCs w:val="20"/>
          <w:color w:val="auto"/>
        </w:rPr>
        <w:t xml:space="preserve">” means, as to each Lender, its obligation to (a) make Revolving Credit Loans to the Borrowers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Lender at any time, the aggregate principal amount at such time of its outstanding Revolving Credit Loans and such Lender’s participations in L/C Obligations and Swing Line Loans at such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Facility</w:t>
      </w:r>
      <w:r>
        <w:rPr>
          <w:rFonts w:ascii="Times New Roman" w:cs="Times New Roman" w:eastAsia="Times New Roman" w:hAnsi="Times New Roman"/>
          <w:sz w:val="20"/>
          <w:szCs w:val="20"/>
          <w:color w:val="auto"/>
        </w:rPr>
        <w:t xml:space="preserve">” means the revolving credit facility established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which shall be in the aggregate amount, at any time, equal to the aggregate Revolving Credit Commitments at such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Lender</w:t>
      </w:r>
      <w:r>
        <w:rPr>
          <w:rFonts w:ascii="Times New Roman" w:cs="Times New Roman" w:eastAsia="Times New Roman" w:hAnsi="Times New Roman"/>
          <w:sz w:val="20"/>
          <w:szCs w:val="20"/>
          <w:color w:val="auto"/>
        </w:rPr>
        <w:t>” means, at any time, any Lender that has a Revolving Credit Commitment at such time or, if the Revolving Credit Commitments have been terminated, any Lender that has Revolving Credit Exposure at such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Note</w:t>
      </w:r>
      <w:r>
        <w:rPr>
          <w:rFonts w:ascii="Times New Roman" w:cs="Times New Roman" w:eastAsia="Times New Roman" w:hAnsi="Times New Roman"/>
          <w:sz w:val="20"/>
          <w:szCs w:val="20"/>
          <w:color w:val="auto"/>
        </w:rPr>
        <w:t xml:space="preserve">” means a promissory note made by a Borrower in favor of a Lender evidencing Revolving Credit Loans and Swing Line Loans made by such Lender to such Borrower, substantially in the form of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Rupees</w:t>
      </w:r>
      <w:r>
        <w:rPr>
          <w:rFonts w:ascii="Times New Roman" w:cs="Times New Roman" w:eastAsia="Times New Roman" w:hAnsi="Times New Roman"/>
          <w:sz w:val="20"/>
          <w:szCs w:val="20"/>
          <w:color w:val="auto"/>
        </w:rPr>
        <w:t>” means the lawful currency of India.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 a division of S&amp;P Global Inc., and any successor thereto.</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L/C Issuer,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international economic sanction administered or enforced by the United States Government (including without limitation, OFAC), the United Nations Security Council, the European Union, any Member State of the European Union, His Majesty’s Treasury (“</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 the Hong Kong Monetary Authority or other relevant sanctions authority.</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7" w:name="page78"/>
    <w:bookmarkEnd w:id="77"/>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means any Cash Management Agreement that is entered into by and between any Loan Party and any Cash Management Bank.</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means any Swap Contract permitted hereunder that is entered into by and between any Loan Party and any Hedge Bank.</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Lenders, the L/C Issuers, the Hedge Banks, the Cash Management Banks, the PSLOC Banks,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and the other Persons the Obligations owing to which are or are purported to be secured by the Collateral under the terms of the Collateral Documents.</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Permitted Standalone Letter of Credit</w:t>
      </w:r>
      <w:r>
        <w:rPr>
          <w:rFonts w:ascii="Times New Roman" w:cs="Times New Roman" w:eastAsia="Times New Roman" w:hAnsi="Times New Roman"/>
          <w:sz w:val="20"/>
          <w:szCs w:val="20"/>
          <w:color w:val="auto"/>
        </w:rPr>
        <w:t xml:space="preserve">” means any Permitted Standalone Letter of Credit specifically designated as such to the Administrative Agent in writing by the Company and the relevant PSLOC Bank as a “Secured Permitted Standalone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Permitted Standalone Letter of Credit be a Secured Permitted Standalone Letter of Credit if it is secured by Liens permitted by </w:t>
      </w:r>
      <w:r>
        <w:rPr>
          <w:rFonts w:ascii="Times New Roman" w:cs="Times New Roman" w:eastAsia="Times New Roman" w:hAnsi="Times New Roman"/>
          <w:sz w:val="20"/>
          <w:szCs w:val="20"/>
          <w:u w:val="single" w:color="auto"/>
          <w:color w:val="auto"/>
        </w:rPr>
        <w:t>Section 7.01(k)</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Transaction</w:t>
      </w:r>
      <w:r>
        <w:rPr>
          <w:rFonts w:ascii="Times New Roman" w:cs="Times New Roman" w:eastAsia="Times New Roman" w:hAnsi="Times New Roman"/>
          <w:sz w:val="20"/>
          <w:szCs w:val="20"/>
          <w:color w:val="auto"/>
        </w:rPr>
        <w:t>” means any financing transaction or series of related financing transactions pursuant to which the Company or any Restricted Subsidiary may sell, convey or otherwise transfer, or grant a security interest in, accounts, payments, receivables, rights to future lease payments or residuals or similar rights to payment to a special purpose Subsidiary or Affiliate of the Company that is not a Borrower.</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Agreements</w:t>
      </w:r>
      <w:r>
        <w:rPr>
          <w:rFonts w:ascii="Times New Roman" w:cs="Times New Roman" w:eastAsia="Times New Roman" w:hAnsi="Times New Roman"/>
          <w:sz w:val="20"/>
          <w:szCs w:val="20"/>
          <w:color w:val="auto"/>
        </w:rPr>
        <w:t>” means, collectively, (a) the Third Amended and Restated Security Agreement (the “</w:t>
      </w:r>
      <w:r>
        <w:rPr>
          <w:rFonts w:ascii="Times New Roman" w:cs="Times New Roman" w:eastAsia="Times New Roman" w:hAnsi="Times New Roman"/>
          <w:sz w:val="20"/>
          <w:szCs w:val="20"/>
          <w:u w:val="single" w:color="auto"/>
          <w:color w:val="auto"/>
        </w:rPr>
        <w:t>U.S. 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the date hereof, made by the Company and certain other Loan Parties in favor of the Administrative Agent for the benefit of the Secured Parties specified therein, (b) the Netherlands Security Documents, and (c) any other security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Security Joinder Agreements.</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Joinder Agreement</w:t>
      </w:r>
      <w:r>
        <w:rPr>
          <w:rFonts w:ascii="Times New Roman" w:cs="Times New Roman" w:eastAsia="Times New Roman" w:hAnsi="Times New Roman"/>
          <w:sz w:val="20"/>
          <w:szCs w:val="20"/>
          <w:color w:val="auto"/>
        </w:rPr>
        <w:t>” means each Security Joinder Agreement, substantially in the form thereof attached to a Security Agreement, executed and delivered by a Restricted Subsidiary to the Administrative Agent.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8" w:name="page79"/>
    <w:bookmarkEnd w:id="78"/>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if such determination date is not a Business Day, SONIA means such rate that applied on the first Business Day immediately prior thereto.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Adjustment</w:t>
      </w:r>
      <w:r>
        <w:rPr>
          <w:rFonts w:ascii="Times New Roman" w:cs="Times New Roman" w:eastAsia="Times New Roman" w:hAnsi="Times New Roman"/>
          <w:sz w:val="20"/>
          <w:szCs w:val="20"/>
          <w:color w:val="auto"/>
        </w:rPr>
        <w:t>” means, with respect to SONIA, 0.0326% per annum.</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Disposition</w:t>
      </w:r>
      <w:r>
        <w:rPr>
          <w:rFonts w:ascii="Times New Roman" w:cs="Times New Roman" w:eastAsia="Times New Roman" w:hAnsi="Times New Roman"/>
          <w:sz w:val="20"/>
          <w:szCs w:val="20"/>
          <w:color w:val="auto"/>
        </w:rPr>
        <w:t>” means any disposition of all or substantially all of the assets or Equity Interests of any Subsidiary of the Company or any division, business unit, product line or line of business.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Existing Capital Leases</w:t>
      </w:r>
      <w:r>
        <w:rPr>
          <w:rFonts w:ascii="Times New Roman" w:cs="Times New Roman" w:eastAsia="Times New Roman" w:hAnsi="Times New Roman"/>
          <w:sz w:val="20"/>
          <w:szCs w:val="20"/>
          <w:color w:val="auto"/>
        </w:rPr>
        <w:t xml:space="preserve">” means those Capitalized Leases described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Transactions</w:t>
      </w:r>
      <w:r>
        <w:rPr>
          <w:rFonts w:ascii="Times New Roman" w:cs="Times New Roman" w:eastAsia="Times New Roman" w:hAnsi="Times New Roman"/>
          <w:sz w:val="20"/>
          <w:szCs w:val="20"/>
          <w:color w:val="auto"/>
        </w:rPr>
        <w:t>” means (a) any Specified Disposition and (b) any Permitted Acquisition.</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United Kingdom.</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the collective reference to any Indebtedness incurred by the Company or any of its Restricted Subsidiaries that is subordinated in right and time of payment to the Obligations on terms and conditions reasonably satisfactory to the Administrative Agent.</w:t>
      </w:r>
    </w:p>
    <w:p>
      <w:pPr>
        <w:spacing w:after="0" w:line="174"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6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means, collectively, the Subsidiaries party to a Subsidiary Guaranty (including by execution of a Subsidiary Guaranty Joinder Agreement).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Guaranties</w:t>
      </w:r>
      <w:r>
        <w:rPr>
          <w:rFonts w:ascii="Times New Roman" w:cs="Times New Roman" w:eastAsia="Times New Roman" w:hAnsi="Times New Roman"/>
          <w:sz w:val="20"/>
          <w:szCs w:val="20"/>
          <w:color w:val="auto"/>
        </w:rPr>
        <w:t>” means, collectively, (a) the Third Amended and Restated Subsidiary Guaranty Agreement (the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Subsidiary Guaranty</w:t>
      </w:r>
      <w:r>
        <w:rPr>
          <w:rFonts w:ascii="Times New Roman" w:cs="Times New Roman" w:eastAsia="Times New Roman" w:hAnsi="Times New Roman"/>
          <w:sz w:val="20"/>
          <w:szCs w:val="20"/>
          <w:color w:val="auto"/>
        </w:rPr>
        <w:t>”) dated as of the date hereof, made by certain Restricted Subsidiaries of the Company in favor of the Administrative Agent for the benefit of the Secured</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9" w:name="page80"/>
    <w:bookmarkEnd w:id="79"/>
    <w:p>
      <w:pPr>
        <w:jc w:val="both"/>
        <w:spacing w:after="0" w:line="249" w:lineRule="auto"/>
        <w:rPr>
          <w:sz w:val="20"/>
          <w:szCs w:val="20"/>
          <w:color w:val="auto"/>
        </w:rPr>
      </w:pPr>
      <w:r>
        <w:rPr>
          <w:rFonts w:ascii="Times New Roman" w:cs="Times New Roman" w:eastAsia="Times New Roman" w:hAnsi="Times New Roman"/>
          <w:sz w:val="20"/>
          <w:szCs w:val="20"/>
          <w:color w:val="auto"/>
        </w:rPr>
        <w:t>Parties specified therein and (b) any other subsidiary guaranty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Subsidiary Guaranty Joinder Agreements.</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Guaranty Joinder Agreement</w:t>
      </w:r>
      <w:r>
        <w:rPr>
          <w:rFonts w:ascii="Times New Roman" w:cs="Times New Roman" w:eastAsia="Times New Roman" w:hAnsi="Times New Roman"/>
          <w:sz w:val="20"/>
          <w:szCs w:val="20"/>
          <w:color w:val="auto"/>
        </w:rPr>
        <w:t>” means each Subsidiary Guaranty Joinder Agreement, substantially in the form thereof attached to a Subsidiary Guaranty, executed and delivered by a Restricted Subsidiary to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 Notwithstanding the foregoing, no Permitted Bond Hedge Transaction or Permitted Warrant Transaction shall be considered a Swap Contract.</w:t>
      </w:r>
    </w:p>
    <w:p>
      <w:pPr>
        <w:spacing w:after="0" w:line="19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Subsidiary Guarantor, any obligation to pay or perform under any agreement, contract or transaction that constitutes a “swap” within the meaning of Section 1a(47) of the Commodity Exchange Act. Notwithstanding the foregoing, no Permitted Bond Hedge Transaction or Permitted Warrant Transaction shall be considered a Swap Obligation.</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Borrowing</w:t>
      </w:r>
      <w:r>
        <w:rPr>
          <w:rFonts w:ascii="Times New Roman" w:cs="Times New Roman" w:eastAsia="Times New Roman" w:hAnsi="Times New Roman"/>
          <w:sz w:val="20"/>
          <w:szCs w:val="20"/>
          <w:color w:val="auto"/>
        </w:rPr>
        <w:t xml:space="preserve">”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Bank of America (through itself or through one of its designated Affiliates or branch offices) in its capacity as provider of Swing Line Loans, or any successor swing line lender hereunder.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Swing 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color w:val="auto"/>
        </w:rPr>
        <w:t>shall be approved by the Administrative Agent), appropriately completed and signed by a Responsible Officer of the Company.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at any time, an amount equal to the lesser of (a) $10,000,000 and (b) the Aggregate Revolving Credit Commitments. The Swing Line Sublimit is part of, and not in addition to, the Aggregate Revolving Credit Commitments.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T2 is open for the settlement of payments in Euro.</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means the Incremental Term A-1 Loan Borrowing or, if applicable, any borrowing of any other Incremental Term Loans, as the context may require.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Adjustment</w:t>
      </w:r>
      <w:r>
        <w:rPr>
          <w:rFonts w:ascii="Times New Roman" w:cs="Times New Roman" w:eastAsia="Times New Roman" w:hAnsi="Times New Roman"/>
          <w:sz w:val="20"/>
          <w:szCs w:val="20"/>
          <w:color w:val="auto"/>
        </w:rPr>
        <w:t>” means (i) 0.29547% (29.547 basis points) for an Interest Period of one-month’s duration and 0.32138% (32.138 basis points) for an Interest Period of three-months’ duration.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Rate</w:t>
      </w:r>
      <w:r>
        <w:rPr>
          <w:rFonts w:ascii="Times New Roman" w:cs="Times New Roman" w:eastAsia="Times New Roman" w:hAnsi="Times New Roman"/>
          <w:sz w:val="20"/>
          <w:szCs w:val="20"/>
          <w:color w:val="auto"/>
        </w:rPr>
        <w:t>” has the meaning specified in the definition of “Alternative Currency Term Rate.”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Commitments</w:t>
      </w:r>
      <w:r>
        <w:rPr>
          <w:rFonts w:ascii="Times New Roman" w:cs="Times New Roman" w:eastAsia="Times New Roman" w:hAnsi="Times New Roman"/>
          <w:sz w:val="20"/>
          <w:szCs w:val="20"/>
          <w:color w:val="auto"/>
        </w:rPr>
        <w:t>” means, collectively, the Incremental Term A-1 Loan Commitments and, if applicable, any Incremental Term Loan Commitments.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Facility</w:t>
      </w:r>
      <w:r>
        <w:rPr>
          <w:rFonts w:ascii="Times New Roman" w:cs="Times New Roman" w:eastAsia="Times New Roman" w:hAnsi="Times New Roman"/>
          <w:sz w:val="20"/>
          <w:szCs w:val="20"/>
          <w:color w:val="auto"/>
        </w:rPr>
        <w:t>” means the Incremental Term A-1 Loan Facility or, if applicable, any tranche of any other Incremental Term Loans, as the context may require.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Lender</w:t>
      </w:r>
      <w:r>
        <w:rPr>
          <w:rFonts w:ascii="Times New Roman" w:cs="Times New Roman" w:eastAsia="Times New Roman" w:hAnsi="Times New Roman"/>
          <w:sz w:val="20"/>
          <w:szCs w:val="20"/>
          <w:color w:val="auto"/>
        </w:rPr>
        <w:t>” means any Lender with a Term Loan Commitment and/or outstanding Term Loans.</w:t>
      </w:r>
    </w:p>
    <w:p>
      <w:pPr>
        <w:spacing w:after="0" w:line="216" w:lineRule="exact"/>
        <w:rPr>
          <w:sz w:val="20"/>
          <w:szCs w:val="20"/>
          <w:color w:val="auto"/>
        </w:rPr>
      </w:pPr>
    </w:p>
    <w:p>
      <w:pPr>
        <w:jc w:val="both"/>
        <w:ind w:right="20" w:firstLine="749"/>
        <w:spacing w:after="0" w:line="26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Note</w:t>
      </w:r>
      <w:r>
        <w:rPr>
          <w:rFonts w:ascii="Times New Roman" w:cs="Times New Roman" w:eastAsia="Times New Roman" w:hAnsi="Times New Roman"/>
          <w:sz w:val="20"/>
          <w:szCs w:val="20"/>
          <w:color w:val="auto"/>
        </w:rPr>
        <w:t xml:space="preserve">” means a promissory note made by a Borrower in favor of a Term Loan Lender evidencing Term Loans made by such Term Loan Lender, substantially in the form of </w:t>
      </w:r>
      <w:r>
        <w:rPr>
          <w:rFonts w:ascii="Times New Roman" w:cs="Times New Roman" w:eastAsia="Times New Roman" w:hAnsi="Times New Roman"/>
          <w:sz w:val="20"/>
          <w:szCs w:val="20"/>
          <w:u w:val="single" w:color="auto"/>
          <w:color w:val="auto"/>
        </w:rPr>
        <w:t>Exhibit C</w:t>
      </w:r>
      <w:r>
        <w:rPr>
          <w:rFonts w:ascii="MS PGothic" w:cs="MS PGothic" w:eastAsia="MS PGothic" w:hAnsi="MS PGothic"/>
          <w:sz w:val="20"/>
          <w:szCs w:val="20"/>
          <w:u w:val="single" w:color="auto"/>
          <w:color w:val="auto"/>
        </w:rPr>
        <w:t>‑</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collectively, the Incremental Term A-1 Loans and, if applicable, the Incremental Term Loans.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xml:space="preserve">” means,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and </w:t>
      </w:r>
      <w:r>
        <w:rPr>
          <w:rFonts w:ascii="Times New Roman" w:cs="Times New Roman" w:eastAsia="Times New Roman" w:hAnsi="Times New Roman"/>
          <w:sz w:val="20"/>
          <w:szCs w:val="20"/>
          <w:u w:val="single" w:color="auto"/>
          <w:color w:val="auto"/>
        </w:rPr>
        <w:t>provided</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1" w:name="page82"/>
    <w:bookmarkEnd w:id="81"/>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Term SOFR determined in accordance with the foregoing provisions of this definition would otherwise be less than zero, Term SOFR shall be deemed zero for purposes of this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the definition of Term SOFR.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date as of which all of the following shall have occurred: (a) the Aggregate Commitments have terminated, (b) all Obligations have been paid in full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(c) all Letters of Credit and Secured Permitted Standalone Letters of Credit have terminated or expired (other than Letters of Credit or Secured Permitted Standalone Letters of Credit as to which other arrangements with respect thereto reasonably satisfactory to the Administrative Agent and the L/C Issuers or the applicable PSLOC Bank, as applicable, shall have been made).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$10,000,000.</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(a) in respect of the Revolving Credit Facility, the unused Revolving Credit Commitments and Revolving Credit Exposure of such Lender at such time, and (b) in respect of the Incremental Term A-1 Loan Facility, the unused Incremental Term A-1 Loan Commitments (if any) and the Outstanding Amount of the Incremental Term A-1 Loans of such Lender at such time.</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Outstandings</w:t>
      </w:r>
      <w:r>
        <w:rPr>
          <w:rFonts w:ascii="Times New Roman" w:cs="Times New Roman" w:eastAsia="Times New Roman" w:hAnsi="Times New Roman"/>
          <w:sz w:val="20"/>
          <w:szCs w:val="20"/>
          <w:color w:val="auto"/>
        </w:rPr>
        <w:t>” means the aggregate Outstanding Amount of all Revolving Credit Loans, Swing Line Loans and L/C Obligations.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Agreement</w:t>
      </w:r>
      <w:r>
        <w:rPr>
          <w:rFonts w:ascii="Times New Roman" w:cs="Times New Roman" w:eastAsia="Times New Roman" w:hAnsi="Times New Roman"/>
          <w:sz w:val="20"/>
          <w:szCs w:val="20"/>
          <w:color w:val="auto"/>
        </w:rPr>
        <w:t>” means any treasury management services, autoborrow, sweep or similar agreement entered into between the Company and the Swing Line Lender from time to time.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Loan, its character as a Base Rate Loan, a Daily Simple SOFR Loan, a Term SOFR Loan, an Alternative Currency Daily Rate Loan or an Alternative Currency Term Rate Loan.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means the Uniform Commercial Code as in effect in the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means the Uniform Customs and Practice for Documentary Credits, International Chamber of Commerce Publication No.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600 (or such later version thereof as may be in effect at the applicable time).</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subject to IFPRU 11.6 of the FCA Handbook (as amended from time to time)</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2" w:name="page83"/>
    <w:bookmarkEnd w:id="82"/>
    <w:p>
      <w:pPr>
        <w:jc w:val="both"/>
        <w:spacing w:after="0" w:line="269" w:lineRule="auto"/>
        <w:rPr>
          <w:sz w:val="20"/>
          <w:szCs w:val="20"/>
          <w:color w:val="auto"/>
        </w:rPr>
      </w:pPr>
      <w:r>
        <w:rPr>
          <w:rFonts w:ascii="Times New Roman" w:cs="Times New Roman" w:eastAsia="Times New Roman" w:hAnsi="Times New Roman"/>
          <w:sz w:val="20"/>
          <w:szCs w:val="20"/>
          <w:color w:val="auto"/>
        </w:rPr>
        <w:t>promulgated by the United Kingdom Financial Conduct Authority, which includes certain credit institutions and investment firms, and certain affiliates of such credit institutions or investment firms.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any Subsidiary that has been designated as an “Unrestricted Subsidiary”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and has not been re-designated as a Restricted Subsidiary in accordance with such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As of the Closing Date, each of PPS, Effox-Flextor-Mader Inc., Flextor, Inc. and General Rubber LLC are Unrestricted Subsidiaries.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Borrowers</w:t>
      </w:r>
      <w:r>
        <w:rPr>
          <w:rFonts w:ascii="Times New Roman" w:cs="Times New Roman" w:eastAsia="Times New Roman" w:hAnsi="Times New Roman"/>
          <w:sz w:val="20"/>
          <w:szCs w:val="20"/>
          <w:color w:val="auto"/>
        </w:rPr>
        <w:t>” means, collectively, the Company and each Designated Borrower that is a Domestic Subsidiary (other than a Domestic Subsidiary of the type described in clause (b) or (c) of the definition of Foreign Subsidiary).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Loan Party</w:t>
      </w:r>
      <w:r>
        <w:rPr>
          <w:rFonts w:ascii="Times New Roman" w:cs="Times New Roman" w:eastAsia="Times New Roman" w:hAnsi="Times New Roman"/>
          <w:sz w:val="20"/>
          <w:szCs w:val="20"/>
          <w:color w:val="auto"/>
        </w:rPr>
        <w:t>” means, collectively, each U.S. Borrower and each other Loan Party that is a Domestic Subsidiary (other than a Domestic Subsidiary of the type described in clause (b) or (c) of the definition of Foreign Subsidiary).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Pledge Agreement</w:t>
      </w:r>
      <w:r>
        <w:rPr>
          <w:rFonts w:ascii="Times New Roman" w:cs="Times New Roman" w:eastAsia="Times New Roman" w:hAnsi="Times New Roman"/>
          <w:sz w:val="20"/>
          <w:szCs w:val="20"/>
          <w:color w:val="auto"/>
        </w:rPr>
        <w:t>” has the meaning specified in the definition of Pledge Agreements.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Agreement</w:t>
      </w:r>
      <w:r>
        <w:rPr>
          <w:rFonts w:ascii="Times New Roman" w:cs="Times New Roman" w:eastAsia="Times New Roman" w:hAnsi="Times New Roman"/>
          <w:sz w:val="20"/>
          <w:szCs w:val="20"/>
          <w:color w:val="auto"/>
        </w:rPr>
        <w:t>” has the meaning specified in the definition of Security Agreements.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Subsidiary Guaranty</w:t>
      </w:r>
      <w:r>
        <w:rPr>
          <w:rFonts w:ascii="Times New Roman" w:cs="Times New Roman" w:eastAsia="Times New Roman" w:hAnsi="Times New Roman"/>
          <w:sz w:val="20"/>
          <w:szCs w:val="20"/>
          <w:color w:val="auto"/>
        </w:rPr>
        <w:t>” has the meaning specified in the definition of Subsidiary Guaranties.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3.01(e)(ii)(B)(III)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 (a) the sum of the products obtained by multiplying (i) the amount of each then remaining scheduled installment, sinking fund, serial maturity or other required scheduled payments of principal, including payment at final scheduled maturity, in respect thereof, by (ii) the number of years (calculated to the nearest one-twelfth) that will elapse between such date and the making of such payment; by (b) the then outstanding principal amount of such Indebtedness, in each case of clauses (a) and (b), without giving effect to the application of any prior prepayment to such scheduled installment, sinking fund, serial maturity or other required scheduled payment of principal.</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3" w:name="page84"/>
    <w:bookmarkEnd w:id="83"/>
    <w:p>
      <w:pPr>
        <w:jc w:val="both"/>
        <w:spacing w:after="0" w:line="245" w:lineRule="auto"/>
        <w:rPr>
          <w:sz w:val="20"/>
          <w:szCs w:val="20"/>
          <w:color w:val="auto"/>
        </w:rPr>
      </w:pPr>
      <w:r>
        <w:rPr>
          <w:rFonts w:ascii="Times New Roman" w:cs="Times New Roman" w:eastAsia="Times New Roman" w:hAnsi="Times New Roman"/>
          <w:sz w:val="20"/>
          <w:szCs w:val="20"/>
          <w:color w:val="auto"/>
        </w:rPr>
        <w:t>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1.02 Other Interpretive Provisions. </w:t>
      </w:r>
      <w:r>
        <w:rPr>
          <w:rFonts w:ascii="Times New Roman" w:cs="Times New Roman" w:eastAsia="Times New Roman" w:hAnsi="Times New Roman"/>
          <w:sz w:val="20"/>
          <w:szCs w:val="20"/>
          <w:color w:val="auto"/>
        </w:rPr>
        <w:t>With reference to this Agreement and each other Loan Document, unless otherwise 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or in such other Loan Document:</w:t>
      </w:r>
    </w:p>
    <w:p>
      <w:pPr>
        <w:spacing w:after="0" w:line="156" w:lineRule="exact"/>
        <w:rPr>
          <w:sz w:val="20"/>
          <w:szCs w:val="20"/>
          <w:color w:val="auto"/>
        </w:rPr>
      </w:pPr>
    </w:p>
    <w:p>
      <w:pPr>
        <w:jc w:val="both"/>
        <w:ind w:left="380" w:firstLine="751"/>
        <w:spacing w:after="0" w:line="255" w:lineRule="auto"/>
        <w:tabs>
          <w:tab w:leader="none" w:pos="1525"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9"/>
          <w:szCs w:val="19"/>
          <w:u w:val="single" w:color="auto"/>
          <w:color w:val="auto"/>
        </w:rPr>
        <w:t>include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includes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including</w:t>
      </w:r>
      <w:r>
        <w:rPr>
          <w:rFonts w:ascii="Times New Roman" w:cs="Times New Roman" w:eastAsia="Times New Roman" w:hAnsi="Times New Roman"/>
          <w:sz w:val="19"/>
          <w:szCs w:val="19"/>
          <w:color w:val="auto"/>
        </w:rPr>
        <w:t>” shall be deemed to be followed by the phrase “without limitation.” The word “</w:t>
      </w:r>
      <w:r>
        <w:rPr>
          <w:rFonts w:ascii="Times New Roman" w:cs="Times New Roman" w:eastAsia="Times New Roman" w:hAnsi="Times New Roman"/>
          <w:sz w:val="19"/>
          <w:szCs w:val="19"/>
          <w:u w:val="single" w:color="auto"/>
          <w:color w:val="auto"/>
        </w:rPr>
        <w:t>will</w:t>
      </w:r>
      <w:r>
        <w:rPr>
          <w:rFonts w:ascii="Times New Roman" w:cs="Times New Roman" w:eastAsia="Times New Roman" w:hAnsi="Times New Roman"/>
          <w:sz w:val="19"/>
          <w:szCs w:val="19"/>
          <w:color w:val="auto"/>
        </w:rPr>
        <w:t>” shall be construed to have the same meaning and effect as the word “</w:t>
      </w:r>
      <w:r>
        <w:rPr>
          <w:rFonts w:ascii="Times New Roman" w:cs="Times New Roman" w:eastAsia="Times New Roman" w:hAnsi="Times New Roman"/>
          <w:sz w:val="19"/>
          <w:szCs w:val="19"/>
          <w:u w:val="single" w:color="auto"/>
          <w:color w:val="auto"/>
        </w:rPr>
        <w:t>shall</w:t>
      </w:r>
      <w:r>
        <w:rPr>
          <w:rFonts w:ascii="Times New Roman" w:cs="Times New Roman" w:eastAsia="Times New Roman" w:hAnsi="Times New Roman"/>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9"/>
          <w:szCs w:val="19"/>
          <w:u w:val="single" w:color="auto"/>
          <w:color w:val="auto"/>
        </w:rPr>
        <w:t>hereto</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herein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hereof</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hereunder</w:t>
      </w:r>
      <w:r>
        <w:rPr>
          <w:rFonts w:ascii="Times New Roman" w:cs="Times New Roman" w:eastAsia="Times New Roman" w:hAnsi="Times New Roman"/>
          <w:sz w:val="19"/>
          <w:szCs w:val="19"/>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 w:cs="Times New Roman" w:eastAsia="Times New Roman" w:hAnsi="Times New Roman"/>
          <w:sz w:val="19"/>
          <w:szCs w:val="19"/>
          <w:u w:val="single" w:color="auto"/>
          <w:color w:val="auto"/>
        </w:rPr>
        <w:t>asset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property</w:t>
      </w:r>
      <w:r>
        <w:rPr>
          <w:rFonts w:ascii="Times New Roman" w:cs="Times New Roman" w:eastAsia="Times New Roman" w:hAnsi="Times New Roman"/>
          <w:sz w:val="19"/>
          <w:szCs w:val="19"/>
          <w:color w:val="auto"/>
        </w:rPr>
        <w:t>” shall be construed to have the same meaning and effect and to refer to any and all tangible and intangible assets and properties, including cash, securities, accounts and contract rights.</w:t>
      </w:r>
    </w:p>
    <w:p>
      <w:pPr>
        <w:spacing w:after="0" w:line="176" w:lineRule="exact"/>
        <w:rPr>
          <w:rFonts w:ascii="Times New Roman" w:cs="Times New Roman" w:eastAsia="Times New Roman" w:hAnsi="Times New Roman"/>
          <w:sz w:val="19"/>
          <w:szCs w:val="19"/>
          <w:color w:val="auto"/>
        </w:rPr>
      </w:pPr>
    </w:p>
    <w:p>
      <w:pPr>
        <w:ind w:left="380" w:firstLine="751"/>
        <w:spacing w:after="0" w:line="269" w:lineRule="auto"/>
        <w:tabs>
          <w:tab w:leader="none" w:pos="152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1.03 Accounting Terms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4" w:name="page85"/>
    <w:bookmarkEnd w:id="84"/>
    <w:p>
      <w:pPr>
        <w:jc w:val="both"/>
        <w:ind w:left="380" w:firstLine="751"/>
        <w:spacing w:after="0" w:line="242" w:lineRule="auto"/>
        <w:tabs>
          <w:tab w:leader="none" w:pos="152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as otherwise specifically prescribed herein. Notwithstanding the foregoing, for purposes of determining compliance with any covenant (including the computation of any financial covenant) contained herein, Indebtedness of the Company and its Restricted Subsidiaries shall be deemed to be carried at 100% of the outstanding principal amount thereof, and the effects of FASB ASC 825 and FASB ASC 470-20 on financial liabilities shall be disregarded. For the avoidance of doubt, and without limitation of the foregoing, Permitted Convertible Indebtedness shall at all times prior to the repurchase, conversion (or exchange, as the case may be) or payment thereof be valued at the full stated principal amount thereof and shall not include any reduction or appreciation in value of the shares and/or cash deliverable upon conversion thereof (or exchange therefor, as the case may be).</w:t>
      </w:r>
    </w:p>
    <w:p>
      <w:pPr>
        <w:spacing w:after="0" w:line="189" w:lineRule="exact"/>
        <w:rPr>
          <w:rFonts w:ascii="Times New Roman" w:cs="Times New Roman" w:eastAsia="Times New Roman" w:hAnsi="Times New Roman"/>
          <w:sz w:val="20"/>
          <w:szCs w:val="20"/>
          <w:color w:val="auto"/>
        </w:rPr>
      </w:pPr>
    </w:p>
    <w:p>
      <w:pPr>
        <w:jc w:val="both"/>
        <w:ind w:left="380" w:firstLine="751"/>
        <w:spacing w:after="0" w:line="243" w:lineRule="auto"/>
        <w:tabs>
          <w:tab w:leader="none" w:pos="156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Consolidation of Variable Interest Entities</w:t>
      </w:r>
      <w:r>
        <w:rPr>
          <w:rFonts w:ascii="Times New Roman" w:cs="Times New Roman" w:eastAsia="Times New Roman" w:hAnsi="Times New Roman"/>
          <w:sz w:val="20"/>
          <w:szCs w:val="20"/>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1.04 Rounding. </w:t>
      </w:r>
      <w:r>
        <w:rPr>
          <w:rFonts w:ascii="Times New Roman" w:cs="Times New Roman" w:eastAsia="Times New Roman" w:hAnsi="Times New Roman"/>
          <w:sz w:val="20"/>
          <w:szCs w:val="20"/>
          <w:color w:val="auto"/>
        </w:rPr>
        <w:t>Any financial ratios required to be maintained by the Company pursuant to this Agreement shall be calculated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1.05 Times of Day. </w:t>
      </w:r>
      <w:r>
        <w:rPr>
          <w:rFonts w:ascii="Times New Roman" w:cs="Times New Roman" w:eastAsia="Times New Roman" w:hAnsi="Times New Roman"/>
          <w:sz w:val="20"/>
          <w:szCs w:val="20"/>
          <w:color w:val="auto"/>
        </w:rPr>
        <w:t>Unless otherwise specified, all references herein to times of day shall be references to Eastern time (daylight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standard, as applicable).</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1.06 Letter of Credit Amounts. </w:t>
      </w:r>
      <w:r>
        <w:rPr>
          <w:rFonts w:ascii="Times New Roman" w:cs="Times New Roman" w:eastAsia="Times New Roman" w:hAnsi="Times New Roman"/>
          <w:sz w:val="20"/>
          <w:szCs w:val="20"/>
          <w:color w:val="auto"/>
        </w:rPr>
        <w:t>Unless otherwise specified herein, the amount of a Letter of Credit at any time shall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1.07 Adjustments for Specified Transactions. </w:t>
      </w:r>
      <w:r>
        <w:rPr>
          <w:rFonts w:ascii="Times New Roman" w:cs="Times New Roman" w:eastAsia="Times New Roman" w:hAnsi="Times New Roman"/>
          <w:sz w:val="20"/>
          <w:szCs w:val="20"/>
          <w:color w:val="auto"/>
        </w:rPr>
        <w:t>For each four-quarter period ending next following the date of any 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for purposes of determining the Consolidated Net Leverage Ratio and the Consolidated Secured Net Leverage Ratio, Consolidated EBITDA shall be computed as if</w:t>
      </w:r>
    </w:p>
    <w:p>
      <w:pPr>
        <w:spacing w:after="0" w:line="200" w:lineRule="exact"/>
        <w:rPr>
          <w:sz w:val="20"/>
          <w:szCs w:val="20"/>
          <w:color w:val="auto"/>
        </w:rPr>
      </w:pPr>
    </w:p>
    <w:p>
      <w:pPr>
        <w:spacing w:after="0" w:line="3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5" w:name="page86"/>
    <w:bookmarkEnd w:id="85"/>
    <w:p>
      <w:pPr>
        <w:spacing w:after="0" w:line="269" w:lineRule="auto"/>
        <w:rPr>
          <w:sz w:val="20"/>
          <w:szCs w:val="20"/>
          <w:color w:val="auto"/>
        </w:rPr>
      </w:pPr>
      <w:r>
        <w:rPr>
          <w:rFonts w:ascii="Times New Roman" w:cs="Times New Roman" w:eastAsia="Times New Roman" w:hAnsi="Times New Roman"/>
          <w:sz w:val="20"/>
          <w:szCs w:val="20"/>
          <w:color w:val="auto"/>
        </w:rPr>
        <w:t>such Specified Transaction (and all other Specified Transactions that have been consummated during the applicable period) occurred as of the first day of the applicable period of measurement and:</w:t>
      </w:r>
    </w:p>
    <w:p>
      <w:pPr>
        <w:spacing w:after="0" w:line="159" w:lineRule="exact"/>
        <w:rPr>
          <w:sz w:val="20"/>
          <w:szCs w:val="20"/>
          <w:color w:val="auto"/>
        </w:rPr>
      </w:pPr>
    </w:p>
    <w:p>
      <w:pPr>
        <w:jc w:val="both"/>
        <w:ind w:left="380" w:firstLine="751"/>
        <w:spacing w:after="0" w:line="246" w:lineRule="auto"/>
        <w:tabs>
          <w:tab w:leader="none" w:pos="152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income statement items (whether positive or negative) attributable to the property or person disposed of in a Specified Disposition shall be excluded and all income statement items (whether positive or negative) attributable to the property or person acquired in a Permitted Acquisition shall be included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 and</w:t>
      </w:r>
    </w:p>
    <w:p>
      <w:pPr>
        <w:spacing w:after="0" w:line="184"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costs, extraordinary expenses and other pro forma adjustments attributable to such transaction may be included to the extent that such costs, expenses or adjustments:</w:t>
      </w:r>
    </w:p>
    <w:p>
      <w:pPr>
        <w:spacing w:after="0" w:line="159" w:lineRule="exact"/>
        <w:rPr>
          <w:rFonts w:ascii="Times New Roman" w:cs="Times New Roman" w:eastAsia="Times New Roman" w:hAnsi="Times New Roman"/>
          <w:sz w:val="20"/>
          <w:szCs w:val="20"/>
          <w:color w:val="auto"/>
        </w:rPr>
      </w:pPr>
    </w:p>
    <w:p>
      <w:pPr>
        <w:ind w:left="1140" w:firstLine="740"/>
        <w:spacing w:after="0" w:line="269" w:lineRule="auto"/>
        <w:tabs>
          <w:tab w:leader="none" w:pos="228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reasonably expected to be realized within eighteen (18) months of such Specified Transaction as set forth in reasonable detail on a certificate of a Responsible Officer of the Company delivered to the Administrative Agent; and</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calculated on a basis consistent with GAAP and Regulation S-X of the Securities Exchange Act of 1934;</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costs, expenses and adjustments shall be without duplication of any costs, expenses or adjustments that are already included in the calculation of Consolidated EBITDA or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For the avoidance of doubt, other pro forma adjustments shall not include any revenue synergies expected to be realized for any Specified Transaction.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1.08 Exchange Rates; Currency Equivalents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5" w:lineRule="auto"/>
        <w:tabs>
          <w:tab w:leader="none" w:pos="152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applicable L/C Issuer,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Revolving Credit Borrowing, conversion, continuation or prepayment of an Alternative Currency Loan or the issuance, amendment or extension of a Letter of Credit, an amount, such as a required minimum or multiple amount, is expressed in Dollars, but such Revolving Credit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1.09 Additional Alternative Currencies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6" w:lineRule="auto"/>
        <w:tabs>
          <w:tab w:leader="none" w:pos="15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time-to-time request that Alternative Currency Loans be made and/or Letters of Credit be issued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an Eligible Currency. In the case of any such request with respect to the making of Alternative Currency Loans, such request shall be subject to the approval of the Administrative Agent and the Revolving Credit Lenders; and in the case of any such request with respect to the issuance of Letters of Credit, such request shall be subject to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approval of the Administrative Agent and at least one of the L/C Issuers (it being acknowledged and agreed that no L/C Issuer shall be obligated to issue any Letter of Credit denominated in a currency requested by the Company pursuant to this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 xml:space="preserve"> if such currency has not been approved by such L/C Issuer).</w:t>
      </w:r>
    </w:p>
    <w:p>
      <w:pPr>
        <w:spacing w:after="0" w:line="174" w:lineRule="exact"/>
        <w:rPr>
          <w:sz w:val="20"/>
          <w:szCs w:val="20"/>
          <w:color w:val="auto"/>
        </w:rPr>
      </w:pPr>
    </w:p>
    <w:p>
      <w:pPr>
        <w:jc w:val="both"/>
        <w:ind w:firstLine="751"/>
        <w:spacing w:after="0" w:line="243" w:lineRule="auto"/>
        <w:tabs>
          <w:tab w:leader="none" w:pos="114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L/C Issuers, in its or their sole discretion). In the case of any such request pertaining to Alternative Currency Loans, the Administrative Agent shall promptly notify each Revolving Credit Lender thereof; and in the case of any such request pertaining to Letters of Credit, the Administrative Agent shall promptly notify the L/C Issuers thereof. Each Revolving Credit Lender (in the case of any such request pertaining to Alternative Currency Loans) or each L/C Issuer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185" w:lineRule="exact"/>
        <w:rPr>
          <w:rFonts w:ascii="Times New Roman" w:cs="Times New Roman" w:eastAsia="Times New Roman" w:hAnsi="Times New Roman"/>
          <w:sz w:val="20"/>
          <w:szCs w:val="20"/>
          <w:color w:val="auto"/>
        </w:rPr>
      </w:pPr>
    </w:p>
    <w:p>
      <w:pPr>
        <w:jc w:val="both"/>
        <w:ind w:firstLine="751"/>
        <w:spacing w:after="0" w:line="241" w:lineRule="auto"/>
        <w:tabs>
          <w:tab w:leader="none" w:pos="114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Revolving Credit Lender or an L/C Issuer, as the case may be, to respond to such request within the time period specified in the last sentence of </w:t>
      </w:r>
      <w:r>
        <w:rPr>
          <w:rFonts w:ascii="Times New Roman" w:cs="Times New Roman" w:eastAsia="Times New Roman" w:hAnsi="Times New Roman"/>
          <w:sz w:val="20"/>
          <w:szCs w:val="20"/>
          <w:u w:val="single" w:color="auto"/>
          <w:color w:val="auto"/>
        </w:rPr>
        <w:t>Section 1.09(b)</w:t>
      </w:r>
      <w:r>
        <w:rPr>
          <w:rFonts w:ascii="Times New Roman" w:cs="Times New Roman" w:eastAsia="Times New Roman" w:hAnsi="Times New Roman"/>
          <w:sz w:val="20"/>
          <w:szCs w:val="20"/>
          <w:color w:val="auto"/>
        </w:rPr>
        <w:t xml:space="preserve"> shall be deemed to be a refusal by such Revolving Credit Lender or such L/C Issuer, as the case may be, to permit Alternative Currency Loans to be made or Letters of Credit to be issued in such requested currency. If the Administrative Agent and all the Revolving Credit Lenders consent to making Alternative Currency Loans in such requested currency and the Administrative Agent and such Revolving Credit Lenders reasonably determine that an appropriate interest rate is available to be used for such requested currency, the Administrative Agent shall so notify the Company and (i) the Administrative Agent and such Revolving Credit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hereunder for purposes of any Revolving Credit Borrowings of Alternative Currency Loans. If the Administrative Agent and at least one of the L/C Issuers consent to the issuance of Letters of Credit in such requested currency, the Administrative Agent shall so notify the Company and (iii) pursuant to the terms hereof, the Administrative Agent and the L/C Issuers may amend the definition of Alternative Currency Daily Rate or Alternative Currency Term Rate, as applicable, to the extent necessary to add the applicable rate for such currency and any applicable adjustment for such rate and (iv)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by the consenting L/C Issuers.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the Administrative Agent shall promptly so notify the Company.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1.10 Change of Currency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1"/>
        <w:spacing w:after="0" w:line="249" w:lineRule="auto"/>
        <w:tabs>
          <w:tab w:leader="none" w:pos="114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87" w:name="page88"/>
    <w:bookmarkEnd w:id="87"/>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 xml:space="preserve">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Revolving Credit Borrowing in the currency of such member state is outstanding immediately prior to such date, such replacement shall take effect, with respect to such Revolving Credit Borrowing, at the end of the then current Interest Period.</w:t>
      </w:r>
    </w:p>
    <w:p>
      <w:pPr>
        <w:spacing w:after="0" w:line="180" w:lineRule="exact"/>
        <w:rPr>
          <w:sz w:val="20"/>
          <w:szCs w:val="20"/>
          <w:color w:val="auto"/>
        </w:rPr>
      </w:pPr>
    </w:p>
    <w:p>
      <w:pPr>
        <w:jc w:val="both"/>
        <w:ind w:left="380" w:firstLine="751"/>
        <w:spacing w:after="0" w:line="254" w:lineRule="auto"/>
        <w:tabs>
          <w:tab w:leader="none" w:pos="152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reasonably specify to be appropriate to reflect the adoption of the Euro by any member state of the European Union and any relevant market conventions or practices relating to the Euro.</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 Interest Rates; Licensing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55" w:lineRule="auto"/>
        <w:tabs>
          <w:tab w:leader="none" w:pos="1525"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does not warrant, nor accept responsibility for,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or any component of any of the foregoing),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79" w:lineRule="exact"/>
        <w:rPr>
          <w:rFonts w:ascii="Times New Roman" w:cs="Times New Roman" w:eastAsia="Times New Roman" w:hAnsi="Times New Roman"/>
          <w:sz w:val="19"/>
          <w:szCs w:val="19"/>
          <w:color w:val="auto"/>
        </w:rPr>
      </w:pPr>
    </w:p>
    <w:p>
      <w:pPr>
        <w:jc w:val="both"/>
        <w:ind w:left="380" w:firstLine="751"/>
        <w:spacing w:after="0" w:line="254" w:lineRule="auto"/>
        <w:tabs>
          <w:tab w:leader="none" w:pos="152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agreeing to make Loans under this Agreement, each Lender is confirming it has all licenses, permits and approvals necessary for use of the reference rates referred to herein and it will do all things necessary to comply, preserve, renew and keep in full force and such licenses, permits and approvals.</w:t>
      </w:r>
    </w:p>
    <w:p>
      <w:pPr>
        <w:spacing w:after="0" w:line="17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1.12 Limited Condition Transactions. </w:t>
      </w:r>
      <w:r>
        <w:rPr>
          <w:rFonts w:ascii="Times New Roman" w:cs="Times New Roman" w:eastAsia="Times New Roman" w:hAnsi="Times New Roman"/>
          <w:sz w:val="20"/>
          <w:szCs w:val="20"/>
          <w:color w:val="auto"/>
        </w:rPr>
        <w:t>In the event that the Company notifies the Administrative Agent in writing that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proposed Acquisition or Investment is a Limited Condition Transaction and that the Company wishes to test the conditions to such Acquisition or Investment and the Indebtedness (other than any Indebtedness arising under the revolving credit facility provided pursuant to the Aggregate Revolving Credit Commitments, including any increase thereto contemplated hereby) that is to be used to finance such Acquisition in accordance with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then, so long as agreed to by the Administrative Agent and the lenders providing such Indebtedness, the following provisions shall apply: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8" w:name="page89"/>
    <w:bookmarkEnd w:id="88"/>
    <w:p>
      <w:pPr>
        <w:jc w:val="both"/>
        <w:ind w:left="-2" w:firstLine="751"/>
        <w:spacing w:after="0" w:line="244" w:lineRule="auto"/>
        <w:tabs>
          <w:tab w:leader="none" w:pos="1142"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to such Limited Condition Transaction or such Indebtedness that requires that no Default or Event of Default shall have occurred and be continuing at the time of such Limited Condition Transaction or the incurrence of such Indebtedness, shall be satisfied if (i) no Default or Event of Default shall have occurred and be continuing at the time of the execution of the definitive agreements governing such Limited Condition Transaction (such date, the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and (ii) no Event of Default under any of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8.01(g)</w:t>
      </w:r>
      <w:r>
        <w:rPr>
          <w:rFonts w:ascii="Times New Roman" w:cs="Times New Roman" w:eastAsia="Times New Roman" w:hAnsi="Times New Roman"/>
          <w:sz w:val="20"/>
          <w:szCs w:val="20"/>
          <w:color w:val="auto"/>
        </w:rPr>
        <w:t xml:space="preserve"> shall have occurred and be continuing both immediately before and immediately after giving effect to such Limited Condition Transaction and any Indebtedness incurred in connection therewith (including any such additional Indebtedness);</w:t>
      </w:r>
    </w:p>
    <w:p>
      <w:pPr>
        <w:spacing w:after="0" w:line="185" w:lineRule="exact"/>
        <w:rPr>
          <w:rFonts w:ascii="Times New Roman" w:cs="Times New Roman" w:eastAsia="Times New Roman" w:hAnsi="Times New Roman"/>
          <w:sz w:val="20"/>
          <w:szCs w:val="20"/>
          <w:color w:val="auto"/>
        </w:rPr>
      </w:pPr>
    </w:p>
    <w:p>
      <w:pPr>
        <w:jc w:val="both"/>
        <w:ind w:left="-2" w:firstLine="751"/>
        <w:spacing w:after="0" w:line="255" w:lineRule="auto"/>
        <w:tabs>
          <w:tab w:leader="none" w:pos="1142"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condition to such Limited Condition Transaction or such Indebtedness that the representations and warranties in this Agreement and the other Loan Documents shall be true and correct at the time of consummation of such Limited Condition Transaction or the incurrence of such Indebtedness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LCT Test Date, or if such representation speaks as of an earlier date, as of such earlier date and (ii) as of the date of consummation of such Limited Condition Transaction, (A) the representations and warranties under the relevant definitive agreement governing such Limited Condition Transaction as are material to the lenders providing such Indebtedness shall be true and correct, but only to the extent that the Company or its applicable Subsidiary has the right to terminate its obligations under such agreement or otherwise decline to close such Limited Condition Transaction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Indebtedness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79" w:lineRule="exact"/>
        <w:rPr>
          <w:rFonts w:ascii="Times New Roman" w:cs="Times New Roman" w:eastAsia="Times New Roman" w:hAnsi="Times New Roman"/>
          <w:sz w:val="19"/>
          <w:szCs w:val="19"/>
          <w:color w:val="auto"/>
        </w:rPr>
      </w:pPr>
    </w:p>
    <w:p>
      <w:pPr>
        <w:jc w:val="both"/>
        <w:ind w:left="-2" w:firstLine="751"/>
        <w:spacing w:after="0" w:line="247" w:lineRule="auto"/>
        <w:tabs>
          <w:tab w:leader="none" w:pos="1142"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ratio test or condition to be tested in connection with such Limited Condition Transaction and the availability of such Indebtedness will be tested as of the LCT Test Date, in each case, after giving effect to the relevant Limited Condition Transaction and related incurrence of Indebtedness, on a Pro Forma Basis where applicable, and, for the avoidance of doubt,</w:t>
      </w:r>
    </w:p>
    <w:p>
      <w:pPr>
        <w:jc w:val="both"/>
        <w:ind w:left="-2" w:firstLine="2"/>
        <w:spacing w:after="0"/>
        <w:tabs>
          <w:tab w:leader="none" w:pos="23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ratios and baskets shall not be tested at the time of consummation of such Limited Condition Transaction and (ii) if any of such ratios are exceeded or conditions are not met following the LCT Test Date, but prior to the closing of such Limited Condition Transaction, as a result of fluctuations in such ratio or amount (including due to fluctuations in Consolidated EBITDA of the Company or the Person subject to such Limited Condition Transaction),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 and</w:t>
      </w:r>
    </w:p>
    <w:p>
      <w:pPr>
        <w:spacing w:after="0" w:line="191" w:lineRule="exact"/>
        <w:rPr>
          <w:rFonts w:ascii="Times New Roman" w:cs="Times New Roman" w:eastAsia="Times New Roman" w:hAnsi="Times New Roman"/>
          <w:sz w:val="20"/>
          <w:szCs w:val="20"/>
          <w:color w:val="auto"/>
        </w:rPr>
      </w:pPr>
    </w:p>
    <w:p>
      <w:pPr>
        <w:jc w:val="both"/>
        <w:ind w:left="-2" w:firstLine="751"/>
        <w:spacing w:after="0" w:line="244" w:lineRule="auto"/>
        <w:tabs>
          <w:tab w:leader="none" w:pos="1142"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the next sentence, in connection with any subsequent calculation of any ratio or basket on or following the relevant LCT Test Date and prior to the earlier of the date on which such Limited Condition Transaction is consummated and the date that the definitive agreement for such Limited Condition Transaction is terminated or expires without consummation of such Limited Condition Transaction, any such ratio or basket shall be calculated (i) on a Pro Forma Basis assuming such Limited Condition Transaction and other transactions in connection therewith (including the incurrence or assumption of Indebtedness) have been consummated and (ii) assuming such Limited Condition Transaction and other transactions in connection therewith (including the incurrence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481330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332" w:right="339" w:bottom="1440" w:gutter="0" w:footer="0" w:header="0"/>
        </w:sectPr>
      </w:pPr>
    </w:p>
    <w:bookmarkStart w:id="89" w:name="page90"/>
    <w:bookmarkEnd w:id="89"/>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assumption of Indebtedness) have not been consummated. Notwithstanding the foregoing, any calculation of a ratio in connection with determining the Applicable Rate and determining whether or not the Company is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shall, in each case be calculated assuming such Limited Condition Transaction and other transactions in connection therewith (including the incurrence or assumption of Indebtedness) have not been consummated.</w:t>
      </w:r>
    </w:p>
    <w:p>
      <w:pPr>
        <w:spacing w:after="0" w:line="180" w:lineRule="exact"/>
        <w:rPr>
          <w:sz w:val="20"/>
          <w:szCs w:val="20"/>
          <w:color w:val="auto"/>
        </w:rPr>
      </w:pPr>
    </w:p>
    <w:p>
      <w:pPr>
        <w:jc w:val="both"/>
        <w:ind w:right="20" w:firstLine="469"/>
        <w:spacing w:after="0" w:line="269" w:lineRule="auto"/>
        <w:rPr>
          <w:sz w:val="20"/>
          <w:szCs w:val="20"/>
          <w:color w:val="auto"/>
        </w:rPr>
      </w:pPr>
      <w:r>
        <w:rPr>
          <w:rFonts w:ascii="Times New Roman" w:cs="Times New Roman" w:eastAsia="Times New Roman" w:hAnsi="Times New Roman"/>
          <w:sz w:val="20"/>
          <w:szCs w:val="20"/>
          <w:color w:val="auto"/>
        </w:rPr>
        <w:t>The foregoing provisions shall apply with similar effect during the pendency of multiple Limited Condition Transactions such that each of the possible scenarios is separately tested.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1.13 Covenant Compliance Generally.</w:t>
      </w:r>
    </w:p>
    <w:p>
      <w:pPr>
        <w:spacing w:after="0" w:line="220" w:lineRule="exact"/>
        <w:rPr>
          <w:sz w:val="20"/>
          <w:szCs w:val="20"/>
          <w:color w:val="auto"/>
        </w:rPr>
      </w:pPr>
    </w:p>
    <w:p>
      <w:pPr>
        <w:jc w:val="both"/>
        <w:ind w:firstLine="751"/>
        <w:spacing w:after="0" w:line="243" w:lineRule="auto"/>
        <w:tabs>
          <w:tab w:leader="none" w:pos="114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specified in this Agreement (other than in </w:t>
      </w:r>
      <w:r>
        <w:rPr>
          <w:rFonts w:ascii="Times New Roman" w:cs="Times New Roman" w:eastAsia="Times New Roman" w:hAnsi="Times New Roman"/>
          <w:sz w:val="20"/>
          <w:szCs w:val="20"/>
          <w:u w:val="single" w:color="auto"/>
          <w:color w:val="auto"/>
        </w:rPr>
        <w:t>Articles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the “Spot Rate”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85" w:lineRule="exact"/>
        <w:rPr>
          <w:rFonts w:ascii="Times New Roman" w:cs="Times New Roman" w:eastAsia="Times New Roman" w:hAnsi="Times New Roman"/>
          <w:sz w:val="20"/>
          <w:szCs w:val="20"/>
          <w:color w:val="auto"/>
        </w:rPr>
      </w:pPr>
    </w:p>
    <w:p>
      <w:pPr>
        <w:jc w:val="both"/>
        <w:ind w:firstLine="751"/>
        <w:spacing w:after="0" w:line="244" w:lineRule="auto"/>
        <w:tabs>
          <w:tab w:leader="none" w:pos="114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the Consolidated Net Leverage Ratio and the Consolidated Secured Net Leverage Ratio) (any such amounts, the “</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cs="Times New Roman" w:eastAsia="Times New Roman" w:hAnsi="Times New Roman"/>
          <w:sz w:val="20"/>
          <w:szCs w:val="20"/>
          <w:u w:val="single" w:color="auto"/>
          <w:color w:val="auto"/>
        </w:rPr>
        <w:t>Incurrence Based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Amounts</w:t>
      </w:r>
      <w:r>
        <w:rPr>
          <w:rFonts w:ascii="Times New Roman" w:cs="Times New Roman" w:eastAsia="Times New Roman" w:hAnsi="Times New Roman"/>
          <w:sz w:val="20"/>
          <w:szCs w:val="20"/>
          <w:color w:val="auto"/>
        </w:rPr>
        <w:t>”), it is understood and agreed that the Fixed Amounts (and any cash proceeds thereof) shall be disregarded in the calculation of the financial ratio or test applicable to the Incurrence Based Amounts in connection with such substantially concurrent incurrence.</w:t>
      </w:r>
    </w:p>
    <w:p>
      <w:pPr>
        <w:spacing w:after="0" w:line="18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THE COMMITMENTS AND CREDIT EXTENSIONS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2.01 The Loans.</w:t>
      </w:r>
    </w:p>
    <w:p>
      <w:pPr>
        <w:spacing w:after="0" w:line="220" w:lineRule="exact"/>
        <w:rPr>
          <w:sz w:val="20"/>
          <w:szCs w:val="20"/>
          <w:color w:val="auto"/>
        </w:rPr>
      </w:pPr>
    </w:p>
    <w:p>
      <w:pPr>
        <w:jc w:val="both"/>
        <w:ind w:firstLine="751"/>
        <w:spacing w:after="0" w:line="242" w:lineRule="auto"/>
        <w:tabs>
          <w:tab w:leader="none" w:pos="118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Borrowings</w:t>
      </w:r>
      <w:r>
        <w:rPr>
          <w:rFonts w:ascii="Times New Roman" w:cs="Times New Roman" w:eastAsia="Times New Roman" w:hAnsi="Times New Roman"/>
          <w:sz w:val="20"/>
          <w:szCs w:val="20"/>
          <w:color w:val="auto"/>
        </w:rPr>
        <w:t>. Subject to the terms and conditions set forth herein, each Revolving Credit Lender severally agrees to make loans (each such loan, a “</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to the Borrowers, in Dollars or in one or more Alternative Currencies, from time to time, on any Business Day during the Availability Period, in an aggregate amount not to exceed at any time outstanding the amount of such Lender’s Revolving Credit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after giving effect to any Revolving Credit Borrowing, (i) the Total Revolving Credit Outstandings shall not exceed the Aggregate Revolving Credit Commitments, (ii) the Revolving Credit Exposure of any Lender shall not exceed such Lender’s Revolving Credit Commitment, (iii) the aggregate Outstanding Amount of all Revolving Credit Loans made to Designated Borrowers that are not U.S. Borrowers shall not exceed the Designated Non-U.S. Borrower Sublimit and (iv) the aggregate Outstanding Amount of all Revolving Credit Loans denominated in Alternative Currencies shall not exceed the Alternative Currency Sublimit. Within the limits of each Lender’s Revolving Credit Commitment, and subject 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other terms and conditions hereof, the Borrowers may borrow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Revolving Credit Loans may be Base Rate Loans, Daily Simple SOFR Loans, Term SOFR Loans, Alternative Currency Daily Rate Loans or Alternative Currency Term Rate Loans, as further provided herein.</w:t>
      </w:r>
    </w:p>
    <w:p>
      <w:pPr>
        <w:spacing w:after="0" w:line="174" w:lineRule="exact"/>
        <w:rPr>
          <w:sz w:val="20"/>
          <w:szCs w:val="20"/>
          <w:color w:val="auto"/>
        </w:rPr>
      </w:pPr>
    </w:p>
    <w:p>
      <w:pPr>
        <w:jc w:val="both"/>
        <w:ind w:firstLine="751"/>
        <w:spacing w:after="0" w:line="244" w:lineRule="auto"/>
        <w:tabs>
          <w:tab w:leader="none" w:pos="11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Incremental Term A-1 Loan Borrowing</w:t>
      </w:r>
      <w:r>
        <w:rPr>
          <w:rFonts w:ascii="Times New Roman" w:cs="Times New Roman" w:eastAsia="Times New Roman" w:hAnsi="Times New Roman"/>
          <w:sz w:val="20"/>
          <w:szCs w:val="20"/>
          <w:color w:val="auto"/>
        </w:rPr>
        <w:t xml:space="preserve">. Subject to the terms and conditions set forth herein, each Incremental Term A-1 Loan Lender severally agrees to make a single loan to the Company on the Longhorn Acquisition Funding Date in an amount not to exceed such Incremental Term A-1 Loan Lender’s Incremental Term A-1 Loan Commitment. The Incremental Term A-1 Loan Borrowing shall consist of Incremental Term A-1 Loans made simultaneously by the Incremental Term A-1 Loan Lenders in accordance with their respective Applicable Percentage of the Incremental Term A-1 Loan Facility. Amounts borrowed under this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and repaid or prepaid may not be reborrowed. Incremental Term A-1 Loans may be Base Rate Loans or Term SOFR Loans, as further provided herein.</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2.02 Borrowings, Conversions and Continuations of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1"/>
        <w:spacing w:after="0"/>
        <w:tabs>
          <w:tab w:leader="none" w:pos="114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Term Borrowing, Revolving Credit Borrowing, each conversion of Term Loans or Revolving Credit Loans from one Type to the other, and each continuation of Term SOFR Loans or Alternative Currency Term Rate Loans shall be made upon the Company’s irrevocable notice to the Administrative Agent, which may be given by: (A) telephone or (B) a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Administrative Agent of a Loan Notice. Each such notice must be received by the Administrative Agent not later than 11:00 a.m. (i) two Business Days prior to the requested date of any Term Borrowing or Revolving Credit Borrowing of, conversion to or continuation of Term SOFR Loans denominated in Dollars or of any conversion of Term SOFR Loans denominated in Dollars to Base Rate Loans, (ii) one Business Day prior to the requested date of any Term Borrowing or Revolving Credit Borrowing of, or conversion to, Daily Simple SOFR Loans denominated in Dollars or of any conversion of Daily Simple SOFR Loans denominated in Dollars to Base Rate Loans, (iii) three Business Days (or five Business Days in the case of a Special Notice Currency) prior to the requested date of any Term Borrowing or Revolving Credit Borrowing or, in the case of Alternative Currency Term Rate Loans, continuation of Alternative Currency Loans and (iv) on the requested date of any Term Borrowing or Revolving Credit Borrowing of Base Rate Loans. Each telephonic notice by the Company pursuant to this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must be confirmed promptly by delivery to the Administrative Agent of a written Loan Notice, appropriately completed and signed by a Responsible Officer of the Company. Each Term Borrowing or Revolving Credit Borrowing of, or conversion to Daily Simple SOFR Loans, and each Term Borrowing or Revolving Credit Borrowing of, conversion to or continuation of Term SOFR Loans or Alternative Currency Loans shall be in a principal amount of the Dollar Equivalent of $1,000,000 or a whole multiple of the Dollar Equivalent of $1,000,000 in excess thereof. Except as provided in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each Term Borrowing or Revolving Credit Borrowing of or conversion to Base Rate Loans shall be in a principal amount of the Dollar Equivalent of $500,000 or a whole multiple of the Dollar Equivalent of $100,000 in excess thereof. Each Loan Notice (whether telephonic or written) shall specify (i) whether the Company is requesting a Term Borrowing or Revolving Credit Borrowing, a conversion of Term Loans or Revolving Credit Loans from one Type to the other, or a continuation of Term SOFR Loans or Alternative Currency Term Rate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(v) if applicable, the duration of the Interest Period with respect thereto, (vi) if applicable, the currency of the Revolving Credit Loans to be borrowed, and (vii) if applicable, the Designated Borrower. If the Company fails to specify a currency in a Loan Notice requesting a Revolving Credit Borrowing, then the Revolving Credit Loans so requested shall be made in Dollars. If the Company fails to specify 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91" w:name="page92"/>
    <w:bookmarkEnd w:id="91"/>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Type of Loan in a Loan Notice or if the Company fails to give a timely notice requesting a conversion or continuation, then the applicable Term Loans or Revolving Credit Loans shall be made as, or converted to,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case of a failure to timely request a continuation of Alternative Currency Term Rate Loans, such Loans shall be continued as Alternative Currency Term Rate Loans in their original currency with an Interest Period of one month. Any such automatic conversion to Base Rate Loans shall be effective as of the last day of the Interest Period then in effect with respect to the applicable Term SOFR Loans. If the Company requests a Term Borrowing or Revolving Credit Borrowing of, conversion to, or continuation of Term SOFR Loans or Alternative Currency Term Rate Loans in any such Loan Notice, but fails to specify an Interest Period, it will be deemed to have specified an Interest Period of one month. Except as provided pursuant to </w:t>
      </w:r>
      <w:r>
        <w:rPr>
          <w:rFonts w:ascii="Times New Roman" w:cs="Times New Roman" w:eastAsia="Times New Roman" w:hAnsi="Times New Roman"/>
          <w:sz w:val="20"/>
          <w:szCs w:val="20"/>
          <w:u w:val="single" w:color="auto"/>
          <w:color w:val="auto"/>
        </w:rPr>
        <w:t>Sections 2.12(a)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3.03</w:t>
      </w:r>
      <w:r>
        <w:rPr>
          <w:rFonts w:ascii="Times New Roman" w:cs="Times New Roman" w:eastAsia="Times New Roman" w:hAnsi="Times New Roman"/>
          <w:sz w:val="20"/>
          <w:szCs w:val="20"/>
          <w:color w:val="auto"/>
        </w:rPr>
        <w:t>, no Term Loan or Revolving Credit Loan may be converted into or continued as a Term Loan or Revolving Credit Loan denominated in a different currency, but instead must be prepaid in the original currency of such Term Loan or Revolving Credit Loan and reborrowed in the other currency.</w:t>
      </w:r>
    </w:p>
    <w:p>
      <w:pPr>
        <w:spacing w:after="0" w:line="192" w:lineRule="exact"/>
        <w:rPr>
          <w:sz w:val="20"/>
          <w:szCs w:val="20"/>
          <w:color w:val="auto"/>
        </w:rPr>
      </w:pPr>
    </w:p>
    <w:p>
      <w:pPr>
        <w:jc w:val="both"/>
        <w:ind w:firstLine="751"/>
        <w:spacing w:after="0" w:line="241" w:lineRule="auto"/>
        <w:tabs>
          <w:tab w:leader="none" w:pos="114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Loan Notice, the Administrative Agent shall promptly notify each Lender of the amount (and, if applicable, the currency) of its Applicable Percentage under the applicable Facility of the applicable Loans, and if no timely notice of a conversion or continuation is provided by the Company, the Administrative Agent shall notify each Lender of the details of any automatic conversion to Base Rate Loans or continuation of Alternative Currency Term Rate Loans, in each case as described in the preceding subsection. In the case of a Term Borrowing or Revolving Credit Borrowing, each applicable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an Alternative Currency, in each case on the Business Day specified in the applicable Loan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if such Borrowing is of Incremental Term A-1 Loans or the Longhorn Acquisition Revolving Borrowing,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on the date a Loan Notice with respect to a Revolving Credit Borrowing is given by the Company, there are L/C Borrowings outstanding, then the proceeds of such Revolving Credit Borrowing,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shall be made available to the applicable Borrower as provided above.</w:t>
      </w:r>
    </w:p>
    <w:p>
      <w:pPr>
        <w:spacing w:after="0" w:line="191" w:lineRule="exact"/>
        <w:rPr>
          <w:rFonts w:ascii="Times New Roman" w:cs="Times New Roman" w:eastAsia="Times New Roman" w:hAnsi="Times New Roman"/>
          <w:sz w:val="20"/>
          <w:szCs w:val="20"/>
          <w:color w:val="auto"/>
        </w:rPr>
      </w:pPr>
    </w:p>
    <w:p>
      <w:pPr>
        <w:jc w:val="both"/>
        <w:ind w:firstLine="751"/>
        <w:spacing w:after="0" w:line="244" w:lineRule="auto"/>
        <w:tabs>
          <w:tab w:leader="none" w:pos="114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each of a Term SOFR Loan and an Alternative Currency Term Rate Loan may be continued or converted only on the last day of an Interest Period for such Loan. During the existence of an Event of Default, no Loans may be requested as, or converted to Daily Simple SOFR Loans or Alternative Currency Daily Rate Loans or requested as, converted to or continued as Term SOFR Loans or Alternative Currency Term Rate Loans, as applicable (whether in Dollars or any Alternative Currency) without the consent of the Required Lenders, and unless otherwise consented by the Required Lenders all of the then outstanding Alternative Currency Term Rate Loans shall be redenominated into Dollars in the amount of the Dollar Equivalent thereof and converted into Base Rate Loans on the last day of the then current Interest Period with respect thereto.</w:t>
      </w:r>
    </w:p>
    <w:p>
      <w:pPr>
        <w:spacing w:after="0" w:line="185" w:lineRule="exact"/>
        <w:rPr>
          <w:rFonts w:ascii="Times New Roman" w:cs="Times New Roman" w:eastAsia="Times New Roman" w:hAnsi="Times New Roman"/>
          <w:sz w:val="20"/>
          <w:szCs w:val="20"/>
          <w:color w:val="auto"/>
        </w:rPr>
      </w:pPr>
    </w:p>
    <w:p>
      <w:pPr>
        <w:ind w:right="40" w:firstLine="751"/>
        <w:spacing w:after="0" w:line="269" w:lineRule="auto"/>
        <w:tabs>
          <w:tab w:leader="none" w:pos="114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Company and the Lenders of the interest rate applicable to any Interest Period for Term SOFR Loans or Alternative Currency Term Rate Loans upon determination of such interest rate.</w:t>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92" w:name="page93"/>
    <w:bookmarkEnd w:id="92"/>
    <w:p>
      <w:pPr>
        <w:jc w:val="both"/>
        <w:ind w:left="-20" w:firstLine="751"/>
        <w:spacing w:after="0" w:line="246" w:lineRule="auto"/>
        <w:tabs>
          <w:tab w:leader="none" w:pos="112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Incremental Term A-1 Loan Borrowings, all conversions of Incremental Term A-1 Loans from one Type to the other, and all continuations of Incremental Term A-1 Loans as the same Type, there shall not be more than 4 Interest Periods in effect in respect of the Incremental Term A-1 Loan Facility. After giving effect to all Revolving Credit Borrowings, all conversions of Revolving Credit Loans from one Type to the other, and all continuations of Revolving Credit Loans as the same Type, there shall not be more than ten Interest Periods in effect with respect to Revolving Credit Loans.</w:t>
      </w:r>
    </w:p>
    <w:p>
      <w:pPr>
        <w:spacing w:after="0" w:line="184"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2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74" w:lineRule="exact"/>
        <w:rPr>
          <w:rFonts w:ascii="Times New Roman" w:cs="Times New Roman" w:eastAsia="Times New Roman" w:hAnsi="Times New Roman"/>
          <w:sz w:val="20"/>
          <w:szCs w:val="20"/>
          <w:color w:val="auto"/>
        </w:rPr>
      </w:pPr>
    </w:p>
    <w:p>
      <w:pPr>
        <w:jc w:val="both"/>
        <w:ind w:left="-20" w:firstLine="751"/>
        <w:spacing w:after="0" w:line="245" w:lineRule="auto"/>
        <w:tabs>
          <w:tab w:leader="none" w:pos="112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Alternative Currency Daily Rate, Alternative Currency Term Rate, SOFR, Daily Simple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2.03 Letters of Credit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120" w:hanging="389"/>
        <w:spacing w:after="0"/>
        <w:tabs>
          <w:tab w:leader="none" w:pos="11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40"/>
        <w:spacing w:after="0" w:line="241" w:lineRule="auto"/>
        <w:tabs>
          <w:tab w:leader="none" w:pos="188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(A) each L/C Issuer agrees, in reliance upon the agreements of the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(1) from time to time on any Business Day during the period from the Closing Date until the Letter of Credit Expiration Date, to issue Letters of Credit denominated in Dollars or in one or more Alternative Currencies applicable to such L/C Issuer, for the account of the Company or its Restricted Subsidiaries, and to amend or extend Letters of Credit previously issued by it, in accordance with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and (2) to honor drawings under the Letters of Credit; and (B) the Revolving Credit Lenders severally agree to participate in Letters of Credit issued for the account of the Company or its Restricted Subsidiaries and any drawings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L/C Credit Extension with respect to any Letter of Credit, (w) the aggregate amount of the outstanding Letters of Credit issued by any L/C Issuer shall not exceed its L/C Commitment, (x) the Total Revolving Credit Outstandings shall not exceed the Aggregate Revolving Credit Commitments, (y) the Revolving Credit Exposure of any Lender shall not exceed such Lender’s Revolving Credit Commitment, and (z)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93" w:name="page94"/>
    <w:bookmarkEnd w:id="93"/>
    <w:p>
      <w:pPr>
        <w:jc w:val="both"/>
        <w:ind w:left="740" w:firstLine="740"/>
        <w:spacing w:after="0" w:line="246" w:lineRule="auto"/>
        <w:tabs>
          <w:tab w:leader="none" w:pos="18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issue any Letter of Credit if the expiry date of the requested Letter of Credit would occur after the Letter of Credit Expiration Date, unless (A) all the Lenders and the applicable L/C Issuer have approved such expiry date or (B) at the time of issuance thereof, the Company shall agree to provide Cash Collateral for such Letter of Credit in an amount of at least 103% of the face amount thereof on or prior to the date that is 91 days prior to the Letter of Credit Expiration Date.</w:t>
      </w:r>
    </w:p>
    <w:p>
      <w:pPr>
        <w:spacing w:after="0" w:line="184" w:lineRule="exact"/>
        <w:rPr>
          <w:rFonts w:ascii="Times New Roman" w:cs="Times New Roman" w:eastAsia="Times New Roman" w:hAnsi="Times New Roman"/>
          <w:sz w:val="20"/>
          <w:szCs w:val="20"/>
          <w:color w:val="auto"/>
        </w:rPr>
      </w:pPr>
    </w:p>
    <w:p>
      <w:pPr>
        <w:ind w:left="1880" w:hanging="400"/>
        <w:spacing w:after="0"/>
        <w:tabs>
          <w:tab w:leader="none" w:pos="18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issue any Letter of Credit if:</w:t>
      </w:r>
    </w:p>
    <w:p>
      <w:pPr>
        <w:spacing w:after="0" w:line="215" w:lineRule="exact"/>
        <w:rPr>
          <w:rFonts w:ascii="Times New Roman" w:cs="Times New Roman" w:eastAsia="Times New Roman" w:hAnsi="Times New Roman"/>
          <w:sz w:val="20"/>
          <w:szCs w:val="20"/>
          <w:color w:val="auto"/>
        </w:rPr>
      </w:pPr>
    </w:p>
    <w:p>
      <w:pPr>
        <w:jc w:val="both"/>
        <w:ind w:left="1480" w:firstLine="748"/>
        <w:spacing w:after="0" w:line="243" w:lineRule="auto"/>
        <w:tabs>
          <w:tab w:leader="none" w:pos="26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that was not applicable on the Closing Date and that such L/C Issuer in good faith deems material to it;</w:t>
      </w:r>
    </w:p>
    <w:p>
      <w:pPr>
        <w:spacing w:after="0" w:line="189" w:lineRule="exact"/>
        <w:rPr>
          <w:rFonts w:ascii="Times New Roman" w:cs="Times New Roman" w:eastAsia="Times New Roman" w:hAnsi="Times New Roman"/>
          <w:sz w:val="20"/>
          <w:szCs w:val="20"/>
          <w:color w:val="auto"/>
        </w:rPr>
      </w:pPr>
    </w:p>
    <w:p>
      <w:pPr>
        <w:ind w:left="1480" w:right="20" w:firstLine="748"/>
        <w:spacing w:after="0" w:line="269" w:lineRule="auto"/>
        <w:tabs>
          <w:tab w:leader="none" w:pos="26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such L/C Issuer applicable to letters of credit generally;</w:t>
      </w:r>
    </w:p>
    <w:p>
      <w:pPr>
        <w:spacing w:after="0" w:line="159" w:lineRule="exact"/>
        <w:rPr>
          <w:rFonts w:ascii="Times New Roman" w:cs="Times New Roman" w:eastAsia="Times New Roman" w:hAnsi="Times New Roman"/>
          <w:sz w:val="20"/>
          <w:szCs w:val="20"/>
          <w:color w:val="auto"/>
        </w:rPr>
      </w:pPr>
    </w:p>
    <w:p>
      <w:pPr>
        <w:ind w:left="1480" w:firstLine="748"/>
        <w:spacing w:after="0" w:line="269" w:lineRule="auto"/>
        <w:tabs>
          <w:tab w:leader="none" w:pos="26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such L/C Issuer, such Letter of Credit is in an initial stated amount less than $25,000;</w:t>
      </w:r>
    </w:p>
    <w:p>
      <w:pPr>
        <w:spacing w:after="0" w:line="159" w:lineRule="exact"/>
        <w:rPr>
          <w:rFonts w:ascii="Times New Roman" w:cs="Times New Roman" w:eastAsia="Times New Roman" w:hAnsi="Times New Roman"/>
          <w:sz w:val="20"/>
          <w:szCs w:val="20"/>
          <w:color w:val="auto"/>
        </w:rPr>
      </w:pPr>
    </w:p>
    <w:p>
      <w:pPr>
        <w:ind w:left="1480" w:right="20" w:firstLine="748"/>
        <w:spacing w:after="0" w:line="269" w:lineRule="auto"/>
        <w:tabs>
          <w:tab w:leader="none" w:pos="26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is to be denominated in a currency other than Dollars or an Alternative Currency applicable to such L/C Issuer;</w:t>
      </w:r>
    </w:p>
    <w:p>
      <w:pPr>
        <w:spacing w:after="0" w:line="159" w:lineRule="exact"/>
        <w:rPr>
          <w:rFonts w:ascii="Times New Roman" w:cs="Times New Roman" w:eastAsia="Times New Roman" w:hAnsi="Times New Roman"/>
          <w:sz w:val="20"/>
          <w:szCs w:val="20"/>
          <w:color w:val="auto"/>
        </w:rPr>
      </w:pPr>
    </w:p>
    <w:p>
      <w:pPr>
        <w:ind w:left="1480" w:right="20" w:firstLine="748"/>
        <w:spacing w:after="0" w:line="269" w:lineRule="auto"/>
        <w:tabs>
          <w:tab w:leader="none" w:pos="26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L/C Issuer does not as of the issuance date of the requested Letter of Credit issue letters of credit in the requested currency;</w:t>
      </w:r>
    </w:p>
    <w:p>
      <w:pPr>
        <w:spacing w:after="0" w:line="159" w:lineRule="exact"/>
        <w:rPr>
          <w:rFonts w:ascii="Times New Roman" w:cs="Times New Roman" w:eastAsia="Times New Roman" w:hAnsi="Times New Roman"/>
          <w:sz w:val="20"/>
          <w:szCs w:val="20"/>
          <w:color w:val="auto"/>
        </w:rPr>
      </w:pPr>
    </w:p>
    <w:p>
      <w:pPr>
        <w:jc w:val="both"/>
        <w:ind w:left="1480" w:firstLine="748"/>
        <w:spacing w:after="0" w:line="245" w:lineRule="auto"/>
        <w:tabs>
          <w:tab w:leader="none" w:pos="26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L/C Issuers have entered into arrangements, including the delivery of Cash Collateral, satisfactory to the L/C Issuers (in their sole discretion) with the Company or such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Issuers have actual or potential Fronting Exposure, as they may elect in their sole discretion;</w:t>
      </w:r>
    </w:p>
    <w:p>
      <w:pPr>
        <w:spacing w:after="0" w:line="184" w:lineRule="exact"/>
        <w:rPr>
          <w:rFonts w:ascii="Times New Roman" w:cs="Times New Roman" w:eastAsia="Times New Roman" w:hAnsi="Times New Roman"/>
          <w:sz w:val="20"/>
          <w:szCs w:val="20"/>
          <w:color w:val="auto"/>
        </w:rPr>
      </w:pPr>
    </w:p>
    <w:p>
      <w:pPr>
        <w:ind w:left="1480" w:firstLine="748"/>
        <w:spacing w:after="0" w:line="269" w:lineRule="auto"/>
        <w:tabs>
          <w:tab w:leader="none" w:pos="26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the expiry date of the requested Letter of Credit would occur more than twelve months after the date of issuance or last extension; or</w:t>
      </w:r>
    </w:p>
    <w:p>
      <w:pPr>
        <w:spacing w:after="0" w:line="159" w:lineRule="exact"/>
        <w:rPr>
          <w:rFonts w:ascii="Times New Roman" w:cs="Times New Roman" w:eastAsia="Times New Roman" w:hAnsi="Times New Roman"/>
          <w:sz w:val="20"/>
          <w:szCs w:val="20"/>
          <w:color w:val="auto"/>
        </w:rPr>
      </w:pPr>
    </w:p>
    <w:p>
      <w:pPr>
        <w:ind w:left="1480" w:right="20" w:firstLine="748"/>
        <w:spacing w:after="0" w:line="269" w:lineRule="auto"/>
        <w:tabs>
          <w:tab w:leader="none" w:pos="26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for automatic reinstatement of the stated amount after any drawing thereunder.</w:t>
      </w:r>
    </w:p>
    <w:p>
      <w:pPr>
        <w:spacing w:after="0" w:line="159" w:lineRule="exact"/>
        <w:rPr>
          <w:rFonts w:ascii="Times New Roman" w:cs="Times New Roman" w:eastAsia="Times New Roman" w:hAnsi="Times New Roman"/>
          <w:sz w:val="20"/>
          <w:szCs w:val="20"/>
          <w:color w:val="auto"/>
        </w:rPr>
      </w:pPr>
    </w:p>
    <w:p>
      <w:pPr>
        <w:ind w:left="740" w:right="20" w:firstLine="740"/>
        <w:spacing w:after="0" w:line="269" w:lineRule="auto"/>
        <w:tabs>
          <w:tab w:leader="none" w:pos="18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amend any Letter of Credit if such L/C Issuer would not be permitted at such time to issue such Letter of Credit in its amended form under the terms hereof.</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94" w:name="page95"/>
    <w:bookmarkEnd w:id="94"/>
    <w:p>
      <w:pPr>
        <w:jc w:val="both"/>
        <w:ind w:left="740" w:right="20" w:firstLine="740"/>
        <w:spacing w:after="0" w:line="254" w:lineRule="auto"/>
        <w:tabs>
          <w:tab w:leader="none" w:pos="188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amend any Letter of Credit if (A) such L/C Issuer would have no obligation at such time to issue such Letter of Credit in its amended form under the terms hereof, or (B) the beneficiary of the Letter of Credit does not accept the proposed amendment to such Letter of Credit.</w:t>
      </w:r>
    </w:p>
    <w:p>
      <w:pPr>
        <w:spacing w:after="0" w:line="174" w:lineRule="exact"/>
        <w:rPr>
          <w:rFonts w:ascii="Times New Roman" w:cs="Times New Roman" w:eastAsia="Times New Roman" w:hAnsi="Times New Roman"/>
          <w:sz w:val="20"/>
          <w:szCs w:val="20"/>
          <w:color w:val="auto"/>
        </w:rPr>
      </w:pPr>
    </w:p>
    <w:p>
      <w:pPr>
        <w:jc w:val="both"/>
        <w:ind w:left="740" w:firstLine="740"/>
        <w:spacing w:after="0" w:line="245" w:lineRule="auto"/>
        <w:tabs>
          <w:tab w:leader="none" w:pos="188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L/C Issuer shall act on behalf of the Lenders with respect to any Letters of Credit issued by it and the documents associated therewith, and each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such L/C Issuer with respect to such acts or omissions, and (B) as additionally provided herein with respect to such L/C Issuer.</w:t>
      </w:r>
    </w:p>
    <w:p>
      <w:pPr>
        <w:spacing w:after="0" w:line="184" w:lineRule="exact"/>
        <w:rPr>
          <w:rFonts w:ascii="Times New Roman" w:cs="Times New Roman" w:eastAsia="Times New Roman" w:hAnsi="Times New Roman"/>
          <w:sz w:val="20"/>
          <w:szCs w:val="20"/>
          <w:color w:val="auto"/>
        </w:rPr>
      </w:pPr>
    </w:p>
    <w:p>
      <w:pPr>
        <w:ind w:left="1120" w:hanging="389"/>
        <w:spacing w:after="0"/>
        <w:tabs>
          <w:tab w:leader="none" w:pos="11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Auto-Extension Letters of Credit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40"/>
        <w:spacing w:after="0" w:line="241" w:lineRule="auto"/>
        <w:tabs>
          <w:tab w:leader="none" w:pos="188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Company delivered to the applicable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applicable L/C Issuer, by personal delivery or by any other means acceptable to the applicable L/C Issuer. Such Letter of Credit Application must be received by the applicable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reasonably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such L/C Issuer may require. Additionally, the Company shall furnish to the applicable L/C Issuer and the Administrative Agent such other documents and information pertaining to such requested Letter of Credit issuance or amendment, including any Issuer Documents, as such L/C Issuer or the Administrative Agent may reasonably require.</w:t>
      </w:r>
    </w:p>
    <w:p>
      <w:pPr>
        <w:spacing w:after="0" w:line="187" w:lineRule="exact"/>
        <w:rPr>
          <w:rFonts w:ascii="Times New Roman" w:cs="Times New Roman" w:eastAsia="Times New Roman" w:hAnsi="Times New Roman"/>
          <w:sz w:val="20"/>
          <w:szCs w:val="20"/>
          <w:color w:val="auto"/>
        </w:rPr>
      </w:pPr>
    </w:p>
    <w:p>
      <w:pPr>
        <w:jc w:val="both"/>
        <w:ind w:left="740" w:firstLine="740"/>
        <w:spacing w:after="0" w:line="246" w:lineRule="auto"/>
        <w:tabs>
          <w:tab w:leader="none" w:pos="188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the applicable L/C Issuer has received written notice from any Lender, the Administrative Agent or any Loan Party, at least one Business Day prior to the requested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95" w:name="page96"/>
    <w:bookmarkEnd w:id="95"/>
    <w:p>
      <w:pPr>
        <w:jc w:val="both"/>
        <w:ind w:left="740"/>
        <w:spacing w:after="0" w:line="243" w:lineRule="auto"/>
        <w:rPr>
          <w:sz w:val="20"/>
          <w:szCs w:val="20"/>
          <w:color w:val="auto"/>
        </w:rPr>
      </w:pPr>
      <w:r>
        <w:rPr>
          <w:rFonts w:ascii="Times New Roman" w:cs="Times New Roman" w:eastAsia="Times New Roman" w:hAnsi="Times New Roman"/>
          <w:sz w:val="20"/>
          <w:szCs w:val="20"/>
          <w:color w:val="auto"/>
        </w:rPr>
        <w:t xml:space="preserve">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not then be satisfied, then, subject to the terms and conditions hereof, such L/C Issuer shall, on the requested date, issue a Letter of Credit for the account of the Company (or the applicable Restricted Subsidiary)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the applicable L/C Issuer a risk participation in such Letter of Credit in an amount equal to the product of such Revolving Credit Lender’s Applicable Revolving Credit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Letter of Credit.</w:t>
      </w:r>
    </w:p>
    <w:p>
      <w:pPr>
        <w:spacing w:after="0" w:line="189" w:lineRule="exact"/>
        <w:rPr>
          <w:sz w:val="20"/>
          <w:szCs w:val="20"/>
          <w:color w:val="auto"/>
        </w:rPr>
      </w:pPr>
    </w:p>
    <w:p>
      <w:pPr>
        <w:jc w:val="both"/>
        <w:ind w:left="740" w:firstLine="740"/>
        <w:spacing w:after="0" w:line="255" w:lineRule="auto"/>
        <w:tabs>
          <w:tab w:leader="none" w:pos="1884"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so requests in any applicable Letter of Credit Application, each L/C Issuer may, in its sole and absolute discretion, agree to issue a Letter of Credit that has automatic extension provisions (each, an “</w:t>
      </w:r>
      <w:r>
        <w:rPr>
          <w:rFonts w:ascii="Times New Roman" w:cs="Times New Roman" w:eastAsia="Times New Roman" w:hAnsi="Times New Roman"/>
          <w:sz w:val="19"/>
          <w:szCs w:val="19"/>
          <w:u w:val="single" w:color="auto"/>
          <w:color w:val="auto"/>
        </w:rPr>
        <w:t>Auto-Extension Letter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9"/>
          <w:szCs w:val="19"/>
          <w:u w:val="single" w:color="auto"/>
          <w:color w:val="auto"/>
        </w:rPr>
        <w:t>Non-Extension Notice Date</w:t>
      </w:r>
      <w:r>
        <w:rPr>
          <w:rFonts w:ascii="Times New Roman" w:cs="Times New Roman" w:eastAsia="Times New Roman" w:hAnsi="Times New Roman"/>
          <w:sz w:val="19"/>
          <w:szCs w:val="19"/>
          <w:color w:val="auto"/>
        </w:rPr>
        <w:t xml:space="preserve">”) in each such twelve-month period to be agreed upon at the time such Letter of Credit is issued. Unless otherwise directed by the applicable L/C Issuer, the Company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L/C Issuer shall permit any such extension if (A) such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2.03(a)</w:t>
      </w:r>
      <w:r>
        <w:rPr>
          <w:rFonts w:ascii="Times New Roman" w:cs="Times New Roman" w:eastAsia="Times New Roman" w:hAnsi="Times New Roman"/>
          <w:sz w:val="19"/>
          <w:szCs w:val="19"/>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Company that one or more of the applicable conditions specified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is not then satisfied, and in each such case directing such L/C Issuer not to permit such extension.</w:t>
      </w:r>
    </w:p>
    <w:p>
      <w:pPr>
        <w:spacing w:after="0" w:line="173" w:lineRule="exact"/>
        <w:rPr>
          <w:rFonts w:ascii="Times New Roman" w:cs="Times New Roman" w:eastAsia="Times New Roman" w:hAnsi="Times New Roman"/>
          <w:sz w:val="19"/>
          <w:szCs w:val="19"/>
          <w:color w:val="auto"/>
        </w:rPr>
      </w:pPr>
    </w:p>
    <w:p>
      <w:pPr>
        <w:jc w:val="both"/>
        <w:ind w:left="740" w:firstLine="740"/>
        <w:spacing w:after="0" w:line="254" w:lineRule="auto"/>
        <w:tabs>
          <w:tab w:leader="none" w:pos="188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each L/C Issuer will also deliver to the Company and the Administrative Agent a true and complete copy of such Letter of Credit or amendment.</w:t>
      </w:r>
    </w:p>
    <w:p>
      <w:pPr>
        <w:spacing w:after="0" w:line="174" w:lineRule="exact"/>
        <w:rPr>
          <w:rFonts w:ascii="Times New Roman" w:cs="Times New Roman" w:eastAsia="Times New Roman" w:hAnsi="Times New Roman"/>
          <w:sz w:val="20"/>
          <w:szCs w:val="20"/>
          <w:color w:val="auto"/>
        </w:rPr>
      </w:pPr>
    </w:p>
    <w:p>
      <w:pPr>
        <w:ind w:left="1120" w:hanging="389"/>
        <w:spacing w:after="0"/>
        <w:tabs>
          <w:tab w:leader="none" w:pos="11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40"/>
        <w:spacing w:after="0" w:line="243" w:lineRule="auto"/>
        <w:tabs>
          <w:tab w:leader="none" w:pos="188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applicable L/C Issuer shall promptly notify the Company and the Administrative Agent thereof. In the case of a Letter of Credit denominated in an Alternative Currency, the Company shall reimburse the applicable L/C Issuer in such Alternative Currency, unless (A) such L/C Issuer (at its option) shall have specified in such notice that it will require reimbursement in Dollars, or (B) in the absence of any such requirement for reimbursement in Dollars, the Company shall have notified such L/C Issuer promptly following receipt of the notice of drawing that the Company will reimburse such L/C Issuer in Dollars. In the case of any such reimbursement in Dollars of a drawing under a Letter of Credit denominated in an Alternative Currency, the applicable L/C Issuer shall notify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96" w:name="page97"/>
    <w:bookmarkEnd w:id="96"/>
    <w:p>
      <w:pPr>
        <w:jc w:val="both"/>
        <w:ind w:left="740"/>
        <w:spacing w:after="0"/>
        <w:rPr>
          <w:sz w:val="20"/>
          <w:szCs w:val="20"/>
          <w:color w:val="auto"/>
        </w:rPr>
      </w:pPr>
      <w:r>
        <w:rPr>
          <w:rFonts w:ascii="Times New Roman" w:cs="Times New Roman" w:eastAsia="Times New Roman" w:hAnsi="Times New Roman"/>
          <w:sz w:val="20"/>
          <w:szCs w:val="20"/>
          <w:color w:val="auto"/>
        </w:rPr>
        <w:t>Company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such L/C Issuer under a Letter of Credit to be reimbursed in an Alternative Currency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it being understood that unless otherwise agreed by the applicable L/C Issuer and the Company in any instance, such L/C Issuer will notify the Company of the applicable Honor Date by the Business Day immediately prior to such Honor Date), the Company shall reimburse such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L/C Issuer for the loss resulting from its inability on that date to purchase the Alternative Currency in the full amount of the drawing. If the Company fails to so reimburse the applicable L/C Issuer by such time, the Administrative Agent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Revolving Credit Lender’s Applicable Revolving Credit Percentage thereof. In such event, the Company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amount of the unutilized portion of the Aggregate Revolving Credit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the delivery of a Loan Notice). Any notice given by the applicable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205" w:lineRule="exact"/>
        <w:rPr>
          <w:sz w:val="20"/>
          <w:szCs w:val="20"/>
          <w:color w:val="auto"/>
        </w:rPr>
      </w:pPr>
    </w:p>
    <w:p>
      <w:pPr>
        <w:jc w:val="both"/>
        <w:ind w:left="740" w:firstLine="740"/>
        <w:spacing w:after="0" w:line="244" w:lineRule="auto"/>
        <w:tabs>
          <w:tab w:leader="none" w:pos="18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(and the Administrative Agent may apply Cash Collateral provided for this purpose) for the account of the applicable L/C Issuer, in Dollars, at the Administrative Agent’s Office for Dollar-denominated payments in an amount equal to its Applicable Revolving Credit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each Revolving Credit Lender that so makes funds available shall be deemed to have made a Base Rate Revolving Credit Loan to the Company in such amount. The Administrative Agent shall remit the funds so received to the applicable L/C Issuer in Dollars.</w:t>
      </w:r>
    </w:p>
    <w:p>
      <w:pPr>
        <w:spacing w:after="0" w:line="185" w:lineRule="exact"/>
        <w:rPr>
          <w:rFonts w:ascii="Times New Roman" w:cs="Times New Roman" w:eastAsia="Times New Roman" w:hAnsi="Times New Roman"/>
          <w:sz w:val="20"/>
          <w:szCs w:val="20"/>
          <w:color w:val="auto"/>
        </w:rPr>
      </w:pPr>
    </w:p>
    <w:p>
      <w:pPr>
        <w:jc w:val="both"/>
        <w:ind w:left="740" w:firstLine="740"/>
        <w:spacing w:after="0" w:line="260" w:lineRule="auto"/>
        <w:tabs>
          <w:tab w:leader="none" w:pos="188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Times New Roman" w:cs="Times New Roman" w:eastAsia="Times New Roman" w:hAnsi="Times New Roman"/>
          <w:sz w:val="19"/>
          <w:szCs w:val="19"/>
          <w:u w:val="single" w:color="auto"/>
          <w:color w:val="auto"/>
        </w:rPr>
        <w:t>Section 2.03(c)(ii)</w:t>
      </w:r>
      <w:r>
        <w:rPr>
          <w:rFonts w:ascii="Times New Roman" w:cs="Times New Roman" w:eastAsia="Times New Roman" w:hAnsi="Times New Roman"/>
          <w:sz w:val="19"/>
          <w:szCs w:val="19"/>
          <w:color w:val="auto"/>
        </w:rPr>
        <w:t xml:space="preserve"> shall be deemed payment in respect of its participation in such</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97" w:name="page98"/>
    <w:bookmarkEnd w:id="97"/>
    <w:p>
      <w:pPr>
        <w:ind w:left="740" w:right="20"/>
        <w:spacing w:after="0" w:line="269" w:lineRule="auto"/>
        <w:rPr>
          <w:sz w:val="20"/>
          <w:szCs w:val="20"/>
          <w:color w:val="auto"/>
        </w:rPr>
      </w:pPr>
      <w:r>
        <w:rPr>
          <w:rFonts w:ascii="Times New Roman" w:cs="Times New Roman" w:eastAsia="Times New Roman" w:hAnsi="Times New Roman"/>
          <w:sz w:val="20"/>
          <w:szCs w:val="20"/>
          <w:color w:val="auto"/>
        </w:rPr>
        <w:t xml:space="preserve">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740" w:firstLine="740"/>
        <w:spacing w:after="0" w:line="249" w:lineRule="auto"/>
        <w:tabs>
          <w:tab w:leader="none" w:pos="188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Revolving Credit Lender funds its Revolving Credit Loan or L/C Advance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w:t>
      </w:r>
      <w:r>
        <w:rPr>
          <w:rFonts w:ascii="Times New Roman" w:cs="Times New Roman" w:eastAsia="Times New Roman" w:hAnsi="Times New Roman"/>
          <w:sz w:val="20"/>
          <w:szCs w:val="20"/>
          <w:color w:val="auto"/>
        </w:rPr>
        <w:t xml:space="preserve"> to reimburse the applicable L/C Issuer for any amount drawn under any Letter of Credit, interest in respect of such Revolving Credit Lender’s Applicable Revolving Credit Percentage of such amount shall be solely for the account of such L/C Issuer.</w:t>
      </w:r>
    </w:p>
    <w:p>
      <w:pPr>
        <w:spacing w:after="0" w:line="179" w:lineRule="exact"/>
        <w:rPr>
          <w:rFonts w:ascii="Times New Roman" w:cs="Times New Roman" w:eastAsia="Times New Roman" w:hAnsi="Times New Roman"/>
          <w:sz w:val="20"/>
          <w:szCs w:val="20"/>
          <w:color w:val="auto"/>
        </w:rPr>
      </w:pPr>
    </w:p>
    <w:p>
      <w:pPr>
        <w:jc w:val="both"/>
        <w:ind w:left="740" w:firstLine="740"/>
        <w:spacing w:after="0" w:line="242" w:lineRule="auto"/>
        <w:tabs>
          <w:tab w:leader="none" w:pos="188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Lender’s obligation to make Revolving Credit Loans or L/C Advances to reimburse the applicable L/C Issuer for amounts drawn under Letters of Credit, as 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such L/C Issuer, the Company,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Revolving Credit Lender’s obligation to make Revolving Credit Loans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Company of a Loan Notice). No such making of an L/C Advance shall relieve or otherwise impair the obligation of the Company to reimburse the applicable L/C Issuer for the amount of any payment made by such L/C Issuer under any Letter of Credit, together with interest as provided herein.</w:t>
      </w:r>
    </w:p>
    <w:p>
      <w:pPr>
        <w:spacing w:after="0" w:line="192" w:lineRule="exact"/>
        <w:rPr>
          <w:rFonts w:ascii="Times New Roman" w:cs="Times New Roman" w:eastAsia="Times New Roman" w:hAnsi="Times New Roman"/>
          <w:sz w:val="20"/>
          <w:szCs w:val="20"/>
          <w:color w:val="auto"/>
        </w:rPr>
      </w:pPr>
    </w:p>
    <w:p>
      <w:pPr>
        <w:jc w:val="both"/>
        <w:ind w:left="740" w:firstLine="740"/>
        <w:spacing w:after="0" w:line="256" w:lineRule="auto"/>
        <w:tabs>
          <w:tab w:leader="none" w:pos="1884"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Revolving Credit Lender fails to make available to the Administrative Agent for the account of the applicable L/C Issuer any amount required to be paid by such Lender pursuant to the foregoing provisions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2.03(c)</w:t>
      </w:r>
      <w:r>
        <w:rPr>
          <w:rFonts w:ascii="Times New Roman" w:cs="Times New Roman" w:eastAsia="Times New Roman" w:hAnsi="Times New Roman"/>
          <w:sz w:val="19"/>
          <w:szCs w:val="19"/>
          <w:color w:val="auto"/>
        </w:rPr>
        <w:t xml:space="preserve"> by the time specified in </w:t>
      </w:r>
      <w:r>
        <w:rPr>
          <w:rFonts w:ascii="Times New Roman" w:cs="Times New Roman" w:eastAsia="Times New Roman" w:hAnsi="Times New Roman"/>
          <w:sz w:val="19"/>
          <w:szCs w:val="19"/>
          <w:u w:val="single" w:color="auto"/>
          <w:color w:val="auto"/>
        </w:rPr>
        <w:t>Section 2.03(c)(ii)</w:t>
      </w:r>
      <w:r>
        <w:rPr>
          <w:rFonts w:ascii="Times New Roman" w:cs="Times New Roman" w:eastAsia="Times New Roman" w:hAnsi="Times New Roman"/>
          <w:sz w:val="19"/>
          <w:szCs w:val="19"/>
          <w:color w:val="auto"/>
        </w:rPr>
        <w:t xml:space="preserve">, then, without limiting the other provisions of this Agreement, such L/C Issuer shall be entitled to recover from such Revolving Credit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Revolving Credit Lender pays such amount (with interest and fees as aforesaid), the amount so paid shall constitute such Revolving Credit Lender’s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Times New Roman" w:cs="Times New Roman" w:eastAsia="Times New Roman" w:hAnsi="Times New Roman"/>
          <w:sz w:val="19"/>
          <w:szCs w:val="19"/>
          <w:u w:val="single" w:color="auto"/>
          <w:color w:val="auto"/>
        </w:rPr>
        <w:t>clause (vi)</w:t>
      </w:r>
      <w:r>
        <w:rPr>
          <w:rFonts w:ascii="Times New Roman" w:cs="Times New Roman" w:eastAsia="Times New Roman" w:hAnsi="Times New Roman"/>
          <w:sz w:val="19"/>
          <w:szCs w:val="19"/>
          <w:color w:val="auto"/>
        </w:rPr>
        <w:t xml:space="preserve"> shall be conclusive (including within the meaning of section 151 Dutch Code of Civil Procedure) absent manifest error.</w:t>
      </w:r>
    </w:p>
    <w:p>
      <w:pPr>
        <w:spacing w:after="0" w:line="173" w:lineRule="exact"/>
        <w:rPr>
          <w:rFonts w:ascii="Times New Roman" w:cs="Times New Roman" w:eastAsia="Times New Roman" w:hAnsi="Times New Roman"/>
          <w:sz w:val="19"/>
          <w:szCs w:val="19"/>
          <w:color w:val="auto"/>
        </w:rPr>
      </w:pPr>
    </w:p>
    <w:p>
      <w:pPr>
        <w:ind w:left="1120" w:hanging="389"/>
        <w:spacing w:after="0"/>
        <w:tabs>
          <w:tab w:leader="none" w:pos="11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40"/>
        <w:spacing w:after="0" w:line="244" w:lineRule="auto"/>
        <w:tabs>
          <w:tab w:leader="none" w:pos="188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an L/C Issuer has made a payment under any Letter of Credit and has received from any Revolving Credit Lender such Revolving Credit Lender’s L/C Advance in respect of such payment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w:t>
      </w:r>
      <w:r>
        <w:rPr>
          <w:rFonts w:ascii="Times New Roman" w:cs="Times New Roman" w:eastAsia="Times New Roman" w:hAnsi="Times New Roman"/>
          <w:sz w:val="20"/>
          <w:szCs w:val="20"/>
          <w:color w:val="auto"/>
        </w:rPr>
        <w:t>, if the Administrative Agent receives for the account of such L/C Issuer any payment in respect of the related Unreimbursed Amount or interest thereon (whether directly from the Company or otherwise, including proceeds of Cash Collateral applied thereto by the Administrative Agent), the Administrative Agent will distribute to such Revolving Credit Lender its Applicable Revolving Credit Percentage thereof in Dollars and in the same funds as those received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98" w:name="page99"/>
    <w:bookmarkEnd w:id="98"/>
    <w:p>
      <w:pPr>
        <w:jc w:val="both"/>
        <w:ind w:left="740" w:firstLine="740"/>
        <w:spacing w:after="0" w:line="243" w:lineRule="auto"/>
        <w:tabs>
          <w:tab w:leader="none" w:pos="188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any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plus interest thereon from the date of such demand to the date such amount is returned by such Revolving Credit Lender, at a rate per annum equal to the applicable Overnight Rate from time to time in effect. The obligations of the Revolving Credit Lenders under this clause shall survive the payment in full of the Obligations and the termination of this Agreement.</w:t>
      </w:r>
    </w:p>
    <w:p>
      <w:pPr>
        <w:spacing w:after="0" w:line="189"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2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Company to reimburse each L/C Issuer for each drawing under each Letter of Credit made by such L/C Issuer and to repay each L/C Borrowing shall be absolute, unconditional and irrevocable, and shall be paid strictly in accordance with the terms of this Agreement under all circumstances, including the following:</w:t>
      </w:r>
    </w:p>
    <w:p>
      <w:pPr>
        <w:spacing w:after="0" w:line="174" w:lineRule="exact"/>
        <w:rPr>
          <w:rFonts w:ascii="Times New Roman" w:cs="Times New Roman" w:eastAsia="Times New Roman" w:hAnsi="Times New Roman"/>
          <w:sz w:val="20"/>
          <w:szCs w:val="20"/>
          <w:color w:val="auto"/>
        </w:rPr>
      </w:pPr>
    </w:p>
    <w:p>
      <w:pPr>
        <w:ind w:left="1880" w:hanging="400"/>
        <w:spacing w:after="0"/>
        <w:tabs>
          <w:tab w:leader="none" w:pos="18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216" w:lineRule="exact"/>
        <w:rPr>
          <w:sz w:val="20"/>
          <w:szCs w:val="20"/>
          <w:color w:val="auto"/>
        </w:rPr>
      </w:pPr>
    </w:p>
    <w:p>
      <w:pPr>
        <w:jc w:val="both"/>
        <w:ind w:left="740" w:firstLine="740"/>
        <w:spacing w:after="0" w:line="246" w:lineRule="auto"/>
        <w:tabs>
          <w:tab w:leader="none" w:pos="18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Times New Roman" w:cs="Times New Roman" w:eastAsia="Times New Roman" w:hAnsi="Times New Roman"/>
          <w:sz w:val="20"/>
          <w:szCs w:val="20"/>
          <w:color w:val="auto"/>
        </w:rPr>
      </w:pPr>
    </w:p>
    <w:p>
      <w:pPr>
        <w:jc w:val="both"/>
        <w:ind w:left="740" w:right="20" w:firstLine="740"/>
        <w:spacing w:after="0" w:line="254" w:lineRule="auto"/>
        <w:tabs>
          <w:tab w:leader="none" w:pos="18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4" w:lineRule="exact"/>
        <w:rPr>
          <w:rFonts w:ascii="Times New Roman" w:cs="Times New Roman" w:eastAsia="Times New Roman" w:hAnsi="Times New Roman"/>
          <w:sz w:val="20"/>
          <w:szCs w:val="20"/>
          <w:color w:val="auto"/>
        </w:rPr>
      </w:pPr>
    </w:p>
    <w:p>
      <w:pPr>
        <w:ind w:left="740" w:firstLine="740"/>
        <w:spacing w:after="0" w:line="269" w:lineRule="auto"/>
        <w:tabs>
          <w:tab w:leader="none" w:pos="18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any L/C Issuer of any requirement that exists for such L/C Issuer’s protection and not the protection of the Company or any waiver by any L/C Issuer which does not in fact materially prejudice the Company;</w:t>
      </w:r>
    </w:p>
    <w:p>
      <w:pPr>
        <w:spacing w:after="0" w:line="159" w:lineRule="exact"/>
        <w:rPr>
          <w:rFonts w:ascii="Times New Roman" w:cs="Times New Roman" w:eastAsia="Times New Roman" w:hAnsi="Times New Roman"/>
          <w:sz w:val="20"/>
          <w:szCs w:val="20"/>
          <w:color w:val="auto"/>
        </w:rPr>
      </w:pPr>
    </w:p>
    <w:p>
      <w:pPr>
        <w:ind w:left="740" w:firstLine="740"/>
        <w:spacing w:after="0" w:line="269" w:lineRule="auto"/>
        <w:tabs>
          <w:tab w:leader="none" w:pos="18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 form of a draft;</w:t>
      </w:r>
    </w:p>
    <w:p>
      <w:pPr>
        <w:spacing w:after="0" w:line="159" w:lineRule="exact"/>
        <w:rPr>
          <w:rFonts w:ascii="Times New Roman" w:cs="Times New Roman" w:eastAsia="Times New Roman" w:hAnsi="Times New Roman"/>
          <w:sz w:val="20"/>
          <w:szCs w:val="20"/>
          <w:color w:val="auto"/>
        </w:rPr>
      </w:pPr>
    </w:p>
    <w:p>
      <w:pPr>
        <w:jc w:val="both"/>
        <w:ind w:left="740" w:firstLine="740"/>
        <w:spacing w:after="0" w:line="254" w:lineRule="auto"/>
        <w:tabs>
          <w:tab w:leader="none" w:pos="18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4" w:lineRule="exact"/>
        <w:rPr>
          <w:rFonts w:ascii="Times New Roman" w:cs="Times New Roman" w:eastAsia="Times New Roman" w:hAnsi="Times New Roman"/>
          <w:sz w:val="20"/>
          <w:szCs w:val="20"/>
          <w:color w:val="auto"/>
        </w:rPr>
      </w:pPr>
    </w:p>
    <w:p>
      <w:pPr>
        <w:jc w:val="both"/>
        <w:ind w:left="740" w:firstLine="740"/>
        <w:spacing w:after="0" w:line="246" w:lineRule="auto"/>
        <w:tabs>
          <w:tab w:leader="none" w:pos="18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99" w:name="page100"/>
    <w:bookmarkEnd w:id="99"/>
    <w:p>
      <w:pPr>
        <w:ind w:left="1140" w:right="20" w:firstLine="740"/>
        <w:spacing w:after="0" w:line="269" w:lineRule="auto"/>
        <w:tabs>
          <w:tab w:leader="none" w:pos="26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Company or any Subsidiary or in the relevant currency markets generally; or</w:t>
      </w:r>
    </w:p>
    <w:p>
      <w:pPr>
        <w:spacing w:after="0" w:line="159" w:lineRule="exact"/>
        <w:rPr>
          <w:rFonts w:ascii="Times New Roman" w:cs="Times New Roman" w:eastAsia="Times New Roman" w:hAnsi="Times New Roman"/>
          <w:sz w:val="20"/>
          <w:szCs w:val="20"/>
          <w:color w:val="auto"/>
        </w:rPr>
      </w:pPr>
    </w:p>
    <w:p>
      <w:pPr>
        <w:ind w:left="1140" w:right="20" w:firstLine="740"/>
        <w:spacing w:after="0" w:line="269" w:lineRule="auto"/>
        <w:tabs>
          <w:tab w:leader="none" w:pos="228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the foregoing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Company shall promptly examine a copy of each Letter of Credit and each amendment thereto that is delivered to it and, in the event of any claim of noncompliance with the Company’s instructions or other irregularity, the Company will promptly notify the applicable L/C Issuer. The Company shall be conclusively deemed to have waived any such claim against the applicable L/C Issuer and its correspondents unless such notice is given as aforesaid.</w:t>
      </w:r>
    </w:p>
    <w:p>
      <w:pPr>
        <w:spacing w:after="0" w:line="180" w:lineRule="exact"/>
        <w:rPr>
          <w:sz w:val="20"/>
          <w:szCs w:val="20"/>
          <w:color w:val="auto"/>
        </w:rPr>
      </w:pPr>
    </w:p>
    <w:p>
      <w:pPr>
        <w:jc w:val="both"/>
        <w:ind w:left="380" w:firstLine="751"/>
        <w:spacing w:after="0"/>
        <w:tabs>
          <w:tab w:leader="none" w:pos="152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Issuers</w:t>
      </w:r>
      <w:r>
        <w:rPr>
          <w:rFonts w:ascii="Times New Roman" w:cs="Times New Roman" w:eastAsia="Times New Roman" w:hAnsi="Times New Roman"/>
          <w:sz w:val="20"/>
          <w:szCs w:val="20"/>
          <w:color w:val="auto"/>
        </w:rPr>
        <w:t xml:space="preserve">. Each Lender and the Company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assumption is not intended to, and shall not, preclude the Company’s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such clauses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0" w:name="page101"/>
    <w:bookmarkEnd w:id="100"/>
    <w:p>
      <w:pPr>
        <w:spacing w:after="0" w:line="269" w:lineRule="auto"/>
        <w:rPr>
          <w:sz w:val="20"/>
          <w:szCs w:val="20"/>
          <w:color w:val="auto"/>
        </w:rPr>
      </w:pPr>
      <w:r>
        <w:rPr>
          <w:rFonts w:ascii="Times New Roman" w:cs="Times New Roman" w:eastAsia="Times New Roman" w:hAnsi="Times New Roman"/>
          <w:sz w:val="20"/>
          <w:szCs w:val="20"/>
          <w:color w:val="auto"/>
        </w:rPr>
        <w:t>Telecommunication (“</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message or overnight courier, or any other commercially reasonable means of communicating with a beneficiary.</w:t>
      </w:r>
    </w:p>
    <w:p>
      <w:pPr>
        <w:spacing w:after="0" w:line="159" w:lineRule="exact"/>
        <w:rPr>
          <w:sz w:val="20"/>
          <w:szCs w:val="20"/>
          <w:color w:val="auto"/>
        </w:rPr>
      </w:pPr>
    </w:p>
    <w:p>
      <w:pPr>
        <w:jc w:val="both"/>
        <w:ind w:firstLine="751"/>
        <w:spacing w:after="0" w:line="242" w:lineRule="auto"/>
        <w:tabs>
          <w:tab w:leader="none" w:pos="115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 Limitation of Liability</w:t>
      </w:r>
      <w:r>
        <w:rPr>
          <w:rFonts w:ascii="Times New Roman" w:cs="Times New Roman" w:eastAsia="Times New Roman" w:hAnsi="Times New Roman"/>
          <w:sz w:val="20"/>
          <w:szCs w:val="20"/>
          <w:color w:val="auto"/>
        </w:rPr>
        <w:t>. Unless otherwise expressly agreed by the applicable L/C Issuer and the Company when a Letter of Credit is issued (including any such agreement applicable to an Existing Letter of Credit), (i) the rules of the ISP shall apply to each standby Letter of Credit issued by such L/C Issuer, and (ii) the rules of the UCP shall apply to each commercial Letter of Credit issued by such L/C Issuer. Notwithstanding the foregoing, no L/C Issuer shall be responsible to the Company for, and no L/C Issuer’s rights and remedies against the Company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2" w:lineRule="exact"/>
        <w:rPr>
          <w:rFonts w:ascii="Times New Roman" w:cs="Times New Roman" w:eastAsia="Times New Roman" w:hAnsi="Times New Roman"/>
          <w:sz w:val="20"/>
          <w:szCs w:val="20"/>
          <w:color w:val="auto"/>
        </w:rPr>
      </w:pPr>
    </w:p>
    <w:p>
      <w:pPr>
        <w:jc w:val="both"/>
        <w:ind w:firstLine="751"/>
        <w:spacing w:after="0" w:line="255" w:lineRule="auto"/>
        <w:tabs>
          <w:tab w:leader="none" w:pos="1158"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 of Credit Fees</w:t>
      </w:r>
      <w:r>
        <w:rPr>
          <w:rFonts w:ascii="Times New Roman" w:cs="Times New Roman" w:eastAsia="Times New Roman" w:hAnsi="Times New Roman"/>
          <w:sz w:val="19"/>
          <w:szCs w:val="19"/>
          <w:color w:val="auto"/>
        </w:rPr>
        <w:t xml:space="preserve">. The Company shall pay to the Administrative Agent for the account of each Revolving Credit Lender in accordance, subject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with its Applicable Revolving Credit Percentage, in Dollars, a Letter of Credit fee (the “</w:t>
      </w:r>
      <w:r>
        <w:rPr>
          <w:rFonts w:ascii="Times New Roman" w:cs="Times New Roman" w:eastAsia="Times New Roman" w:hAnsi="Times New Roman"/>
          <w:sz w:val="19"/>
          <w:szCs w:val="19"/>
          <w:u w:val="single" w:color="auto"/>
          <w:color w:val="auto"/>
        </w:rPr>
        <w:t>Letter of Credit Fee</w:t>
      </w:r>
      <w:r>
        <w:rPr>
          <w:rFonts w:ascii="Times New Roman" w:cs="Times New Roman" w:eastAsia="Times New Roman" w:hAnsi="Times New Roman"/>
          <w:sz w:val="19"/>
          <w:szCs w:val="19"/>
          <w:color w:val="auto"/>
        </w:rPr>
        <w:t xml:space="preserve">”) for each Letter of Credit equal to the Applicable Rate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Dollar Equivalent of daily amount available to be drawn under such Letter of Credit.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Letter of Credit Fees shall be (i) due and payable on the tenth Business Day after the end of each March, June, September and December, commencing with the first such date to occur after the issuance of such Letter of Credit, on the Letter of Credit Expiration Date and thereafter on demand and</w:t>
      </w:r>
    </w:p>
    <w:p>
      <w:pPr>
        <w:spacing w:after="0" w:line="3" w:lineRule="exact"/>
        <w:rPr>
          <w:rFonts w:ascii="Times New Roman" w:cs="Times New Roman" w:eastAsia="Times New Roman" w:hAnsi="Times New Roman"/>
          <w:sz w:val="19"/>
          <w:szCs w:val="19"/>
          <w:color w:val="auto"/>
        </w:rPr>
      </w:pPr>
    </w:p>
    <w:p>
      <w:pPr>
        <w:jc w:val="both"/>
        <w:ind w:firstLine="2"/>
        <w:spacing w:after="0" w:line="241" w:lineRule="auto"/>
        <w:tabs>
          <w:tab w:leader="none" w:pos="29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upon the request of the Required Revolving Credit Lenders, while any Event of Default exists, all Letter of Credit Fees shall accrue at the Default Rate.</w:t>
      </w:r>
    </w:p>
    <w:p>
      <w:pPr>
        <w:spacing w:after="0" w:line="186" w:lineRule="exact"/>
        <w:rPr>
          <w:rFonts w:ascii="Times New Roman" w:cs="Times New Roman" w:eastAsia="Times New Roman" w:hAnsi="Times New Roman"/>
          <w:sz w:val="20"/>
          <w:szCs w:val="20"/>
          <w:color w:val="auto"/>
        </w:rPr>
      </w:pPr>
    </w:p>
    <w:p>
      <w:pPr>
        <w:jc w:val="both"/>
        <w:ind w:firstLine="751"/>
        <w:spacing w:after="0" w:line="241" w:lineRule="auto"/>
        <w:tabs>
          <w:tab w:leader="none" w:pos="115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an L/C Issuer</w:t>
      </w:r>
      <w:r>
        <w:rPr>
          <w:rFonts w:ascii="Times New Roman" w:cs="Times New Roman" w:eastAsia="Times New Roman" w:hAnsi="Times New Roman"/>
          <w:sz w:val="20"/>
          <w:szCs w:val="20"/>
          <w:color w:val="auto"/>
        </w:rPr>
        <w:t>. The Company shall pay directly to each L/C Issuer for its own account, in Dollars, a fronting fee (i) with respect to each commercial Letter of Credit issued by Bank of America in its capacity as an L/C Issuer, at the rate per annum specified in the applicable Fee Letter and payable upon the issuance thereof, (ii) with respect to any amendment of a commercial Letter of Credit issued by Bank of America in its capacity as an L/C Issuer increasing the amount and/or extending the tenor of such Letter of Credit, at the rate separately agreed between the Company and Bank of America in its capacity as an L/C Issuer, computed on the Dollar Equivalent of the amount of such increase and/or extended amount, and payable upon the effectiveness of such amendment, and (iii) with respect to each standby Letter of Credit issued by (A) Bank of America in its capacity as an L/C Issuer, at the rate per annum specified in the applicable Fee Letter to which Bank of America is a party, computed on the Dollar Equivalent of the daily amount available to be drawn under such Letter of Credit on a quarterly basis in arrears and (B) any other L/C Issuer, at a rate separately agreed between the Company and such L/C Issuer, computed on the Dollar Equivalent of the daily amount available to be drawn under such Letter of Credit on a quarterly basis in arrears. Such fronting fee described in the foregoing clause (iii)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01" w:name="page102"/>
    <w:bookmarkEnd w:id="101"/>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Date and thereafter on demand.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In addition, the Company shall pay directly to each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85" w:lineRule="exact"/>
        <w:rPr>
          <w:sz w:val="20"/>
          <w:szCs w:val="20"/>
          <w:color w:val="auto"/>
        </w:rPr>
      </w:pPr>
    </w:p>
    <w:p>
      <w:pPr>
        <w:ind w:firstLine="751"/>
        <w:spacing w:after="0" w:line="269" w:lineRule="auto"/>
        <w:tabs>
          <w:tab w:leader="none" w:pos="117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9" w:lineRule="exact"/>
        <w:rPr>
          <w:rFonts w:ascii="Times New Roman" w:cs="Times New Roman" w:eastAsia="Times New Roman" w:hAnsi="Times New Roman"/>
          <w:sz w:val="20"/>
          <w:szCs w:val="20"/>
          <w:color w:val="auto"/>
        </w:rPr>
      </w:pPr>
    </w:p>
    <w:p>
      <w:pPr>
        <w:jc w:val="both"/>
        <w:ind w:firstLine="751"/>
        <w:spacing w:after="0" w:line="243" w:lineRule="auto"/>
        <w:tabs>
          <w:tab w:leader="none" w:pos="118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Restricted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Restricted Subsidiary, the Company shall be obligated to reimburse, indemnify and compensate the applicable L/C Issuer hereunder for any and all drawings under such Letter of Credit as if such Letter of Credit had been issued solely for the account of the Company. The Company irrevocably waives any and all defenses (other than the defense that any such amounts have been paid in full) that might otherwise be available to it as a guarantor or surety of any or all of the obligations of such Restricted Subsidiaries in respect of such Letter of Credit. The Company hereby acknowledges that the issuance of Letters of Credit for the account of Restricted Subsidiaries inures to the benefit of the Company, and that the Company’s business derives substantial benefits from the businesses of such Restricted Subsidiaries.</w:t>
      </w:r>
    </w:p>
    <w:p>
      <w:pPr>
        <w:spacing w:after="0" w:line="189" w:lineRule="exact"/>
        <w:rPr>
          <w:rFonts w:ascii="Times New Roman" w:cs="Times New Roman" w:eastAsia="Times New Roman" w:hAnsi="Times New Roman"/>
          <w:sz w:val="20"/>
          <w:szCs w:val="20"/>
          <w:color w:val="auto"/>
        </w:rPr>
      </w:pPr>
    </w:p>
    <w:p>
      <w:pPr>
        <w:jc w:val="both"/>
        <w:ind w:firstLine="751"/>
        <w:spacing w:after="0" w:line="249" w:lineRule="auto"/>
        <w:tabs>
          <w:tab w:leader="none" w:pos="115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Reports</w:t>
      </w:r>
      <w:r>
        <w:rPr>
          <w:rFonts w:ascii="Times New Roman" w:cs="Times New Roman" w:eastAsia="Times New Roman" w:hAnsi="Times New Roman"/>
          <w:sz w:val="20"/>
          <w:szCs w:val="20"/>
          <w:color w:val="auto"/>
        </w:rPr>
        <w:t xml:space="preserve">. For so long as any Letter of Credit issued by an L/C Issuer (other than Bank of America) is outstanding, such L/C Issuer shall deliver to the Administrative Agent on the last Business Day of each calendar month, and on each date that an L/C Credit Extension occurs with respect to any such Letter of Credit, a report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appropriately completed with the information for every outstanding Letter of Credit issued by such L/C Issuer.</w:t>
      </w:r>
    </w:p>
    <w:p>
      <w:pPr>
        <w:spacing w:after="0" w:line="179" w:lineRule="exact"/>
        <w:rPr>
          <w:rFonts w:ascii="Times New Roman" w:cs="Times New Roman" w:eastAsia="Times New Roman" w:hAnsi="Times New Roman"/>
          <w:sz w:val="20"/>
          <w:szCs w:val="20"/>
          <w:color w:val="auto"/>
        </w:rPr>
      </w:pPr>
    </w:p>
    <w:p>
      <w:pPr>
        <w:jc w:val="both"/>
        <w:ind w:firstLine="751"/>
        <w:spacing w:after="0" w:line="242" w:lineRule="auto"/>
        <w:tabs>
          <w:tab w:leader="none" w:pos="114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any L/C Issuer</w:t>
      </w:r>
      <w:r>
        <w:rPr>
          <w:rFonts w:ascii="Times New Roman" w:cs="Times New Roman" w:eastAsia="Times New Roman" w:hAnsi="Times New Roman"/>
          <w:sz w:val="20"/>
          <w:szCs w:val="20"/>
          <w:color w:val="auto"/>
        </w:rPr>
        <w:t xml:space="preserve">. Any L/C Issuer may be replaced at any time by written agreement between the Company, the Administrative Agent, the replaced L/C Issuer and the successor L/C Issuer. The Administrative Agent shall notify the Revolving Credit Lenders of any such replacement of an L/C Issuer. At the time any such replacement shall become effective, the Company shall pay all unpaid fees accrued for the account of the replaced L/C Issuer pursuant to </w:t>
      </w:r>
      <w:r>
        <w:rPr>
          <w:rFonts w:ascii="Times New Roman" w:cs="Times New Roman" w:eastAsia="Times New Roman" w:hAnsi="Times New Roman"/>
          <w:sz w:val="20"/>
          <w:szCs w:val="20"/>
          <w:u w:val="single" w:color="auto"/>
          <w:color w:val="auto"/>
        </w:rPr>
        <w:t>Section 2.03(i)</w:t>
      </w:r>
      <w:r>
        <w:rPr>
          <w:rFonts w:ascii="Times New Roman" w:cs="Times New Roman" w:eastAsia="Times New Roman" w:hAnsi="Times New Roman"/>
          <w:sz w:val="20"/>
          <w:szCs w:val="20"/>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2.04 Swing Line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1"/>
        <w:spacing w:after="0" w:line="245" w:lineRule="auto"/>
        <w:tabs>
          <w:tab w:leader="none" w:pos="117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Swing Line</w:t>
      </w:r>
      <w:r>
        <w:rPr>
          <w:rFonts w:ascii="Times New Roman" w:cs="Times New Roman" w:eastAsia="Times New Roman" w:hAnsi="Times New Roman"/>
          <w:sz w:val="20"/>
          <w:szCs w:val="20"/>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may in its sole discretion, make loans (each such loan, a “</w:t>
      </w:r>
      <w:r>
        <w:rPr>
          <w:rFonts w:ascii="Times New Roman" w:cs="Times New Roman" w:eastAsia="Times New Roman" w:hAnsi="Times New Roman"/>
          <w:sz w:val="20"/>
          <w:szCs w:val="20"/>
          <w:u w:val="single" w:color="auto"/>
          <w:color w:val="auto"/>
        </w:rPr>
        <w:t>Swing 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to the Company, in Dollars,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02" w:name="page103"/>
    <w:bookmarkEnd w:id="102"/>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Line Lender, may exceed the amount of such Revolving Credit Lender’s Revolving Credit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Swing Line Loan, (i) the Total Revolving Credit Outstandings shall not exceed the Aggregate Revolving Credit Commitments, and (ii) the Revolving Credit Exposure of any Revolving Credit Lender shall not exceed such Revolving Credit Lender’s Revolving Credit Commitment,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Company shall not use the proceeds of any Swing Line Loan to refinance any outstanding Swing Line Loan. Within the foregoing limits, and subject to the other terms and conditions hereof, the Company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Swing Line Loan.</w:t>
      </w:r>
    </w:p>
    <w:p>
      <w:pPr>
        <w:spacing w:after="0" w:line="192" w:lineRule="exact"/>
        <w:rPr>
          <w:sz w:val="20"/>
          <w:szCs w:val="20"/>
          <w:color w:val="auto"/>
        </w:rPr>
      </w:pPr>
    </w:p>
    <w:p>
      <w:pPr>
        <w:jc w:val="both"/>
        <w:ind w:firstLine="751"/>
        <w:spacing w:after="0" w:line="241"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xml:space="preserve">. Each Swing Line Borrowing shall be made upon the Company’s irrevocable notice to the Swing Line Lender and the Administrative Agent, which may be given by: (A) telephone or (B) a Swing Line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Company at its office by crediting the account of the Company on the books of the Swing Line Lender in Same Day Funds. Notwithstanding the foregoing, Swing Line Borrowings may be advanced without regard to the notice requirements, minimum amounts and other requirements set forth above in this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in accordance with and as set forth in any Treasury Management Agreement.</w:t>
      </w:r>
    </w:p>
    <w:p>
      <w:pPr>
        <w:spacing w:after="0" w:line="188" w:lineRule="exact"/>
        <w:rPr>
          <w:rFonts w:ascii="Times New Roman" w:cs="Times New Roman" w:eastAsia="Times New Roman" w:hAnsi="Times New Roman"/>
          <w:sz w:val="20"/>
          <w:szCs w:val="20"/>
          <w:color w:val="auto"/>
        </w:rPr>
      </w:pPr>
    </w:p>
    <w:p>
      <w:pPr>
        <w:ind w:left="1140" w:hanging="389"/>
        <w:spacing w:after="0"/>
        <w:tabs>
          <w:tab w:leader="none" w:pos="11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0"/>
        <w:spacing w:after="0" w:line="244" w:lineRule="auto"/>
        <w:tabs>
          <w:tab w:leader="none" w:pos="190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may request, on behalf of the Company (which hereby irrevocably authorizes the Swing Line Lender to so request on its behalf), that each Revolving Credit Lender make a Base Rate Revolving Credit Loan in an amount equal to such Revolving Credit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without regard to the minimum and multiples specified therein for the principal amount of Base Rate Loans, but subject to the unutilized portion of the Aggregate Revolving Credit Commitments and the conditions set forth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03" w:name="page104"/>
    <w:bookmarkEnd w:id="103"/>
    <w:p>
      <w:pPr>
        <w:jc w:val="both"/>
        <w:ind w:left="740"/>
        <w:spacing w:after="0" w:line="244"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 Line Lender shall furnish the Company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Same Day Funds for the account of the Swing 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Revolving Credit Lender that so makes funds available shall be deemed to have made a Base Rate Revolving Credit Loan to the Company in such amount. The Administrative Agent shall remit the funds so received to the Swing Line Lender.</w:t>
      </w:r>
    </w:p>
    <w:p>
      <w:pPr>
        <w:spacing w:after="0" w:line="186" w:lineRule="exact"/>
        <w:rPr>
          <w:sz w:val="20"/>
          <w:szCs w:val="20"/>
          <w:color w:val="auto"/>
        </w:rPr>
      </w:pPr>
    </w:p>
    <w:p>
      <w:pPr>
        <w:jc w:val="both"/>
        <w:ind w:left="740" w:firstLine="740"/>
        <w:spacing w:after="0" w:line="245" w:lineRule="auto"/>
        <w:tabs>
          <w:tab w:leader="none" w:pos="188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Revolving Credit Borrowing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Base Rate Revolving Credit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84" w:lineRule="exact"/>
        <w:rPr>
          <w:rFonts w:ascii="Times New Roman" w:cs="Times New Roman" w:eastAsia="Times New Roman" w:hAnsi="Times New Roman"/>
          <w:sz w:val="20"/>
          <w:szCs w:val="20"/>
          <w:color w:val="auto"/>
        </w:rPr>
      </w:pPr>
    </w:p>
    <w:p>
      <w:pPr>
        <w:jc w:val="both"/>
        <w:ind w:left="740" w:firstLine="740"/>
        <w:spacing w:after="0" w:line="242" w:lineRule="auto"/>
        <w:tabs>
          <w:tab w:leader="none" w:pos="188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Revolving Credit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Revolving Credit Lender (through the Administrative Agent) with respect to any amounts owing under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conclusive (including within the meaning of section 151 Dutch Code of Civil Procedure) absent manifest error.</w:t>
      </w:r>
    </w:p>
    <w:p>
      <w:pPr>
        <w:spacing w:after="0" w:line="187" w:lineRule="exact"/>
        <w:rPr>
          <w:rFonts w:ascii="Times New Roman" w:cs="Times New Roman" w:eastAsia="Times New Roman" w:hAnsi="Times New Roman"/>
          <w:sz w:val="20"/>
          <w:szCs w:val="20"/>
          <w:color w:val="auto"/>
        </w:rPr>
      </w:pPr>
    </w:p>
    <w:p>
      <w:pPr>
        <w:jc w:val="both"/>
        <w:ind w:left="740" w:firstLine="740"/>
        <w:spacing w:after="0" w:line="243" w:lineRule="auto"/>
        <w:tabs>
          <w:tab w:leader="none" w:pos="188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Lender’s obligation to make Revolving Credit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Revolving Credit Lender’s obligation to make Revolving Credit Loans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No such funding of risk participations shall relieve or otherwise impair the obligation of the Company to repay Swing Line Loans, together with interest as provided herein.</w:t>
      </w:r>
    </w:p>
    <w:p>
      <w:pPr>
        <w:spacing w:after="0" w:line="189" w:lineRule="exact"/>
        <w:rPr>
          <w:rFonts w:ascii="Times New Roman" w:cs="Times New Roman" w:eastAsia="Times New Roman" w:hAnsi="Times New Roman"/>
          <w:sz w:val="20"/>
          <w:szCs w:val="20"/>
          <w:color w:val="auto"/>
        </w:rPr>
      </w:pPr>
    </w:p>
    <w:p>
      <w:pPr>
        <w:ind w:left="1120" w:hanging="389"/>
        <w:spacing w:after="0"/>
        <w:tabs>
          <w:tab w:leader="none" w:pos="11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40" w:right="20" w:firstLine="740"/>
        <w:spacing w:after="0" w:line="269" w:lineRule="auto"/>
        <w:tabs>
          <w:tab w:leader="none" w:pos="188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Credit Lender has purchased and funded a risk participation in a Swing Line Loan, if the Swing Line Lender receives any payment on account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04" w:name="page105"/>
    <w:bookmarkEnd w:id="104"/>
    <w:p>
      <w:pPr>
        <w:ind w:left="740"/>
        <w:spacing w:after="0" w:line="269" w:lineRule="auto"/>
        <w:rPr>
          <w:sz w:val="20"/>
          <w:szCs w:val="20"/>
          <w:color w:val="auto"/>
        </w:rPr>
      </w:pPr>
      <w:r>
        <w:rPr>
          <w:rFonts w:ascii="Times New Roman" w:cs="Times New Roman" w:eastAsia="Times New Roman" w:hAnsi="Times New Roman"/>
          <w:sz w:val="20"/>
          <w:szCs w:val="20"/>
          <w:color w:val="auto"/>
        </w:rPr>
        <w:t>of such Swing Line Loan, the Swing Line Lender will distribute to such Revolving Credit Lender its Applicable Revolving Credit Percentage thereof in the same funds as those received by the Swing Line Lender.</w:t>
      </w:r>
    </w:p>
    <w:p>
      <w:pPr>
        <w:spacing w:after="0" w:line="159" w:lineRule="exact"/>
        <w:rPr>
          <w:sz w:val="20"/>
          <w:szCs w:val="20"/>
          <w:color w:val="auto"/>
        </w:rPr>
      </w:pPr>
    </w:p>
    <w:p>
      <w:pPr>
        <w:jc w:val="both"/>
        <w:ind w:left="740" w:firstLine="740"/>
        <w:spacing w:after="0" w:line="243" w:lineRule="auto"/>
        <w:tabs>
          <w:tab w:leader="none" w:pos="188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Revolving Credit Lenders under this clause shall survive the payment in full of the Obligations and the termination of this Agreement.</w:t>
      </w:r>
    </w:p>
    <w:p>
      <w:pPr>
        <w:spacing w:after="0" w:line="189" w:lineRule="exact"/>
        <w:rPr>
          <w:rFonts w:ascii="Times New Roman" w:cs="Times New Roman" w:eastAsia="Times New Roman" w:hAnsi="Times New Roman"/>
          <w:sz w:val="20"/>
          <w:szCs w:val="20"/>
          <w:color w:val="auto"/>
        </w:rPr>
      </w:pPr>
    </w:p>
    <w:p>
      <w:pPr>
        <w:jc w:val="both"/>
        <w:ind w:left="-20" w:firstLine="751"/>
        <w:spacing w:after="0" w:line="249" w:lineRule="auto"/>
        <w:tabs>
          <w:tab w:leader="none" w:pos="112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Company for interest on the Swing Line Loans. Until each Revolving Credit Lender funds its Base Rate Revolving Credit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79" w:lineRule="exact"/>
        <w:rPr>
          <w:rFonts w:ascii="Times New Roman" w:cs="Times New Roman" w:eastAsia="Times New Roman" w:hAnsi="Times New Roman"/>
          <w:sz w:val="20"/>
          <w:szCs w:val="20"/>
          <w:color w:val="auto"/>
        </w:rPr>
      </w:pPr>
    </w:p>
    <w:p>
      <w:pPr>
        <w:ind w:left="-20" w:firstLine="751"/>
        <w:spacing w:after="0" w:line="269" w:lineRule="auto"/>
        <w:tabs>
          <w:tab w:leader="none" w:pos="113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Company shall make all payments of principal and interest in respect of the Swing Line Loans directly to the Swing Line Lender.</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2.05 Prepayments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120" w:hanging="389"/>
        <w:spacing w:after="0"/>
        <w:tabs>
          <w:tab w:leader="none" w:pos="11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40"/>
        <w:spacing w:after="0" w:line="241" w:lineRule="auto"/>
        <w:tabs>
          <w:tab w:leader="none" w:pos="188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may, upon notice from the Company to the Administrative Agent pursuant to delivery to the Administrative Agent of a Notice of Loan Prepayment, at any time or from time to time voluntarily prepay Term Loans or Revolving Credit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Administrative Agent not later than 11:00 a.m. (1) two Business Days prior to any date of prepayment of Term SOFR Loans denominated in Dollars, (2) three Business Days prior to any date of prepayment of Daily Simple SOFR Loans denominated in Dollars, (3) four Business Days (or five, in the case of prepayment of Loans denominated in Special Notice Currencies) prior to any date of prepayment of Alternative Currency Loans and (4) on the date of prepayment of Base Rate Loans; (B) any prepayment of Daily Simple SOFR Loans or Term SOFR Loans denominated in Dollars shall be in a principal amount of $1,000,000 or a whole multiple of $1,000,000 in excess thereof; (C) any prepayment of Alternative Currency Loans shall be in a minimum principal amount of the Dollar Equivalent of $1,000,000 or a whole multiple thereof; and (D) any prepayment of Base Rate Loans shall be in a principal amount of $500,000 or a whole multiple of $100,000 in excess thereof or, in each case, if less, the entire principal amount thereof then outstanding. Each such notice shall specify the date, amount and currency of such prepayment and the Type(s) of Loans to be prepaid and, if Term SOFR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05" w:name="page106"/>
    <w:bookmarkEnd w:id="105"/>
    <w:p>
      <w:pPr>
        <w:jc w:val="both"/>
        <w:ind w:left="740"/>
        <w:spacing w:after="0" w:line="243" w:lineRule="auto"/>
        <w:rPr>
          <w:sz w:val="20"/>
          <w:szCs w:val="20"/>
          <w:color w:val="auto"/>
        </w:rPr>
      </w:pPr>
      <w:r>
        <w:rPr>
          <w:rFonts w:ascii="Times New Roman" w:cs="Times New Roman" w:eastAsia="Times New Roman" w:hAnsi="Times New Roman"/>
          <w:sz w:val="20"/>
          <w:szCs w:val="20"/>
          <w:color w:val="auto"/>
        </w:rPr>
        <w:t xml:space="preserve">specified in such notice shall be due and payable on the date specified therein. Any prepayment of a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Except as otherwise provided in any Incremental Amendment with respect to any Term Loan Facility, each prepayment of the outstanding Term Loans pursuant to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shall be applied to the repayment installments thereof as directed by the Company (and, in the absence of any such direction, ratably to the Term Loan Facilities and on a pro rata basis across the remaining repayment installments thereof (including the payment due on the Maturity Date)).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each such prepayment shall be paid to the Lenders in accordance with their respective Applicable Percentages in respect of each of the relevant Facilities.</w:t>
      </w:r>
    </w:p>
    <w:p>
      <w:pPr>
        <w:spacing w:after="0" w:line="189" w:lineRule="exact"/>
        <w:rPr>
          <w:sz w:val="20"/>
          <w:szCs w:val="20"/>
          <w:color w:val="auto"/>
        </w:rPr>
      </w:pPr>
    </w:p>
    <w:p>
      <w:pPr>
        <w:jc w:val="both"/>
        <w:ind w:left="740" w:firstLine="740"/>
        <w:spacing w:after="0" w:line="243" w:lineRule="auto"/>
        <w:tabs>
          <w:tab w:leader="none" w:pos="188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 Notwithstanding the foregoing, Swing Line Borrowings may be repaid without regard to the notice requirements, minimum amounts and other requirements set forth above in this </w:t>
      </w:r>
      <w:r>
        <w:rPr>
          <w:rFonts w:ascii="Times New Roman" w:cs="Times New Roman" w:eastAsia="Times New Roman" w:hAnsi="Times New Roman"/>
          <w:sz w:val="20"/>
          <w:szCs w:val="20"/>
          <w:u w:val="single" w:color="auto"/>
          <w:color w:val="auto"/>
        </w:rPr>
        <w:t>Section 2.04(a)(ii)</w:t>
      </w:r>
      <w:r>
        <w:rPr>
          <w:rFonts w:ascii="Times New Roman" w:cs="Times New Roman" w:eastAsia="Times New Roman" w:hAnsi="Times New Roman"/>
          <w:sz w:val="20"/>
          <w:szCs w:val="20"/>
          <w:color w:val="auto"/>
        </w:rPr>
        <w:t xml:space="preserve"> in accordance with and as set forth in any Treasury Management Agreement.</w:t>
      </w:r>
    </w:p>
    <w:p>
      <w:pPr>
        <w:spacing w:after="0" w:line="185" w:lineRule="exact"/>
        <w:rPr>
          <w:rFonts w:ascii="Times New Roman" w:cs="Times New Roman" w:eastAsia="Times New Roman" w:hAnsi="Times New Roman"/>
          <w:sz w:val="20"/>
          <w:szCs w:val="20"/>
          <w:color w:val="auto"/>
        </w:rPr>
      </w:pPr>
    </w:p>
    <w:p>
      <w:pPr>
        <w:ind w:left="1120" w:hanging="389"/>
        <w:spacing w:after="0"/>
        <w:tabs>
          <w:tab w:leader="none" w:pos="11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40"/>
        <w:spacing w:after="0" w:line="241" w:lineRule="auto"/>
        <w:tabs>
          <w:tab w:leader="none" w:pos="188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Dispositions of Property</w:t>
      </w:r>
      <w:r>
        <w:rPr>
          <w:rFonts w:ascii="Times New Roman" w:cs="Times New Roman" w:eastAsia="Times New Roman" w:hAnsi="Times New Roman"/>
          <w:sz w:val="20"/>
          <w:szCs w:val="20"/>
          <w:color w:val="auto"/>
        </w:rPr>
        <w:t xml:space="preserve">. If the Company or any of its Restricted Subsidiaries Disposes of any property (other than any Disposition of any property permitted by </w:t>
      </w:r>
      <w:r>
        <w:rPr>
          <w:rFonts w:ascii="Times New Roman" w:cs="Times New Roman" w:eastAsia="Times New Roman" w:hAnsi="Times New Roman"/>
          <w:sz w:val="20"/>
          <w:szCs w:val="20"/>
          <w:u w:val="single" w:color="auto"/>
          <w:color w:val="auto"/>
        </w:rPr>
        <w:t>Section 7.05(a)</w:t>
      </w:r>
      <w:r>
        <w:rPr>
          <w:rFonts w:ascii="Times New Roman" w:cs="Times New Roman" w:eastAsia="Times New Roman" w:hAnsi="Times New Roman"/>
          <w:sz w:val="20"/>
          <w:szCs w:val="20"/>
          <w:color w:val="auto"/>
        </w:rPr>
        <w:t xml:space="preserve"> (but only to the extent the Net Cash Proceeds of any such Disposition (or series of related Dispositions) does not exceed $1,000,000),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which results in the realization by such Person of Net Cash Proceeds, the Company shall make (and/or cause the applicable Designated Borrower to make,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mandatory prepayments in the manner set forth in </w:t>
      </w:r>
      <w:r>
        <w:rPr>
          <w:rFonts w:ascii="Times New Roman" w:cs="Times New Roman" w:eastAsia="Times New Roman" w:hAnsi="Times New Roman"/>
          <w:sz w:val="20"/>
          <w:szCs w:val="20"/>
          <w:u w:val="single" w:color="auto"/>
          <w:color w:val="auto"/>
        </w:rPr>
        <w:t>subsection (v)</w:t>
      </w:r>
      <w:r>
        <w:rPr>
          <w:rFonts w:ascii="Times New Roman" w:cs="Times New Roman" w:eastAsia="Times New Roman" w:hAnsi="Times New Roman"/>
          <w:sz w:val="20"/>
          <w:szCs w:val="20"/>
          <w:color w:val="auto"/>
        </w:rPr>
        <w:t xml:space="preserve"> below in an amount equal to 100% of such Net Cash Proceeds immediately upon receipt thereof by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any Net Cash Proceeds realized under a Disposition described in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at the election of the Company (as notified by the Company to the Administrative Agent on or prior to the date of such Disposition), and so long as no Event of Default shall have occurred and be continuing, the Company or such Restricted Subsidiary may reinvest all or any portion of such Net Cash Proceeds in operating assets (or, in the case of a Disposition permitted by </w:t>
      </w:r>
      <w:r>
        <w:rPr>
          <w:rFonts w:ascii="Times New Roman" w:cs="Times New Roman" w:eastAsia="Times New Roman" w:hAnsi="Times New Roman"/>
          <w:sz w:val="20"/>
          <w:szCs w:val="20"/>
          <w:u w:val="single" w:color="auto"/>
          <w:color w:val="auto"/>
        </w:rPr>
        <w:t>Section 7.05(i)</w:t>
      </w:r>
      <w:r>
        <w:rPr>
          <w:rFonts w:ascii="Times New Roman" w:cs="Times New Roman" w:eastAsia="Times New Roman" w:hAnsi="Times New Roman"/>
          <w:sz w:val="20"/>
          <w:szCs w:val="20"/>
          <w:color w:val="auto"/>
        </w:rPr>
        <w:t xml:space="preserve">, (x) one or more Permitted Acquisitions and/or (y) the payment of any obligations of the Company or its Restricted Subsidiaries in respect of the spin-off, termination or withdrawal of any Pension Plan to the extent such payments are permitted hereunder and no Event of Default has occurred as a result of such obligations) used in the business of the Company and its Restricted Subsidiaries so long as (A) within 270 days (or, in the case of a Disposition permitted by </w:t>
      </w:r>
      <w:r>
        <w:rPr>
          <w:rFonts w:ascii="Times New Roman" w:cs="Times New Roman" w:eastAsia="Times New Roman" w:hAnsi="Times New Roman"/>
          <w:sz w:val="20"/>
          <w:szCs w:val="20"/>
          <w:u w:val="single" w:color="auto"/>
          <w:color w:val="auto"/>
        </w:rPr>
        <w:t>Section 7.05(i)</w:t>
      </w:r>
      <w:r>
        <w:rPr>
          <w:rFonts w:ascii="Times New Roman" w:cs="Times New Roman" w:eastAsia="Times New Roman" w:hAnsi="Times New Roman"/>
          <w:sz w:val="20"/>
          <w:szCs w:val="20"/>
          <w:color w:val="auto"/>
        </w:rPr>
        <w:t xml:space="preserve">, 540 days) after the receipt of such Net Cash Proceeds, a definitive agreement for the purchase of such assets shall have been entered into and (B) within 360 days (or, in the case of a Disposition permitted by </w:t>
      </w:r>
      <w:r>
        <w:rPr>
          <w:rFonts w:ascii="Times New Roman" w:cs="Times New Roman" w:eastAsia="Times New Roman" w:hAnsi="Times New Roman"/>
          <w:sz w:val="20"/>
          <w:szCs w:val="20"/>
          <w:u w:val="single" w:color="auto"/>
          <w:color w:val="auto"/>
        </w:rPr>
        <w:t>Section 7.05(i)</w:t>
      </w:r>
      <w:r>
        <w:rPr>
          <w:rFonts w:ascii="Times New Roman" w:cs="Times New Roman" w:eastAsia="Times New Roman" w:hAnsi="Times New Roman"/>
          <w:sz w:val="20"/>
          <w:szCs w:val="20"/>
          <w:color w:val="auto"/>
        </w:rPr>
        <w:t xml:space="preserve">, 720 days) after the receipt of such Net Cash Proceeds, such purchase shall have been consummated (as certified by the Company in writing to the Administrative Agent);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 amount equal to any Net Cash Proceeds not subject to such definitive agreement or so reinvested shall be immediately applied to the mandatory prepayments as set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06" w:name="page107"/>
    <w:bookmarkEnd w:id="106"/>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 xml:space="preserve">forth in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Notwithstanding the foregoing, the Company and its Restricted Subsidiaries shall be permitted during each fiscal year to exclude up to $10,000,000 of the Net Cash Proceeds resulting from the Dispositions described above from the prepayment requirements contemplated in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40" w:firstLine="740"/>
        <w:spacing w:after="0" w:line="246" w:lineRule="auto"/>
        <w:tabs>
          <w:tab w:leader="none" w:pos="192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Incurrence of Indebtedness</w:t>
      </w:r>
      <w:r>
        <w:rPr>
          <w:rFonts w:ascii="Times New Roman" w:cs="Times New Roman" w:eastAsia="Times New Roman" w:hAnsi="Times New Roman"/>
          <w:sz w:val="20"/>
          <w:szCs w:val="20"/>
          <w:color w:val="auto"/>
        </w:rPr>
        <w:t xml:space="preserve">. Upon the incurrence or issuance by the Company or any of its Restricted Subsidiaries of any Indebtedness (other than Indebtedness expressly permitted to be incurred or issued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the Company shall make (and/or cause the applicable Designated Borrower to make,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mandatory prepayments in the manner set forth in </w:t>
      </w:r>
      <w:r>
        <w:rPr>
          <w:rFonts w:ascii="Times New Roman" w:cs="Times New Roman" w:eastAsia="Times New Roman" w:hAnsi="Times New Roman"/>
          <w:sz w:val="20"/>
          <w:szCs w:val="20"/>
          <w:u w:val="single" w:color="auto"/>
          <w:color w:val="auto"/>
        </w:rPr>
        <w:t>subsection (v)</w:t>
      </w:r>
      <w:r>
        <w:rPr>
          <w:rFonts w:ascii="Times New Roman" w:cs="Times New Roman" w:eastAsia="Times New Roman" w:hAnsi="Times New Roman"/>
          <w:sz w:val="20"/>
          <w:szCs w:val="20"/>
          <w:color w:val="auto"/>
        </w:rPr>
        <w:t xml:space="preserve"> below in an amount equal to 100% of all Net Cash Proceeds received therefrom immediately upon receipt thereof by the Company or such Restricted Subsidiary.</w:t>
      </w:r>
    </w:p>
    <w:p>
      <w:pPr>
        <w:spacing w:after="0" w:line="184" w:lineRule="exact"/>
        <w:rPr>
          <w:rFonts w:ascii="Times New Roman" w:cs="Times New Roman" w:eastAsia="Times New Roman" w:hAnsi="Times New Roman"/>
          <w:sz w:val="20"/>
          <w:szCs w:val="20"/>
          <w:color w:val="auto"/>
        </w:rPr>
      </w:pPr>
    </w:p>
    <w:p>
      <w:pPr>
        <w:jc w:val="both"/>
        <w:ind w:left="740" w:firstLine="740"/>
        <w:spacing w:after="0" w:line="241" w:lineRule="auto"/>
        <w:tabs>
          <w:tab w:leader="none" w:pos="189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and Condemnation Events</w:t>
      </w:r>
      <w:r>
        <w:rPr>
          <w:rFonts w:ascii="Times New Roman" w:cs="Times New Roman" w:eastAsia="Times New Roman" w:hAnsi="Times New Roman"/>
          <w:sz w:val="20"/>
          <w:szCs w:val="20"/>
          <w:color w:val="auto"/>
        </w:rPr>
        <w:t xml:space="preserve">. Upon the occurrence of any Insurance and Condemnation Event which results in the realization by the Company or any Restricted Subsidiary of Net Cash Proceeds, the Company shall make (and/or cause the applicable Designated Borrower to make,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mandatory prepayments in the manner set forth in </w:t>
      </w:r>
      <w:r>
        <w:rPr>
          <w:rFonts w:ascii="Times New Roman" w:cs="Times New Roman" w:eastAsia="Times New Roman" w:hAnsi="Times New Roman"/>
          <w:sz w:val="20"/>
          <w:szCs w:val="20"/>
          <w:u w:val="single" w:color="auto"/>
          <w:color w:val="auto"/>
        </w:rPr>
        <w:t>subsection (v)</w:t>
      </w:r>
      <w:r>
        <w:rPr>
          <w:rFonts w:ascii="Times New Roman" w:cs="Times New Roman" w:eastAsia="Times New Roman" w:hAnsi="Times New Roman"/>
          <w:sz w:val="20"/>
          <w:szCs w:val="20"/>
          <w:color w:val="auto"/>
        </w:rPr>
        <w:t xml:space="preserve"> below in an amount equal to 100% of such Net Cash Proceeds immediately upon receipt thereof by the Company or such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any such Net Cash Proceeds, at the election of the Company (as notified by the Company to the Administrative Agent on or prior to the date of receipt of such Net Cash Proceeds), and so long as no Event of Default shall have occurred and be continuing, the Company or such Restricted Subsidiary may utilize such Net Cash Proceeds within 270 days after the receipt thereof to replace or repair the equipment, fixed assets or real property in respect of which such Net Cash Proceeds were received;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 amount equal to any Net Cash Proceeds not so utilized shall be immediately applied to the mandatory prepayments as set forth in this </w:t>
      </w:r>
      <w:r>
        <w:rPr>
          <w:rFonts w:ascii="Times New Roman" w:cs="Times New Roman" w:eastAsia="Times New Roman" w:hAnsi="Times New Roman"/>
          <w:sz w:val="20"/>
          <w:szCs w:val="20"/>
          <w:u w:val="single" w:color="auto"/>
          <w:color w:val="auto"/>
        </w:rPr>
        <w:t>Section 2.05(b)(iii)</w:t>
      </w:r>
      <w:r>
        <w:rPr>
          <w:rFonts w:ascii="Times New Roman" w:cs="Times New Roman" w:eastAsia="Times New Roman" w:hAnsi="Times New Roman"/>
          <w:sz w:val="20"/>
          <w:szCs w:val="20"/>
          <w:color w:val="auto"/>
        </w:rPr>
        <w:t xml:space="preserve">. Notwithstanding the foregoing, the Company and its Restricted Subsidiaries shall be permitted during each fiscal year to exclude up to $5,000,000 of the Net Cash Proceeds resulting from Insurance and Condemnation Events from the prepayment requirements contemplated in this </w:t>
      </w:r>
      <w:r>
        <w:rPr>
          <w:rFonts w:ascii="Times New Roman" w:cs="Times New Roman" w:eastAsia="Times New Roman" w:hAnsi="Times New Roman"/>
          <w:sz w:val="20"/>
          <w:szCs w:val="20"/>
          <w:u w:val="single" w:color="auto"/>
          <w:color w:val="auto"/>
        </w:rPr>
        <w:t>Section 2.05(b)(iii)</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left="740" w:firstLine="740"/>
        <w:spacing w:after="0" w:line="241" w:lineRule="auto"/>
        <w:tabs>
          <w:tab w:leader="none" w:pos="18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Excess Total Revolving Credit Outstandings</w:t>
      </w:r>
      <w:r>
        <w:rPr>
          <w:rFonts w:ascii="Times New Roman" w:cs="Times New Roman" w:eastAsia="Times New Roman" w:hAnsi="Times New Roman"/>
          <w:sz w:val="20"/>
          <w:szCs w:val="20"/>
          <w:color w:val="auto"/>
        </w:rPr>
        <w:t xml:space="preserve">. If for any reason the Total Revolving Credit Outstandings at any time exceed the Aggregate Revolving Credit Commitments at such time or the Outstanding Amount of all Revolving Credit Loans denominated in Alternative Currencies at such time exceeds the Alternative Currency Sublimit then in effect (in either case, other than due to currency fluctuations), the Company shall (and/or cause the applicable Designated Borrower to,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promptly (and in any event within one Business Day) prepay Revolving Credit Loans, Swing Line Loans and L/C Borrowings and/or Cash Collateralize the L/C Obligations in an aggregate amount equal to such excess. If, as a result of currency fluctuations, the Administrative Agent notifies the Company at any time that (A) the Outstanding Amount of all Revolving Credit Loans denominated in Alternative Currencies at such time exceeds an amount equal to 103% of the Alternative Currency Sublimit then in effect, then, within two Business Days after receipt of such notice, the Company shall (and/or cause the applicable Designated Borrower to,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prepay Revolving Credit Loans in an aggregate amount sufficient to reduce such Outstanding Amount as of such date of payment to an amount not to exceed 100% of the Alternative Currency Sublimit then in effect and (B) the Total Revolving Credit Outstandings at any time exceed an amount equal to 103% of the Aggregate Revolving Credit Commitments at such time, then, within two Business Days after receipt of such notice, the Company shall (and/or cause the applicable Designated Borrower to,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prepay Revolving Credit Loans, Swing Line Loans and L/C Borrowings and/or Cash Collateralize the L/C Obligations in 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07" w:name="page108"/>
    <w:bookmarkEnd w:id="107"/>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aggregate amount equal to such excess. Upon the drawing of any Letter of Credit that has been Cash Collateralized, the funds held as Cash Collateral shall be applied (without any further action by or notice to or from the Company or any other Loan Party) to reimburse the L/C Issuer or the Revolving Credit Lenders, as applicable</w:t>
      </w:r>
    </w:p>
    <w:p>
      <w:pPr>
        <w:spacing w:after="0" w:line="174" w:lineRule="exact"/>
        <w:rPr>
          <w:sz w:val="20"/>
          <w:szCs w:val="20"/>
          <w:color w:val="auto"/>
        </w:rPr>
      </w:pPr>
    </w:p>
    <w:p>
      <w:pPr>
        <w:ind w:left="1880" w:hanging="400"/>
        <w:spacing w:after="0"/>
        <w:tabs>
          <w:tab w:leader="none" w:pos="188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Mandatory Prepayments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80" w:firstLine="748"/>
        <w:spacing w:after="0" w:line="243" w:lineRule="auto"/>
        <w:tabs>
          <w:tab w:leader="none" w:pos="2624"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prepayment and/or Cash Collateralization made pursuant to the foregoing clauses (i),(ii) and (iii)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ratably between the Incremental Term A-1 Loans and (unless otherwise agreed by the applicable Incremental Lenders) any other Incremental Term Loans to reduce, initially, in direct order of maturity the next four immediately succeeding scheduled principal installments thereof and, thereafter, to the remaining scheduled principal installments thereof (including the payment due on the Maturity Date thereof) on a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rata</w:t>
      </w:r>
      <w:r>
        <w:rPr>
          <w:rFonts w:ascii="Times New Roman" w:cs="Times New Roman" w:eastAsia="Times New Roman" w:hAnsi="Times New Roman"/>
          <w:sz w:val="20"/>
          <w:szCs w:val="20"/>
          <w:color w:val="auto"/>
        </w:rPr>
        <w:t xml:space="preserve"> basis,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Revolving Credit Facility (without a corresponding reduction of the Revolving Credit Commitments)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ratably to the L/C Borrowings and the Swing Line Loans,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ratably to the outstanding Revolving Credit Loans.</w:t>
      </w:r>
    </w:p>
    <w:p>
      <w:pPr>
        <w:spacing w:after="0" w:line="189" w:lineRule="exact"/>
        <w:rPr>
          <w:rFonts w:ascii="Times New Roman" w:cs="Times New Roman" w:eastAsia="Times New Roman" w:hAnsi="Times New Roman"/>
          <w:sz w:val="20"/>
          <w:szCs w:val="20"/>
          <w:color w:val="auto"/>
        </w:rPr>
      </w:pPr>
    </w:p>
    <w:p>
      <w:pPr>
        <w:ind w:left="1480" w:firstLine="748"/>
        <w:spacing w:after="0" w:line="269" w:lineRule="auto"/>
        <w:tabs>
          <w:tab w:leader="none" w:pos="2624"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each prepayment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paid to the Lenders in accordance with their respective Applicable Percentages in respect of the applicable Facility.</w:t>
      </w:r>
    </w:p>
    <w:p>
      <w:pPr>
        <w:spacing w:after="0" w:line="159" w:lineRule="exact"/>
        <w:rPr>
          <w:rFonts w:ascii="Times New Roman" w:cs="Times New Roman" w:eastAsia="Times New Roman" w:hAnsi="Times New Roman"/>
          <w:sz w:val="20"/>
          <w:szCs w:val="20"/>
          <w:color w:val="auto"/>
        </w:rPr>
      </w:pPr>
    </w:p>
    <w:p>
      <w:pPr>
        <w:jc w:val="both"/>
        <w:ind w:left="1480" w:firstLine="748"/>
        <w:spacing w:after="0" w:line="249" w:lineRule="auto"/>
        <w:tabs>
          <w:tab w:leader="none" w:pos="2624"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prior to any reinvestment of Net Cash Proceeds pursuant to subsection (i) or (iii) above, the Company may only apply such Net Cash Proceeds as a voluntary prepayment of Revolving Credit Loans and, subject to the requirements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subsequently reborrow such Net Cash Proceeds as Revolving Credit Loans for the purposes of completing such reinvestment.</w:t>
      </w:r>
    </w:p>
    <w:p>
      <w:pPr>
        <w:spacing w:after="0" w:line="179" w:lineRule="exact"/>
        <w:rPr>
          <w:rFonts w:ascii="Times New Roman" w:cs="Times New Roman" w:eastAsia="Times New Roman" w:hAnsi="Times New Roman"/>
          <w:sz w:val="20"/>
          <w:szCs w:val="20"/>
          <w:color w:val="auto"/>
        </w:rPr>
      </w:pPr>
    </w:p>
    <w:p>
      <w:pPr>
        <w:ind w:left="1880" w:hanging="400"/>
        <w:spacing w:after="0"/>
        <w:tabs>
          <w:tab w:leader="none" w:pos="188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to the contrary, no prepayment shall be required pursuant to</w:t>
      </w:r>
    </w:p>
    <w:p>
      <w:pPr>
        <w:spacing w:after="0" w:line="21" w:lineRule="exact"/>
        <w:rPr>
          <w:rFonts w:ascii="Times New Roman" w:cs="Times New Roman" w:eastAsia="Times New Roman" w:hAnsi="Times New Roman"/>
          <w:sz w:val="20"/>
          <w:szCs w:val="20"/>
          <w:color w:val="auto"/>
        </w:rPr>
      </w:pPr>
    </w:p>
    <w:p>
      <w:pPr>
        <w:jc w:val="both"/>
        <w:ind w:left="740" w:hanging="9"/>
        <w:spacing w:after="0"/>
        <w:tabs>
          <w:tab w:leader="none" w:pos="106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as a result of any actions of a Foreign Subsidiary if such prepayment by such Foreign Subsidiary or the upstreaming of cash by such Foreign Subsidiary in order to make such prepayment would not be permitted by local law (e.g., financial assistance, corporate benefit, restrictions on upstreaming of cash intra-group and the fiduciary and statutory duties of the directors of such Foreign Subsidiary), (B)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as a result of the Disposition of assets by a Foreign Subsidiary or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as a result of the receipt of Net Cash Proceeds by a Foreign Subsidiary from an Insurance and Condemnation Event if, in either case, the Company and its Subsidiaries would suffer material adverse tax consequences (as determined in good faith by the Company) as a result of upstreaming cash to make any such prepayment (including the imposition of withholding taxes) and (C) no prepayment shall be required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if the Consolidated Net Leverage Ratio as of the date such prepayment would otherwise be required (i.e. the date such Net Cash Proceeds are received if the Company does not provide a notice of its intent to reinvest or the date on which such reinvestment period ends) is less than 3.00 to 1.00 (calculated after giving pro forma effect to any Disposition resulting in the particular Net Cash Proceeds).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2.06 Termination or Reduction of Commitments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20" w:firstLine="751"/>
        <w:spacing w:after="0" w:line="254" w:lineRule="auto"/>
        <w:tabs>
          <w:tab w:leader="none" w:pos="115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The Company may, upon notice to the Administrative Agent, terminate the Aggregate Revolving Credit Commitments, the Alternative Currency Sublimit, the Designated Non-U.S. Borrower Sublimit, the Letter of Credit Sublimit (or any L/C Issuer’s commitment thereunder) or</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08" w:name="page109"/>
    <w:bookmarkEnd w:id="108"/>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 Swing Line Sublimit, or from time to time permanently reduce the Aggregate Revolving Credit Commitments, the Alternative Currency Sublimit, the Designated Non-U.S. Borrower Sublimit, the Letter of Credit Sublimit (or any L/C Issuer’s commitment thereunder) or the Swing 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11:00 a.m. five Business Days prior to the date of termination or reduction, (ii) any such partial reduction in the Aggregate Revolving Credit Commitments shall be in an aggregate amount of $5,000,000 or any whole multiple of $1,000,000 in excess thereof and (iii) the Company shall not terminate or reduce (A) the Aggregate Revolving Credit Commitments if, after giving effect thereto and to any concurrent prepayments hereunder, the Total Revolving Credit Outstandings would exceed the Aggregate Revolving Credit Commitments, (B) the Alternative Currency Sublimit if, after giving effect thereto and to any concurrent prepayments hereunder, the Outstanding Amount of Revolving Credit Loans in Alternative Currencies would exceed the Alternative Currency Sublimit, (C) the Designated Non-U.S. Borrower Sublimit if, after giving effect thereto and to any concurrent prepayments hereunder, the Outstanding Amount of Revolving Credit Loans to Designated Borrowers that are not U.S. Borrowers would exceed the Designated Non-U.S. Borrower Sublimit, (D) the Letter of Credit Sublimit (or any L/C Issuer’s commitment thereunder) if, after giving effect thereto, the Outstanding Amount of L/C Obligations not fully Cash Collateralized hereunder would exceed the Letter of Credit Sublimit (or the Outstanding Amount of L/C Obligations not fully Cash Collateralized of any L/C Issuer would exceed such L/C Issuer’s commitment under the Letter of Credit Sublimit).or (E) the Swing Line Sublimit if, after giving effect thereto and to any concurrent prepayments hereunder, the Outstanding Amount of Swing Line Loans would exceed the Swing Line Sublimit. In addition, from and after the Amendment No. 1 Effective Date until the Longhorn Acquisition Commitment Termination Date, the Company may, upon notice to the Administrative Agent as set forth above, from time to time terminate (in whole or in part) the unused portion of the aggregate Incremental Term A-1 Commitments.</w:t>
      </w:r>
    </w:p>
    <w:p>
      <w:pPr>
        <w:spacing w:after="0" w:line="189" w:lineRule="exact"/>
        <w:rPr>
          <w:sz w:val="20"/>
          <w:szCs w:val="20"/>
          <w:color w:val="auto"/>
        </w:rPr>
      </w:pPr>
    </w:p>
    <w:p>
      <w:pPr>
        <w:ind w:firstLine="751"/>
        <w:spacing w:after="0" w:line="269" w:lineRule="auto"/>
        <w:tabs>
          <w:tab w:leader="none" w:pos="114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 The aggregate Incremental Term A-1 Loan Commitments shall be automatically and permanently reduced to zero on the Longhorn Acquisition Commitment Termination Date.</w:t>
      </w:r>
    </w:p>
    <w:p>
      <w:pPr>
        <w:spacing w:after="0" w:line="159" w:lineRule="exact"/>
        <w:rPr>
          <w:rFonts w:ascii="Times New Roman" w:cs="Times New Roman" w:eastAsia="Times New Roman" w:hAnsi="Times New Roman"/>
          <w:sz w:val="20"/>
          <w:szCs w:val="20"/>
          <w:color w:val="auto"/>
        </w:rPr>
      </w:pPr>
    </w:p>
    <w:p>
      <w:pPr>
        <w:jc w:val="both"/>
        <w:ind w:firstLine="751"/>
        <w:spacing w:after="0" w:line="242" w:lineRule="auto"/>
        <w:tabs>
          <w:tab w:leader="none" w:pos="114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Commitment Reductions; Payment of Fees</w:t>
      </w:r>
      <w:r>
        <w:rPr>
          <w:rFonts w:ascii="Times New Roman" w:cs="Times New Roman" w:eastAsia="Times New Roman" w:hAnsi="Times New Roman"/>
          <w:sz w:val="20"/>
          <w:szCs w:val="20"/>
          <w:color w:val="auto"/>
        </w:rPr>
        <w:t xml:space="preserve">. The Administrative Agent will promptly notify the Lenders of any termination or reduction of the Aggregate Revolving Credit Commitments, the Alternative Currency Sublimit, the Designated Non-U.S. Borrower Sublimit, the Letter of Credit Sublimit or the Swing Line Sublimit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Upon any reduction of the Aggregate Revolving Credit Commitments, the Revolving Credit Commitment of each Lender shall be reduced by such Lender’s Applicable Revolving Credit Percentage of such reduction amount. All fees in respect of the Revolving Credit Facility accrued until the effective date of any termination of the Aggregate Revolving Credit Commitments shall be paid on the effective date of such termination. The Administrative Agent will promptly notify the Lenders of any termination or reduction of the unused portion of the aggregate Incremental Term A-1 Loan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Upon any reduction of the unused portion of the aggregate Incremental Term A-1 Loan Commitments, the Incremental Term A-1 Loan Commitment of each Incremental Term A-1 Loan Lender shall be reduced by such Lender’s ratable portion of such reduction amount. All fees in respect of the Incremental Term A-1 Loan Facility accrued until the effective date of any termination of the Incremental Term A-1 Loan Facility shall be paid on the effective date of such termination.</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2.07 Repayment of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1"/>
        <w:spacing w:after="0" w:line="254" w:lineRule="auto"/>
        <w:tabs>
          <w:tab w:leader="none" w:pos="114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Loans</w:t>
      </w:r>
      <w:r>
        <w:rPr>
          <w:rFonts w:ascii="Times New Roman" w:cs="Times New Roman" w:eastAsia="Times New Roman" w:hAnsi="Times New Roman"/>
          <w:sz w:val="20"/>
          <w:szCs w:val="20"/>
          <w:color w:val="auto"/>
        </w:rPr>
        <w:t>. Each Borrower shall repay to the Revolving Credit Lenders on the Maturity Date with respect to the Revolving Credit Facility the aggregate principal amount of Revolving Credit Loans made to such Borrower outstanding on such date.</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09" w:name="page110"/>
    <w:bookmarkEnd w:id="109"/>
    <w:p>
      <w:pPr>
        <w:jc w:val="both"/>
        <w:ind w:firstLine="751"/>
        <w:spacing w:after="0" w:line="266" w:lineRule="auto"/>
        <w:tabs>
          <w:tab w:leader="none" w:pos="1145"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 The Company shall repay each Swing Line Loan on the earlier to occur of (i) the date ten Business Days after such Loan is made and (ii) the Maturity Date with respect to the Revolving Credit Facility. At any time that there shall exist a Defaulting Lender, immediately upon the request of the Swing Line Lender, the Company shall repay the outstanding Swing Line Loans made by the Swing Line Lender in an amount sufficient to eliminate any Fronting Exposure in respect of such Swing Line Loans.</w:t>
      </w:r>
    </w:p>
    <w:p>
      <w:pPr>
        <w:spacing w:after="0" w:line="165" w:lineRule="exact"/>
        <w:rPr>
          <w:rFonts w:ascii="Times New Roman" w:cs="Times New Roman" w:eastAsia="Times New Roman" w:hAnsi="Times New Roman"/>
          <w:sz w:val="19"/>
          <w:szCs w:val="19"/>
          <w:color w:val="auto"/>
        </w:rPr>
      </w:pPr>
    </w:p>
    <w:p>
      <w:pPr>
        <w:jc w:val="both"/>
        <w:ind w:firstLine="751"/>
        <w:spacing w:after="0" w:line="244" w:lineRule="auto"/>
        <w:tabs>
          <w:tab w:leader="none" w:pos="117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Term A-1 Loans</w:t>
      </w:r>
      <w:r>
        <w:rPr>
          <w:rFonts w:ascii="Times New Roman" w:cs="Times New Roman" w:eastAsia="Times New Roman" w:hAnsi="Times New Roman"/>
          <w:sz w:val="20"/>
          <w:szCs w:val="20"/>
          <w:color w:val="auto"/>
        </w:rPr>
        <w:t xml:space="preserve">. The Company shall repay to the Incremental Term A-1 Loan Lenders the aggregate principal amount of all Incremental Term A-1 Loans in installments on the last Business Day of each calendar quarter of each year (commencing on the last Business Day of the first full calendar quarter ending after the Longhorn Acquisition Funding Date) and in the respective amounts (expressed as a percentage of the aggregate outstanding principal amount of all Incremental Term A-1 Loans on the Longhorn Acquisition Funding Date (after giving effect to all Incremental Term A-1 Loans made on such date)) set forth opposite such installments as set forth in the table below (which principal amounts shall be reduced as a result of the application of prepayments in accordance with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w:t>
      </w:r>
    </w:p>
    <w:p>
      <w:pPr>
        <w:spacing w:after="0" w:line="185" w:lineRule="exact"/>
        <w:rPr>
          <w:sz w:val="20"/>
          <w:szCs w:val="20"/>
          <w:color w:val="auto"/>
        </w:rPr>
      </w:pPr>
    </w:p>
    <w:tbl>
      <w:tblPr>
        <w:tblLayout w:type="fixed"/>
        <w:tblInd w:w="1310" w:type="dxa"/>
        <w:tblCellMar>
          <w:top w:w="0" w:type="dxa"/>
          <w:left w:w="0" w:type="dxa"/>
          <w:bottom w:w="0" w:type="dxa"/>
          <w:right w:w="0" w:type="dxa"/>
        </w:tblCellMar>
      </w:tblPr>
      <w:tr>
        <w:trPr>
          <w:trHeight w:val="310"/>
        </w:trPr>
        <w:tc>
          <w:tcPr>
            <w:tcW w:w="4540" w:type="dxa"/>
            <w:vAlign w:val="bottom"/>
            <w:tcBorders>
              <w:top w:val="single" w:sz="8" w:color="auto"/>
              <w:left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Installment No.</w:t>
            </w:r>
          </w:p>
        </w:tc>
        <w:tc>
          <w:tcPr>
            <w:tcW w:w="5020" w:type="dxa"/>
            <w:vAlign w:val="bottom"/>
            <w:tcBorders>
              <w:top w:val="single" w:sz="8" w:color="auto"/>
              <w:bottom w:val="single" w:sz="8" w:color="auto"/>
              <w:right w:val="single" w:sz="8" w:color="auto"/>
            </w:tcBorders>
            <w:shd w:val="clear" w:color="auto" w:fill="F2F2F2"/>
          </w:tcPr>
          <w:p>
            <w:pPr>
              <w:ind w:left="1040"/>
              <w:spacing w:after="0"/>
              <w:rPr>
                <w:sz w:val="20"/>
                <w:szCs w:val="20"/>
                <w:color w:val="auto"/>
              </w:rPr>
            </w:pPr>
            <w:r>
              <w:rPr>
                <w:rFonts w:ascii="Times New Roman" w:cs="Times New Roman" w:eastAsia="Times New Roman" w:hAnsi="Times New Roman"/>
                <w:sz w:val="20"/>
                <w:szCs w:val="20"/>
                <w:b w:val="1"/>
                <w:bCs w:val="1"/>
                <w:color w:val="auto"/>
              </w:rPr>
              <w:t>Principal Repayment Installments</w:t>
            </w:r>
          </w:p>
        </w:tc>
      </w:tr>
      <w:tr>
        <w:trPr>
          <w:trHeight w:val="273"/>
        </w:trPr>
        <w:tc>
          <w:tcPr>
            <w:tcW w:w="4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Each of installments 1 through 8</w:t>
            </w:r>
          </w:p>
        </w:tc>
        <w:tc>
          <w:tcPr>
            <w:tcW w:w="5020" w:type="dxa"/>
            <w:vAlign w:val="bottom"/>
            <w:tcBorders>
              <w:right w:val="single" w:sz="8" w:color="auto"/>
            </w:tcBorders>
          </w:tcPr>
          <w:p>
            <w:pPr>
              <w:jc w:val="right"/>
              <w:ind w:right="2161"/>
              <w:spacing w:after="0"/>
              <w:rPr>
                <w:sz w:val="20"/>
                <w:szCs w:val="20"/>
                <w:color w:val="auto"/>
              </w:rPr>
            </w:pPr>
            <w:r>
              <w:rPr>
                <w:rFonts w:ascii="Times New Roman" w:cs="Times New Roman" w:eastAsia="Times New Roman" w:hAnsi="Times New Roman"/>
                <w:sz w:val="20"/>
                <w:szCs w:val="20"/>
                <w:color w:val="auto"/>
              </w:rPr>
              <w:t>1.25%</w:t>
            </w:r>
          </w:p>
        </w:tc>
      </w:tr>
      <w:tr>
        <w:trPr>
          <w:trHeight w:val="21"/>
        </w:trPr>
        <w:tc>
          <w:tcPr>
            <w:tcW w:w="4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2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4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Each installment thereafter</w:t>
            </w:r>
          </w:p>
        </w:tc>
        <w:tc>
          <w:tcPr>
            <w:tcW w:w="5020" w:type="dxa"/>
            <w:vAlign w:val="bottom"/>
            <w:tcBorders>
              <w:right w:val="single" w:sz="8" w:color="auto"/>
            </w:tcBorders>
          </w:tcPr>
          <w:p>
            <w:pPr>
              <w:jc w:val="right"/>
              <w:ind w:right="2121"/>
              <w:spacing w:after="0"/>
              <w:rPr>
                <w:sz w:val="20"/>
                <w:szCs w:val="20"/>
                <w:color w:val="auto"/>
              </w:rPr>
            </w:pPr>
            <w:r>
              <w:rPr>
                <w:rFonts w:ascii="Times New Roman" w:cs="Times New Roman" w:eastAsia="Times New Roman" w:hAnsi="Times New Roman"/>
                <w:sz w:val="20"/>
                <w:szCs w:val="20"/>
                <w:color w:val="auto"/>
              </w:rPr>
              <w:t>1.875%</w:t>
            </w:r>
          </w:p>
        </w:tc>
      </w:tr>
      <w:tr>
        <w:trPr>
          <w:trHeight w:val="21"/>
        </w:trPr>
        <w:tc>
          <w:tcPr>
            <w:tcW w:w="4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20" w:type="dxa"/>
            <w:vAlign w:val="bottom"/>
            <w:tcBorders>
              <w:bottom w:val="single" w:sz="8" w:color="auto"/>
              <w:right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final principal repayment installment of the Incremental Term A-1 Loans shall be repaid on the Maturity Date for the Incremental Term A-1 Loan Facility and in any event shall be in an amount equal to the aggregate principal amount of Incremental Term A-1 Loans made to the Company that remain outstanding on such date.</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2.08 Interest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1"/>
        <w:spacing w:after="0" w:line="242" w:lineRule="auto"/>
        <w:tabs>
          <w:tab w:leader="none" w:pos="114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 each Daily Simple SOFR Loan shall bear interest on the outstanding principal amount thereof from the applicable borrowing date at a rate per annum equal to Daily Simple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(iv) each Alternative Currency Daily Rate Loan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(v) each Alternative Currency Term Rate Loan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and (vi)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89" w:lineRule="exact"/>
        <w:rPr>
          <w:rFonts w:ascii="Times New Roman" w:cs="Times New Roman" w:eastAsia="Times New Roman" w:hAnsi="Times New Roman"/>
          <w:sz w:val="20"/>
          <w:szCs w:val="20"/>
          <w:color w:val="auto"/>
        </w:rPr>
      </w:pPr>
    </w:p>
    <w:p>
      <w:pPr>
        <w:ind w:firstLine="751"/>
        <w:spacing w:after="0" w:line="254" w:lineRule="auto"/>
        <w:tabs>
          <w:tab w:leader="none" w:pos="114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w:t>
      </w:r>
    </w:p>
    <w:p>
      <w:pPr>
        <w:spacing w:after="0" w:line="174" w:lineRule="exact"/>
        <w:rPr>
          <w:rFonts w:ascii="Times New Roman" w:cs="Times New Roman" w:eastAsia="Times New Roman" w:hAnsi="Times New Roman"/>
          <w:sz w:val="20"/>
          <w:szCs w:val="20"/>
          <w:color w:val="auto"/>
        </w:rPr>
      </w:pPr>
    </w:p>
    <w:p>
      <w:pPr>
        <w:ind w:left="760" w:firstLine="740"/>
        <w:spacing w:after="0" w:line="269" w:lineRule="auto"/>
        <w:tabs>
          <w:tab w:leader="none" w:pos="190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While any Event of Default of the type described in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exists, the Borrowers shall pay interest on the principal amount of all of their respective outstanding</w:t>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10" w:name="page111"/>
    <w:bookmarkEnd w:id="110"/>
    <w:p>
      <w:pPr>
        <w:ind w:left="740"/>
        <w:spacing w:after="0" w:line="269" w:lineRule="auto"/>
        <w:rPr>
          <w:sz w:val="20"/>
          <w:szCs w:val="20"/>
          <w:color w:val="auto"/>
        </w:rPr>
      </w:pPr>
      <w:r>
        <w:rPr>
          <w:rFonts w:ascii="Times New Roman" w:cs="Times New Roman" w:eastAsia="Times New Roman" w:hAnsi="Times New Roman"/>
          <w:sz w:val="20"/>
          <w:szCs w:val="20"/>
          <w:color w:val="auto"/>
        </w:rPr>
        <w:t>Obligations hereunder at a fluctuating interest rate per annum at all times equal to the Default Rate to the fullest extent permitted by Applicable Law.</w:t>
      </w:r>
    </w:p>
    <w:p>
      <w:pPr>
        <w:spacing w:after="0" w:line="159" w:lineRule="exact"/>
        <w:rPr>
          <w:sz w:val="20"/>
          <w:szCs w:val="20"/>
          <w:color w:val="auto"/>
        </w:rPr>
      </w:pPr>
    </w:p>
    <w:p>
      <w:pPr>
        <w:jc w:val="both"/>
        <w:ind w:left="740" w:firstLine="740"/>
        <w:spacing w:after="0" w:line="249" w:lineRule="auto"/>
        <w:tabs>
          <w:tab w:leader="none" w:pos="188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w:t>
      </w:r>
    </w:p>
    <w:p>
      <w:pPr>
        <w:spacing w:after="0" w:line="179" w:lineRule="exact"/>
        <w:rPr>
          <w:rFonts w:ascii="Times New Roman" w:cs="Times New Roman" w:eastAsia="Times New Roman" w:hAnsi="Times New Roman"/>
          <w:sz w:val="20"/>
          <w:szCs w:val="20"/>
          <w:color w:val="auto"/>
        </w:rPr>
      </w:pPr>
    </w:p>
    <w:p>
      <w:pPr>
        <w:ind w:left="1880" w:hanging="400"/>
        <w:spacing w:after="0"/>
        <w:tabs>
          <w:tab w:leader="none" w:pos="188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request of the Required Lenders while any Event of Default exists (other than as set forth in </w:t>
      </w:r>
      <w:r>
        <w:rPr>
          <w:rFonts w:ascii="Times New Roman" w:cs="Times New Roman" w:eastAsia="Times New Roman" w:hAnsi="Times New Roman"/>
          <w:sz w:val="19"/>
          <w:szCs w:val="19"/>
          <w:u w:val="single" w:color="auto"/>
          <w:color w:val="auto"/>
        </w:rPr>
        <w:t>clauses (b)</w:t>
      </w:r>
    </w:p>
    <w:p>
      <w:pPr>
        <w:spacing w:after="0" w:line="33" w:lineRule="exact"/>
        <w:rPr>
          <w:rFonts w:ascii="Times New Roman" w:cs="Times New Roman" w:eastAsia="Times New Roman" w:hAnsi="Times New Roman"/>
          <w:sz w:val="19"/>
          <w:szCs w:val="19"/>
          <w:color w:val="auto"/>
        </w:rPr>
      </w:pPr>
    </w:p>
    <w:p>
      <w:pPr>
        <w:ind w:left="740"/>
        <w:spacing w:after="0" w:line="27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(b)(iii)</w:t>
      </w:r>
      <w:r>
        <w:rPr>
          <w:rFonts w:ascii="Times New Roman" w:cs="Times New Roman" w:eastAsia="Times New Roman" w:hAnsi="Times New Roman"/>
          <w:sz w:val="19"/>
          <w:szCs w:val="19"/>
          <w:color w:val="auto"/>
        </w:rPr>
        <w:t xml:space="preserve"> above), the Borrowers shall pay interest on the principal amount of all outstanding Obligations hereunder at a fluctuating interest rate per annum at all times equal to the Default Rate to the fullest extent permitted by Applicable Law.</w:t>
      </w:r>
    </w:p>
    <w:p>
      <w:pPr>
        <w:spacing w:after="0" w:line="159" w:lineRule="exact"/>
        <w:rPr>
          <w:rFonts w:ascii="Times New Roman" w:cs="Times New Roman" w:eastAsia="Times New Roman" w:hAnsi="Times New Roman"/>
          <w:sz w:val="19"/>
          <w:szCs w:val="19"/>
          <w:color w:val="auto"/>
        </w:rPr>
      </w:pPr>
    </w:p>
    <w:p>
      <w:pPr>
        <w:ind w:left="740" w:right="40" w:firstLine="740"/>
        <w:spacing w:after="0" w:line="269" w:lineRule="auto"/>
        <w:tabs>
          <w:tab w:leader="none" w:pos="188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w:t>
      </w:r>
    </w:p>
    <w:p>
      <w:pPr>
        <w:spacing w:after="0" w:line="159" w:lineRule="exact"/>
        <w:rPr>
          <w:sz w:val="20"/>
          <w:szCs w:val="20"/>
          <w:color w:val="auto"/>
        </w:rPr>
      </w:pPr>
    </w:p>
    <w:p>
      <w:pPr>
        <w:jc w:val="both"/>
        <w:ind w:left="-20" w:firstLine="751"/>
        <w:spacing w:after="0" w:line="254" w:lineRule="auto"/>
        <w:tabs>
          <w:tab w:leader="none" w:pos="112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2.09 Fees. </w:t>
      </w:r>
      <w:r>
        <w:rPr>
          <w:rFonts w:ascii="Times New Roman" w:cs="Times New Roman" w:eastAsia="Times New Roman" w:hAnsi="Times New Roman"/>
          <w:sz w:val="20"/>
          <w:szCs w:val="20"/>
          <w:color w:val="auto"/>
        </w:rPr>
        <w:t>In addition to certain fees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subsections (h)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20" w:firstLine="751"/>
        <w:spacing w:after="0" w:line="242" w:lineRule="auto"/>
        <w:tabs>
          <w:tab w:leader="none" w:pos="112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The Company shall pay to the Administrative Agent for the account of each Revolving Credit Lender in accordance with its Applicable Revolving Credit Percentage, a commitment fee in Dollars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actual daily amount by which the Aggregate Revolving Credit Commitments exceed the sum of (i) the Outstanding Amount of Revolving Credit Loans and (ii) the Outstanding Amount of L/C Obligations, subject to adjustment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For the avoidance of doubt, the Outstanding Amount of Swing Line Loans shall not be counted towards or considered usage of the Aggregate Revolving Credit Commitments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9"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2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(i) The Company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174" w:lineRule="exact"/>
        <w:rPr>
          <w:rFonts w:ascii="Times New Roman" w:cs="Times New Roman" w:eastAsia="Times New Roman" w:hAnsi="Times New Roman"/>
          <w:sz w:val="20"/>
          <w:szCs w:val="20"/>
          <w:color w:val="auto"/>
        </w:rPr>
      </w:pPr>
    </w:p>
    <w:p>
      <w:pPr>
        <w:jc w:val="both"/>
        <w:ind w:left="740" w:firstLine="740"/>
        <w:spacing w:after="0" w:line="254" w:lineRule="auto"/>
        <w:tabs>
          <w:tab w:leader="none" w:pos="1884"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74"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3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Ticking Fee</w:t>
      </w:r>
      <w:r>
        <w:rPr>
          <w:rFonts w:ascii="Times New Roman" w:cs="Times New Roman" w:eastAsia="Times New Roman" w:hAnsi="Times New Roman"/>
          <w:sz w:val="20"/>
          <w:szCs w:val="20"/>
          <w:color w:val="auto"/>
        </w:rPr>
        <w:t xml:space="preserve">. The Company shall pay to the Administrative Agent for the account of each Incremental Term A-1 Loan Lender, in accordance with its Applicable Percentage of the Incremental Term A-1 Loan Facility, a ticking fee in Dollars equal to 0.35% per annum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actual daily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11" w:name="page112"/>
    <w:bookmarkEnd w:id="111"/>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undrawn amount of the Incremental Term A-1 Loan Commitments. The ticking fee shall accrue at all times during the period commencing on May 14, 2026 (if the Incremental Term A-1 Loan Borrowing does not occur on such date) until the earlier to occur of the Longhorn Acquisition Funding Date and the Longhorn Acquisition Commitment Termination Date, including at any time during which one or more of the conditions in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is not met, and shall be due and payable on the earlier to occur of the Longhorn Acquisition Funding Date and the Longhorn Acquisition Commitment Termination Date.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2.10 Computation of Interest and Fees; Retroactive Adjustments of Applicable Rate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1"/>
        <w:spacing w:after="0" w:line="243" w:lineRule="auto"/>
        <w:tabs>
          <w:tab w:leader="none" w:pos="114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for Base Rate Loans (including Base Rate Loans determined by reference to Daily Simple SOFR) shall be made on the basis of a year of 365 or 366 days. All computations of interest for Alternative Currency Loans shall be made on the basis of a year as set forth on Schedule 2.10 for such Alternative Currency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85" w:lineRule="exact"/>
        <w:rPr>
          <w:rFonts w:ascii="Times New Roman" w:cs="Times New Roman" w:eastAsia="Times New Roman" w:hAnsi="Times New Roman"/>
          <w:sz w:val="20"/>
          <w:szCs w:val="20"/>
          <w:color w:val="auto"/>
        </w:rPr>
      </w:pPr>
    </w:p>
    <w:p>
      <w:pPr>
        <w:jc w:val="both"/>
        <w:ind w:firstLine="751"/>
        <w:spacing w:after="0" w:line="256" w:lineRule="auto"/>
        <w:tabs>
          <w:tab w:leader="none" w:pos="1145"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as a result of any restatement of or other adjustment to the financial statements of the Company or for any other reason, the Company or the Lenders determine that (i) the Consolidated Net Leverage Ratio as calculated by the Company as of any applicable date was inaccurate and (ii) a proper calculation of the Consolidated Net Leverage Ratio would have resulted in higher pricing for such period, each applicable Borrower shall immediately and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subject to </w:t>
      </w:r>
      <w:r>
        <w:rPr>
          <w:rFonts w:ascii="Times New Roman" w:cs="Times New Roman" w:eastAsia="Times New Roman" w:hAnsi="Times New Roman"/>
          <w:sz w:val="19"/>
          <w:szCs w:val="19"/>
          <w:u w:val="single" w:color="auto"/>
          <w:color w:val="auto"/>
        </w:rPr>
        <w:t>Section 2.14(b)</w:t>
      </w:r>
      <w:r>
        <w:rPr>
          <w:rFonts w:ascii="Times New Roman" w:cs="Times New Roman" w:eastAsia="Times New Roman" w:hAnsi="Times New Roman"/>
          <w:sz w:val="19"/>
          <w:szCs w:val="19"/>
          <w:color w:val="auto"/>
        </w:rPr>
        <w:t xml:space="preserve">. This paragraph shall not limit the rights of the Administrative Agent, any Lender or any L/C Issuer, as the case may be, under </w:t>
      </w:r>
      <w:r>
        <w:rPr>
          <w:rFonts w:ascii="Times New Roman" w:cs="Times New Roman" w:eastAsia="Times New Roman" w:hAnsi="Times New Roman"/>
          <w:sz w:val="19"/>
          <w:szCs w:val="19"/>
          <w:u w:val="single" w:color="auto"/>
          <w:color w:val="auto"/>
        </w:rPr>
        <w:t>Section 2.03(c)(iii)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2.03(h)</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2.08(b)</w:t>
      </w:r>
      <w:r>
        <w:rPr>
          <w:rFonts w:ascii="Times New Roman" w:cs="Times New Roman" w:eastAsia="Times New Roman" w:hAnsi="Times New Roman"/>
          <w:sz w:val="19"/>
          <w:szCs w:val="19"/>
          <w:color w:val="auto"/>
        </w:rPr>
        <w:t xml:space="preserve"> or under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The Borrowers’ obligations under this paragraph shall survive the termination of the Aggregate Commitments and the repayment of all other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-2649855</wp:posOffset>
            </wp:positionV>
            <wp:extent cx="711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2.11 Evidence of Debt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1"/>
        <w:spacing w:after="0" w:line="243" w:lineRule="auto"/>
        <w:tabs>
          <w:tab w:leader="none" w:pos="114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 The accounts or records maintained by each Lender shall be conclusive (including within the meaning of section 151 Dutch Code of Civil Procedure) absent manifest error of the amount of the Credit Extensions made by the Lenders to the Borrowers and the interest and payments thereon. Any failure to so record or any error in doing so shall not, however, limit or otherwise affect the obligation of each Borrower hereunder to pay any amount owing with respect to the Obligations. In the event of any conflict between the accounts and records maintained by any Lender and the Register, the Register shall control in the absence of manifest error. Upon the request of any Lender to a Borrower made through the Administrative Agent, such Borrower shall execute and deliver to such Lender (through the Administrative Agent) a Note, which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12" w:name="page113"/>
    <w:bookmarkEnd w:id="112"/>
    <w:p>
      <w:pPr>
        <w:ind w:left="380" w:right="20"/>
        <w:spacing w:after="0" w:line="269" w:lineRule="auto"/>
        <w:rPr>
          <w:sz w:val="20"/>
          <w:szCs w:val="20"/>
          <w:color w:val="auto"/>
        </w:rPr>
      </w:pPr>
      <w:r>
        <w:rPr>
          <w:rFonts w:ascii="Times New Roman" w:cs="Times New Roman" w:eastAsia="Times New Roman" w:hAnsi="Times New Roman"/>
          <w:sz w:val="20"/>
          <w:szCs w:val="20"/>
          <w:color w:val="auto"/>
        </w:rPr>
        <w:t>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59" w:lineRule="exact"/>
        <w:rPr>
          <w:sz w:val="20"/>
          <w:szCs w:val="20"/>
          <w:color w:val="auto"/>
        </w:rPr>
      </w:pPr>
    </w:p>
    <w:p>
      <w:pPr>
        <w:jc w:val="both"/>
        <w:ind w:left="380" w:firstLine="751"/>
        <w:spacing w:after="0" w:line="246" w:lineRule="auto"/>
        <w:tabs>
          <w:tab w:leader="none" w:pos="152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accounts and records referred to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2.12 Payments Generally; Administrative Agent’s Clawback. </w:t>
      </w: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Borrowers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Revolving Credit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(upon reasonable notice)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if such payment is being made pursuant to </w:t>
      </w:r>
      <w:r>
        <w:rPr>
          <w:rFonts w:ascii="Times New Roman" w:cs="Times New Roman" w:eastAsia="Times New Roman" w:hAnsi="Times New Roman"/>
          <w:sz w:val="20"/>
          <w:szCs w:val="20"/>
          <w:u w:val="single" w:color="auto"/>
          <w:color w:val="auto"/>
        </w:rPr>
        <w:t>Section 2.07(c)</w:t>
      </w:r>
      <w:r>
        <w:rPr>
          <w:rFonts w:ascii="Times New Roman" w:cs="Times New Roman" w:eastAsia="Times New Roman" w:hAnsi="Times New Roman"/>
          <w:sz w:val="20"/>
          <w:szCs w:val="20"/>
          <w:color w:val="auto"/>
        </w:rPr>
        <w:t xml:space="preserve"> and the next following Business Day falls in another calendar month, such payment shall be due on the next preceding Business Day.</w:t>
      </w:r>
    </w:p>
    <w:p>
      <w:pPr>
        <w:spacing w:after="0" w:line="191" w:lineRule="exact"/>
        <w:rPr>
          <w:sz w:val="20"/>
          <w:szCs w:val="20"/>
          <w:color w:val="auto"/>
        </w:rPr>
      </w:pPr>
    </w:p>
    <w:p>
      <w:pPr>
        <w:jc w:val="both"/>
        <w:ind w:left="380" w:firstLine="751"/>
        <w:spacing w:after="0" w:line="257" w:lineRule="auto"/>
        <w:tabs>
          <w:tab w:leader="none" w:pos="1525"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w:t>
      </w:r>
      <w:r>
        <w:rPr>
          <w:rFonts w:ascii="Times New Roman" w:cs="Times New Roman" w:eastAsia="Times New Roman" w:hAnsi="Times New Roman"/>
          <w:sz w:val="19"/>
          <w:szCs w:val="19"/>
          <w:u w:val="single" w:color="auto"/>
          <w:color w:val="auto"/>
        </w:rPr>
        <w:t>Funding by Lenders; Presumption by Administrative Agent</w:t>
      </w:r>
      <w:r>
        <w:rPr>
          <w:rFonts w:ascii="Times New Roman" w:cs="Times New Roman" w:eastAsia="Times New Roman" w:hAnsi="Times New Roman"/>
          <w:sz w:val="19"/>
          <w:szCs w:val="19"/>
          <w:color w:val="auto"/>
        </w:rPr>
        <w:t xml:space="preserve">. Unless the Administrative Agent shall have received notice from a Lender prior to the proposed date of any Borrowing of Daily Simple SOFR Loans, Term SOFR Loans or Alternative Currency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w:t>
      </w:r>
    </w:p>
    <w:p>
      <w:pPr>
        <w:spacing w:after="0" w:line="200" w:lineRule="exact"/>
        <w:rPr>
          <w:sz w:val="20"/>
          <w:szCs w:val="20"/>
          <w:color w:val="auto"/>
        </w:rPr>
      </w:pPr>
    </w:p>
    <w:p>
      <w:pPr>
        <w:spacing w:after="0" w:line="3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3" w:name="page114"/>
    <w:bookmarkEnd w:id="113"/>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92" w:lineRule="exact"/>
        <w:rPr>
          <w:sz w:val="20"/>
          <w:szCs w:val="20"/>
          <w:color w:val="auto"/>
        </w:rPr>
      </w:pPr>
    </w:p>
    <w:p>
      <w:pPr>
        <w:jc w:val="both"/>
        <w:ind w:left="1140" w:firstLine="740"/>
        <w:spacing w:after="0" w:line="246" w:lineRule="auto"/>
        <w:tabs>
          <w:tab w:leader="none" w:pos="229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 Presumptions by Administrative Agent</w:t>
      </w:r>
      <w:r>
        <w:rPr>
          <w:rFonts w:ascii="Times New Roman" w:cs="Times New Roman" w:eastAsia="Times New Roman" w:hAnsi="Times New Roman"/>
          <w:sz w:val="20"/>
          <w:szCs w:val="20"/>
          <w:color w:val="auto"/>
        </w:rPr>
        <w:t>. Unless the Administrative Agent shall have received notice from a Borrower prior to the time at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Lenders or L/C Issuers, as the case may be, the amount due.</w:t>
      </w:r>
    </w:p>
    <w:p>
      <w:pPr>
        <w:spacing w:after="0" w:line="18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Lenders or such L/C Issuer hereunder as to which the Administrative Agent determines (which determination shall be conclusive (including within the meaning of section 151 Dutch Code of Civil Procedure)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w:t>
      </w:r>
    </w:p>
    <w:p>
      <w:pPr>
        <w:jc w:val="both"/>
        <w:ind w:firstLine="8"/>
        <w:spacing w:after="0"/>
        <w:tabs>
          <w:tab w:leader="none" w:pos="28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1"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Borrower with respect to any amount owing under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shall be conclusive (including within the meaning of section 151 Dutch Code of Civil Procedure), absent manifest error.</w:t>
      </w:r>
    </w:p>
    <w:p>
      <w:pPr>
        <w:spacing w:after="0" w:line="159" w:lineRule="exact"/>
        <w:rPr>
          <w:sz w:val="20"/>
          <w:szCs w:val="20"/>
          <w:color w:val="auto"/>
        </w:rPr>
      </w:pPr>
    </w:p>
    <w:p>
      <w:pPr>
        <w:jc w:val="both"/>
        <w:ind w:left="380" w:firstLine="751"/>
        <w:spacing w:after="0" w:line="246" w:lineRule="auto"/>
        <w:tabs>
          <w:tab w:leader="none" w:pos="152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3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Term Loans and Revolving Credit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10.04(c)</w:t>
      </w:r>
      <w:r>
        <w:rPr>
          <w:rFonts w:ascii="Times New Roman" w:cs="Times New Roman" w:eastAsia="Times New Roman" w:hAnsi="Times New Roman"/>
          <w:sz w:val="20"/>
          <w:szCs w:val="20"/>
          <w:color w:val="auto"/>
        </w:rPr>
        <w:t xml:space="preserve"> on</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4" w:name="page115"/>
    <w:bookmarkEnd w:id="114"/>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 xml:space="preserve">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10.04(c)</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80" w:firstLine="751"/>
        <w:spacing w:after="0" w:line="254" w:lineRule="auto"/>
        <w:tabs>
          <w:tab w:leader="none" w:pos="152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2.13 Sharing of Payments by Lenders. </w:t>
      </w:r>
      <w:r>
        <w:rPr>
          <w:rFonts w:ascii="Times New Roman" w:cs="Times New Roman" w:eastAsia="Times New Roman" w:hAnsi="Times New Roman"/>
          <w:sz w:val="20"/>
          <w:szCs w:val="20"/>
          <w:color w:val="auto"/>
        </w:rPr>
        <w:t>If any Lender shall, by exercising any right of setoff or counterclaim or otherwise, obtain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6" w:lineRule="exact"/>
        <w:rPr>
          <w:sz w:val="20"/>
          <w:szCs w:val="20"/>
          <w:color w:val="auto"/>
        </w:rPr>
      </w:pPr>
    </w:p>
    <w:p>
      <w:pPr>
        <w:jc w:val="both"/>
        <w:ind w:left="1140" w:firstLine="740"/>
        <w:spacing w:after="0" w:line="254" w:lineRule="auto"/>
        <w:tabs>
          <w:tab w:leader="none" w:pos="228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45" w:lineRule="auto"/>
        <w:tabs>
          <w:tab w:leader="none" w:pos="228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or (z) any payment obtained by a Lender as consideration for the assignment of or sale of a participation in any of its Loans or subparticipations in L/C Obligations or Swing Line Loans to any assignee or participant, other than an assignment to the Company or any Subsidiary thereof (as to which the provisions of this Section shall apply).</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2.14 Designated Borrowers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380" w:right="60" w:firstLine="751"/>
        <w:spacing w:after="0" w:line="269" w:lineRule="auto"/>
        <w:tabs>
          <w:tab w:leader="none" w:pos="152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upon not less than fifteen (15) Business Days’ notice from the Company to the Administrative Agent (or such shorter period as may be agreed by the</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5" w:name="page116"/>
    <w:bookmarkEnd w:id="115"/>
    <w:p>
      <w:pPr>
        <w:jc w:val="both"/>
        <w:spacing w:after="0" w:line="241" w:lineRule="auto"/>
        <w:rPr>
          <w:sz w:val="20"/>
          <w:szCs w:val="20"/>
          <w:color w:val="auto"/>
        </w:rPr>
      </w:pPr>
      <w:r>
        <w:rPr>
          <w:rFonts w:ascii="Times New Roman" w:cs="Times New Roman" w:eastAsia="Times New Roman" w:hAnsi="Times New Roman"/>
          <w:sz w:val="20"/>
          <w:szCs w:val="20"/>
          <w:color w:val="auto"/>
        </w:rPr>
        <w:t>Administrative Agent in its sole discretion), designate any wholly-owned Restricted Subsidiary of the Company (an “</w:t>
      </w:r>
      <w:r>
        <w:rPr>
          <w:rFonts w:ascii="Times New Roman" w:cs="Times New Roman" w:eastAsia="Times New Roman" w:hAnsi="Times New Roman"/>
          <w:sz w:val="20"/>
          <w:szCs w:val="20"/>
          <w:u w:val="single" w:color="auto"/>
          <w:color w:val="auto"/>
        </w:rPr>
        <w:t>Applicant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as a Designated Borrower to receive Revolving Credit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The parties hereto acknowledge and agree that prior to any Applicant Borrower becoming entitled to Credit Extensions hereunder (i) the Administrative Agent and each Lender shall have approved such Applicant Borrower as a Designated Borrower and received at least five Business Days prior to such date all documentation and other information that such Person requests in order to comply with its ongoing obligations under applicable “know your customer” and anti-money laundering rules and regulations, including the Act, (ii) the Administrative Agent and each Lender shall have received such supporting resolutions, incumbency certificates, opinions of counsel and other documents or information, in form, content and scope reasonably satisfactory to the Administrative Agent, as may be reasonably requested by the Administrative Agent (it being agreed that</w:t>
      </w:r>
    </w:p>
    <w:p>
      <w:pPr>
        <w:spacing w:after="0" w:line="8" w:lineRule="exact"/>
        <w:rPr>
          <w:sz w:val="20"/>
          <w:szCs w:val="20"/>
          <w:color w:val="auto"/>
        </w:rPr>
      </w:pPr>
    </w:p>
    <w:p>
      <w:pPr>
        <w:jc w:val="both"/>
        <w:ind w:firstLine="2"/>
        <w:spacing w:after="0" w:line="252" w:lineRule="auto"/>
        <w:tabs>
          <w:tab w:leader="none" w:pos="24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forms delivered on the Closing Date are acceptable for a Domestic Subsidiary and (ii) with respect to the Netherlands Designated Borrower the Administrative Agent shall in any case receive a certificate of a Responsible Officer of the Netherlands Designated Borrower in form and substance reasonably satisfactory to Administrative Agent, to be entered into by the Netherlands Designated Borrower which shall certify (A) copies of resolutions in form and substance reasonably satisfactory to Administrative Agent, of the management board (</w:t>
      </w:r>
      <w:r>
        <w:rPr>
          <w:rFonts w:ascii="Times New Roman" w:cs="Times New Roman" w:eastAsia="Times New Roman" w:hAnsi="Times New Roman"/>
          <w:sz w:val="19"/>
          <w:szCs w:val="19"/>
          <w:i w:val="1"/>
          <w:iCs w:val="1"/>
          <w:color w:val="auto"/>
        </w:rPr>
        <w:t>bestuur</w:t>
      </w:r>
      <w:r>
        <w:rPr>
          <w:rFonts w:ascii="Times New Roman" w:cs="Times New Roman" w:eastAsia="Times New Roman" w:hAnsi="Times New Roman"/>
          <w:sz w:val="19"/>
          <w:szCs w:val="19"/>
          <w:color w:val="auto"/>
        </w:rPr>
        <w:t>), if required by law or under the Organizational Documents of such Netherlands Designated Borrower, the supervisory board or general meeting, and, where applicable, the positive or neutral advice (</w:t>
      </w:r>
      <w:r>
        <w:rPr>
          <w:rFonts w:ascii="Times New Roman" w:cs="Times New Roman" w:eastAsia="Times New Roman" w:hAnsi="Times New Roman"/>
          <w:sz w:val="19"/>
          <w:szCs w:val="19"/>
          <w:i w:val="1"/>
          <w:iCs w:val="1"/>
          <w:color w:val="auto"/>
        </w:rPr>
        <w:t>advies</w:t>
      </w:r>
      <w:r>
        <w:rPr>
          <w:rFonts w:ascii="Times New Roman" w:cs="Times New Roman" w:eastAsia="Times New Roman" w:hAnsi="Times New Roman"/>
          <w:sz w:val="19"/>
          <w:szCs w:val="19"/>
          <w:color w:val="auto"/>
        </w:rPr>
        <w:t>) in accordance with the Dutch Works Councils Act (</w:t>
      </w:r>
      <w:r>
        <w:rPr>
          <w:rFonts w:ascii="Times New Roman" w:cs="Times New Roman" w:eastAsia="Times New Roman" w:hAnsi="Times New Roman"/>
          <w:sz w:val="19"/>
          <w:szCs w:val="19"/>
          <w:i w:val="1"/>
          <w:iCs w:val="1"/>
          <w:color w:val="auto"/>
        </w:rPr>
        <w:t>Wet op de ondernemingsraden</w:t>
      </w:r>
      <w:r>
        <w:rPr>
          <w:rFonts w:ascii="Times New Roman" w:cs="Times New Roman" w:eastAsia="Times New Roman" w:hAnsi="Times New Roman"/>
          <w:sz w:val="19"/>
          <w:szCs w:val="19"/>
          <w:color w:val="auto"/>
        </w:rPr>
        <w:t>) from any Works Council (</w:t>
      </w:r>
      <w:r>
        <w:rPr>
          <w:rFonts w:ascii="Times New Roman" w:cs="Times New Roman" w:eastAsia="Times New Roman" w:hAnsi="Times New Roman"/>
          <w:sz w:val="19"/>
          <w:szCs w:val="19"/>
          <w:i w:val="1"/>
          <w:iCs w:val="1"/>
          <w:color w:val="auto"/>
        </w:rPr>
        <w:t>Ondernemingsraad</w:t>
      </w:r>
      <w:r>
        <w:rPr>
          <w:rFonts w:ascii="Times New Roman" w:cs="Times New Roman" w:eastAsia="Times New Roman" w:hAnsi="Times New Roman"/>
          <w:sz w:val="19"/>
          <w:szCs w:val="19"/>
          <w:color w:val="auto"/>
        </w:rPr>
        <w:t>) having jurisdiction over the Netherlands Designated Borrower, including the request for advice, in each case authorizing the execution, delivery and performance of this Agreement, and each other Loan Document to which the Netherlands Designated Borrower is a party, (B) the incumbency and signature of the officers of the Netherlands Designated Borrower authorized to execute this Agreement and the other Loan Documents, and (C) copies of the Organizational Documents of the Netherlands Designated Borrower, an up-to-date extract from the Dutch commercial register (</w:t>
      </w:r>
      <w:r>
        <w:rPr>
          <w:rFonts w:ascii="Times New Roman" w:cs="Times New Roman" w:eastAsia="Times New Roman" w:hAnsi="Times New Roman"/>
          <w:sz w:val="19"/>
          <w:szCs w:val="19"/>
          <w:i w:val="1"/>
          <w:iCs w:val="1"/>
          <w:color w:val="auto"/>
        </w:rPr>
        <w:t>Kamer van Koophandel</w:t>
      </w:r>
      <w:r>
        <w:rPr>
          <w:rFonts w:ascii="Times New Roman" w:cs="Times New Roman" w:eastAsia="Times New Roman" w:hAnsi="Times New Roman"/>
          <w:sz w:val="19"/>
          <w:szCs w:val="19"/>
          <w:color w:val="auto"/>
        </w:rPr>
        <w:t>), a copy of the up-to-date shareholders register (</w:t>
      </w:r>
      <w:r>
        <w:rPr>
          <w:rFonts w:ascii="Times New Roman" w:cs="Times New Roman" w:eastAsia="Times New Roman" w:hAnsi="Times New Roman"/>
          <w:sz w:val="19"/>
          <w:szCs w:val="19"/>
          <w:i w:val="1"/>
          <w:iCs w:val="1"/>
          <w:color w:val="auto"/>
        </w:rPr>
        <w:t>aandeelhoudersregister</w:t>
      </w:r>
      <w:r>
        <w:rPr>
          <w:rFonts w:ascii="Times New Roman" w:cs="Times New Roman" w:eastAsia="Times New Roman" w:hAnsi="Times New Roman"/>
          <w:sz w:val="19"/>
          <w:szCs w:val="19"/>
          <w:color w:val="auto"/>
        </w:rPr>
        <w:t>), and any regulations and/or rules (</w:t>
      </w:r>
      <w:r>
        <w:rPr>
          <w:rFonts w:ascii="Times New Roman" w:cs="Times New Roman" w:eastAsia="Times New Roman" w:hAnsi="Times New Roman"/>
          <w:sz w:val="19"/>
          <w:szCs w:val="19"/>
          <w:i w:val="1"/>
          <w:iCs w:val="1"/>
          <w:color w:val="auto"/>
        </w:rPr>
        <w:t>reglementen en/of andere regels</w:t>
      </w:r>
      <w:r>
        <w:rPr>
          <w:rFonts w:ascii="Times New Roman" w:cs="Times New Roman" w:eastAsia="Times New Roman" w:hAnsi="Times New Roman"/>
          <w:sz w:val="19"/>
          <w:szCs w:val="19"/>
          <w:color w:val="auto"/>
        </w:rPr>
        <w:t xml:space="preserve">) adopted by the Netherlands Designated Borrower), and (iii) each Lender shall have received a Note signed by such new Borrowers to the extent requested thereby. If the Administrative Agent and the Lenders agree that an Applicant Borrower shall be entitled to receive Revolving Credit Loans hereunder, then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Designated Borrower Notice</w:t>
      </w:r>
      <w:r>
        <w:rPr>
          <w:rFonts w:ascii="Times New Roman" w:cs="Times New Roman" w:eastAsia="Times New Roman" w:hAnsi="Times New Roman"/>
          <w:sz w:val="19"/>
          <w:szCs w:val="19"/>
          <w:color w:val="auto"/>
        </w:rPr>
        <w:t xml:space="preserve">”) to the Company and the Lenders specifying the effective date upon which the Applicant Borrower shall constitute a Designated Borrower for purposes hereof, whereupon each of the Lenders agrees to permit such Designated Borrower to receive Revolving Credit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Loan Notice or Letter of Credit Application may be submitted by or on behalf of such Designated Borrower until the date five (5) Business Days after such effective date;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effective as of the date hereof, the Administrative Agent and the Lenders hereby agree that the Netherlands Designated Borrower may become a “Designated Borrower” hereunder and may receive Revolving Credit Loans for its account on the terms and conditions set forth in this Agreement, in each case upon (A) delivery of a duly executed Designated Borrower Request and Assumption Agreement, (B) satisfaction of the conditions set forth in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through</w:t>
      </w:r>
    </w:p>
    <w:p>
      <w:pPr>
        <w:spacing w:after="0" w:line="2" w:lineRule="exact"/>
        <w:rPr>
          <w:rFonts w:ascii="Times New Roman" w:cs="Times New Roman" w:eastAsia="Times New Roman" w:hAnsi="Times New Roman"/>
          <w:sz w:val="19"/>
          <w:szCs w:val="19"/>
          <w:color w:val="auto"/>
        </w:rPr>
      </w:pPr>
    </w:p>
    <w:p>
      <w:pPr>
        <w:jc w:val="both"/>
        <w:ind w:firstLine="2"/>
        <w:spacing w:after="0" w:line="242" w:lineRule="auto"/>
        <w:tabs>
          <w:tab w:leader="none" w:pos="365" w:val="left"/>
        </w:tabs>
        <w:numPr>
          <w:ilvl w:val="0"/>
          <w:numId w:val="1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the second sentence of this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(C) delivery of such amendments to this Agreement and the other Loan Documents as may be requested by the Administrative Agent pursuant to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,without any requirement of further written consent from the Administrative Agent or the Lenders. Additionally, notwithstanding the foregoing,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45" w:right="339" w:bottom="1440" w:gutter="0" w:footer="0" w:header="0"/>
        </w:sectPr>
      </w:pPr>
    </w:p>
    <w:bookmarkStart w:id="116" w:name="page117"/>
    <w:bookmarkEnd w:id="116"/>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Company may in connection with any request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designate any wholly-owned Restricted Subsidiary of the Company as a Designated Borrower to receive Incremental Term Loans hereunder, and the parties hereto acknowledge and agree that prior to any such Restricted Subsidiary becoming entitled to borrow any Incremental Term Loans the Administrative Agent and each Incremental Lender providing such Incremental Term Loan shall have approved such Restricted Subsidiary as a Designated Borrower and received items of the type described in clauses (i) through (iii) of the second sentence this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xml:space="preserve"> and such Restricted Subsidiary shall have complied with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751"/>
        <w:spacing w:after="0" w:line="266" w:lineRule="auto"/>
        <w:tabs>
          <w:tab w:leader="none" w:pos="1145"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each U.S. Borrower shall be joint and several in nature. Notwithstanding anything to the contrary in this Agreement or any of the other Loan Documents, the Obligations of any Foreign Subsidiary that may become a Loan Party hereunder (including any Designated Borrowers that are Foreign Subsidiaries) shall be several in nature and not joint with the Obligations of any U.S. Loan Party and no Foreign Subsidiary shall provide any Guarantee in respect of any Obligations of any U.S. Loan Party.</w:t>
      </w:r>
    </w:p>
    <w:p>
      <w:pPr>
        <w:spacing w:after="0" w:line="165" w:lineRule="exact"/>
        <w:rPr>
          <w:rFonts w:ascii="Times New Roman" w:cs="Times New Roman" w:eastAsia="Times New Roman" w:hAnsi="Times New Roman"/>
          <w:sz w:val="19"/>
          <w:szCs w:val="19"/>
          <w:color w:val="auto"/>
        </w:rPr>
      </w:pPr>
    </w:p>
    <w:p>
      <w:pPr>
        <w:jc w:val="both"/>
        <w:ind w:firstLine="751"/>
        <w:spacing w:after="0" w:line="243" w:lineRule="auto"/>
        <w:tabs>
          <w:tab w:leader="none" w:pos="114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the Company that is or becomes a “Designated Borrower”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85" w:lineRule="exact"/>
        <w:rPr>
          <w:rFonts w:ascii="Times New Roman" w:cs="Times New Roman" w:eastAsia="Times New Roman" w:hAnsi="Times New Roman"/>
          <w:sz w:val="20"/>
          <w:szCs w:val="20"/>
          <w:color w:val="auto"/>
        </w:rPr>
      </w:pPr>
    </w:p>
    <w:p>
      <w:pPr>
        <w:jc w:val="both"/>
        <w:ind w:firstLine="751"/>
        <w:spacing w:after="0" w:line="246" w:lineRule="auto"/>
        <w:tabs>
          <w:tab w:leader="none" w:pos="114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84" w:lineRule="exact"/>
        <w:rPr>
          <w:rFonts w:ascii="Times New Roman" w:cs="Times New Roman" w:eastAsia="Times New Roman" w:hAnsi="Times New Roman"/>
          <w:sz w:val="20"/>
          <w:szCs w:val="20"/>
          <w:color w:val="auto"/>
        </w:rPr>
      </w:pPr>
    </w:p>
    <w:p>
      <w:pPr>
        <w:jc w:val="both"/>
        <w:ind w:firstLine="751"/>
        <w:spacing w:after="0" w:line="244" w:lineRule="auto"/>
        <w:tabs>
          <w:tab w:leader="none" w:pos="114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in connection with any Foreign Subsidiary (including the Netherlands Designated Borrower) becoming a “Designated Borrower” hereunder, this Agreement and the other Loan Documents may, at the request of the Administrative Agent, be amended pursuant to a written agreement between the Borrowers and the Administrative Agent (without the consent of any Lenders) to reflect such changes as may be necessary or appropriate, in the opinion of the Administrative Agent, to reflect such technical provisions applicable to a borrower organized under the laws of the same foreign jurisdiction as such Foreign Subsidiary as are customarily included within U.S. law governed syndicated credit facilities of this type. Upon execution, the Administrative Agent shall provide a copy of such amendment(s) to all Lenders.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2.15 Increase Option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1"/>
        <w:spacing w:after="0" w:line="254" w:lineRule="auto"/>
        <w:tabs>
          <w:tab w:leader="none" w:pos="1145"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On the Amendment No. 1 Effective Date, certain of the Lenders party thereto have agreed to make the Incremental Term A-1 Loan Facility available to the Company pursuant to the terms this Agreement (as modified by Amendment No. 1), which such Facility shall constitute</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45" w:right="339" w:bottom="1440" w:gutter="0" w:footer="0" w:header="0"/>
        </w:sectPr>
      </w:pPr>
    </w:p>
    <w:bookmarkStart w:id="117" w:name="page118"/>
    <w:bookmarkEnd w:id="117"/>
    <w:p>
      <w:pPr>
        <w:jc w:val="both"/>
        <w:spacing w:after="0"/>
        <w:rPr>
          <w:sz w:val="20"/>
          <w:szCs w:val="20"/>
          <w:color w:val="auto"/>
        </w:rPr>
      </w:pPr>
      <w:r>
        <w:rPr>
          <w:rFonts w:ascii="Times New Roman" w:cs="Times New Roman" w:eastAsia="Times New Roman" w:hAnsi="Times New Roman"/>
          <w:sz w:val="20"/>
          <w:szCs w:val="20"/>
          <w:color w:val="auto"/>
        </w:rPr>
        <w:t xml:space="preserve">an Incremental Increase made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In addition to the foregoing, upon notice to the Administrative Agent, at any time after the Amendment No. 1 Effective Date, the Company may request (i) one or more incremental term loan commitments (each, an “</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to make one or more additional term loans, including a borrowing of an additional term loan the principal amount of which will be added to the outstanding principal amount of the existing Class of outstanding Term Loans with the latest scheduled Maturity Date (any such additional term loan, an “</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and/or (ii) one or more increases in the Revolving Credit Commitments (each, an “</w:t>
      </w:r>
      <w:r>
        <w:rPr>
          <w:rFonts w:ascii="Times New Roman" w:cs="Times New Roman" w:eastAsia="Times New Roman" w:hAnsi="Times New Roman"/>
          <w:sz w:val="20"/>
          <w:szCs w:val="20"/>
          <w:u w:val="single" w:color="auto"/>
          <w:color w:val="auto"/>
        </w:rPr>
        <w:t>Incremental Revolving Credit Facility Increase</w:t>
      </w:r>
      <w:r>
        <w:rPr>
          <w:rFonts w:ascii="Times New Roman" w:cs="Times New Roman" w:eastAsia="Times New Roman" w:hAnsi="Times New Roman"/>
          <w:sz w:val="20"/>
          <w:szCs w:val="20"/>
          <w:color w:val="auto"/>
        </w:rPr>
        <w:t>” and, together with the Incremental Term Loan Commitments and Incremental Term Loans, the “</w:t>
      </w:r>
      <w:r>
        <w:rPr>
          <w:rFonts w:ascii="Times New Roman" w:cs="Times New Roman" w:eastAsia="Times New Roman" w:hAnsi="Times New Roman"/>
          <w:sz w:val="20"/>
          <w:szCs w:val="20"/>
          <w:u w:val="single" w:color="auto"/>
          <w:color w:val="auto"/>
        </w:rPr>
        <w:t>Incremental Increases</w:t>
      </w:r>
      <w:r>
        <w:rPr>
          <w:rFonts w:ascii="Times New Roman" w:cs="Times New Roman" w:eastAsia="Times New Roman" w:hAnsi="Times New Roman"/>
          <w:sz w:val="20"/>
          <w:szCs w:val="20"/>
          <w:color w:val="auto"/>
        </w:rPr>
        <w:t xml:space="preserve">”) (it being understood that the Company has the absolute right to pursue Incremental Increases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no Lender shall have the ability to block any such pursuit although no Lender shall be obligated to provide any Incremental Increase);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 unless otherwise approved by the Administrative Agent, after the Amendment No. 1 Effective Date, no more than five (5) requests for Incremental Increases shall be permitted to be made during the term of this Agreement, (x) the aggregate initial principal amount (as of the date of incurrence or availability thereof) of such requested Incremental Increase shall not exceed the Incremental Facilities Limit, (y) any such Incremental Increase shall be in an aggregate amount of not less than $10,000,000 or any whole multiple of $1,000,000 in excess thereof (or, in either case, such lesser amount as may be acceptable to the Administrative Agent) and (z) after giving effect to any such addition, the aggregate outstanding amount of Incremental Term Loans made to Designated Borrowers that are not U.S. Borrowers shall not exceed, when taken together with the aggregate Outstanding Amount of all Revolving Credit Loans made to Designated Borrowers that are not U.S. Borrowers, $75,000,000;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increase in the Aggregate Revolving Credit Commitments shall (A) increase the Swing Line Sublimit without the consent of the Swing Line Lender, (B) increase the Letter of Credit Sublimit (or change the allocation of the Letter of Credit Sublimit among the L/C Issuers) without the consent of the L/C Issuers or (C) increase the Alternative Currency Sublimit or the Designated Non-U.S. Borrower Sublimit, in either case, without the consent of the Required Revolving Credit Lenders.</w:t>
      </w:r>
    </w:p>
    <w:p>
      <w:pPr>
        <w:spacing w:after="0" w:line="206" w:lineRule="exact"/>
        <w:rPr>
          <w:sz w:val="20"/>
          <w:szCs w:val="20"/>
          <w:color w:val="auto"/>
        </w:rPr>
      </w:pPr>
    </w:p>
    <w:p>
      <w:pPr>
        <w:ind w:firstLine="751"/>
        <w:spacing w:after="0" w:line="269" w:lineRule="auto"/>
        <w:tabs>
          <w:tab w:leader="none" w:pos="118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Incremental Increases</w:t>
      </w:r>
      <w:r>
        <w:rPr>
          <w:rFonts w:ascii="Times New Roman" w:cs="Times New Roman" w:eastAsia="Times New Roman" w:hAnsi="Times New Roman"/>
          <w:sz w:val="20"/>
          <w:szCs w:val="20"/>
          <w:color w:val="auto"/>
        </w:rPr>
        <w:t xml:space="preserve">. The terms of each Incremental Increase (which shall be set forth in the relevant Incremental Amendment) shall be determined by the Company and the applicable Incremental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59" w:lineRule="exact"/>
        <w:rPr>
          <w:rFonts w:ascii="Times New Roman" w:cs="Times New Roman" w:eastAsia="Times New Roman" w:hAnsi="Times New Roman"/>
          <w:sz w:val="20"/>
          <w:szCs w:val="20"/>
          <w:color w:val="auto"/>
        </w:rPr>
      </w:pPr>
    </w:p>
    <w:p>
      <w:pPr>
        <w:ind w:left="760" w:right="40" w:firstLine="740"/>
        <w:spacing w:after="0" w:line="269" w:lineRule="auto"/>
        <w:tabs>
          <w:tab w:leader="none" w:pos="190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Incremental Term Loan, such Incremental Term Loan will satisfy each of the Permitted Indebtedness Conditions; and</w:t>
      </w:r>
    </w:p>
    <w:p>
      <w:pPr>
        <w:spacing w:after="0" w:line="159" w:lineRule="exact"/>
        <w:rPr>
          <w:rFonts w:ascii="Times New Roman" w:cs="Times New Roman" w:eastAsia="Times New Roman" w:hAnsi="Times New Roman"/>
          <w:sz w:val="20"/>
          <w:szCs w:val="20"/>
          <w:color w:val="auto"/>
        </w:rPr>
      </w:pPr>
    </w:p>
    <w:p>
      <w:pPr>
        <w:jc w:val="both"/>
        <w:ind w:left="760" w:firstLine="740"/>
        <w:spacing w:after="0" w:line="243" w:lineRule="auto"/>
        <w:tabs>
          <w:tab w:leader="none" w:pos="190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each Incremental Revolving Credit Facility Increase, each such Incremental Revolving Credit Facility Increase shall have the same terms, including maturity, Applicable Rate, as, and be a part of, the Revolving Credit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upfront fees payable by the Borrowers to the Lenders under any Incremental Revolving Credit Facility Increases may differ from those payable under the then existing Revolving Credit Commitments and (B) the Applicable Rate or interest rate floor applicable to any Incremental Revolving Credit Facility Increase may be higher than the Applicable Rate or interest rate floor applicable to the Revolving Credit Facility if the Applicable Rate or interest rate floor applicable to the Revolving Credit Facility is increased to equal the Applicable Rate and interest rate floor applicable to such Incremental Revolving Credit Facility Increase.</w:t>
      </w:r>
    </w:p>
    <w:p>
      <w:pPr>
        <w:spacing w:after="0" w:line="189" w:lineRule="exact"/>
        <w:rPr>
          <w:rFonts w:ascii="Times New Roman" w:cs="Times New Roman" w:eastAsia="Times New Roman" w:hAnsi="Times New Roman"/>
          <w:sz w:val="20"/>
          <w:szCs w:val="20"/>
          <w:color w:val="auto"/>
        </w:rPr>
      </w:pPr>
    </w:p>
    <w:p>
      <w:pPr>
        <w:jc w:val="both"/>
        <w:ind w:firstLine="751"/>
        <w:spacing w:after="0" w:line="249" w:lineRule="auto"/>
        <w:tabs>
          <w:tab w:leader="none" w:pos="115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Lender Elections</w:t>
      </w:r>
      <w:r>
        <w:rPr>
          <w:rFonts w:ascii="Times New Roman" w:cs="Times New Roman" w:eastAsia="Times New Roman" w:hAnsi="Times New Roman"/>
          <w:sz w:val="20"/>
          <w:szCs w:val="20"/>
          <w:color w:val="auto"/>
        </w:rPr>
        <w:t>. Each notice from the Company pursuant to this Section shall set forth the requested amount and proposed terms of the applicable Incremental Increase. Incremental Increases may be made by any existing Lender or by any other bank or financial institution that is an Eligible Assignee (any such bank or other financial institution, together with any existing Lenders providing all or any portion of an Incremental Increase, an “</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in each case on terms</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18" w:name="page119"/>
    <w:bookmarkEnd w:id="118"/>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permitted in this Section and otherwise on terms reasonably acceptable to the Administrative Agent. At the time of the sending of such notice, the Company (in consultation with the Administrative Agent) shall specify the time period within which each proposed Incremental Lender is requested to respond (which shall in no event be less than ten Business Days from the date of delivery of such notice to the proposed Incremental Lenders (or such shorter period as agreed to by the Administrative Agent)). No Lender shall be obligated to provide any portion of an Incremental Increase, unless it so agrees. Each proposed Incremental Lender shall notify the Administrative Agent within such time period whether or not it agrees to provide an Incremental Increase and, if so, whether by an amount equal to, greater than, or less than the requested increase. Any proposed Incremental Lender not responding within such time period shall be deemed to have declined to provide an Increase. The Administrative Agent shall notify the Company of the proposed Incremental Lenders’ responses to each request made hereunder. Any additional Eligible Assignee invited to become a Lender pursuant to an Incremental Increase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become a Lender hereunder pursuant to a joinder agreement in form and substance reasonably satisfactory to the Administrative Agent and its counsel.</w:t>
      </w:r>
    </w:p>
    <w:p>
      <w:pPr>
        <w:spacing w:after="0" w:line="190" w:lineRule="exact"/>
        <w:rPr>
          <w:sz w:val="20"/>
          <w:szCs w:val="20"/>
          <w:color w:val="auto"/>
        </w:rPr>
      </w:pPr>
    </w:p>
    <w:p>
      <w:pPr>
        <w:jc w:val="both"/>
        <w:ind w:firstLine="751"/>
        <w:spacing w:after="0" w:line="257" w:lineRule="auto"/>
        <w:tabs>
          <w:tab w:leader="none" w:pos="1145"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Incremental Amendment</w:t>
      </w:r>
      <w:r>
        <w:rPr>
          <w:rFonts w:ascii="Times New Roman" w:cs="Times New Roman" w:eastAsia="Times New Roman" w:hAnsi="Times New Roman"/>
          <w:sz w:val="19"/>
          <w:szCs w:val="19"/>
          <w:color w:val="auto"/>
        </w:rPr>
        <w:t>. Each such Incremental Increase shall be effected pursuant to an amendment (an “</w:t>
      </w:r>
      <w:r>
        <w:rPr>
          <w:rFonts w:ascii="Times New Roman" w:cs="Times New Roman" w:eastAsia="Times New Roman" w:hAnsi="Times New Roman"/>
          <w:sz w:val="19"/>
          <w:szCs w:val="19"/>
          <w:u w:val="single" w:color="auto"/>
          <w:color w:val="auto"/>
        </w:rPr>
        <w:t>Incremental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to this Agreement and, as appropriate, the other Loan Documents, executed by the Borrowers, the other Loan Parties, each applicable Incremental Lender and the Administrative Agent. An Incremental Amendment may, without the consent of any other Lenders, effect such amendments to any Loan Documents as may be necessary or appropriate, in the opinion of the Administrative Agent, to effect the provisions of this Section (including, without limitation, to incorporate the Incremental Increase into the calculation of the “Required Lenders” and related provisions, to make any such Incremental Term Loans fungible with any existing Class of Term Loans and to permit Incremental Lenders with respect to Incremental Term Loans, as to customary matters, to be entitled to vote as a separate class with other Incremental Lenders with Incremental Term Loans to the extent provided in the applicable Incremental Amendment)). Upon execution, the Administrative Agent shall provide a copy of any Incremental Amendment to all Lenders.</w:t>
      </w:r>
    </w:p>
    <w:p>
      <w:pPr>
        <w:spacing w:after="0" w:line="175" w:lineRule="exact"/>
        <w:rPr>
          <w:rFonts w:ascii="Times New Roman" w:cs="Times New Roman" w:eastAsia="Times New Roman" w:hAnsi="Times New Roman"/>
          <w:sz w:val="19"/>
          <w:szCs w:val="19"/>
          <w:color w:val="auto"/>
        </w:rPr>
      </w:pPr>
    </w:p>
    <w:p>
      <w:pPr>
        <w:jc w:val="both"/>
        <w:ind w:firstLine="751"/>
        <w:spacing w:after="0" w:line="249" w:lineRule="auto"/>
        <w:tabs>
          <w:tab w:leader="none" w:pos="118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Allocations</w:t>
      </w:r>
      <w:r>
        <w:rPr>
          <w:rFonts w:ascii="Times New Roman" w:cs="Times New Roman" w:eastAsia="Times New Roman" w:hAnsi="Times New Roman"/>
          <w:sz w:val="20"/>
          <w:szCs w:val="20"/>
          <w:color w:val="auto"/>
        </w:rPr>
        <w:t xml:space="preserve">. If any Incremental Increase is effected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Administrative Agent and the Company shall determine the effective date (each, an “</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and the final allocation thereof. The Administrative Agent shall promptly notify the Company and the Incremental Lenders of the final allocation of such addition and the Increase Effective Date.</w:t>
      </w:r>
    </w:p>
    <w:p>
      <w:pPr>
        <w:spacing w:after="0" w:line="179" w:lineRule="exact"/>
        <w:rPr>
          <w:rFonts w:ascii="Times New Roman" w:cs="Times New Roman" w:eastAsia="Times New Roman" w:hAnsi="Times New Roman"/>
          <w:sz w:val="20"/>
          <w:szCs w:val="20"/>
          <w:color w:val="auto"/>
        </w:rPr>
      </w:pPr>
    </w:p>
    <w:p>
      <w:pPr>
        <w:jc w:val="both"/>
        <w:ind w:firstLine="751"/>
        <w:spacing w:after="0" w:line="249" w:lineRule="auto"/>
        <w:tabs>
          <w:tab w:leader="none" w:pos="114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Increase</w:t>
      </w:r>
      <w:r>
        <w:rPr>
          <w:rFonts w:ascii="Times New Roman" w:cs="Times New Roman" w:eastAsia="Times New Roman" w:hAnsi="Times New Roman"/>
          <w:sz w:val="20"/>
          <w:szCs w:val="20"/>
          <w:color w:val="auto"/>
        </w:rPr>
        <w:t xml:space="preserve">. The effectiveness of any Incremental Amendment shall, unless otherwise agreed to by the Administrative Agent and each Incremental Lender party thereto, be subject to the satisfaction on the Increase Effective Date of each of the following conditions, which, in the case of an Incremental Term Loan incurred solely to finance a substantially concurrent Limited Condition Transaction, shall be 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60" w:firstLine="740"/>
        <w:spacing w:after="0" w:line="243" w:lineRule="auto"/>
        <w:tabs>
          <w:tab w:leader="none" w:pos="190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in each of the other Loan Documents shall be true and correct in all material respects (or, in the case of any such representation and warranty that is subject to materiality or Material Adverse Effect qualifications, in all respects) on and as of the Increase Effective Date, except to the extent that such representations and warranties specifically refer to an earlier date, in which case they are true and correct in all material respects (or, in the case of any such representation and warranty that is subject to materiality or Material Adverse Effect qualifications, in all respects) as of such earlier date and except that for purposes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19" w:name="page120"/>
    <w:bookmarkEnd w:id="119"/>
    <w:p>
      <w:pPr>
        <w:jc w:val="both"/>
        <w:ind w:left="740" w:firstLine="740"/>
        <w:spacing w:after="0" w:line="254" w:lineRule="auto"/>
        <w:tabs>
          <w:tab w:leader="none" w:pos="1884"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as of the Increase Effective Date, and no Default shall occur on the Increase Effective Date as a result of making any Credit Extension in connection with the Incremental Increase or from the application of the proceeds thereof;</w:t>
      </w:r>
    </w:p>
    <w:p>
      <w:pPr>
        <w:spacing w:after="0" w:line="174" w:lineRule="exact"/>
        <w:rPr>
          <w:rFonts w:ascii="Times New Roman" w:cs="Times New Roman" w:eastAsia="Times New Roman" w:hAnsi="Times New Roman"/>
          <w:sz w:val="20"/>
          <w:szCs w:val="20"/>
          <w:color w:val="auto"/>
        </w:rPr>
      </w:pPr>
    </w:p>
    <w:p>
      <w:pPr>
        <w:jc w:val="both"/>
        <w:ind w:left="740" w:firstLine="740"/>
        <w:spacing w:after="0" w:line="249" w:lineRule="auto"/>
        <w:tabs>
          <w:tab w:leader="none" w:pos="1884"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such Incremental Amendment, the Company shall be in compliance with the financial covenants set forth in </w:t>
      </w:r>
      <w:r>
        <w:rPr>
          <w:rFonts w:ascii="Times New Roman" w:cs="Times New Roman" w:eastAsia="Times New Roman" w:hAnsi="Times New Roman"/>
          <w:sz w:val="20"/>
          <w:szCs w:val="20"/>
          <w:u w:val="single" w:color="auto"/>
          <w:color w:val="auto"/>
        </w:rPr>
        <w:t>Sections 7.11(b)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7.11(c)</w:t>
      </w:r>
      <w:r>
        <w:rPr>
          <w:rFonts w:ascii="Times New Roman" w:cs="Times New Roman" w:eastAsia="Times New Roman" w:hAnsi="Times New Roman"/>
          <w:sz w:val="20"/>
          <w:szCs w:val="20"/>
          <w:color w:val="auto"/>
        </w:rPr>
        <w:t>, in each case determined on a Pro Forma Basis as of the most recently ended period of four consecutive fiscal quarters for which financial information is available prior to the incurrence of such Incremental Increase;</w:t>
      </w:r>
    </w:p>
    <w:p>
      <w:pPr>
        <w:spacing w:after="0" w:line="179" w:lineRule="exact"/>
        <w:rPr>
          <w:rFonts w:ascii="Times New Roman" w:cs="Times New Roman" w:eastAsia="Times New Roman" w:hAnsi="Times New Roman"/>
          <w:sz w:val="20"/>
          <w:szCs w:val="20"/>
          <w:color w:val="auto"/>
        </w:rPr>
      </w:pPr>
    </w:p>
    <w:p>
      <w:pPr>
        <w:jc w:val="both"/>
        <w:ind w:left="740" w:firstLine="740"/>
        <w:spacing w:after="0" w:line="256" w:lineRule="auto"/>
        <w:tabs>
          <w:tab w:leader="none" w:pos="1884" w:val="left"/>
        </w:tabs>
        <w:numPr>
          <w:ilvl w:val="1"/>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have received each of the following, each dated the applicable Increase Effective Date unless otherwise indicated or agreed to by the Administrative Agent and each in form and substance reasonably satisfactory to the Administrative Agent: (A) the applicable Incremental Amendment (and such other documents contemplated to be delivered in connection therewith); and (B) a certificate of each Loan Party signed by a Responsible Officer of such Loan Party certifying and attaching the resolutions adopted by the board of directors (or other appropriate governing body) of such Loan Party approving or consenting to the Incremental Amendment and the Incremental Increase provided thereby, and in the case of the Company, certifying as to the satisfaction of the conditions set forth in the foregoing </w:t>
      </w:r>
      <w:r>
        <w:rPr>
          <w:rFonts w:ascii="Times New Roman" w:cs="Times New Roman" w:eastAsia="Times New Roman" w:hAnsi="Times New Roman"/>
          <w:sz w:val="19"/>
          <w:szCs w:val="19"/>
          <w:u w:val="single" w:color="auto"/>
          <w:color w:val="auto"/>
        </w:rPr>
        <w:t>subsections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and certifying that such Incremental Increase does not exceed the Incremental Facilities Limit (and, if applicable, providing the calculations in support thereof) and shall classify such Incremental Increase as being incurred under clause (a) or clause (b) or both clauses of the definition of Incremental Facilities Limit (and, if both, the amount allocable to each);</w:t>
      </w:r>
    </w:p>
    <w:p>
      <w:pPr>
        <w:spacing w:after="0" w:line="180" w:lineRule="exact"/>
        <w:rPr>
          <w:rFonts w:ascii="Times New Roman" w:cs="Times New Roman" w:eastAsia="Times New Roman" w:hAnsi="Times New Roman"/>
          <w:sz w:val="19"/>
          <w:szCs w:val="19"/>
          <w:color w:val="auto"/>
        </w:rPr>
      </w:pPr>
    </w:p>
    <w:p>
      <w:pPr>
        <w:jc w:val="both"/>
        <w:ind w:left="740" w:firstLine="740"/>
        <w:spacing w:after="0" w:line="249" w:lineRule="auto"/>
        <w:tabs>
          <w:tab w:leader="none" w:pos="1884"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have been paid to the Administrative Agent, for the account of the Administrative Agent and the Lenders (including any Person becoming a Lender as part of such Incremental Amendment on the related Increase Effective Date), as applicable, all fees and expenses (including reasonable and documented out-of-pocket fees, charges and disbursements of counsel) that are due and payable on or before the Increase Effective Date; and</w:t>
      </w:r>
    </w:p>
    <w:p>
      <w:pPr>
        <w:spacing w:after="0" w:line="179" w:lineRule="exact"/>
        <w:rPr>
          <w:rFonts w:ascii="Times New Roman" w:cs="Times New Roman" w:eastAsia="Times New Roman" w:hAnsi="Times New Roman"/>
          <w:sz w:val="20"/>
          <w:szCs w:val="20"/>
          <w:color w:val="auto"/>
        </w:rPr>
      </w:pPr>
    </w:p>
    <w:p>
      <w:pPr>
        <w:jc w:val="both"/>
        <w:ind w:left="740" w:firstLine="740"/>
        <w:spacing w:after="0" w:line="244" w:lineRule="auto"/>
        <w:tabs>
          <w:tab w:leader="none" w:pos="1884"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upon the reasonable request of any Lender made at least five Business Days prior to the Increase Effective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three Business Days prior to the Increase Effective Date and (B) at least three Business Days prior to the Increase Effective Date, any Loan Party that qualifies as a “legal entity customer” under the Beneficial Ownership Regulation shall have delivered, to each Lender that so requests, a Beneficial Ownership Certification in relation to such Loan Party.</w:t>
      </w:r>
    </w:p>
    <w:p>
      <w:pPr>
        <w:spacing w:after="0" w:line="185" w:lineRule="exact"/>
        <w:rPr>
          <w:rFonts w:ascii="Times New Roman" w:cs="Times New Roman" w:eastAsia="Times New Roman" w:hAnsi="Times New Roman"/>
          <w:sz w:val="20"/>
          <w:szCs w:val="20"/>
          <w:color w:val="auto"/>
        </w:rPr>
      </w:pPr>
    </w:p>
    <w:p>
      <w:pPr>
        <w:jc w:val="both"/>
        <w:ind w:left="-20" w:firstLine="751"/>
        <w:spacing w:after="0" w:line="244" w:lineRule="auto"/>
        <w:tabs>
          <w:tab w:leader="none" w:pos="115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Incremental Amendment / Equal and Ratable Benefit</w:t>
      </w:r>
      <w:r>
        <w:rPr>
          <w:rFonts w:ascii="Times New Roman" w:cs="Times New Roman" w:eastAsia="Times New Roman" w:hAnsi="Times New Roman"/>
          <w:sz w:val="20"/>
          <w:szCs w:val="20"/>
          <w:color w:val="auto"/>
        </w:rPr>
        <w:t xml:space="preserve">. On each Increase Effective Date, (i) each Eligible Assignee which is providing an Incremental Increase shall become a “Lender” for all purposes of this Agreement and the other Loan Documents and (ii) in the case of any increase of the Aggregate Revolving Credit Commitments, the Borrowers shall prepay any Revolving Credit Loans outstanding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to the extent necessary to keep the outstanding Revolving Credit Loans ratable with any revised Applicable Revolving Credit Percentages arising from any nonratable increase in the Revolving Credit Commitments under this Section. The Loans and Commitments established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shall constitute Loans and Commitments under, and shall be entitled to all the benefits afforded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20" w:name="page121"/>
    <w:bookmarkEnd w:id="120"/>
    <w:p>
      <w:pPr>
        <w:spacing w:after="0" w:line="269" w:lineRule="auto"/>
        <w:rPr>
          <w:sz w:val="20"/>
          <w:szCs w:val="20"/>
          <w:color w:val="auto"/>
        </w:rPr>
      </w:pPr>
      <w:r>
        <w:rPr>
          <w:rFonts w:ascii="Times New Roman" w:cs="Times New Roman" w:eastAsia="Times New Roman" w:hAnsi="Times New Roman"/>
          <w:sz w:val="20"/>
          <w:szCs w:val="20"/>
          <w:color w:val="auto"/>
        </w:rPr>
        <w:t>by, this Agreement and the other Loan Documents, and shall, without limiting the foregoing, benefit equally and ratably from the Guaranties and security interests created by the Collateral Documents.</w:t>
      </w:r>
    </w:p>
    <w:p>
      <w:pPr>
        <w:spacing w:after="0" w:line="159" w:lineRule="exact"/>
        <w:rPr>
          <w:sz w:val="20"/>
          <w:szCs w:val="20"/>
          <w:color w:val="auto"/>
        </w:rPr>
      </w:pPr>
    </w:p>
    <w:p>
      <w:pPr>
        <w:ind w:left="760"/>
        <w:spacing w:after="0"/>
        <w:tabs>
          <w:tab w:leader="none" w:pos="112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19"/>
          <w:szCs w:val="19"/>
          <w:u w:val="single" w:color="auto"/>
          <w:color w:val="auto"/>
        </w:rPr>
        <w:t>Conflicting Provisions</w:t>
      </w:r>
      <w:r>
        <w:rPr>
          <w:rFonts w:ascii="Times New Roman" w:cs="Times New Roman" w:eastAsia="Times New Roman" w:hAnsi="Times New Roman"/>
          <w:sz w:val="19"/>
          <w:szCs w:val="19"/>
          <w:color w:val="auto"/>
        </w:rPr>
        <w:t>. This Section shall supersede any provisions in</w:t>
      </w:r>
      <w:r>
        <w:rPr>
          <w:rFonts w:ascii="Times New Roman" w:cs="Times New Roman" w:eastAsia="Times New Roman" w:hAnsi="Times New Roman"/>
          <w:sz w:val="19"/>
          <w:szCs w:val="19"/>
          <w:u w:val="single" w:color="auto"/>
          <w:color w:val="auto"/>
        </w:rPr>
        <w:t xml:space="preserve"> Section 2.13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u w:val="single" w:color="auto"/>
          <w:color w:val="auto"/>
        </w:rPr>
        <w:t xml:space="preserve"> 10.01 </w:t>
      </w:r>
      <w:r>
        <w:rPr>
          <w:rFonts w:ascii="Times New Roman" w:cs="Times New Roman" w:eastAsia="Times New Roman" w:hAnsi="Times New Roman"/>
          <w:sz w:val="19"/>
          <w:szCs w:val="19"/>
          <w:color w:val="auto"/>
        </w:rPr>
        <w:t>to the contrary.</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2.16 Cash Collateral</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1"/>
        <w:spacing w:after="0" w:line="256" w:lineRule="auto"/>
        <w:tabs>
          <w:tab w:leader="none" w:pos="1145"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Credit Support Events</w:t>
      </w:r>
      <w:r>
        <w:rPr>
          <w:rFonts w:ascii="Times New Roman" w:cs="Times New Roman" w:eastAsia="Times New Roman" w:hAnsi="Times New Roman"/>
          <w:sz w:val="19"/>
          <w:szCs w:val="19"/>
          <w:color w:val="auto"/>
        </w:rPr>
        <w:t xml:space="preserve">. If (i) any L/C Issuer has honored any full or partial drawing request under any Letter of Credit and such drawing has resulted in an L/C Borrowing, (ii) as of the close of business on the Letter of Credit Expiration Date, any L/C Obligation for any reason remains outstanding, (iii) the Company shall be required to provide Cash Collateral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8.02(c)</w:t>
      </w:r>
      <w:r>
        <w:rPr>
          <w:rFonts w:ascii="Times New Roman" w:cs="Times New Roman" w:eastAsia="Times New Roman" w:hAnsi="Times New Roman"/>
          <w:sz w:val="19"/>
          <w:szCs w:val="19"/>
          <w:color w:val="auto"/>
        </w:rPr>
        <w:t xml:space="preserve">, or (iv) there shall exist a Defaulting Lender, the Company shall immediately (in the case of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9"/>
          <w:szCs w:val="19"/>
          <w:u w:val="single" w:color="auto"/>
          <w:color w:val="auto"/>
        </w:rPr>
        <w:t>clause</w:t>
      </w:r>
    </w:p>
    <w:p>
      <w:pPr>
        <w:jc w:val="both"/>
        <w:ind w:firstLine="2"/>
        <w:spacing w:after="0"/>
        <w:tabs>
          <w:tab w:leader="none" w:pos="358" w:val="left"/>
        </w:tabs>
        <w:numPr>
          <w:ilvl w:val="0"/>
          <w:numId w:val="1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after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and any Cash Collateral provided by the Defaulting Lender) and, in the case of clause (iii) above, if applicable, Cash Collateral in an amount not less than the maximum potential drawings under Secured Permitted Bilateral Letters of Credit. Additionally, if the Administrative Agent notifies the Company at any time that the Outstanding Amount of all L/C Obligations at such time exceeds 103% of the Letter of Credit Sublimit then in effect, then, within two Business Days after receipt of such notice, the Company shall provide Cash Collateral for the Outstanding Amount of the L/C Obligations in an amount not less than the amount by which the Outstanding Amount of all L/C Obligations exceeds the Letter of Credit Sublimit.</w:t>
      </w:r>
    </w:p>
    <w:p>
      <w:pPr>
        <w:spacing w:after="0" w:line="191" w:lineRule="exact"/>
        <w:rPr>
          <w:rFonts w:ascii="Times New Roman" w:cs="Times New Roman" w:eastAsia="Times New Roman" w:hAnsi="Times New Roman"/>
          <w:sz w:val="20"/>
          <w:szCs w:val="20"/>
          <w:u w:val="single" w:color="auto"/>
          <w:color w:val="auto"/>
        </w:rPr>
      </w:pPr>
    </w:p>
    <w:p>
      <w:pPr>
        <w:jc w:val="both"/>
        <w:ind w:firstLine="751"/>
        <w:spacing w:after="0" w:line="241" w:lineRule="auto"/>
        <w:tabs>
          <w:tab w:leader="none" w:pos="1145"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The Company, and to the extent provided by any Defaulting Lender, such Defaulting Lender, hereby grants to (and subjects to the control of) the Administrative Agent, for the benefit of the Administrative Agent, the L/C Issuers, the Lenders and the PSLOC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the L/C Issuers, the Lenders and the PSLOC Banks as herein provided, or that the total amount of such Cash Collateral is less than the Minimum Collateral Amount or the maximum potential drawings under Secured Permitted Bilateral Letters of Credit, as applicable,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97" w:lineRule="exact"/>
        <w:rPr>
          <w:rFonts w:ascii="Times New Roman" w:cs="Times New Roman" w:eastAsia="Times New Roman" w:hAnsi="Times New Roman"/>
          <w:sz w:val="20"/>
          <w:szCs w:val="20"/>
          <w:color w:val="auto"/>
        </w:rPr>
      </w:pPr>
    </w:p>
    <w:p>
      <w:pPr>
        <w:jc w:val="both"/>
        <w:ind w:firstLine="751"/>
        <w:spacing w:after="0" w:line="245" w:lineRule="auto"/>
        <w:tabs>
          <w:tab w:leader="none" w:pos="1145"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 of Letters of Credit or Secured Permitted Standalone Letters of Credit shall be held and applied to the satisfaction of the specific L/C Obligations, obligations to fund participations therein (including, as to Cash Collateral provided by any Defaulting Lender, any interest accrued on such obligation) and other obligations for which the Cash Collateral was so provided (including obligations under Secured Permitted Standalone Letters of Credit), prior to any other application of such property as may otherwise be provided for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21" w:name="page122"/>
    <w:bookmarkEnd w:id="121"/>
    <w:p>
      <w:pPr>
        <w:jc w:val="both"/>
        <w:ind w:left="-20" w:firstLine="751"/>
        <w:spacing w:after="0" w:line="243" w:lineRule="auto"/>
        <w:tabs>
          <w:tab w:leader="none" w:pos="113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10.06(b)(vi)</w:t>
      </w:r>
      <w:r>
        <w:rPr>
          <w:rFonts w:ascii="Times New Roman" w:cs="Times New Roman" w:eastAsia="Times New Roman" w:hAnsi="Times New Roman"/>
          <w:sz w:val="20"/>
          <w:szCs w:val="20"/>
          <w:color w:val="auto"/>
        </w:rPr>
        <w:t xml:space="preserve">)) or (ii) the determination by the Administrative Agent and the L/C Issuers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Issuers may agree that Cash Collateral shall not be released but instead held to support future anticipated Fronting Exposure or other obligations.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2.17 Defaulting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20" w:firstLine="751"/>
        <w:spacing w:after="0" w:line="269" w:lineRule="auto"/>
        <w:tabs>
          <w:tab w:leader="none" w:pos="112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9" w:lineRule="exact"/>
        <w:rPr>
          <w:rFonts w:ascii="Times New Roman" w:cs="Times New Roman" w:eastAsia="Times New Roman" w:hAnsi="Times New Roman"/>
          <w:sz w:val="20"/>
          <w:szCs w:val="20"/>
          <w:color w:val="auto"/>
        </w:rPr>
      </w:pPr>
    </w:p>
    <w:p>
      <w:pPr>
        <w:jc w:val="both"/>
        <w:ind w:left="740" w:firstLine="740"/>
        <w:spacing w:after="0" w:line="254" w:lineRule="auto"/>
        <w:tabs>
          <w:tab w:leader="none" w:pos="1884"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definitions of “Required Class Lenders”, “Required Lenders”, “Required Revolving Credit Lenders” and “Required Term Loan Lenders” and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40" w:firstLine="740"/>
        <w:spacing w:after="0" w:line="254" w:lineRule="auto"/>
        <w:tabs>
          <w:tab w:leader="none" w:pos="1925"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or otherwise) or received by the Administrative Agent from a Defaulting Lender pursuant to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shall be applied at such time or times as may be determined by the Administrative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any L/C Issuer or Swing Line Lender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to Cash Collateralize the L/C Issuers’ Fronting Exposure with respect to such Defaulting Lender in accordance with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as the Company may request (so long as no Default or Event of Default exists), to the funding of any Loan in respect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which such Defaulting Lender has failed to fund its portion thereof as required by this Agreement, as determined by the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the payment of any amounts owing to the Lenders, the L/C Issuers or the Swing Line Lender as a result of any judgment of a court of competent jurisdiction obtained by any Lender, any L/C Issuer or the Swing Line Lender against that Defaulting Lender as a result of that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Borrowings in respect of which such Defaulting Lender has not fully funded its appropriate share and (y) such Loans were made or</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22" w:name="page123"/>
    <w:bookmarkEnd w:id="122"/>
    <w:p>
      <w:pPr>
        <w:jc w:val="both"/>
        <w:ind w:left="740"/>
        <w:spacing w:after="0" w:line="243" w:lineRule="auto"/>
        <w:rPr>
          <w:sz w:val="20"/>
          <w:szCs w:val="20"/>
          <w:color w:val="auto"/>
        </w:rPr>
      </w:pPr>
      <w:r>
        <w:rPr>
          <w:rFonts w:ascii="Times New Roman" w:cs="Times New Roman" w:eastAsia="Times New Roman" w:hAnsi="Times New Roman"/>
          <w:sz w:val="20"/>
          <w:szCs w:val="20"/>
          <w:color w:val="auto"/>
        </w:rPr>
        <w:t xml:space="preserve">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2.17(a)(ii)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89" w:lineRule="exact"/>
        <w:rPr>
          <w:sz w:val="20"/>
          <w:szCs w:val="20"/>
          <w:color w:val="auto"/>
        </w:rPr>
      </w:pPr>
    </w:p>
    <w:p>
      <w:pPr>
        <w:ind w:left="1880" w:hanging="400"/>
        <w:spacing w:after="0"/>
        <w:tabs>
          <w:tab w:leader="none" w:pos="18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80" w:firstLine="748"/>
        <w:spacing w:after="0" w:line="254" w:lineRule="auto"/>
        <w:tabs>
          <w:tab w:leader="none" w:pos="262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74" w:lineRule="exact"/>
        <w:rPr>
          <w:rFonts w:ascii="Times New Roman" w:cs="Times New Roman" w:eastAsia="Times New Roman" w:hAnsi="Times New Roman"/>
          <w:sz w:val="20"/>
          <w:szCs w:val="20"/>
          <w:color w:val="auto"/>
        </w:rPr>
      </w:pPr>
    </w:p>
    <w:p>
      <w:pPr>
        <w:jc w:val="both"/>
        <w:ind w:left="1480" w:firstLine="748"/>
        <w:spacing w:after="0" w:line="254" w:lineRule="auto"/>
        <w:tabs>
          <w:tab w:leader="none" w:pos="262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Fees for any period during which that Lender is a Defaulting Lender only to the extent allocable to its Applicable Revolving Credit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480" w:firstLine="748"/>
        <w:spacing w:after="0" w:line="243" w:lineRule="auto"/>
        <w:tabs>
          <w:tab w:leader="none" w:pos="262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or any Letter of Credit Fee not required to be paid to any Defaulting Lender pursuant to clause (A) or (B) above, the Company shall (x) pay to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the Swing Line Lender and the applicable L/C Issuer, as applicable, the amount of any such fee otherwise payable to such Defaulting Lender to the extent allocable to such L/C Issuer’s or the Swing Line Lender’s Fronting Exposure to such Defaulting Lender, and (z) not be required to pay the remaining amount of any such fee.</w:t>
      </w:r>
    </w:p>
    <w:p>
      <w:pPr>
        <w:spacing w:after="0" w:line="189" w:lineRule="exact"/>
        <w:rPr>
          <w:rFonts w:ascii="Times New Roman" w:cs="Times New Roman" w:eastAsia="Times New Roman" w:hAnsi="Times New Roman"/>
          <w:sz w:val="20"/>
          <w:szCs w:val="20"/>
          <w:color w:val="auto"/>
        </w:rPr>
      </w:pPr>
    </w:p>
    <w:p>
      <w:pPr>
        <w:jc w:val="both"/>
        <w:ind w:left="740" w:firstLine="740"/>
        <w:spacing w:after="0" w:line="243" w:lineRule="auto"/>
        <w:tabs>
          <w:tab w:leader="none" w:pos="191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Non-Defaulting Lenders in accordance with their respective Applicable Revolving Credit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Subject to </w:t>
      </w:r>
      <w:r>
        <w:rPr>
          <w:rFonts w:ascii="Times New Roman" w:cs="Times New Roman" w:eastAsia="Times New Roman" w:hAnsi="Times New Roman"/>
          <w:sz w:val="20"/>
          <w:szCs w:val="20"/>
          <w:u w:val="single" w:color="auto"/>
          <w:color w:val="auto"/>
        </w:rPr>
        <w:t>Section 10.22</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Times New Roman" w:cs="Times New Roman" w:eastAsia="Times New Roman" w:hAnsi="Times New Roman"/>
          <w:sz w:val="20"/>
          <w:szCs w:val="20"/>
          <w:color w:val="auto"/>
        </w:rPr>
      </w:pPr>
    </w:p>
    <w:p>
      <w:pPr>
        <w:jc w:val="both"/>
        <w:ind w:left="740" w:firstLine="740"/>
        <w:spacing w:after="0" w:line="254" w:lineRule="auto"/>
        <w:tabs>
          <w:tab w:leader="none" w:pos="18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23" w:name="page124"/>
    <w:bookmarkEnd w:id="123"/>
    <w:p>
      <w:pPr>
        <w:ind w:left="740"/>
        <w:spacing w:after="0" w:line="269" w:lineRule="auto"/>
        <w:rPr>
          <w:sz w:val="20"/>
          <w:szCs w:val="20"/>
          <w:color w:val="auto"/>
        </w:rPr>
      </w:pPr>
      <w:r>
        <w:rPr>
          <w:rFonts w:ascii="Times New Roman" w:cs="Times New Roman" w:eastAsia="Times New Roman" w:hAnsi="Times New Roman"/>
          <w:sz w:val="20"/>
          <w:szCs w:val="20"/>
          <w:color w:val="auto"/>
        </w:rPr>
        <w:t xml:space="preserve">and (y) second,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20" w:firstLine="751"/>
        <w:spacing w:after="0" w:line="242" w:lineRule="auto"/>
        <w:tabs>
          <w:tab w:leader="none" w:pos="112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Company, the Administrative Agent, the Swing Line Lender and the L/C Issuers agree in writing in their sole discretion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the funded and unfunded participations in Letters of Credit and Swing Line Loans to be held on a pro rata basis by the Lenders in accordance with their Applicable Revolving Credit Percentages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9" w:lineRule="exact"/>
        <w:rPr>
          <w:rFonts w:ascii="Times New Roman" w:cs="Times New Roman" w:eastAsia="Times New Roman" w:hAnsi="Times New Roman"/>
          <w:sz w:val="20"/>
          <w:szCs w:val="20"/>
          <w:color w:val="auto"/>
        </w:rPr>
      </w:pPr>
    </w:p>
    <w:p>
      <w:pPr>
        <w:jc w:val="both"/>
        <w:ind w:left="-20" w:firstLine="751"/>
        <w:spacing w:after="0" w:line="249" w:lineRule="auto"/>
        <w:tabs>
          <w:tab w:leader="none" w:pos="112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 Line Loans/Letters of Credit</w:t>
      </w:r>
      <w:r>
        <w:rPr>
          <w:rFonts w:ascii="Times New Roman" w:cs="Times New Roman" w:eastAsia="Times New Roman" w:hAnsi="Times New Roman"/>
          <w:sz w:val="20"/>
          <w:szCs w:val="20"/>
          <w:color w:val="auto"/>
        </w:rPr>
        <w:t>. So long as any Revolving Credit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it is satisfied that it will have no Fronting Exposure after giving effect thereto.</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2.18 Designation of Unrestricted and Restricted Subsidiaries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20" w:firstLine="751"/>
        <w:spacing w:after="0" w:line="241" w:lineRule="auto"/>
        <w:tabs>
          <w:tab w:leader="none" w:pos="112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on or after the Closing Date, upon written notice to the Administrative Agent (which written notice shall contain a certification as to the matters set forth in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the Company may designate any Restricted Subsidiary (along with all Subsidiaries of such Restricted Subsidiary) as an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both immediately before and immediately after giving effect to such designation, no Default or Event of Default shall have occurred and be continuing, (ii) the Investment in such Unrestricted Subsidiary must be permitted at such time under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(with the amount of such Investment being deemed to be the fair market value of the net assets of such Subsidiary at the time such Subsidiary is designated an Unrestricted Subsidiary), (iii) once designated as an Unrestricted Subsidiary, the Company may re-designate such Subsidiary as a “Restricted Subsidiary” pursuant to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but, thereafter, the Company shall not re-designate such Subsidiary as an “Unrestricted Subsidiary” pursuant to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(iv) no Subsidiary may be designated as an Unrestricted Subsidiary or continue as an Unrestricted Subsidiary (A) if it is a Borrower or a Subsidiary Guarantor (unless, in the case of a Subsidiary Guarantor, concurrently with such designation it ceases to be a Subsidiary Guarantor) or (B) unless each of its direct and indirect Subsidiaries is also designated an Unrestricted Subsidiary pursuant to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(v) after giving effect to such designation, the Company and its Restricted Subsidiaries shall be in compliance, on a Pro Forma Basis, with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such compliance to be determined on the basis of financial information for the fiscal period most recently ended for which financial information is available, and (vi) the Company and its Restricted Subsidiaries (excluding the proposed Unrestricted Subsidiary) shall at the time of the designation represent, on a consolidated basis (and without taking into account the assets or revenues of any Unrestricted Subsidiary (including the proposed Unrestricted Subsidiary) or the value of any Investment therein) at least 90% of the Consolidated Total Assets and 90% of the consolidated total revenues of the Company and its Subsidiaries. The designation of any Subsidiary as an Unrestricted Subsidiary on or after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24" w:name="page125"/>
    <w:bookmarkEnd w:id="124"/>
    <w:p>
      <w:pPr>
        <w:jc w:val="both"/>
        <w:spacing w:after="0" w:line="254" w:lineRule="auto"/>
        <w:rPr>
          <w:sz w:val="20"/>
          <w:szCs w:val="20"/>
          <w:color w:val="auto"/>
        </w:rPr>
      </w:pPr>
      <w:r>
        <w:rPr>
          <w:rFonts w:ascii="Times New Roman" w:cs="Times New Roman" w:eastAsia="Times New Roman" w:hAnsi="Times New Roman"/>
          <w:sz w:val="20"/>
          <w:szCs w:val="20"/>
          <w:color w:val="auto"/>
        </w:rPr>
        <w:t>Closing Date shall constitute an Investment (with the amount of such Investment being deemed to be the fair market value of the net assets of such Subsidiary at the time such Subsidiary is designated an Unrestricted Subsidiary) by the Company or a Restricted Subsidiary therein at the date of designation.</w:t>
      </w:r>
    </w:p>
    <w:p>
      <w:pPr>
        <w:spacing w:after="0" w:line="174" w:lineRule="exact"/>
        <w:rPr>
          <w:sz w:val="20"/>
          <w:szCs w:val="20"/>
          <w:color w:val="auto"/>
        </w:rPr>
      </w:pPr>
    </w:p>
    <w:p>
      <w:pPr>
        <w:jc w:val="both"/>
        <w:ind w:firstLine="751"/>
        <w:spacing w:after="0" w:line="243"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Closing Date and upon written notice to the Administrative Agent, the Company may re-designate any Unrestricted Subsidiary as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Subsidiary holding or owning Equity Interests in such re-designated Restricted Subsidiary shall be an Unrestricted Subsidiary (unless also being re-designated at such time) and (ii) both before and after giving effect to such designation, no Event of Default shall have occurred and be continuing. The re-designation of any Unrestricted Subsidiary as a Restricted Subsidiary shall constitute (i) the incurrence at the time of such re-designation of any Investment, Indebtedness or Liens of such re-designated Restricted Subsidiary existing at such time and (ii) a return on any Investment by the Company or other applicable Restricted Subsidiary in such re-designated Restricted Subsidiary in an amount equal to the fair market value at the date of such re-designation of the Company’s or its Restricted Subsidiary’s (as applicable) Investment in such re-designated Restricted Subsidiary.</w:t>
      </w:r>
    </w:p>
    <w:p>
      <w:pPr>
        <w:spacing w:after="0" w:line="185" w:lineRule="exact"/>
        <w:rPr>
          <w:rFonts w:ascii="Times New Roman" w:cs="Times New Roman" w:eastAsia="Times New Roman" w:hAnsi="Times New Roman"/>
          <w:sz w:val="20"/>
          <w:szCs w:val="20"/>
          <w:color w:val="auto"/>
        </w:rPr>
      </w:pPr>
    </w:p>
    <w:p>
      <w:pPr>
        <w:jc w:val="both"/>
        <w:ind w:firstLine="751"/>
        <w:spacing w:after="0" w:line="254"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designation of a Subsidiary as an Unrestricted Subsidiary or a Restricted Subsidiary shall be deemed a representation and warranty by the Company that each of the requirements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as applicable, are satisfied in all respects.</w:t>
      </w:r>
    </w:p>
    <w:p>
      <w:pPr>
        <w:spacing w:after="0" w:line="174" w:lineRule="exact"/>
        <w:rPr>
          <w:rFonts w:ascii="Times New Roman" w:cs="Times New Roman" w:eastAsia="Times New Roman" w:hAnsi="Times New Roman"/>
          <w:sz w:val="20"/>
          <w:szCs w:val="20"/>
          <w:color w:val="auto"/>
        </w:rPr>
      </w:pPr>
    </w:p>
    <w:p>
      <w:pPr>
        <w:ind w:left="1140" w:hanging="389"/>
        <w:spacing w:after="0"/>
        <w:tabs>
          <w:tab w:leader="none" w:pos="11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Unrestricted Subsidiaries as of the Closing Date are set forth on </w:t>
      </w:r>
      <w:r>
        <w:rPr>
          <w:rFonts w:ascii="Times New Roman" w:cs="Times New Roman" w:eastAsia="Times New Roman" w:hAnsi="Times New Roman"/>
          <w:sz w:val="20"/>
          <w:szCs w:val="20"/>
          <w:u w:val="single" w:color="auto"/>
          <w:color w:val="auto"/>
        </w:rPr>
        <w:t>Schedule 2.18</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1"/>
        <w:spacing w:after="0" w:line="245"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other Loan Document to the contrary, in no event shall (i) any Subsidiary be designated as an Unrestricted Subsidiary if it, or if any of its Subsidiaries, owns or holds (including by way of an exclusive license or otherwise) any intellectual property or any other assets material to any Loan Party’s business or (ii)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Loan Party’s business.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2.19 Extensions of Maturity Date.</w:t>
      </w:r>
    </w:p>
    <w:p>
      <w:pPr>
        <w:spacing w:after="0" w:line="220" w:lineRule="exact"/>
        <w:rPr>
          <w:sz w:val="20"/>
          <w:szCs w:val="20"/>
          <w:color w:val="auto"/>
        </w:rPr>
      </w:pPr>
    </w:p>
    <w:p>
      <w:pPr>
        <w:jc w:val="both"/>
        <w:ind w:firstLine="751"/>
        <w:spacing w:after="0" w:line="244" w:lineRule="auto"/>
        <w:tabs>
          <w:tab w:leader="none" w:pos="1145"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by written notice to the Administrative Agent from time to time, request an extension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of the maturity date of any Class of Loans and Commitments to the extended maturity date specified in such notice. Such notice shall (i) set forth the amount of the applicable Class of Revolving Credit Commitments, Replacement Revolving Credit Commitments and/or Term Loans that will be subject to the Extension (which shall be in minimum increments of $5,000,000 and a minimum amount of $5,000,000 (or, in each case, such other amounts as the Administrative Agent may approve in its sole discretion),</w:t>
      </w:r>
    </w:p>
    <w:p>
      <w:pPr>
        <w:jc w:val="both"/>
        <w:ind w:firstLine="2"/>
        <w:spacing w:after="0"/>
        <w:tabs>
          <w:tab w:leader="none" w:pos="29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and (iii) identify the relevant Class of Revolving Credit Commitments, Replacement Revolving Credit Commitments and/or Term Loans to which such Extension relates. Each Lender of the applicable Class shall be offered (each, an “</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an opportunity to participate in such Extension on a pro rata basis and on the same terms and conditions as each other Lender of such Class pursuant to procedures established by, or reasonably acceptable to, the Administrative Agent and the Company. If the aggregate principal amount of Revolving Credit Commitments, Replacement Revolving Credit Commitments or Term Loans, as applicable, in respect of which Lenders shall have accepted the relevant Extension Offer shall exceed the maximum aggregate principal amount of Revolving Credit Commitments, Replacement Revolving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25" w:name="page126"/>
    <w:bookmarkEnd w:id="125"/>
    <w:p>
      <w:pPr>
        <w:jc w:val="both"/>
        <w:spacing w:after="0" w:line="249" w:lineRule="auto"/>
        <w:rPr>
          <w:sz w:val="20"/>
          <w:szCs w:val="20"/>
          <w:color w:val="auto"/>
        </w:rPr>
      </w:pPr>
      <w:r>
        <w:rPr>
          <w:rFonts w:ascii="Times New Roman" w:cs="Times New Roman" w:eastAsia="Times New Roman" w:hAnsi="Times New Roman"/>
          <w:sz w:val="20"/>
          <w:szCs w:val="20"/>
          <w:color w:val="auto"/>
        </w:rPr>
        <w:t>Credit Commitments or Term Loans, as applicable, subject to the Extension Offer as set forth in the Extension notice, then the Revolving Credit Commitments, Replacement Revolving Credit Commitments or Term Loans, as applicable, of Lenders of the applicable Class shall be extended ratably up to such maximum amount based on the respective principal amounts with respect to which such Lenders have accepted such Extension Offer.</w:t>
      </w:r>
    </w:p>
    <w:p>
      <w:pPr>
        <w:spacing w:after="0" w:line="180" w:lineRule="exact"/>
        <w:rPr>
          <w:sz w:val="20"/>
          <w:szCs w:val="20"/>
          <w:color w:val="auto"/>
        </w:rPr>
      </w:pPr>
    </w:p>
    <w:p>
      <w:pPr>
        <w:jc w:val="both"/>
        <w:ind w:firstLine="751"/>
        <w:spacing w:after="0" w:line="241" w:lineRule="auto"/>
        <w:tabs>
          <w:tab w:leader="none" w:pos="1145"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in each of the other Loan Documents shall be true and correct in all material respects (or, in the case of any such representation and warranty that is subject to materiality or Material Adverse Effect qualifications, in all respects) on and as of the effective date of such Extension, except to the extent that such representations and warranties specifically refer to an earlier date, in which case they are true and correct in all material respects (or, in the case of any such representation and warranty that is subject to materiality or Material Adverse Effect qualifications, in all respects) as of such earlier date and except that for purposes of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(iii) each L/C Issuer and the Swing Line Lender shall have consented to any Extension of the Revolving Credit Commitments or Replacement Revolving Credit Commitments, to the extent that such Extension provides for the issuance or extension of Letters of Credit or making of Swing Line Loans at any time during the extended period and (iv) the terms of such Extended Revolving Credit Commitments and Extended Term Loans shall comply with paragraph (c) of this Section.</w:t>
      </w:r>
    </w:p>
    <w:p>
      <w:pPr>
        <w:spacing w:after="0" w:line="197" w:lineRule="exact"/>
        <w:rPr>
          <w:rFonts w:ascii="Times New Roman" w:cs="Times New Roman" w:eastAsia="Times New Roman" w:hAnsi="Times New Roman"/>
          <w:sz w:val="20"/>
          <w:szCs w:val="20"/>
          <w:color w:val="auto"/>
        </w:rPr>
      </w:pPr>
    </w:p>
    <w:p>
      <w:pPr>
        <w:jc w:val="both"/>
        <w:ind w:firstLine="751"/>
        <w:spacing w:after="0" w:line="253" w:lineRule="auto"/>
        <w:tabs>
          <w:tab w:leader="none" w:pos="1145"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terms of each Extension shall be determined by the Administrative Agent, the Company and the applicable extending Lenders and set forth in an Extension Amendment;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final maturity date of any Extended Revolving Credit Commitment or Extended Term Loan shall be no earlier than the stated maturity date of the Class of Revolving Credit Commitments, Replacement Revolving Credit Commitments or Term Loans being extended thereby, (ii)(A) there shall be no scheduled amortization of the loans or reductions of commitments under any Extended Revolving Credit Commitments and (B) the Weighted Average Life to Maturity of the Extended Term Loans shall be no shorter than the remaining Weighted Average Life to Maturity of the existing Class of Term Loans being extended thereby, (iii) the Extended Revolving Credit Loans and the Extended Term Loans will rank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 right of payment and with respect to security with the existing Class of Revolving Credit Loans or Term Loans, as applicable, being extended thereby and the borrower and guarantors of the Extended Revolving Credit Commitments or Extended Term Loans, as applicable, shall be the same as the Borrowers and Guarantors with respect to the existing Class of Revolving Credit Loans or Term Loans, as applicable, being extended thereby, (iv) the interest rate margins, rate floors, fees, original issue discount and premium applicable to any Extended Revolving Credit Commitment (and the Extended Revolving Credit Loans thereunder) and Extended Term Loans shall be determined by the Company and the applicable extending Lenders, (v)(A) the Extended Term Loans may participate on a pro rata or less than pro rata (but not greater than pro rata) basis in voluntary or mandatory prepayments with the other Term Loans and</w:t>
      </w:r>
    </w:p>
    <w:p>
      <w:pPr>
        <w:spacing w:after="0" w:line="10" w:lineRule="exact"/>
        <w:rPr>
          <w:rFonts w:ascii="Times New Roman" w:cs="Times New Roman" w:eastAsia="Times New Roman" w:hAnsi="Times New Roman"/>
          <w:sz w:val="19"/>
          <w:szCs w:val="19"/>
          <w:color w:val="auto"/>
        </w:rPr>
      </w:pPr>
    </w:p>
    <w:p>
      <w:pPr>
        <w:jc w:val="both"/>
        <w:ind w:firstLine="2"/>
        <w:spacing w:after="0"/>
        <w:tabs>
          <w:tab w:leader="none" w:pos="33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borrowing and prepayment of Extended Revolving Credit Loans, or reductions of Extended Revolving Credit Commitments, and participation in Letters of Credit and Swing Line Loans, shall be on a pro rata basis with the other Revolving Credit Loans, Revolving Credit Commitments, Replacement Revolving Credit Loans or Replacement Revolving Credit Commitments, as applicable, of the Class being extended thereby (other than upon the maturity of the non-extended Revolving Credit Loans, Revolving Credit Commitments, Replacement Revolving Credit Loans or Replacement Revolving Credit Commitments, as applicable, of the Class being extended thereby) and (vi) the terms of the Extended Revolving Credit Commitments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26" w:name="page127"/>
    <w:bookmarkEnd w:id="126"/>
    <w:p>
      <w:pPr>
        <w:ind w:right="20"/>
        <w:spacing w:after="0" w:line="269" w:lineRule="auto"/>
        <w:rPr>
          <w:sz w:val="20"/>
          <w:szCs w:val="20"/>
          <w:color w:val="auto"/>
        </w:rPr>
      </w:pPr>
      <w:r>
        <w:rPr>
          <w:rFonts w:ascii="Times New Roman" w:cs="Times New Roman" w:eastAsia="Times New Roman" w:hAnsi="Times New Roman"/>
          <w:sz w:val="20"/>
          <w:szCs w:val="20"/>
          <w:color w:val="auto"/>
        </w:rPr>
        <w:t>or Extended Term Loans, as applicable, shall be substantially identical to the terms set forth herein (except as set forth in clauses (i) through (v) above).</w:t>
      </w:r>
    </w:p>
    <w:p>
      <w:pPr>
        <w:spacing w:after="0" w:line="159" w:lineRule="exact"/>
        <w:rPr>
          <w:sz w:val="20"/>
          <w:szCs w:val="20"/>
          <w:color w:val="auto"/>
        </w:rPr>
      </w:pPr>
    </w:p>
    <w:p>
      <w:pPr>
        <w:jc w:val="both"/>
        <w:ind w:firstLine="751"/>
        <w:spacing w:after="0" w:line="241" w:lineRule="auto"/>
        <w:tabs>
          <w:tab w:leader="none" w:pos="114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Extension, the Company,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affected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Company, to implement the terms of any such Extension, including any amendments necessary to establish Extended Revolving Credit Commitments or Extended Term Loans as a new Class or tranche of Revolving Credit Commitments, Replacement Revolving Credit Commitments or Term Loans, as applicable, and such other technical amendments as may be necessary or appropriate in the reasonable opinion of the Administrative Agent and the Company in connection with the establishment of such new Class or tranche (including to preserve the pro rata treatment of the extended and non-extended Classes or tranches and to provide for the reallocation of Revolving Credit Exposure or the credit exposure with respect to any Replacement Revolving Credit Commitment, as applicable, upon the expiration or termination of the commitments under any Class or tranche), in each case on terms consistent with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firstLine="751"/>
        <w:spacing w:after="0" w:line="244" w:lineRule="auto"/>
        <w:tabs>
          <w:tab w:leader="none" w:pos="114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the right to replace each Lender that determines not to so extend its Maturity Date (a “ </w:t>
      </w:r>
      <w:r>
        <w:rPr>
          <w:rFonts w:ascii="Times New Roman" w:cs="Times New Roman" w:eastAsia="Times New Roman" w:hAnsi="Times New Roman"/>
          <w:sz w:val="20"/>
          <w:szCs w:val="20"/>
          <w:u w:val="single" w:color="auto"/>
          <w:color w:val="auto"/>
        </w:rPr>
        <w:t>Non-Extending Lender</w:t>
      </w:r>
      <w:r>
        <w:rPr>
          <w:rFonts w:ascii="Times New Roman" w:cs="Times New Roman" w:eastAsia="Times New Roman" w:hAnsi="Times New Roman"/>
          <w:sz w:val="20"/>
          <w:szCs w:val="20"/>
          <w:color w:val="auto"/>
        </w:rPr>
        <w:t>”) with, and add as “Revolving Credit Lenders” or “Term Loan Lenders”, as applicable, under this Agreement in place thereof, one or more Eligible Assignees (each, an “</w:t>
      </w:r>
      <w:r>
        <w:rPr>
          <w:rFonts w:ascii="Times New Roman" w:cs="Times New Roman" w:eastAsia="Times New Roman" w:hAnsi="Times New Roman"/>
          <w:sz w:val="20"/>
          <w:szCs w:val="20"/>
          <w:u w:val="single" w:color="auto"/>
          <w:color w:val="auto"/>
        </w:rPr>
        <w:t>Additional Commitment Lender</w:t>
      </w:r>
      <w:r>
        <w:rPr>
          <w:rFonts w:ascii="Times New Roman" w:cs="Times New Roman" w:eastAsia="Times New Roman" w:hAnsi="Times New Roman"/>
          <w:sz w:val="20"/>
          <w:szCs w:val="20"/>
          <w:color w:val="auto"/>
        </w:rPr>
        <w:t xml:space="preserve">”) as provided in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of such Additional Commitment Lenders shall enter into an Assignment and Assumption pursuant to which such Additional Commitment Lender shall, effective as of the existing Maturity Date, undertake a Revolving Credit Commitment and/or Term Loan Commitment, as applicable (and, if any such Additional Commitment Lender is already a Revolving Credit Lender or Term Lender, its Commitment shall be in addition to any other Commitment of such Lender hereunder on such date).</w:t>
      </w:r>
    </w:p>
    <w:p>
      <w:pPr>
        <w:spacing w:after="0" w:line="185" w:lineRule="exact"/>
        <w:rPr>
          <w:rFonts w:ascii="Times New Roman" w:cs="Times New Roman" w:eastAsia="Times New Roman" w:hAnsi="Times New Roman"/>
          <w:sz w:val="20"/>
          <w:szCs w:val="20"/>
          <w:color w:val="auto"/>
        </w:rPr>
      </w:pPr>
    </w:p>
    <w:p>
      <w:pPr>
        <w:ind w:left="1140" w:hanging="389"/>
        <w:spacing w:after="0"/>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Section shall supersede any provisions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to the contrary.</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2.20 Refinancing Facilities.</w:t>
      </w:r>
    </w:p>
    <w:p>
      <w:pPr>
        <w:spacing w:after="0" w:line="220" w:lineRule="exact"/>
        <w:rPr>
          <w:sz w:val="20"/>
          <w:szCs w:val="20"/>
          <w:color w:val="auto"/>
        </w:rPr>
      </w:pPr>
    </w:p>
    <w:p>
      <w:pPr>
        <w:jc w:val="both"/>
        <w:ind w:firstLine="751"/>
        <w:spacing w:after="0" w:line="242" w:lineRule="auto"/>
        <w:tabs>
          <w:tab w:leader="none" w:pos="114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the Company may by written notice to the Administrative Agent request the establishment of (i) one or more additional tranches or Classes of term loans under this Agreement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which refinance, renew, replace, defease or refund (collectively, “</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one or more Classes of outstanding Term Loans or (ii) one or more additional revolving facilities under this Agreement providing for revolving commitments (“</w:t>
      </w:r>
      <w:r>
        <w:rPr>
          <w:rFonts w:ascii="Times New Roman" w:cs="Times New Roman" w:eastAsia="Times New Roman" w:hAnsi="Times New Roman"/>
          <w:sz w:val="20"/>
          <w:szCs w:val="20"/>
          <w:u w:val="single" w:color="auto"/>
          <w:color w:val="auto"/>
        </w:rPr>
        <w:t>Replacement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Revolving Credit Commitments</w:t>
      </w:r>
      <w:r>
        <w:rPr>
          <w:rFonts w:ascii="Times New Roman" w:cs="Times New Roman" w:eastAsia="Times New Roman" w:hAnsi="Times New Roman"/>
          <w:sz w:val="20"/>
          <w:szCs w:val="20"/>
          <w:color w:val="auto"/>
        </w:rPr>
        <w:t>” and, the revolving loans thereunder, “</w:t>
      </w:r>
      <w:r>
        <w:rPr>
          <w:rFonts w:ascii="Times New Roman" w:cs="Times New Roman" w:eastAsia="Times New Roman" w:hAnsi="Times New Roman"/>
          <w:sz w:val="20"/>
          <w:szCs w:val="20"/>
          <w:u w:val="single" w:color="auto"/>
          <w:color w:val="auto"/>
        </w:rPr>
        <w:t>Replacement Revolving Credit Loans</w:t>
      </w:r>
      <w:r>
        <w:rPr>
          <w:rFonts w:ascii="Times New Roman" w:cs="Times New Roman" w:eastAsia="Times New Roman" w:hAnsi="Times New Roman"/>
          <w:sz w:val="20"/>
          <w:szCs w:val="20"/>
          <w:color w:val="auto"/>
        </w:rPr>
        <w:t>”; any Replacement Revolving Credit Commitments and any Replacement Revolving Credit Loans, together with any Refinancing Term Loans, collectively, the “</w:t>
      </w:r>
      <w:r>
        <w:rPr>
          <w:rFonts w:ascii="Times New Roman" w:cs="Times New Roman" w:eastAsia="Times New Roman" w:hAnsi="Times New Roman"/>
          <w:sz w:val="20"/>
          <w:szCs w:val="20"/>
          <w:u w:val="single" w:color="auto"/>
          <w:color w:val="auto"/>
        </w:rPr>
        <w:t>Refinancing Debt</w:t>
      </w:r>
      <w:r>
        <w:rPr>
          <w:rFonts w:ascii="Times New Roman" w:cs="Times New Roman" w:eastAsia="Times New Roman" w:hAnsi="Times New Roman"/>
          <w:sz w:val="20"/>
          <w:szCs w:val="20"/>
          <w:color w:val="auto"/>
        </w:rPr>
        <w:t>”) which Refinance one or more Classes of Revolving Credit Commitments (and the Loans made thereunder) under this Agreement. Each such notice shall specify the date (each, a “</w:t>
      </w:r>
      <w:r>
        <w:rPr>
          <w:rFonts w:ascii="Times New Roman" w:cs="Times New Roman" w:eastAsia="Times New Roman" w:hAnsi="Times New Roman"/>
          <w:sz w:val="20"/>
          <w:szCs w:val="20"/>
          <w:u w:val="single" w:color="auto"/>
          <w:color w:val="auto"/>
        </w:rPr>
        <w:t>Refinancing/Replacement Effective Date</w:t>
      </w:r>
      <w:r>
        <w:rPr>
          <w:rFonts w:ascii="Times New Roman" w:cs="Times New Roman" w:eastAsia="Times New Roman" w:hAnsi="Times New Roman"/>
          <w:sz w:val="20"/>
          <w:szCs w:val="20"/>
          <w:color w:val="auto"/>
        </w:rPr>
        <w:t>”) on which the Company proposes that the Refinancing Term Loans or Replacement Revolving Credit Loans, as applicable, be made and the Replacement Revolving Credit Commitments be available, which such date shall be not less than five (5) Business Days after the date on which such notice is delivered to Administrative Agent (or such later date as may be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27" w:name="page128"/>
    <w:bookmarkEnd w:id="127"/>
    <w:p>
      <w:pPr>
        <w:jc w:val="both"/>
        <w:ind w:left="-2" w:firstLine="751"/>
        <w:spacing w:after="0" w:line="254" w:lineRule="auto"/>
        <w:tabs>
          <w:tab w:leader="none" w:pos="1142"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may invite any Lender, any Affiliate of any Lender and/or any Approved Fund, and/or any other Person that meets the requirements of an Eligible Assignee of the Indebtedness or Commitments being Refinanced to provide all or a portion of the requested Refinancing Term Loan or Replacement Revolving Credit Commitments,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 the case of a Refinancing Term Loan, the consent of the Administrative Agent has been received with respect to any proposed Refinancing Term Lender that is not already a Lender, an Affiliate of a Lender or an Approved Fund and (ii) in the case of a Replacement Revolving Credit Commitment, the consent of each of the Administrative Agent, the Swing Line Lender and the L/C Issuers shall have been received with respect to any proposed Replacement Revolving Credit Lender that is not already a Lender with a Revolving Credit Commitment of the Class of Revolving Credit Commitments being Refinanced or an Affiliate of any such Lender. At the time of sending such notice, the Company (in consultation with the Administrative Agent) shall specify the time period within which each proposed Refinancing Term Lender or Replacement Revolving Credit Lender, as the case may be, is requested to respond, which shall in no event be less than two</w:t>
      </w:r>
    </w:p>
    <w:p>
      <w:pPr>
        <w:spacing w:after="0" w:line="4" w:lineRule="exact"/>
        <w:rPr>
          <w:rFonts w:ascii="Times New Roman" w:cs="Times New Roman" w:eastAsia="Times New Roman" w:hAnsi="Times New Roman"/>
          <w:sz w:val="19"/>
          <w:szCs w:val="19"/>
          <w:color w:val="auto"/>
        </w:rPr>
      </w:pPr>
    </w:p>
    <w:p>
      <w:pPr>
        <w:jc w:val="both"/>
        <w:ind w:left="-2" w:firstLine="2"/>
        <w:spacing w:after="0"/>
        <w:tabs>
          <w:tab w:leader="none" w:pos="289"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(or such later date as may be approved by the Administrative Agent) from the date of delivery of such notice to the proposed Refinancing Term Lender or Replacement Revolving Credit Lender, as the case may be. Each proposed Refinancing Term Lender or Replacement Revolving Credit Lender, as the case may be, may elect or decline, in its sole discretion, and shall notify the Administrative Agent within such time period whether it agrees, to provide a Refinancing Term Loan or Replacement Revolving Credit Commitment, as applicable, and, if so, whether by an amount equal to, greater than or less than requested. Any Person not responding within such time period shall be deemed to have declined to provide a Refinancing Term Loan or Replacement Revolving Credit Commitment (or any portion thereof). At the conclusion of such period, the Administrative Agent (in consultation with the Company) shall determine the final allocation of such Refinancing Term Loan or Replacement Revolving Credit Commitment and shall promptly notify the Company and each of the applicable Refinancing Term Lenders or Replacement Revolving Credit Lenders of the final allocations of such Refinancing Term Loan or Replacement Revolving Credit Commitment, as the case may be (limited in the case of such Lenders to their own respective allocations thereof).</w:t>
      </w:r>
    </w:p>
    <w:p>
      <w:pPr>
        <w:spacing w:after="0" w:line="188" w:lineRule="exact"/>
        <w:rPr>
          <w:rFonts w:ascii="Times New Roman" w:cs="Times New Roman" w:eastAsia="Times New Roman" w:hAnsi="Times New Roman"/>
          <w:sz w:val="20"/>
          <w:szCs w:val="20"/>
          <w:color w:val="auto"/>
        </w:rPr>
      </w:pPr>
    </w:p>
    <w:p>
      <w:pPr>
        <w:jc w:val="both"/>
        <w:ind w:left="-2" w:firstLine="751"/>
        <w:spacing w:after="0" w:line="241" w:lineRule="auto"/>
        <w:tabs>
          <w:tab w:leader="none" w:pos="1142"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Refinancing Term Loans made on any Refinancing/Replacement Effective Date shall be designated a series (each, a “</w:t>
      </w:r>
      <w:r>
        <w:rPr>
          <w:rFonts w:ascii="Times New Roman" w:cs="Times New Roman" w:eastAsia="Times New Roman" w:hAnsi="Times New Roman"/>
          <w:sz w:val="20"/>
          <w:szCs w:val="20"/>
          <w:u w:val="single" w:color="auto"/>
          <w:color w:val="auto"/>
        </w:rPr>
        <w:t>Refinancing Term Loan Series</w:t>
      </w:r>
      <w:r>
        <w:rPr>
          <w:rFonts w:ascii="Times New Roman" w:cs="Times New Roman" w:eastAsia="Times New Roman" w:hAnsi="Times New Roman"/>
          <w:sz w:val="20"/>
          <w:szCs w:val="20"/>
          <w:color w:val="auto"/>
        </w:rPr>
        <w:t xml:space="preserve">”) of Refinancing Term Loans and as a separate Class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Refinancing Term Loans may, to the extent provided in the applicable Refinancing Amendment, be designated as an increase in any previously established Refinancing Term Loan Series of, and part of the same Class of, Refinancing Term Loans made to the Company. Any Replacement Revolving Credit Commitment made available on any Refinancing/Replacement Effective Date shall be designated a series (each, a “</w:t>
      </w:r>
      <w:r>
        <w:rPr>
          <w:rFonts w:ascii="Times New Roman" w:cs="Times New Roman" w:eastAsia="Times New Roman" w:hAnsi="Times New Roman"/>
          <w:sz w:val="20"/>
          <w:szCs w:val="20"/>
          <w:u w:val="single" w:color="auto"/>
          <w:color w:val="auto"/>
        </w:rPr>
        <w:t>Replacement Revolving Credit Commitment Series</w:t>
      </w:r>
      <w:r>
        <w:rPr>
          <w:rFonts w:ascii="Times New Roman" w:cs="Times New Roman" w:eastAsia="Times New Roman" w:hAnsi="Times New Roman"/>
          <w:sz w:val="20"/>
          <w:szCs w:val="20"/>
          <w:color w:val="auto"/>
        </w:rPr>
        <w:t xml:space="preserve">”) of Replacement Revolving Credit Commitments and as a separate Class of Revolving Credit Commitments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Replacement Revolving Credit Commitments may, to the extent provided in the applicable Refinancing Amendment, be designated as an increase in, and part of the same Class as, any previously established Replacement Revolving Credit Commitment Series;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any Replacement Revolving Credit Commitment is designated as an increase in any previously established Replacement Revolving Credit Commitment Series, each of the Replacement Revolving Credit Lenders with Replacement Revolving Credit Commitments of such Replacement Revolving Credit Commitment Series shall, on the Refinancing/Replacement Effective Date and subject to the satisfaction of the terms and conditions in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purchase from each of the other Lenders with Replacement Revolving Credit Commitments of such Replacement Revolving Credit Commitment Series, at the principal amount thereof and in the applicable currencies, such interests in the Revolving Credit Loans under such Replacement Revolving Credit Commitments outstanding immediately prior to the effectiveness of the Refinancing Amendment as shall be necessary in order that, after giving effect to all such assignments and purchases, the Replacement Revolving Credit Loans of such Replacement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481330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332" w:right="339" w:bottom="1440" w:gutter="0" w:footer="0" w:header="0"/>
        </w:sectPr>
      </w:pPr>
    </w:p>
    <w:bookmarkStart w:id="128" w:name="page129"/>
    <w:bookmarkEnd w:id="128"/>
    <w:p>
      <w:pPr>
        <w:spacing w:after="0" w:line="269" w:lineRule="auto"/>
        <w:rPr>
          <w:sz w:val="20"/>
          <w:szCs w:val="20"/>
          <w:color w:val="auto"/>
        </w:rPr>
      </w:pPr>
      <w:r>
        <w:rPr>
          <w:rFonts w:ascii="Times New Roman" w:cs="Times New Roman" w:eastAsia="Times New Roman" w:hAnsi="Times New Roman"/>
          <w:sz w:val="20"/>
          <w:szCs w:val="20"/>
          <w:color w:val="auto"/>
        </w:rPr>
        <w:t>Revolving Credit Commitment Series will be held by Replacement Revolving Credit Lenders thereunder ratably in accordance with their Replacement Revolving Credit Commitment Percentages.</w:t>
      </w:r>
    </w:p>
    <w:p>
      <w:pPr>
        <w:spacing w:after="0" w:line="159" w:lineRule="exact"/>
        <w:rPr>
          <w:sz w:val="20"/>
          <w:szCs w:val="20"/>
          <w:color w:val="auto"/>
        </w:rPr>
      </w:pPr>
    </w:p>
    <w:p>
      <w:pPr>
        <w:jc w:val="both"/>
        <w:ind w:firstLine="751"/>
        <w:spacing w:after="0" w:line="243" w:lineRule="auto"/>
        <w:tabs>
          <w:tab w:leader="none" w:pos="11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request for Refinancing Term Loans or Replacement Revolving Credit Commitments, subject to the terms and conditions hereof (including, without limitation, the satisfaction or waiver of the terms and conditions set forth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each Refinancing Term Lender shall on the applicable Refinancing/Replacement Effective Date applicable to such request, make a Refinancing Term Loan to the applicable Borrowers in an amount equal to its pro rata share of such request and each Replacement Revolving Credit Lender shall make its Replacement Revolving Credit Commitment available to the applicable Borrowers in an amount equal to such Replacement Revolving Credit Commitment (and in connection therewith make any Replacement Revolving Credit Loans) of such request and in connection therewith such Refinancing Term Lender and/or Replacement Revolving Credit Lender shall become a Lender hereunder with respect to such Refinancing Term Loans and Replacement Revolving Credit Commitments (and the Replacement Revolving Credit Loans made pursuant thereto).</w:t>
      </w:r>
    </w:p>
    <w:p>
      <w:pPr>
        <w:spacing w:after="0" w:line="185" w:lineRule="exact"/>
        <w:rPr>
          <w:rFonts w:ascii="Times New Roman" w:cs="Times New Roman" w:eastAsia="Times New Roman" w:hAnsi="Times New Roman"/>
          <w:sz w:val="20"/>
          <w:szCs w:val="20"/>
          <w:color w:val="auto"/>
        </w:rPr>
      </w:pPr>
    </w:p>
    <w:p>
      <w:pPr>
        <w:jc w:val="both"/>
        <w:ind w:firstLine="751"/>
        <w:spacing w:after="0" w:line="241" w:lineRule="auto"/>
        <w:tabs>
          <w:tab w:leader="none" w:pos="11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Lenders hereby consent to the transactions contemplated by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for the avoidance of doubt, the payment of interest, fees, amortization or premium in respect of the Refinancing Term Loans, Replacement Revolving Credit Commitments and Replacement Revolving Credit Loans on the terms specified by the Company and the applicable Refinancing Term Lenders or Replacement Revolving Credit Lenders, as a the case may be) and hereby waive the requirements of this Agreement (including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any other Loan Document that may otherwise prohibit such Refinancing or any other transaction contemplated by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Refinancing Term Loans, Replacement Revolving Credit Commitments and/or Replacement Revolving Credit Loans shall be established pursuant to an amendment to (or if agreed to by the Administrative Agent and the Borrower an amendment and restatement of) this Agreement and, as appropriate, the other Loan Documents (each, a “</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xml:space="preserve">”) among the Loan Parties, the Administrative Agent and the applicable Refinancing Term Lenders or Replacement Revolving Credit Lenders (and, if applicable, any replacement Issuing Lender and/or replacement Swingline Lender), which Refinancing Amendment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in order to establish new tranches or sub-tranches in respect of the Refinancing Term Loans, the Replacement Revolving Credit Commitments and Replacement Revolving Credit Loans and such technical amendments as may be necessary or appropriate in connection therewith and to adjust the amortization schedule in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(insofar as such schedule relates to payments due to Lenders with respect to any Term Loans which are Refinanced;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shall reduce the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any such payment that would have otherwise been payable to the Lenders of the Term Loans which are not Refinanced). The Administrative Agent shall be permitted, and each is hereby authorized, to enter into such Refinancing Amendments to effect the foregoing.</w:t>
      </w:r>
    </w:p>
    <w:p>
      <w:pPr>
        <w:spacing w:after="0" w:line="188" w:lineRule="exact"/>
        <w:rPr>
          <w:rFonts w:ascii="Times New Roman" w:cs="Times New Roman" w:eastAsia="Times New Roman" w:hAnsi="Times New Roman"/>
          <w:sz w:val="20"/>
          <w:szCs w:val="20"/>
          <w:color w:val="auto"/>
        </w:rPr>
      </w:pPr>
    </w:p>
    <w:p>
      <w:pPr>
        <w:jc w:val="both"/>
        <w:ind w:firstLine="751"/>
        <w:spacing w:after="0" w:line="254" w:lineRule="auto"/>
        <w:tabs>
          <w:tab w:leader="none" w:pos="11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any Refinancing Amendment and the Refinancing Term Loan or Replacement Revolving Credit Commitments thereunder, shall be subject to the satisfaction or waiver on or prior to the Refinancing/Replacement Effective Date of each of the following conditions, together with any additional conditions set forth in the applicable Refinancing Amendment:</w:t>
      </w:r>
    </w:p>
    <w:p>
      <w:pPr>
        <w:spacing w:after="0" w:line="174" w:lineRule="exact"/>
        <w:rPr>
          <w:rFonts w:ascii="Times New Roman" w:cs="Times New Roman" w:eastAsia="Times New Roman" w:hAnsi="Times New Roman"/>
          <w:sz w:val="20"/>
          <w:szCs w:val="20"/>
          <w:color w:val="auto"/>
        </w:rPr>
      </w:pPr>
    </w:p>
    <w:p>
      <w:pPr>
        <w:jc w:val="both"/>
        <w:ind w:left="760" w:firstLine="740"/>
        <w:spacing w:after="0" w:line="249" w:lineRule="auto"/>
        <w:tabs>
          <w:tab w:leader="none" w:pos="1904"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shall be satisfied or waived (it being agreed that for purposes of this clause (i) the making available of a Replacement Revolving Credit Commitment shall be deemed to be a Credit Extension whether or not any Replacement Revolving Credit Loans are funded on the applicable Refinancing/Replacement Effective Date);</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29" w:name="page130"/>
    <w:bookmarkEnd w:id="129"/>
    <w:p>
      <w:pPr>
        <w:jc w:val="both"/>
        <w:ind w:left="740" w:firstLine="740"/>
        <w:spacing w:after="0" w:line="244" w:lineRule="auto"/>
        <w:tabs>
          <w:tab w:leader="none" w:pos="18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reasonably requested by the Administrative Agent, receipt by the Administrative Agent of (1) customary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(2) reaffirmation agreements and/or such amendments to the Collateral Documents as may be reasonably requested by the Administrative Agent in order to ensure that such Refinancing Term Loan or Replacement Revolving Credit Commitment is provided with the benefit of the applicable Loan Documents;</w:t>
      </w:r>
    </w:p>
    <w:p>
      <w:pPr>
        <w:spacing w:after="0" w:line="185" w:lineRule="exact"/>
        <w:rPr>
          <w:rFonts w:ascii="Times New Roman" w:cs="Times New Roman" w:eastAsia="Times New Roman" w:hAnsi="Times New Roman"/>
          <w:sz w:val="20"/>
          <w:szCs w:val="20"/>
          <w:color w:val="auto"/>
        </w:rPr>
      </w:pPr>
    </w:p>
    <w:p>
      <w:pPr>
        <w:jc w:val="both"/>
        <w:ind w:left="740" w:firstLine="740"/>
        <w:spacing w:after="0" w:line="263" w:lineRule="auto"/>
        <w:tabs>
          <w:tab w:leader="none" w:pos="188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Net Cash Proceeds of any such Refinancing Term Loans shall be applied, concurrently or substantially concurrently with the incurrence thereof, solely to the repayment of the outstanding amount of one or more Classes (or portions thereof) of Term Loans being Refinanced thereby and the aggregate principal amount of the Replacement Revolving Credit Commitments shall be applied concurrently with the effectiveness of the applicable Refinancing Amendment to permanently reduce one or more Classes (or the portions thereof) of Revolving Credit Commitments being Refinanced thereby;</w:t>
      </w:r>
    </w:p>
    <w:p>
      <w:pPr>
        <w:spacing w:after="0" w:line="166" w:lineRule="exact"/>
        <w:rPr>
          <w:rFonts w:ascii="Times New Roman" w:cs="Times New Roman" w:eastAsia="Times New Roman" w:hAnsi="Times New Roman"/>
          <w:sz w:val="19"/>
          <w:szCs w:val="19"/>
          <w:color w:val="auto"/>
        </w:rPr>
      </w:pPr>
    </w:p>
    <w:p>
      <w:pPr>
        <w:jc w:val="both"/>
        <w:ind w:left="740" w:firstLine="740"/>
        <w:spacing w:after="0" w:line="249" w:lineRule="auto"/>
        <w:tabs>
          <w:tab w:leader="none" w:pos="18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Class of Refinancing Term Loans or Replacement Revolving Credit Commitments shall be in an aggregate principal amount of $5,000,000 or any whole multiple of $1,000,000 in excess thereof (or such other amount necessary to Refinance any Class of outstanding Term Loans or Revolving Credit Commitments in full or such lesser amount agreed to by the Administrative Agent in its sole discretion);</w:t>
      </w:r>
    </w:p>
    <w:p>
      <w:pPr>
        <w:spacing w:after="0" w:line="179" w:lineRule="exact"/>
        <w:rPr>
          <w:rFonts w:ascii="Times New Roman" w:cs="Times New Roman" w:eastAsia="Times New Roman" w:hAnsi="Times New Roman"/>
          <w:sz w:val="20"/>
          <w:szCs w:val="20"/>
          <w:color w:val="auto"/>
        </w:rPr>
      </w:pPr>
    </w:p>
    <w:p>
      <w:pPr>
        <w:jc w:val="both"/>
        <w:ind w:left="740" w:firstLine="740"/>
        <w:spacing w:after="0" w:line="245" w:lineRule="auto"/>
        <w:tabs>
          <w:tab w:leader="none" w:pos="18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Class of Refinancing Term Loans or Replacement Revolving Credit Commitments (and any Replacement Revolving Credit Loans made thereunder) shall satisfy each of the requirements set forth in the definition of Permitted Refinancing Indebtedness with references therein to “Refinancing Indebtedness” being deemed to refer to such Class of Refinancing Term Loans or Replacement Revolving Credit Commitments (and any Replacement Revolving Credit Loans made thereunder) and references therein to “Refinanced Indebtedness” being deemed to refer to the Class or Classes of Term Loans or Revolving Credit Commitments being Refinanced thereby; and</w:t>
      </w:r>
    </w:p>
    <w:p>
      <w:pPr>
        <w:spacing w:after="0" w:line="184" w:lineRule="exact"/>
        <w:rPr>
          <w:rFonts w:ascii="Times New Roman" w:cs="Times New Roman" w:eastAsia="Times New Roman" w:hAnsi="Times New Roman"/>
          <w:sz w:val="20"/>
          <w:szCs w:val="20"/>
          <w:color w:val="auto"/>
        </w:rPr>
      </w:pPr>
    </w:p>
    <w:p>
      <w:pPr>
        <w:jc w:val="both"/>
        <w:ind w:left="740" w:firstLine="740"/>
        <w:spacing w:after="0" w:line="245" w:lineRule="auto"/>
        <w:tabs>
          <w:tab w:leader="none" w:pos="18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terms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unless otherwise approved by the Administrative Agent in its sole discretion, in no event shall there be more than (A) two (2) tranches of revolving facilities in the aggregate in effect at any time (including the Revolving Credit Commitments, any Extended Revolving Credit Commitments and any Replacement Revolving Credit Commitments) and (ii) five (5) tranches of term loans (including the Incremental Term A-1 Loans, any Incremental Term Loans, any Extended Term Loans and any Refinancing Term Loans), in each case under this Agreement.</w:t>
      </w:r>
    </w:p>
    <w:p>
      <w:pPr>
        <w:spacing w:after="0" w:line="18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3.01 Taxes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120" w:hanging="389"/>
        <w:spacing w:after="0"/>
        <w:tabs>
          <w:tab w:leader="none" w:pos="112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40"/>
        <w:spacing w:after="0" w:line="254" w:lineRule="auto"/>
        <w:tabs>
          <w:tab w:leader="none" w:pos="188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payments by or on account of any obligation of any Loan Party under any Loan Document shall be made without deduction or withholding for any Taxes, except as required by Applicable Law. If any Applicable Law (as determined in the good faith discretion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30" w:name="page131"/>
    <w:bookmarkEnd w:id="130"/>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 xml:space="preserve">of an applicable Withholding Agent) require the deduction or withholding of any Tax from any such payment by a Withholding Agent, then the applicable Withholding Agent or such Loan Party shall be entitled to make such deduction or withholding, upon the basis of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if any.</w:t>
      </w:r>
    </w:p>
    <w:p>
      <w:pPr>
        <w:spacing w:after="0" w:line="174" w:lineRule="exact"/>
        <w:rPr>
          <w:sz w:val="20"/>
          <w:szCs w:val="20"/>
          <w:color w:val="auto"/>
        </w:rPr>
      </w:pPr>
    </w:p>
    <w:p>
      <w:pPr>
        <w:jc w:val="both"/>
        <w:ind w:left="740" w:firstLine="740"/>
        <w:spacing w:after="0" w:line="243" w:lineRule="auto"/>
        <w:tabs>
          <w:tab w:leader="none" w:pos="1884"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if any,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5" w:lineRule="exact"/>
        <w:rPr>
          <w:rFonts w:ascii="Times New Roman" w:cs="Times New Roman" w:eastAsia="Times New Roman" w:hAnsi="Times New Roman"/>
          <w:sz w:val="20"/>
          <w:szCs w:val="20"/>
          <w:color w:val="auto"/>
        </w:rPr>
      </w:pPr>
    </w:p>
    <w:p>
      <w:pPr>
        <w:jc w:val="both"/>
        <w:ind w:left="740" w:firstLine="740"/>
        <w:spacing w:after="0" w:line="242" w:lineRule="auto"/>
        <w:tabs>
          <w:tab w:leader="none" w:pos="1884"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or the Administrative Agent shall be required by any Applicable Law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92"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2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Borrowers</w:t>
      </w:r>
      <w:r>
        <w:rPr>
          <w:rFonts w:ascii="Times New Roman" w:cs="Times New Roman" w:eastAsia="Times New Roman" w:hAnsi="Times New Roman"/>
          <w:sz w:val="20"/>
          <w:szCs w:val="20"/>
          <w:color w:val="auto"/>
        </w:rPr>
        <w:t xml:space="preserve">. Without limiting the provisions of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above, each Borrower shall timely pay to the relevant Governmental Authority in accordance with Applicable Law, or at the option of the Administrative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ind w:left="1120" w:hanging="389"/>
        <w:spacing w:after="0"/>
        <w:tabs>
          <w:tab w:leader="none" w:pos="112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40"/>
        <w:spacing w:after="0" w:line="242" w:lineRule="auto"/>
        <w:tabs>
          <w:tab w:leader="none" w:pos="188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and does hereby, indemnify each Recipient, and shall make payment in respect thereof within 10 Business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reasonably detailed certificate as to the amount of such payment or liability delivered to the Company by a Lender or an L/C Issuer (with a copy to the Administrative Agent), or by the Administrative Agent on its own behalf or on behalf of a Lender or an L/C Issuer, shall be conclusive (including within the meaning of section 151 Dutch Code of Civil Procedure) absent manifest error. Each Borrower shall, and does hereby, indemnify the Administrative Agent, and shall make payment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31" w:name="page132"/>
    <w:bookmarkEnd w:id="131"/>
    <w:p>
      <w:pPr>
        <w:ind w:left="740"/>
        <w:spacing w:after="0" w:line="269" w:lineRule="auto"/>
        <w:rPr>
          <w:sz w:val="20"/>
          <w:szCs w:val="20"/>
          <w:color w:val="auto"/>
        </w:rPr>
      </w:pPr>
      <w:r>
        <w:rPr>
          <w:rFonts w:ascii="Times New Roman" w:cs="Times New Roman" w:eastAsia="Times New Roman" w:hAnsi="Times New Roman"/>
          <w:sz w:val="20"/>
          <w:szCs w:val="20"/>
          <w:color w:val="auto"/>
        </w:rPr>
        <w:t xml:space="preserve">in respect thereof within 10 Business Days after demand therefor, for any amount which a Lender or an L/C Issuer for any reason fails to pay indefeasibly to the Administrative Agent as required pursuant to </w:t>
      </w:r>
      <w:r>
        <w:rPr>
          <w:rFonts w:ascii="Times New Roman" w:cs="Times New Roman" w:eastAsia="Times New Roman" w:hAnsi="Times New Roman"/>
          <w:sz w:val="20"/>
          <w:szCs w:val="20"/>
          <w:u w:val="single" w:color="auto"/>
          <w:color w:val="auto"/>
        </w:rPr>
        <w:t>Section 3.01(c)(ii)</w:t>
      </w:r>
      <w:r>
        <w:rPr>
          <w:rFonts w:ascii="Times New Roman" w:cs="Times New Roman" w:eastAsia="Times New Roman" w:hAnsi="Times New Roman"/>
          <w:sz w:val="20"/>
          <w:szCs w:val="20"/>
          <w:color w:val="auto"/>
        </w:rPr>
        <w:t xml:space="preserve"> below.</w:t>
      </w:r>
    </w:p>
    <w:p>
      <w:pPr>
        <w:spacing w:after="0" w:line="159" w:lineRule="exact"/>
        <w:rPr>
          <w:sz w:val="20"/>
          <w:szCs w:val="20"/>
          <w:color w:val="auto"/>
        </w:rPr>
      </w:pPr>
    </w:p>
    <w:p>
      <w:pPr>
        <w:jc w:val="both"/>
        <w:ind w:left="740" w:firstLine="740"/>
        <w:spacing w:after="0" w:line="255" w:lineRule="auto"/>
        <w:tabs>
          <w:tab w:leader="none" w:pos="1884"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and each L/C Issuer shall, and does hereby, severally indemnify, and shall make payment in respect thereof within 10 Business Days after demand therefor, (x) the Administrative Agent against any Indemnified Taxes attributable to such Lender or such L/C Issuer (but only to the extent that any Borrower has not already indemnified the Administrative Agent for such Indemnified Taxes and without limiting the obligation of each Borrower to do so), (y) the Administrative Agent and the Borrowers, as applicable, against any Taxes attributable to such Lender’s failure to comply with the provisions of </w:t>
      </w:r>
      <w:r>
        <w:rPr>
          <w:rFonts w:ascii="Times New Roman" w:cs="Times New Roman" w:eastAsia="Times New Roman" w:hAnsi="Times New Roman"/>
          <w:sz w:val="19"/>
          <w:szCs w:val="19"/>
          <w:u w:val="single" w:color="auto"/>
          <w:color w:val="auto"/>
        </w:rPr>
        <w:t>Section 10.06(d)</w:t>
      </w:r>
      <w:r>
        <w:rPr>
          <w:rFonts w:ascii="Times New Roman" w:cs="Times New Roman" w:eastAsia="Times New Roman" w:hAnsi="Times New Roman"/>
          <w:sz w:val="19"/>
          <w:szCs w:val="19"/>
          <w:color w:val="auto"/>
        </w:rPr>
        <w:t xml:space="preserve"> relating to the maintenance of a Participant Register and (z) the Administrative Agent and the Borrowers, as applicable, against any Excluded Taxes attributable to such Lender or such L/C Issuer, in each case, that are payable or paid by the Administrative Agent or a Borrower in connection with any Loan Document, and any reasonable and documented out-of-pocket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(including within the meaning of section 151 Dutch Code of Civil Procedure)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jc w:val="both"/>
        <w:ind w:left="-20" w:firstLine="751"/>
        <w:spacing w:after="0" w:line="245" w:lineRule="auto"/>
        <w:tabs>
          <w:tab w:leader="none" w:pos="112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Upon request by the Company or the Administrative Agent, as the case may be, after any payment of Taxes by any Borrower or by the Administrative Agent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Company shall deliver to the Administrative Agent or the Administrative Agent shall deliver to the Company, as the case may be, the original or a certified copy of a receipt issued by such Governmental Authority evidencing such payment, a copy of any return required by Laws to report such payment or other evidence of such payment reasonably satisfactory to the Company or the Administrative Agent, as the case may be.</w:t>
      </w:r>
    </w:p>
    <w:p>
      <w:pPr>
        <w:spacing w:after="0" w:line="184" w:lineRule="exact"/>
        <w:rPr>
          <w:rFonts w:ascii="Times New Roman" w:cs="Times New Roman" w:eastAsia="Times New Roman" w:hAnsi="Times New Roman"/>
          <w:sz w:val="20"/>
          <w:szCs w:val="20"/>
          <w:color w:val="auto"/>
        </w:rPr>
      </w:pPr>
    </w:p>
    <w:p>
      <w:pPr>
        <w:ind w:left="1120" w:hanging="389"/>
        <w:spacing w:after="0"/>
        <w:tabs>
          <w:tab w:leader="none" w:pos="112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40"/>
        <w:spacing w:after="0" w:line="241" w:lineRule="auto"/>
        <w:tabs>
          <w:tab w:leader="none" w:pos="1884"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and at the time prescribed by Applicable Law,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cs="Times New Roman" w:eastAsia="Times New Roman" w:hAnsi="Times New Roman"/>
          <w:sz w:val="20"/>
          <w:szCs w:val="20"/>
          <w:u w:val="single" w:color="auto"/>
          <w:color w:val="auto"/>
        </w:rPr>
        <w:t>Section 3.01(e)(ii)(A)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or (B) required by Applicable Law other than the Code or the taxing authorities of the jurisdiction pursuant to such Applicable Law to comply with the requirements for exemption or reduction of withholding tax in that jurisdiction) shall not be required if in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32" w:name="page133"/>
    <w:bookmarkEnd w:id="132"/>
    <w:p>
      <w:pPr>
        <w:ind w:left="740"/>
        <w:spacing w:after="0" w:line="269" w:lineRule="auto"/>
        <w:rPr>
          <w:sz w:val="20"/>
          <w:szCs w:val="20"/>
          <w:color w:val="auto"/>
        </w:rPr>
      </w:pPr>
      <w:r>
        <w:rPr>
          <w:rFonts w:ascii="Times New Roman" w:cs="Times New Roman" w:eastAsia="Times New Roman" w:hAnsi="Times New Roman"/>
          <w:sz w:val="20"/>
          <w:szCs w:val="20"/>
          <w:color w:val="auto"/>
        </w:rPr>
        <w:t>Lender’s reasonable judgment such completion, execution or submission would subject such Lender to any material unreimbursed cost or expense or would materially prejudice the legal or commercial position of such Lender.</w:t>
      </w:r>
    </w:p>
    <w:p>
      <w:pPr>
        <w:spacing w:after="0" w:line="159" w:lineRule="exact"/>
        <w:rPr>
          <w:sz w:val="20"/>
          <w:szCs w:val="20"/>
          <w:color w:val="auto"/>
        </w:rPr>
      </w:pPr>
    </w:p>
    <w:p>
      <w:pPr>
        <w:ind w:left="1880" w:hanging="400"/>
        <w:spacing w:after="0"/>
        <w:tabs>
          <w:tab w:leader="none" w:pos="18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5" w:lineRule="exact"/>
        <w:rPr>
          <w:rFonts w:ascii="Times New Roman" w:cs="Times New Roman" w:eastAsia="Times New Roman" w:hAnsi="Times New Roman"/>
          <w:sz w:val="20"/>
          <w:szCs w:val="20"/>
          <w:color w:val="auto"/>
        </w:rPr>
      </w:pPr>
    </w:p>
    <w:p>
      <w:pPr>
        <w:jc w:val="both"/>
        <w:ind w:left="1480" w:firstLine="748"/>
        <w:spacing w:after="0" w:line="249" w:lineRule="auto"/>
        <w:tabs>
          <w:tab w:leader="none" w:pos="262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20"/>
          <w:szCs w:val="20"/>
          <w:color w:val="auto"/>
        </w:rPr>
      </w:pPr>
    </w:p>
    <w:p>
      <w:pPr>
        <w:jc w:val="both"/>
        <w:ind w:left="1480" w:firstLine="748"/>
        <w:spacing w:after="0" w:line="249" w:lineRule="auto"/>
        <w:tabs>
          <w:tab w:leader="none" w:pos="262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79" w:lineRule="exact"/>
        <w:rPr>
          <w:rFonts w:ascii="Times New Roman" w:cs="Times New Roman" w:eastAsia="Times New Roman" w:hAnsi="Times New Roman"/>
          <w:sz w:val="20"/>
          <w:szCs w:val="20"/>
          <w:color w:val="auto"/>
        </w:rPr>
      </w:pPr>
    </w:p>
    <w:p>
      <w:pPr>
        <w:jc w:val="both"/>
        <w:ind w:left="1860" w:firstLine="743"/>
        <w:spacing w:after="0" w:line="244" w:lineRule="auto"/>
        <w:tabs>
          <w:tab w:leader="none" w:pos="3004" w:val="left"/>
        </w:tabs>
        <w:numPr>
          <w:ilvl w:val="2"/>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(III) executed copies of IRS Form W-8ECI;</w:t>
      </w:r>
    </w:p>
    <w:p>
      <w:pPr>
        <w:spacing w:after="0" w:line="216" w:lineRule="exact"/>
        <w:rPr>
          <w:sz w:val="20"/>
          <w:szCs w:val="20"/>
          <w:color w:val="auto"/>
        </w:rPr>
      </w:pPr>
    </w:p>
    <w:p>
      <w:pPr>
        <w:jc w:val="both"/>
        <w:ind w:left="1860" w:firstLine="749"/>
        <w:spacing w:after="0" w:line="245" w:lineRule="auto"/>
        <w:rPr>
          <w:sz w:val="20"/>
          <w:szCs w:val="20"/>
          <w:color w:val="auto"/>
        </w:rPr>
      </w:pPr>
      <w:r>
        <w:rPr>
          <w:rFonts w:ascii="Times New Roman" w:cs="Times New Roman" w:eastAsia="Times New Roman" w:hAnsi="Times New Roman"/>
          <w:sz w:val="20"/>
          <w:szCs w:val="20"/>
          <w:color w:val="auto"/>
        </w:rPr>
        <w:t xml:space="preserve">(IV)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Company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W-8BEN-E, as applicable; or</w:t>
      </w:r>
    </w:p>
    <w:p>
      <w:pPr>
        <w:spacing w:after="0" w:line="184" w:lineRule="exact"/>
        <w:rPr>
          <w:sz w:val="20"/>
          <w:szCs w:val="20"/>
          <w:color w:val="auto"/>
        </w:rPr>
      </w:pPr>
    </w:p>
    <w:p>
      <w:pPr>
        <w:jc w:val="both"/>
        <w:ind w:left="1860" w:firstLine="743"/>
        <w:spacing w:after="0" w:line="235" w:lineRule="exact"/>
        <w:tabs>
          <w:tab w:leader="none" w:pos="30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W-8BEN-E, as applicable, a U.S. Tax Compliance Certificate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F-3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F</w:t>
      </w:r>
      <w:r>
        <w:rPr>
          <w:rFonts w:ascii="MS PGothic" w:cs="MS PGothic" w:eastAsia="MS PGothic" w:hAnsi="MS PGothic"/>
          <w:sz w:val="20"/>
          <w:szCs w:val="20"/>
          <w:u w:val="single" w:color="auto"/>
          <w:color w:val="auto"/>
        </w:rPr>
        <w:t>‑</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on behalf of each such direct and indirect partner;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33" w:name="page134"/>
    <w:bookmarkEnd w:id="133"/>
    <w:p>
      <w:pPr>
        <w:jc w:val="both"/>
        <w:ind w:left="1480" w:firstLine="748"/>
        <w:spacing w:after="0" w:line="244" w:lineRule="auto"/>
        <w:tabs>
          <w:tab w:leader="none" w:pos="2624" w:val="left"/>
        </w:tabs>
        <w:numPr>
          <w:ilvl w:val="2"/>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85" w:lineRule="exact"/>
        <w:rPr>
          <w:rFonts w:ascii="Times New Roman" w:cs="Times New Roman" w:eastAsia="Times New Roman" w:hAnsi="Times New Roman"/>
          <w:sz w:val="20"/>
          <w:szCs w:val="20"/>
          <w:color w:val="auto"/>
        </w:rPr>
      </w:pPr>
    </w:p>
    <w:p>
      <w:pPr>
        <w:jc w:val="both"/>
        <w:ind w:left="1480" w:firstLine="748"/>
        <w:spacing w:after="0" w:line="242" w:lineRule="auto"/>
        <w:tabs>
          <w:tab w:leader="none" w:pos="2624" w:val="left"/>
        </w:tabs>
        <w:numPr>
          <w:ilvl w:val="2"/>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9" w:lineRule="exact"/>
        <w:rPr>
          <w:rFonts w:ascii="Times New Roman" w:cs="Times New Roman" w:eastAsia="Times New Roman" w:hAnsi="Times New Roman"/>
          <w:sz w:val="20"/>
          <w:szCs w:val="20"/>
          <w:color w:val="auto"/>
        </w:rPr>
      </w:pPr>
    </w:p>
    <w:p>
      <w:pPr>
        <w:jc w:val="both"/>
        <w:ind w:left="740" w:firstLine="740"/>
        <w:spacing w:after="0" w:line="254" w:lineRule="auto"/>
        <w:tabs>
          <w:tab w:leader="none" w:pos="1884"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74" w:lineRule="exact"/>
        <w:rPr>
          <w:rFonts w:ascii="Times New Roman" w:cs="Times New Roman" w:eastAsia="Times New Roman" w:hAnsi="Times New Roman"/>
          <w:sz w:val="20"/>
          <w:szCs w:val="20"/>
          <w:color w:val="auto"/>
        </w:rPr>
      </w:pPr>
    </w:p>
    <w:p>
      <w:pPr>
        <w:jc w:val="both"/>
        <w:ind w:left="-20" w:firstLine="751"/>
        <w:spacing w:after="0" w:line="241" w:lineRule="auto"/>
        <w:tabs>
          <w:tab w:leader="none" w:pos="112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that it has received a refund of any Taxes as to which it has been indemnified by any Borrower or with respect to which any Borrower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such Borrower an amount equal to such refund (but only to the extent of indemnity payments made, or additional amounts paid, by a Borrower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Borrower, upon the request of the Recipient, agrees to repay the amount paid over to such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34" w:name="page135"/>
    <w:bookmarkEnd w:id="134"/>
    <w:p>
      <w:pPr>
        <w:ind w:left="380"/>
        <w:spacing w:after="0" w:line="269" w:lineRule="auto"/>
        <w:rPr>
          <w:sz w:val="20"/>
          <w:szCs w:val="20"/>
          <w:color w:val="auto"/>
        </w:rPr>
      </w:pPr>
      <w:r>
        <w:rPr>
          <w:rFonts w:ascii="Times New Roman" w:cs="Times New Roman" w:eastAsia="Times New Roman" w:hAnsi="Times New Roman"/>
          <w:sz w:val="20"/>
          <w:szCs w:val="20"/>
          <w:color w:val="auto"/>
        </w:rPr>
        <w:t>This subsection shall not be construed to require any Recipient to make available its tax returns (or any other information relating to its taxes that it deems confidential) to any Borrower or any other Person.</w:t>
      </w:r>
    </w:p>
    <w:p>
      <w:pPr>
        <w:spacing w:after="0" w:line="159" w:lineRule="exact"/>
        <w:rPr>
          <w:sz w:val="20"/>
          <w:szCs w:val="20"/>
          <w:color w:val="auto"/>
        </w:rPr>
      </w:pPr>
    </w:p>
    <w:p>
      <w:pPr>
        <w:jc w:val="both"/>
        <w:ind w:left="380" w:firstLine="751"/>
        <w:spacing w:after="0" w:line="254" w:lineRule="auto"/>
        <w:tabs>
          <w:tab w:leader="none" w:pos="157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includes FATCA.</w:t>
      </w:r>
    </w:p>
    <w:p>
      <w:pPr>
        <w:spacing w:after="0" w:line="21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b w:val="1"/>
          <w:bCs w:val="1"/>
          <w:color w:val="auto"/>
        </w:rPr>
        <w:t xml:space="preserve">3.02 Illegality. </w:t>
      </w:r>
      <w:r>
        <w:rPr>
          <w:rFonts w:ascii="Times New Roman" w:cs="Times New Roman" w:eastAsia="Times New Roman" w:hAnsi="Times New Roman"/>
          <w:sz w:val="20"/>
          <w:szCs w:val="20"/>
          <w:color w:val="auto"/>
        </w:rPr>
        <w:t>If any Lender determines in good faith that any Law has made it unlawful, or that any Governmental Authority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asserted that it is unlawful, for any Lender or its applicable Lending Office to make, maintain or fund Loans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to determine or charge interest rates based upon a Relevant Rate or to purchase or sell, or to take deposits of, any Alternative Currency in the applicable interbank market, then, on notice thereof by such Lender to the Company (through the Administrative Agent), (a) any obligation of such Lender to make or maintain Alternative Currency Loans in the affected currency or currencies or, in the case of Loans denominated in Dollars, to make or maintain Daily Simple SOFR Loans or Term SOFR Loans or to convert Base Rate Loans to Daily Simple SOFR Loans or Term SOFR Loans shall be, in each case, suspended, and (b) if such notice asserts the illegality of such Lender making or maintaining Base Rate Loans the interest rate on which is determined by reference to the Daily Simple SOFR component of the Base Rate, the interest rate on which Base Rate Loans of such Lender shall, if necessary to avoid such illegality, be determined by the Administrative Agent without reference to the Daily Simple SOFR component of the Base Rate, in each case until such Lender notifies the Administrative Agent and the Company that the circumstances giving rise to such determination no longer exist. Upon receipt of such notice, (i) the Borrowers shall, upon demand from such Lender (with a copy to the Administrative Agent), prepay all Daily Simple SOFR Loans, Term SOFR Loans or Alternative Currency Loans, as applicable, in the affected currency or currencies or, if applicable and such Loans are denominated in Dollars, convert all Daily Simple SOFR Loans or Term SOFR Loans of such Lender to Base Rate Loans (the interest rate on which Base Rate Loans of such Lender shall, if necessary to avoid such illegality, be determined by the Administrative Agent without reference to the Daily Simple SOFR component of the Base Rate), in each case, immediately, or, in the case of Term SOFR Loans or Alternative Currency Term Rate Loans, on the last day of the Interest Period therefor if such Lender may lawfully continue to maintain such Loans to such day and (ii) if such notice asserts the illegality of such Lender determining or charging interest rates based upon SOFR or Daily Simple SOFR, as applicable, the Administrative Agent shall during the period of such suspension compute the Base Rate applicable to such Lender without reference to the Daily Simple SOFR component thereof until the Administrative Agent is advised in writing by such Lender that it is no longer illegal for such Lender to determine or charge interest rates based upon Daily Simple SOFR or SOFR.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3.03 Inability to Determine Rates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9" w:lineRule="auto"/>
        <w:tabs>
          <w:tab w:leader="none" w:pos="152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connection with any request for a Term SOFR Loan, a Daily Simple SOFR Loan or an Alternative Currency Loan or a conversion of Base Rate Loans to Term SOFR Loans or Daily Simple SOFR Loans or a continuation of any of such Loans, as applicable, (i) the Administrative Agent determines (which determination shall be conclusive (including within the meaning of section 151 Dutch Code of Civil Procedure) absent manifest error) that (A) no Successor Rate for the Relevant Rate</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5" w:name="page136"/>
    <w:bookmarkEnd w:id="135"/>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for the applicable Agreed Currency has been determined in accordance with </w:t>
      </w:r>
      <w:r>
        <w:rPr>
          <w:rFonts w:ascii="Times New Roman" w:cs="Times New Roman" w:eastAsia="Times New Roman" w:hAnsi="Times New Roman"/>
          <w:sz w:val="19"/>
          <w:szCs w:val="19"/>
          <w:u w:val="single" w:color="auto"/>
          <w:color w:val="auto"/>
        </w:rPr>
        <w:t>Section 3.03(b)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3.03(c)</w:t>
      </w:r>
      <w:r>
        <w:rPr>
          <w:rFonts w:ascii="Times New Roman" w:cs="Times New Roman" w:eastAsia="Times New Roman" w:hAnsi="Times New Roman"/>
          <w:sz w:val="19"/>
          <w:szCs w:val="19"/>
          <w:color w:val="auto"/>
        </w:rPr>
        <w:t xml:space="preserve"> and the circumstances under clause (i) of </w:t>
      </w:r>
      <w:r>
        <w:rPr>
          <w:rFonts w:ascii="Times New Roman" w:cs="Times New Roman" w:eastAsia="Times New Roman" w:hAnsi="Times New Roman"/>
          <w:sz w:val="19"/>
          <w:szCs w:val="19"/>
          <w:u w:val="single" w:color="auto"/>
          <w:color w:val="auto"/>
        </w:rPr>
        <w:t>Section 3.03(b)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3.03(c)</w:t>
      </w:r>
      <w:r>
        <w:rPr>
          <w:rFonts w:ascii="Times New Roman" w:cs="Times New Roman" w:eastAsia="Times New Roman" w:hAnsi="Times New Roman"/>
          <w:sz w:val="19"/>
          <w:szCs w:val="19"/>
          <w:color w:val="auto"/>
        </w:rPr>
        <w:t xml:space="preserve">, the SOFR Scheduled Unavailability Date or the Non-SOFR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Daily Simple SOFR Loan, Term SOFR Loan or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 Thereafter, (x) the obligation of the Lenders to make or maintain Daily Simple SOFR Loans, Term SOFR Loans or Loans in the affected currencies, as applicable, or to convert Base Rate Loans to Daily Simple SOFR Loans or Term SOFR Loans, shall be suspended in each case to the extent of the affected Daily Simple SOFR Loans, Term SOFR Loans or Alternative Currency Loans or Interest Period or determination date(s), as applicable, and (y) in the event of a determination described in the preceding sentence with respect to the Daily Simple SOFR component of the Base Rate, the utilization of the Daily Simple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9"/>
          <w:szCs w:val="19"/>
          <w:u w:val="single" w:color="auto"/>
          <w:color w:val="auto"/>
        </w:rPr>
        <w:t>Section 3.03(a)</w:t>
      </w:r>
      <w:r>
        <w:rPr>
          <w:rFonts w:ascii="Times New Roman" w:cs="Times New Roman" w:eastAsia="Times New Roman" w:hAnsi="Times New Roman"/>
          <w:sz w:val="19"/>
          <w:szCs w:val="19"/>
          <w:color w:val="auto"/>
        </w:rPr>
        <w:t xml:space="preserve">, until the Administrative Agent upon instruction of the Required Lenders) revokes such notice. Upon receipt of such notice, (i) the Borrowers may revoke any pending request for a Borrowing of, or conversion to, or continuation of Daily Simple SOFR Loans, Term SOFR Loans or Alternative Currency Loans to the extent of the affected Daily Simple SOFR Loans, Term SOFR Loans or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(ii) (A) any outstanding Daily Simple SOFR Loans shall be deemed to have been converted to Base Rate Loans immediately, (B) any outstanding Term SOFR Loans shall be deemed to have been converted to Base Rate Loans at the end of their respective applicable Interest Period and (C) any outstanding affected Alternative Currency Loans, at the Company’s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Company</w:t>
      </w:r>
    </w:p>
    <w:p>
      <w:pPr>
        <w:spacing w:after="0" w:line="230" w:lineRule="exact"/>
        <w:rPr>
          <w:sz w:val="20"/>
          <w:szCs w:val="20"/>
          <w:color w:val="auto"/>
        </w:rPr>
      </w:pPr>
    </w:p>
    <w:p>
      <w:pPr>
        <w:jc w:val="both"/>
        <w:ind w:firstLine="2"/>
        <w:spacing w:after="0" w:line="242" w:lineRule="auto"/>
        <w:tabs>
          <w:tab w:leader="none" w:pos="283"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w:t>
      </w:r>
    </w:p>
    <w:p>
      <w:pPr>
        <w:spacing w:after="0" w:line="186" w:lineRule="exact"/>
        <w:rPr>
          <w:rFonts w:ascii="Times New Roman" w:cs="Times New Roman" w:eastAsia="Times New Roman" w:hAnsi="Times New Roman"/>
          <w:sz w:val="20"/>
          <w:szCs w:val="20"/>
          <w:color w:val="auto"/>
        </w:rPr>
      </w:pPr>
    </w:p>
    <w:p>
      <w:pPr>
        <w:jc w:val="both"/>
        <w:ind w:firstLine="751"/>
        <w:spacing w:after="0" w:line="246" w:lineRule="auto"/>
        <w:tabs>
          <w:tab w:leader="none" w:pos="1145"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SOFR or SOFR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(including within the meaning of section 151 Dutch Code of Civil Procedure) absent manifest error), or the Company or Required Lenders notify the Administrative Agent (with, in the case of the Required Lenders, a copy to the Company) that the Company or Required Lenders (as applicable) have determined, that:</w:t>
      </w:r>
    </w:p>
    <w:p>
      <w:pPr>
        <w:spacing w:after="0" w:line="184" w:lineRule="exact"/>
        <w:rPr>
          <w:rFonts w:ascii="Times New Roman" w:cs="Times New Roman" w:eastAsia="Times New Roman" w:hAnsi="Times New Roman"/>
          <w:sz w:val="20"/>
          <w:szCs w:val="20"/>
          <w:color w:val="auto"/>
        </w:rPr>
      </w:pPr>
    </w:p>
    <w:p>
      <w:pPr>
        <w:jc w:val="both"/>
        <w:ind w:left="760" w:firstLine="740"/>
        <w:spacing w:after="0" w:line="254" w:lineRule="auto"/>
        <w:tabs>
          <w:tab w:leader="none" w:pos="1904" w:val="left"/>
        </w:tabs>
        <w:numPr>
          <w:ilvl w:val="2"/>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SOFR because SOFR is not available or published on a current basis or one month, three month and six month interest periods of Term SOFR, including, without limitation, because the Term SOFR Screen Rate is</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36" w:name="page137"/>
    <w:bookmarkEnd w:id="136"/>
    <w:p>
      <w:pPr>
        <w:ind w:left="1140"/>
        <w:spacing w:after="0"/>
        <w:rPr>
          <w:sz w:val="20"/>
          <w:szCs w:val="20"/>
          <w:color w:val="auto"/>
        </w:rPr>
      </w:pPr>
      <w:r>
        <w:rPr>
          <w:rFonts w:ascii="Times New Roman" w:cs="Times New Roman" w:eastAsia="Times New Roman" w:hAnsi="Times New Roman"/>
          <w:sz w:val="20"/>
          <w:szCs w:val="20"/>
          <w:color w:val="auto"/>
        </w:rPr>
        <w:t>not available or published on a current basis and such circumstances are unlikely to be temporary; or</w:t>
      </w:r>
    </w:p>
    <w:p>
      <w:pPr>
        <w:spacing w:after="0" w:line="216" w:lineRule="exact"/>
        <w:rPr>
          <w:sz w:val="20"/>
          <w:szCs w:val="20"/>
          <w:color w:val="auto"/>
        </w:rPr>
      </w:pPr>
    </w:p>
    <w:p>
      <w:pPr>
        <w:jc w:val="both"/>
        <w:ind w:left="1140" w:firstLine="740"/>
        <w:spacing w:after="0" w:line="243" w:lineRule="auto"/>
        <w:tabs>
          <w:tab w:leader="none" w:pos="228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Authority has made a public statement identifying a specific date after which SOFR or one month, three month and six month interest periods of Term SOFR or the Term SOFR Screen Rate shall or will no longer be representative or made available, or permitted to be used for determining the interest rate of syndicated loans denominated in Dollars, or shall or will otherwise cease,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at the time of such statement, there is no successor administrator that is satisfactory to the Administrative Agent that will continue to provide SOFR or such interest periods of Term SOFR after such specific date (the latest date on which SOFR or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SOFR Successor Rate then in effect, then, the Administrative Agent and the Company may amend this Agreement solely for the purpose of replacing SOFR for Dollars or any then current SOFR Successor Rate for Dollars in accordance with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(and any such proposed rate, including for the avoidance of doubt, any adjustment thereto, a “</w:t>
      </w:r>
      <w:r>
        <w:rPr>
          <w:rFonts w:ascii="Times New Roman" w:cs="Times New Roman" w:eastAsia="Times New Roman" w:hAnsi="Times New Roman"/>
          <w:sz w:val="20"/>
          <w:szCs w:val="20"/>
          <w:u w:val="single" w:color="auto"/>
          <w:color w:val="auto"/>
        </w:rPr>
        <w:t>SOFR Successor Rate</w:t>
      </w:r>
      <w:r>
        <w:rPr>
          <w:rFonts w:ascii="Times New Roman" w:cs="Times New Roman" w:eastAsia="Times New Roman" w:hAnsi="Times New Roman"/>
          <w:sz w:val="20"/>
          <w:szCs w:val="20"/>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90" w:lineRule="exact"/>
        <w:rPr>
          <w:sz w:val="20"/>
          <w:szCs w:val="20"/>
          <w:color w:val="auto"/>
        </w:rPr>
      </w:pPr>
    </w:p>
    <w:p>
      <w:pPr>
        <w:jc w:val="both"/>
        <w:ind w:left="380" w:firstLine="751"/>
        <w:spacing w:after="0" w:line="246" w:lineRule="auto"/>
        <w:tabs>
          <w:tab w:leader="none" w:pos="152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Relevant Rate or Successor Rate with Respect to Alternative Currency Loans</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(including within the meaning of section 151 Dutch Code of Civil Procedure) absent manifest error), or the Company or the Required Lenders notify the Administrative Agent in writing (with, in the case of the Required Lenders, a copy to the Company) that the Company or the Required Lenders (as applicable) have determined, that:</w:t>
      </w:r>
    </w:p>
    <w:p>
      <w:pPr>
        <w:spacing w:after="0" w:line="18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Relevant Rate for an Agreed Currency (other than Dollars) because none of the tenors of such Relevant Rate under this Agreement is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44" w:lineRule="auto"/>
        <w:tabs>
          <w:tab w:leader="none" w:pos="228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Authority has made a public statement identifying a specific date after which all tenors of the Relevant Rate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for such Agreed Currency (other than Dollars) (the latest date on which all tenors of the Relevant Rate for such Agreed Currency (other than Dollars) under this Agreement are no longer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7" w:name="page138"/>
    <w:bookmarkEnd w:id="137"/>
    <w:p>
      <w:pPr>
        <w:ind w:left="1140"/>
        <w:spacing w:after="0"/>
        <w:rPr>
          <w:sz w:val="20"/>
          <w:szCs w:val="20"/>
          <w:color w:val="auto"/>
        </w:rPr>
      </w:pPr>
      <w:r>
        <w:rPr>
          <w:rFonts w:ascii="Times New Roman" w:cs="Times New Roman" w:eastAsia="Times New Roman" w:hAnsi="Times New Roman"/>
          <w:sz w:val="20"/>
          <w:szCs w:val="20"/>
          <w:color w:val="auto"/>
        </w:rPr>
        <w:t>representative or available permanently or indefinitely, the “</w:t>
      </w:r>
      <w:r>
        <w:rPr>
          <w:rFonts w:ascii="Times New Roman" w:cs="Times New Roman" w:eastAsia="Times New Roman" w:hAnsi="Times New Roman"/>
          <w:sz w:val="20"/>
          <w:szCs w:val="20"/>
          <w:u w:val="single" w:color="auto"/>
          <w:color w:val="auto"/>
        </w:rPr>
        <w:t>Non-SOFR Scheduled Unavailability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3.03(c)(i)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Non-SOFR Successor Rate then in effect, then, the Administrative Agent and the Company may amend this Agreement solely for the purpose of replacing the Relevant Rate for an Agreed Currency (other than Dollars) or any then current Non-SOFR Successor Rate for an Agreed Currency (other than Dollars) in accordance with this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(and any such proposed rate, including for the avoidance of doubt, any adjustment thereto, a “</w:t>
      </w:r>
      <w:r>
        <w:rPr>
          <w:rFonts w:ascii="Times New Roman" w:cs="Times New Roman" w:eastAsia="Times New Roman" w:hAnsi="Times New Roman"/>
          <w:sz w:val="20"/>
          <w:szCs w:val="20"/>
          <w:u w:val="single" w:color="auto"/>
          <w:color w:val="auto"/>
        </w:rPr>
        <w:t>Non-SOFR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and collectively with the SOFR Successor Rate, each a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87" w:lineRule="exact"/>
        <w:rPr>
          <w:sz w:val="20"/>
          <w:szCs w:val="20"/>
          <w:color w:val="auto"/>
        </w:rPr>
      </w:pPr>
    </w:p>
    <w:p>
      <w:pPr>
        <w:ind w:left="380" w:right="20" w:firstLine="751"/>
        <w:spacing w:after="0" w:line="269" w:lineRule="auto"/>
        <w:tabs>
          <w:tab w:leader="none" w:pos="152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The Administrative Agent will promptly (in one or more notices) notify the Company and each Lender of the implementation of any Successor Rate.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85" w:lineRule="exact"/>
        <w:rPr>
          <w:sz w:val="20"/>
          <w:szCs w:val="20"/>
          <w:color w:val="auto"/>
        </w:rPr>
      </w:pPr>
    </w:p>
    <w:p>
      <w:pPr>
        <w:jc w:val="both"/>
        <w:ind w:left="380" w:right="20" w:firstLine="751"/>
        <w:spacing w:after="0" w:line="254" w:lineRule="auto"/>
        <w:tabs>
          <w:tab w:leader="none" w:pos="152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Required Lenders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those Lenders that either have not made, or do not have an obligation under this Agreement to make, the relevant Loans in Dollars or the relevant Alternative Currency shall be excluded from any determination of Required Lenders.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3.04 Increased Costs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520" w:hanging="389"/>
        <w:spacing w:after="0"/>
        <w:tabs>
          <w:tab w:leader="none" w:pos="152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any L/C Issuer;</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8" w:name="page139"/>
    <w:bookmarkEnd w:id="138"/>
    <w:p>
      <w:pPr>
        <w:jc w:val="both"/>
        <w:ind w:left="1140" w:right="20" w:firstLine="740"/>
        <w:spacing w:after="0" w:line="254" w:lineRule="auto"/>
        <w:tabs>
          <w:tab w:leader="none" w:pos="22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L/C Issuer or any applicable interbank market any other condition, cost or expense affecting this Agreement or Daily Simple SOFR Loans, Term SOFR Loans or Alternative Currency Loans made by such Lender or any Letter of Credit or participation therein;</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 maintaining any Loan (or of maintaining its obligation to make any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in each of the foregoing cases, by an amount deemed material by such Lender or such L/C Issuer, as applicable, then, upon request of such Lender or such L/C Issuer,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w:t>
      </w:r>
    </w:p>
    <w:p>
      <w:pPr>
        <w:spacing w:after="0" w:line="189" w:lineRule="exact"/>
        <w:rPr>
          <w:sz w:val="20"/>
          <w:szCs w:val="20"/>
          <w:color w:val="auto"/>
        </w:rPr>
      </w:pPr>
    </w:p>
    <w:p>
      <w:pPr>
        <w:jc w:val="both"/>
        <w:ind w:left="380" w:firstLine="751"/>
        <w:spacing w:after="0" w:line="256" w:lineRule="auto"/>
        <w:tabs>
          <w:tab w:leader="none" w:pos="1525"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Capital Requirements</w:t>
      </w:r>
      <w:r>
        <w:rPr>
          <w:rFonts w:ascii="Times New Roman" w:cs="Times New Roman" w:eastAsia="Times New Roman" w:hAnsi="Times New Roman"/>
          <w:sz w:val="19"/>
          <w:szCs w:val="19"/>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in each of the foregoing cases, by an amount deemed material by such Lender or such L/C Issuer, as applicable, then from time to time the Company will pay (or cause the applicable Designated Borrower to pay) such Lender or such L/C Issuer, as the case may be, such additional amount or amounts as will compensate such Lender or such L/C Issuer or such Lender’s or such L/C Issuer’s holding company for any such reduction suffered.</w:t>
      </w:r>
    </w:p>
    <w:p>
      <w:pPr>
        <w:spacing w:after="0" w:line="177" w:lineRule="exact"/>
        <w:rPr>
          <w:rFonts w:ascii="Times New Roman" w:cs="Times New Roman" w:eastAsia="Times New Roman" w:hAnsi="Times New Roman"/>
          <w:sz w:val="19"/>
          <w:szCs w:val="19"/>
          <w:color w:val="auto"/>
        </w:rPr>
      </w:pPr>
    </w:p>
    <w:p>
      <w:pPr>
        <w:jc w:val="both"/>
        <w:ind w:left="380" w:firstLine="751"/>
        <w:spacing w:after="0" w:line="264" w:lineRule="auto"/>
        <w:tabs>
          <w:tab w:leader="none" w:pos="1525"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Certificates for Reimbursement</w:t>
      </w:r>
      <w:r>
        <w:rPr>
          <w:rFonts w:ascii="Times New Roman" w:cs="Times New Roman" w:eastAsia="Times New Roman" w:hAnsi="Times New Roman"/>
          <w:sz w:val="19"/>
          <w:szCs w:val="19"/>
          <w:color w:val="auto"/>
        </w:rPr>
        <w:t xml:space="preserve">. A certificate of a Lender or an L/C Issuer setting forth in reasonable detail the amount or amounts necessary to compensate such Lender or such L/C Issuer or its holding company, as the case may be, as specified in </w:t>
      </w:r>
      <w:r>
        <w:rPr>
          <w:rFonts w:ascii="Times New Roman" w:cs="Times New Roman" w:eastAsia="Times New Roman" w:hAnsi="Times New Roman"/>
          <w:sz w:val="19"/>
          <w:szCs w:val="19"/>
          <w:u w:val="single" w:color="auto"/>
          <w:color w:val="auto"/>
        </w:rPr>
        <w:t>subsection</w:t>
      </w:r>
    </w:p>
    <w:p>
      <w:pPr>
        <w:jc w:val="both"/>
        <w:ind w:left="380" w:firstLine="2"/>
        <w:spacing w:after="0" w:line="242" w:lineRule="auto"/>
        <w:tabs>
          <w:tab w:leader="none" w:pos="649" w:val="left"/>
        </w:tabs>
        <w:numPr>
          <w:ilvl w:val="0"/>
          <w:numId w:val="1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and delivered to the Company shall be conclusive (including within the meaning of section 151 Dutch Code of Civil Procedure) absent manifest error. The Company shall pay (or cause the applicable Designated Borrower to pay) such Lender or such L/C Issuer, as the case may be, the amount shown as due on any such certificate within 10 days after receipt thereof.</w:t>
      </w:r>
    </w:p>
    <w:p>
      <w:pPr>
        <w:spacing w:after="0" w:line="186" w:lineRule="exact"/>
        <w:rPr>
          <w:rFonts w:ascii="Times New Roman" w:cs="Times New Roman" w:eastAsia="Times New Roman" w:hAnsi="Times New Roman"/>
          <w:sz w:val="20"/>
          <w:szCs w:val="20"/>
          <w:u w:val="single" w:color="auto"/>
          <w:color w:val="auto"/>
        </w:rPr>
      </w:pPr>
    </w:p>
    <w:p>
      <w:pPr>
        <w:jc w:val="both"/>
        <w:ind w:left="380" w:firstLine="751"/>
        <w:spacing w:after="0" w:line="246" w:lineRule="auto"/>
        <w:tabs>
          <w:tab w:leader="none" w:pos="1525"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any L/C Issuer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such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Borrower shall be required to compensate a Lender or an L/C Issuer pursuant to the foregoing provisions of this Section for any increased costs incurred or reductions suffered more than nine months prior to the date that such Lender or such L/C Issuer, as the case may be, notifies the Company of the Change in Law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9" w:name="page140"/>
    <w:bookmarkEnd w:id="139"/>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3.05 Compensation for Losses. </w:t>
      </w:r>
      <w:r>
        <w:rPr>
          <w:rFonts w:ascii="Times New Roman" w:cs="Times New Roman" w:eastAsia="Times New Roman" w:hAnsi="Times New Roman"/>
          <w:sz w:val="20"/>
          <w:szCs w:val="20"/>
          <w:color w:val="auto"/>
        </w:rPr>
        <w:t>Upon demand of any Lender (with a copy to the Administrative Agent) from time to time,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promptly compensate (or cause the applicable Designated Borrower to compensate) such Lender for and hold such Lender harmless from any loss, cost or reasonable and documented out-of-pocket expense actually incurred by it as a result of:</w:t>
      </w:r>
    </w:p>
    <w:p>
      <w:pPr>
        <w:spacing w:after="0" w:line="173" w:lineRule="exact"/>
        <w:rPr>
          <w:sz w:val="20"/>
          <w:szCs w:val="20"/>
          <w:color w:val="auto"/>
        </w:rPr>
      </w:pPr>
    </w:p>
    <w:p>
      <w:pPr>
        <w:jc w:val="both"/>
        <w:ind w:left="380" w:firstLine="751"/>
        <w:spacing w:after="0" w:line="254" w:lineRule="auto"/>
        <w:tabs>
          <w:tab w:leader="none" w:pos="152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relevant interest payment date or payment period, as applicable, for such Loan, if applicable (whether voluntary, mandatory, automatic, by reason of acceleration, or otherwise);</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w:t>
      </w:r>
    </w:p>
    <w:p>
      <w:pPr>
        <w:spacing w:after="0" w:line="174"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59"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or Alternative Currency Term Rate Loan on a day other than the last day of the Interest Period therefor as a result of a request by the Company pursuant to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Company (or applicable Designated Borrower) to the Lenders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each Lender shall be deemed to have funded each Alternative Currency Term Rate Loan or Term SOFR Loan made by it at the Alternative Currency Term Rate or Term SOFR, as applicable, for such Loan by a matching deposit or other borrowing in the offshore interbank market for such currency for a comparable amount and for a comparable period, whether or not such Alternative Currency Term Rate Loan or Term SOFR Loan was in fact so funded.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3.06 Mitigation Obligations; Replacement of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3" w:lineRule="auto"/>
        <w:tabs>
          <w:tab w:leader="none" w:pos="153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Each Lender may make any Credit Extension to a Borrower through any Lending Office,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exercise of this option shall not affect the obligation of any Borrower to repay the Credit Extension in accordance with the terms of this Agreement.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requires any Borrower to pay any Indemnified Taxes or additional amounts to any Lender, any L/C Issuer, or any Governmental Authority for the account of any Lender or any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0" w:name="page141"/>
    <w:bookmarkEnd w:id="140"/>
    <w:p>
      <w:pPr>
        <w:jc w:val="both"/>
        <w:ind w:left="380"/>
        <w:spacing w:after="0" w:line="263" w:lineRule="auto"/>
        <w:rPr>
          <w:sz w:val="20"/>
          <w:szCs w:val="20"/>
          <w:color w:val="auto"/>
        </w:rPr>
      </w:pPr>
      <w:r>
        <w:rPr>
          <w:rFonts w:ascii="Times New Roman" w:cs="Times New Roman" w:eastAsia="Times New Roman" w:hAnsi="Times New Roman"/>
          <w:sz w:val="19"/>
          <w:szCs w:val="19"/>
          <w:color w:val="auto"/>
        </w:rPr>
        <w:t xml:space="preserve">assignment (i) would eliminate or reduce amounts payable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as the case may be, in the future, or eliminate the need for the notice pursuant to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as applicable, and (ii) in each case, would not subject such Lender or such L/C Issuer, as the case may be, to any unreimbursed cost or expense and would not otherwise be disadvantageous to such Lender or such L/C Issuer, as the case may be. The Company hereby agrees to pay (or cause the applicable Designated Borrower to pay) all reasonable costs and out-of-pocket expenses incurred by any Lender or any L/C Issuer in connection with any such designation or assignment.</w:t>
      </w:r>
    </w:p>
    <w:p>
      <w:pPr>
        <w:spacing w:after="0" w:line="166" w:lineRule="exact"/>
        <w:rPr>
          <w:sz w:val="20"/>
          <w:szCs w:val="20"/>
          <w:color w:val="auto"/>
        </w:rPr>
      </w:pPr>
    </w:p>
    <w:p>
      <w:pPr>
        <w:jc w:val="both"/>
        <w:ind w:left="380" w:firstLine="751"/>
        <w:spacing w:after="0" w:line="249" w:lineRule="auto"/>
        <w:tabs>
          <w:tab w:leader="none" w:pos="152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3.06(a)</w:t>
      </w:r>
      <w:r>
        <w:rPr>
          <w:rFonts w:ascii="Times New Roman" w:cs="Times New Roman" w:eastAsia="Times New Roman" w:hAnsi="Times New Roman"/>
          <w:sz w:val="20"/>
          <w:szCs w:val="20"/>
          <w:color w:val="auto"/>
        </w:rPr>
        <w:t xml:space="preserve">, the Company may replace such Lender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3.07 Survival. </w:t>
      </w:r>
      <w:r>
        <w:rPr>
          <w:rFonts w:ascii="Times New Roman" w:cs="Times New Roman" w:eastAsia="Times New Roman" w:hAnsi="Times New Roman"/>
          <w:sz w:val="20"/>
          <w:szCs w:val="20"/>
          <w:color w:val="auto"/>
        </w:rPr>
        <w:t>All of the Borrowers’ obligations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 termination of the Aggregate Commitments,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repayment of all other Obligations hereunder, and resignation of the Administrative Agent.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 TO CREDIT EXTENSIONS</w:t>
      </w:r>
    </w:p>
    <w:p>
      <w:pPr>
        <w:spacing w:after="0" w:line="190"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4.01 Conditions of Initial Credit Extension. </w:t>
      </w:r>
      <w:r>
        <w:rPr>
          <w:rFonts w:ascii="Times New Roman" w:cs="Times New Roman" w:eastAsia="Times New Roman" w:hAnsi="Times New Roman"/>
          <w:sz w:val="20"/>
          <w:szCs w:val="20"/>
          <w:color w:val="auto"/>
        </w:rPr>
        <w:t>The obligation of each L/C Issuer and each Lender to make its initial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Extension hereunder is subject to satisfaction of the following conditions precedent:</w:t>
      </w:r>
    </w:p>
    <w:p>
      <w:pPr>
        <w:spacing w:after="0" w:line="156" w:lineRule="exact"/>
        <w:rPr>
          <w:sz w:val="20"/>
          <w:szCs w:val="20"/>
          <w:color w:val="auto"/>
        </w:rPr>
      </w:pPr>
    </w:p>
    <w:p>
      <w:pPr>
        <w:jc w:val="both"/>
        <w:ind w:left="380" w:firstLine="751"/>
        <w:spacing w:after="0" w:line="249" w:lineRule="auto"/>
        <w:tabs>
          <w:tab w:leader="none" w:pos="155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7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the Guaranties, the U.S. Security Agreement and the U.S. Pledge</w:t>
      </w:r>
    </w:p>
    <w:p>
      <w:pPr>
        <w:spacing w:after="0" w:line="21" w:lineRule="exact"/>
        <w:rPr>
          <w:rFonts w:ascii="Times New Roman" w:cs="Times New Roman" w:eastAsia="Times New Roman" w:hAnsi="Times New Roman"/>
          <w:sz w:val="20"/>
          <w:szCs w:val="20"/>
          <w:color w:val="auto"/>
        </w:rPr>
      </w:pPr>
    </w:p>
    <w:p>
      <w:pPr>
        <w:ind w:left="1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93"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executed by the Borrowers in favor of each Lender requesting Notes;</w:t>
      </w:r>
    </w:p>
    <w:p>
      <w:pPr>
        <w:spacing w:after="0" w:line="215"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79" w:lineRule="exact"/>
        <w:rPr>
          <w:rFonts w:ascii="Times New Roman" w:cs="Times New Roman" w:eastAsia="Times New Roman" w:hAnsi="Times New Roman"/>
          <w:sz w:val="20"/>
          <w:szCs w:val="20"/>
          <w:color w:val="auto"/>
        </w:rPr>
      </w:pPr>
    </w:p>
    <w:p>
      <w:pPr>
        <w:jc w:val="both"/>
        <w:ind w:left="1140" w:right="20" w:firstLine="740"/>
        <w:spacing w:after="0" w:line="254" w:lineRule="auto"/>
        <w:tabs>
          <w:tab w:leader="none" w:pos="2284"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 formed, and that each Loan Party is validly existing, in good standing and qualified to engage in business in its jurisdiction of organization;</w:t>
      </w:r>
    </w:p>
    <w:p>
      <w:pPr>
        <w:spacing w:after="0" w:line="174" w:lineRule="exact"/>
        <w:rPr>
          <w:rFonts w:ascii="Times New Roman" w:cs="Times New Roman" w:eastAsia="Times New Roman" w:hAnsi="Times New Roman"/>
          <w:sz w:val="20"/>
          <w:szCs w:val="20"/>
          <w:color w:val="auto"/>
        </w:rPr>
      </w:pPr>
    </w:p>
    <w:p>
      <w:pPr>
        <w:ind w:left="1140" w:firstLine="740"/>
        <w:spacing w:after="0" w:line="269" w:lineRule="auto"/>
        <w:tabs>
          <w:tab w:leader="none" w:pos="2284"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opinions of counsel to the Loan Parties addressed to the Administrative Agent and each Lender, as to the matters concerning the Loan Parties and the Loan Documents as the Administrative Agent may reasonably request;</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1" w:name="page142"/>
    <w:bookmarkEnd w:id="141"/>
    <w:p>
      <w:pPr>
        <w:jc w:val="both"/>
        <w:ind w:left="740" w:firstLine="740"/>
        <w:spacing w:after="0" w:line="249" w:lineRule="auto"/>
        <w:tabs>
          <w:tab w:leader="none" w:pos="1884"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the Company certifying (A)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(B) that there has been no event or circumstance since December 31, 2024 that has had or could be reasonably expected to have, either individually or in the aggregate, a Material Adverse Effect and (C) a calculation of the Consolidated Net Leverage Ratio and the Consolidated Secured Net Leverage Ratio as of the Closing Date;</w:t>
      </w:r>
    </w:p>
    <w:p>
      <w:pPr>
        <w:spacing w:after="0" w:line="179" w:lineRule="exact"/>
        <w:rPr>
          <w:rFonts w:ascii="Times New Roman" w:cs="Times New Roman" w:eastAsia="Times New Roman" w:hAnsi="Times New Roman"/>
          <w:sz w:val="20"/>
          <w:szCs w:val="20"/>
          <w:color w:val="auto"/>
        </w:rPr>
      </w:pPr>
    </w:p>
    <w:p>
      <w:pPr>
        <w:jc w:val="both"/>
        <w:ind w:left="740" w:firstLine="740"/>
        <w:spacing w:after="0" w:line="254" w:lineRule="auto"/>
        <w:tabs>
          <w:tab w:leader="none" w:pos="228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chief financial officer of the Company as to the Solvency of the Company and the Company and its Restricted Subsidiaries, taken as a whole, after giving effect to the transactions contemplated on the Closing Date and the Indebtedness incurred in connection therewith;</w:t>
      </w:r>
    </w:p>
    <w:p>
      <w:pPr>
        <w:spacing w:after="0" w:line="174" w:lineRule="exact"/>
        <w:rPr>
          <w:rFonts w:ascii="Times New Roman" w:cs="Times New Roman" w:eastAsia="Times New Roman" w:hAnsi="Times New Roman"/>
          <w:sz w:val="20"/>
          <w:szCs w:val="20"/>
          <w:color w:val="auto"/>
        </w:rPr>
      </w:pPr>
    </w:p>
    <w:p>
      <w:pPr>
        <w:ind w:left="740" w:right="60" w:firstLine="740"/>
        <w:spacing w:after="0" w:line="269" w:lineRule="auto"/>
        <w:tabs>
          <w:tab w:leader="none" w:pos="1884"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searches of UCC filings (or the foreign equivalent) in the jurisdiction of incorporation or formation, as applicable, of each Loan Party and copies of the financing statements on file in such jurisdictions;</w:t>
      </w:r>
    </w:p>
    <w:p>
      <w:pPr>
        <w:spacing w:after="0" w:line="159" w:lineRule="exact"/>
        <w:rPr>
          <w:rFonts w:ascii="Times New Roman" w:cs="Times New Roman" w:eastAsia="Times New Roman" w:hAnsi="Times New Roman"/>
          <w:sz w:val="20"/>
          <w:szCs w:val="20"/>
          <w:color w:val="auto"/>
        </w:rPr>
      </w:pPr>
    </w:p>
    <w:p>
      <w:pPr>
        <w:jc w:val="both"/>
        <w:ind w:left="740" w:firstLine="740"/>
        <w:spacing w:after="0" w:line="243" w:lineRule="auto"/>
        <w:tabs>
          <w:tab w:leader="none" w:pos="1884"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Uniform Commercial Code financing statements (or the foreign equivalent) suitable in form and substance for filing in all places required by Applicable Law to perfect the Liens of the Administrative Agent under the Collateral Documents as a first priority Lien as to items of Collateral in which a security interest may be perfected by the filing of financing statements, and such other documents and/or evidence of other actions as may be reasonably necessary under Applicable Law to perfect the Liens of the Administrative Agent under such Collateral Documents as a first priority Lien (subject only to Permitted Liens) in and to such other Collateral as the Administrative Agent may require including without limitation the delivery by the Loan Parties of stock or membership certificates, if any, evidencing the Equity Interests pledged pursuant to the Collateral Documents and undated stock or transfer powers duly executed in blank; in each case to the extent such Equity Interests are certificated; and</w:t>
      </w:r>
    </w:p>
    <w:p>
      <w:pPr>
        <w:spacing w:after="0" w:line="185" w:lineRule="exact"/>
        <w:rPr>
          <w:rFonts w:ascii="Times New Roman" w:cs="Times New Roman" w:eastAsia="Times New Roman" w:hAnsi="Times New Roman"/>
          <w:sz w:val="20"/>
          <w:szCs w:val="20"/>
          <w:color w:val="auto"/>
        </w:rPr>
      </w:pPr>
    </w:p>
    <w:p>
      <w:pPr>
        <w:ind w:left="740" w:right="40" w:firstLine="740"/>
        <w:spacing w:after="0" w:line="269" w:lineRule="auto"/>
        <w:tabs>
          <w:tab w:leader="none" w:pos="1884"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assurances, certificates, documents, consents or opinions as the Administrative Agent, each L/C Issuer, the Swing Line Lender or the Lenders reasonably may require.</w:t>
      </w:r>
    </w:p>
    <w:p>
      <w:pPr>
        <w:spacing w:after="0" w:line="159"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6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Company shall have delivered to the Administrative Agent evidence of insurance coverage on the Company’s and each Restricted Subsidiary’s property satisfying the requirements of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and where required by the Administrative Agent, with loss payable endorsements in favor of the Administrative Agent for the benefit of the Secured Parties.</w:t>
      </w:r>
    </w:p>
    <w:p>
      <w:pPr>
        <w:spacing w:after="0" w:line="174" w:lineRule="exact"/>
        <w:rPr>
          <w:rFonts w:ascii="Times New Roman" w:cs="Times New Roman" w:eastAsia="Times New Roman" w:hAnsi="Times New Roman"/>
          <w:sz w:val="20"/>
          <w:szCs w:val="20"/>
          <w:color w:val="auto"/>
        </w:rPr>
      </w:pPr>
    </w:p>
    <w:p>
      <w:pPr>
        <w:jc w:val="both"/>
        <w:ind w:left="-20" w:firstLine="751"/>
        <w:spacing w:after="0" w:line="246" w:lineRule="auto"/>
        <w:tabs>
          <w:tab w:leader="none" w:pos="112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The Administrative Agent and each Lender shall have received at least five Business Days prior to the Closing Date (i) all documentation and other information requested by the Administrative Agent or such Lender, as applicable, in order to comply with its obligations under applicable “know your customer” and anti-money laundering rules and regulations, including, without limitation, the Act, and (ii) with respect to any Loan Party that qualifies as a “legal entity customer” under the Beneficial Ownership Regulation, a Beneficial Ownership Certification in relation to such Loan Party.</w:t>
      </w:r>
    </w:p>
    <w:p>
      <w:pPr>
        <w:spacing w:after="0" w:line="184" w:lineRule="exact"/>
        <w:rPr>
          <w:rFonts w:ascii="Times New Roman" w:cs="Times New Roman" w:eastAsia="Times New Roman" w:hAnsi="Times New Roman"/>
          <w:sz w:val="20"/>
          <w:szCs w:val="20"/>
          <w:color w:val="auto"/>
        </w:rPr>
      </w:pPr>
    </w:p>
    <w:p>
      <w:pPr>
        <w:jc w:val="both"/>
        <w:ind w:left="-20" w:firstLine="751"/>
        <w:spacing w:after="0" w:line="249" w:lineRule="auto"/>
        <w:tabs>
          <w:tab w:leader="none" w:pos="112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Litigation</w:t>
      </w:r>
      <w:r>
        <w:rPr>
          <w:rFonts w:ascii="Times New Roman" w:cs="Times New Roman" w:eastAsia="Times New Roman" w:hAnsi="Times New Roman"/>
          <w:sz w:val="20"/>
          <w:szCs w:val="20"/>
          <w:color w:val="auto"/>
        </w:rPr>
        <w:t>. There are no actions, suits, proceedings, claims or disputes pending or, to the actual knowledge of the Company after reasonable inquiry, threatened in writing, at law, in equity, in arbitration or before any Governmental Authority, by or against the Company or any of its Restricted Subsidiaries or against any of their properties or revenues that could reasonably be expected to materially adversely affect the Loan Documents or any of the transactions contemplated thereby.</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42" w:name="page143"/>
    <w:bookmarkEnd w:id="142"/>
    <w:p>
      <w:pPr>
        <w:jc w:val="both"/>
        <w:ind w:left="380" w:firstLine="751"/>
        <w:spacing w:after="0" w:line="249" w:lineRule="auto"/>
        <w:tabs>
          <w:tab w:leader="none" w:pos="1525"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Information</w:t>
      </w:r>
      <w:r>
        <w:rPr>
          <w:rFonts w:ascii="Times New Roman" w:cs="Times New Roman" w:eastAsia="Times New Roman" w:hAnsi="Times New Roman"/>
          <w:sz w:val="20"/>
          <w:szCs w:val="20"/>
          <w:color w:val="auto"/>
        </w:rPr>
        <w:t>. The Administrative Agent shall have received (i) the Audited Financial Statements, (ii) all interim financial statements of the Company and its Subsidiaries from and the after the Audited Financial Statements through the most recent quarter for which financial statements are available and (iii) such projections and forecasts prepared by management of the Company as may be reasonably requested by the Administrative Agent.</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3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The Administrative Agent shall have received evidence reasonably satisfactory to it that, concurrently with the closing, all outstanding principal, interest, fees and other obligations under the Existing Credit Agreement shall either be paid in full or made subject to such other arrangements as the Administrative Agent shall have approved in order to effect this Agreement as an amendment and restatement and so as to reflect the Commitments and Applicable Percentages of the Lenders contemplated hereby and cause all applicable outstanding amounts hereunder to be consistent with such Commitments and Applicable Percentages (including any payments necessary to Existing Lenders who elect not to become Lenders hereunder, if any).</w:t>
      </w:r>
    </w:p>
    <w:p>
      <w:pPr>
        <w:spacing w:after="0" w:line="184" w:lineRule="exact"/>
        <w:rPr>
          <w:rFonts w:ascii="Times New Roman" w:cs="Times New Roman" w:eastAsia="Times New Roman" w:hAnsi="Times New Roman"/>
          <w:sz w:val="20"/>
          <w:szCs w:val="20"/>
          <w:color w:val="auto"/>
        </w:rPr>
      </w:pPr>
    </w:p>
    <w:p>
      <w:pPr>
        <w:ind w:left="380" w:firstLine="751"/>
        <w:spacing w:after="0" w:line="269" w:lineRule="auto"/>
        <w:tabs>
          <w:tab w:leader="none" w:pos="153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Any fees required to be paid to the Administrative Agent, the Arrangers or the Lenders on or before the Closing Date shall have been paid.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4" w:lineRule="auto"/>
        <w:tabs>
          <w:tab w:leader="none" w:pos="1525"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Fees and Expenses</w:t>
      </w:r>
      <w:r>
        <w:rPr>
          <w:rFonts w:ascii="Times New Roman" w:cs="Times New Roman" w:eastAsia="Times New Roman" w:hAnsi="Times New Roman"/>
          <w:sz w:val="20"/>
          <w:szCs w:val="20"/>
          <w:color w:val="auto"/>
        </w:rPr>
        <w:t>. Unless waived by the Administrative Agent, the Company shall have paid all reasonable and documented out-of-pocket fees, charges and disbursements of counsel to the Administrative Agent (directly to such counsel if requested by the Administrative Agent) to the extent invoiced at least two Business Days prior to the Closing Date (or otherwise reflected in a settlement statement approved by the Company),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the Company and the Administrative Agent or its counsel).</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4.02 Conditions to All Credit Extensions.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solely with respect to any Incremental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incurred to finance a substantially concurrent Limited Condition Acquisition, the obligation of each Lender and each L/C Issuer to honor any Request for Credit Extension (other than (x) a Loan Notice requesting only a conversion of Loans to the other Type, or a continuation of Alternative Currency Term Rate Loans or Term SOFR Loans and (y) a Loan Notice requesting the Incremental Term A-1 Loan Borrowing or the Longhorn Acquisition Revolving Borrowing in connection with the Longhorn Acquisition Funding Date) is subject to the following conditions precedent:</w:t>
      </w:r>
    </w:p>
    <w:p>
      <w:pPr>
        <w:spacing w:after="0" w:line="183" w:lineRule="exact"/>
        <w:rPr>
          <w:sz w:val="20"/>
          <w:szCs w:val="20"/>
          <w:color w:val="auto"/>
        </w:rPr>
      </w:pPr>
    </w:p>
    <w:p>
      <w:pPr>
        <w:jc w:val="both"/>
        <w:ind w:left="380" w:firstLine="751"/>
        <w:spacing w:after="0" w:line="244" w:lineRule="auto"/>
        <w:tabs>
          <w:tab w:leader="none" w:pos="152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Borrowers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in any document furnished at any time under or in connection herewith or therewith, shall be true and correct in all material respects (or, in the case of any such representation and warranty that is subject to materiality or Material Adverse Effect qualifications, in all respects) on and as of the date of such Credit Extension, except to the extent that such representations and warranties specifically refer to an earlier date, in which case they shall be true and correct in all material respects (or, in the case of any such representation and warranty that is subject to materiality or Material Adverse Effect qualifications, in all respects) as of such earlier date,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3" w:name="page144"/>
    <w:bookmarkEnd w:id="143"/>
    <w:p>
      <w:pPr>
        <w:ind w:left="380" w:right="20"/>
        <w:spacing w:after="0" w:line="269" w:lineRule="auto"/>
        <w:rPr>
          <w:sz w:val="20"/>
          <w:szCs w:val="20"/>
          <w:color w:val="auto"/>
        </w:rPr>
      </w:pPr>
      <w:r>
        <w:rPr>
          <w:rFonts w:ascii="Times New Roman" w:cs="Times New Roman" w:eastAsia="Times New Roman" w:hAnsi="Times New Roman"/>
          <w:sz w:val="20"/>
          <w:szCs w:val="20"/>
          <w:color w:val="auto"/>
        </w:rPr>
        <w:t xml:space="preserve">except that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Sections 5.05(a)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respectively.</w:t>
      </w:r>
    </w:p>
    <w:p>
      <w:pPr>
        <w:spacing w:after="0" w:line="159" w:lineRule="exact"/>
        <w:rPr>
          <w:sz w:val="20"/>
          <w:szCs w:val="20"/>
          <w:color w:val="auto"/>
        </w:rPr>
      </w:pPr>
    </w:p>
    <w:p>
      <w:pPr>
        <w:ind w:left="1520" w:hanging="389"/>
        <w:spacing w:after="0"/>
        <w:tabs>
          <w:tab w:leader="none" w:pos="15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the application of the proceeds thereof.</w:t>
      </w:r>
    </w:p>
    <w:p>
      <w:pPr>
        <w:spacing w:after="0" w:line="215"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applicable L/C Issuer or the Swing Line Lender shall have received a Request for Credit Extension in accordance with the requirements hereof.</w:t>
      </w:r>
    </w:p>
    <w:p>
      <w:pPr>
        <w:spacing w:after="0" w:line="159"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Borrower is a Designated Borrower, then the conditions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to the designation of such Borrower as a Designated Borrower shall have been met to the satisfaction of the Administrative Agent.</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Extension to be denominated in an Alternative Currency, such currency remains an Eligible</w:t>
      </w:r>
    </w:p>
    <w:p>
      <w:pPr>
        <w:spacing w:after="0" w:line="21" w:lineRule="exact"/>
        <w:rPr>
          <w:rFonts w:ascii="Times New Roman" w:cs="Times New Roman" w:eastAsia="Times New Roman" w:hAnsi="Times New Roman"/>
          <w:sz w:val="20"/>
          <w:szCs w:val="20"/>
          <w:color w:val="auto"/>
        </w:rPr>
      </w:pPr>
    </w:p>
    <w:p>
      <w:pPr>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only a conversion of Loans to the other Type or a continuation of Alternative Currency Term Rate Loans or Term SOFR Loans) submitted by the Company shall be deemed to be a representation and warranty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4.03 </w:t>
      </w:r>
      <w:r>
        <w:rPr>
          <w:rFonts w:ascii="Times New Roman" w:cs="Times New Roman" w:eastAsia="Times New Roman" w:hAnsi="Times New Roman"/>
          <w:sz w:val="20"/>
          <w:szCs w:val="20"/>
          <w:b w:val="1"/>
          <w:bCs w:val="1"/>
          <w:u w:val="single" w:color="auto"/>
          <w:color w:val="auto"/>
        </w:rPr>
        <w:t>Conditions to Credit Extensions for Longhorn Acquisition</w:t>
      </w:r>
      <w:r>
        <w:rPr>
          <w:rFonts w:ascii="Times New Roman" w:cs="Times New Roman" w:eastAsia="Times New Roman" w:hAnsi="Times New Roman"/>
          <w:sz w:val="20"/>
          <w:szCs w:val="20"/>
          <w:color w:val="auto"/>
        </w:rPr>
        <w:t>. The obligation of each Lender to honor any Request for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Extension hereunder with respect to the Incremental Term A-1 Loan Borrowing or the Longhorn Acquisition Revolving Borrowing, is subject to the following conditions precedent:</w:t>
      </w:r>
    </w:p>
    <w:p>
      <w:pPr>
        <w:spacing w:after="0" w:line="173" w:lineRule="exact"/>
        <w:rPr>
          <w:sz w:val="20"/>
          <w:szCs w:val="20"/>
          <w:color w:val="auto"/>
        </w:rPr>
      </w:pPr>
    </w:p>
    <w:p>
      <w:pPr>
        <w:ind w:left="2080" w:hanging="387"/>
        <w:spacing w:after="0"/>
        <w:tabs>
          <w:tab w:leader="none" w:pos="208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The Administrative Agent shall have received:</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Responsible Officer of the Company attaching copies of (or certifying that such agreement is unchanged from the version attached to the certificate delivered pursuant to Amendment No. 1) any amendments, consents, waivers or other modifications of, or with respect to, the Longhorn Acquisition Agreement since the Amendment No. 1 Effective Date;</w:t>
      </w:r>
    </w:p>
    <w:p>
      <w:pPr>
        <w:spacing w:after="0" w:line="173" w:lineRule="exact"/>
        <w:rPr>
          <w:rFonts w:ascii="Times New Roman" w:cs="Times New Roman" w:eastAsia="Times New Roman" w:hAnsi="Times New Roman"/>
          <w:sz w:val="20"/>
          <w:szCs w:val="20"/>
          <w:color w:val="auto"/>
        </w:rPr>
      </w:pPr>
    </w:p>
    <w:p>
      <w:pPr>
        <w:jc w:val="both"/>
        <w:ind w:left="1500" w:firstLine="754"/>
        <w:spacing w:after="0" w:line="243" w:lineRule="auto"/>
        <w:tabs>
          <w:tab w:leader="none" w:pos="2644"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a Responsible Officer of the Company certifying (A) that the conditions specified in </w:t>
      </w:r>
      <w:r>
        <w:rPr>
          <w:rFonts w:ascii="Times New Roman" w:cs="Times New Roman" w:eastAsia="Times New Roman" w:hAnsi="Times New Roman"/>
          <w:sz w:val="20"/>
          <w:szCs w:val="20"/>
          <w:u w:val="single" w:color="auto"/>
          <w:color w:val="auto"/>
        </w:rPr>
        <w:t>subsections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are satisfied and (B) as to a calculation of the Consolidated Net Leverage Ratio as of the Longhorn Acquisition Funding Date, calculated, on a Pro Forma Basis, giving effect to the Longhorn Acquisition and all Indebtedness incurred or assumed in connection therewith;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such calculation produced pursuant to this clause (B) is only for purposes of determining the Applicable Rate to be in effect as of the Longhorn Acquisition Funding Date and its inclusion on this certificate is not a condition to funding, however, if such calculation is not so included, then Pricing Level VI shall automatically apply as of the Longhorn Acquisition Funding Date;</w:t>
      </w:r>
    </w:p>
    <w:p>
      <w:pPr>
        <w:spacing w:after="0" w:line="18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Solvency certificate of the chief financial officer of the Company in substantially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Request for Credit Extension in accordance with the requirements 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4" w:name="page145"/>
    <w:bookmarkEnd w:id="144"/>
    <w:p>
      <w:pPr>
        <w:jc w:val="both"/>
        <w:ind w:left="-20" w:firstLine="751"/>
        <w:spacing w:after="0" w:line="242" w:lineRule="auto"/>
        <w:tabs>
          <w:tab w:leader="none" w:pos="115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Material Adverse Effect</w:t>
      </w:r>
      <w:r>
        <w:rPr>
          <w:rFonts w:ascii="Times New Roman" w:cs="Times New Roman" w:eastAsia="Times New Roman" w:hAnsi="Times New Roman"/>
          <w:sz w:val="20"/>
          <w:szCs w:val="20"/>
          <w:color w:val="auto"/>
        </w:rPr>
        <w:t>. Other than as disclosed in (i) the Company SEC Documents (as defined in the Longhorn Acquisition Agreement as in effect on the Amendment No. 1 Effective Date) filed with or furnished to the SEC and publicly available on EDGAR (as defined in the Longhorn Acquisition Agreement) at least twenty four (24) hours prior to the date of the Longhorn Acquisition Agreement (excluding any disclosures set forth in any such Company SEC Document under the heading “Risk Factors” or in any section relating to forward-looking disclaimers or any other statement or disclosure that are generally cautionary, predictive or forward-looking in nature) or (b) the Company Disclosure Letter (as defined in the Longhorn Acquisition Agreement as in effect on the Amendment No. 1 Effective Date) either in the corresponding section or subsection thereof or as otherwise where the relevance of such information is readily apparent on its face, since June 30, 2025, there has not been any event, change, circumstance, occurrence or effect that, individually or in the aggregate, has had or would reasonably be expected to have a “Company Material Adverse Effect” (as defined in the Longhorn Acquisition Agreement as in effect on the Amendment No. 1 Effective Date).</w:t>
      </w:r>
    </w:p>
    <w:p>
      <w:pPr>
        <w:spacing w:after="0" w:line="192" w:lineRule="exact"/>
        <w:rPr>
          <w:rFonts w:ascii="Times New Roman" w:cs="Times New Roman" w:eastAsia="Times New Roman" w:hAnsi="Times New Roman"/>
          <w:sz w:val="20"/>
          <w:szCs w:val="20"/>
          <w:color w:val="auto"/>
        </w:rPr>
      </w:pPr>
    </w:p>
    <w:p>
      <w:pPr>
        <w:jc w:val="both"/>
        <w:ind w:left="-20" w:firstLine="751"/>
        <w:spacing w:after="0"/>
        <w:tabs>
          <w:tab w:leader="none" w:pos="115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Longhorn Acquisition</w:t>
      </w:r>
      <w:r>
        <w:rPr>
          <w:rFonts w:ascii="Times New Roman" w:cs="Times New Roman" w:eastAsia="Times New Roman" w:hAnsi="Times New Roman"/>
          <w:sz w:val="20"/>
          <w:szCs w:val="20"/>
          <w:color w:val="auto"/>
        </w:rPr>
        <w:t>. The Administrative Agent shall have received true and correct fully-executed copies of the Longhorn Acquisition Agreement (including all exhibits thereto and all schedules delivered in connection therewith and all amendments and supplements thereto), and the Administrative Agent hereby acknowledges receipt of an executed copy of the Longhorn Acquisition Agreement as in effect on the Amendment No. 1 Effective Date. The Longhorn Acquisition shall have been consummated, or substantially simultaneously with the initial borrowing under the Incremental Term A-1 Loan Facility shall be consummated, in each case in all material respects in accordance with the terms of the Longhorn Acquisition Agreement, after giving effect to any modifications, amendments, consents or waivers thereto, other than those modifications, amendments, consents or waivers that are materially adverse to the interests of the Lenders, the Administrative Agent and BAS (as an Arranger), in their respective capacities as such, when taken as a whole, unless consented to in writing by BAS (such consent not to be unreasonably withheld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BAS shall be deemed to have consented to any such amendment or waiver unless they shall object thereto within five business days after receipt of written notice of such amendment or waiver));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amendment to the definition of “Company Material Adverse Effect” (including “Material Adverse Effect” as incorporated therein) (each as defined in the Longhorn Acquisition Agreement as in effect on the Amendment No. 1 Effective Date) and any amendment to the “Xerox” provisions (if any) or the governing law provisions in the Longhorn Acquisition Agreement shall, in each case, be deemed to be material and adverse to the interests of the Lenders, the Administrative Agent and BAS and shall require the consent of BAS, (ii) any reduction to the purchase price in respect of the Longhorn Acquisition shall be deemed to be material and adverse to the interests of the Lenders, the Administrative Agent and BAS unless such reduction is by less than 10% and the portion of such reduced purchase price that is allocable to the Cash Consideration (as defined in the Longhorn Acquisition Agreement as in effect on the Amendment No. 1 Effective Date) is applied to permanently reduce the principal amount of the Incremental Term A-1 Loan Commitments dollar-for-dollar, (iii) any increase in the purchase price in respect of the Longhorn Acquisition shall not be deemed to be material and adverse to the interests of the Lenders, the Administrative Agent and BAS unless any portion of such increase is funded with Indebtedness, and (iv) any increase or decrease in the purchase price in respect of the Longhorn Acquisition pursuant to any purchase price or similar adjustment provisions set forth in the Longhorn Acquisition Agreement (as in effect on the Amendment No. 1 Effective Date) shall not constitute a modification, amendment, consent or waiver to the Longhorn Acquisition Agreement.</w:t>
      </w:r>
    </w:p>
    <w:p>
      <w:pPr>
        <w:spacing w:after="0" w:line="204" w:lineRule="exact"/>
        <w:rPr>
          <w:rFonts w:ascii="Times New Roman" w:cs="Times New Roman" w:eastAsia="Times New Roman" w:hAnsi="Times New Roman"/>
          <w:sz w:val="20"/>
          <w:szCs w:val="20"/>
          <w:color w:val="auto"/>
        </w:rPr>
      </w:pPr>
    </w:p>
    <w:p>
      <w:pPr>
        <w:ind w:left="1120" w:hanging="389"/>
        <w:spacing w:after="0"/>
        <w:tabs>
          <w:tab w:leader="none" w:pos="112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Information</w:t>
      </w:r>
      <w:r>
        <w:rPr>
          <w:rFonts w:ascii="Times New Roman" w:cs="Times New Roman" w:eastAsia="Times New Roman" w:hAnsi="Times New Roman"/>
          <w:sz w:val="20"/>
          <w:szCs w:val="20"/>
          <w:color w:val="auto"/>
        </w:rPr>
        <w:t>. The Administrative Agent shall have received:</w:t>
      </w:r>
    </w:p>
    <w:p>
      <w:pPr>
        <w:spacing w:after="0" w:line="215" w:lineRule="exact"/>
        <w:rPr>
          <w:rFonts w:ascii="Times New Roman" w:cs="Times New Roman" w:eastAsia="Times New Roman" w:hAnsi="Times New Roman"/>
          <w:sz w:val="20"/>
          <w:szCs w:val="20"/>
          <w:color w:val="auto"/>
        </w:rPr>
      </w:pPr>
    </w:p>
    <w:p>
      <w:pPr>
        <w:ind w:left="740" w:firstLine="740"/>
        <w:spacing w:after="0" w:line="269" w:lineRule="auto"/>
        <w:tabs>
          <w:tab w:leader="none" w:pos="188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financial statements of the Company required by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and when required to be delivered for each fiscal period ending after September 30, 2025 and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45" w:name="page146"/>
    <w:bookmarkEnd w:id="145"/>
    <w:p>
      <w:pPr>
        <w:ind w:left="740"/>
        <w:spacing w:after="0"/>
        <w:rPr>
          <w:sz w:val="20"/>
          <w:szCs w:val="20"/>
          <w:color w:val="auto"/>
        </w:rPr>
      </w:pPr>
      <w:r>
        <w:rPr>
          <w:rFonts w:ascii="Times New Roman" w:cs="Times New Roman" w:eastAsia="Times New Roman" w:hAnsi="Times New Roman"/>
          <w:sz w:val="20"/>
          <w:szCs w:val="20"/>
          <w:color w:val="auto"/>
        </w:rPr>
        <w:t>at least 45 days (or in the case of any fiscal year, 90 days) before the Longhorn Acquisition Funding Date;</w:t>
      </w:r>
    </w:p>
    <w:p>
      <w:pPr>
        <w:spacing w:after="0" w:line="216" w:lineRule="exact"/>
        <w:rPr>
          <w:sz w:val="20"/>
          <w:szCs w:val="20"/>
          <w:color w:val="auto"/>
        </w:rPr>
      </w:pPr>
    </w:p>
    <w:p>
      <w:pPr>
        <w:ind w:left="740" w:firstLine="740"/>
        <w:spacing w:after="0" w:line="269" w:lineRule="auto"/>
        <w:tabs>
          <w:tab w:leader="none" w:pos="188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financial statements of Longhorn referenced in </w:t>
      </w:r>
      <w:r>
        <w:rPr>
          <w:rFonts w:ascii="Times New Roman" w:cs="Times New Roman" w:eastAsia="Times New Roman" w:hAnsi="Times New Roman"/>
          <w:sz w:val="20"/>
          <w:szCs w:val="20"/>
          <w:u w:val="single" w:color="auto"/>
          <w:color w:val="auto"/>
        </w:rPr>
        <w:t>Section 3.6(a)</w:t>
      </w:r>
      <w:r>
        <w:rPr>
          <w:rFonts w:ascii="Times New Roman" w:cs="Times New Roman" w:eastAsia="Times New Roman" w:hAnsi="Times New Roman"/>
          <w:sz w:val="20"/>
          <w:szCs w:val="20"/>
          <w:color w:val="auto"/>
        </w:rPr>
        <w:t xml:space="preserve"> of the Longhorn Acquisition Agreement as in effect on the Amendment No. 1 Effective Date (and the Administrative Agent hereby acknowledges receipt thereof);</w:t>
      </w:r>
    </w:p>
    <w:p>
      <w:pPr>
        <w:spacing w:after="0" w:line="159" w:lineRule="exact"/>
        <w:rPr>
          <w:rFonts w:ascii="Times New Roman" w:cs="Times New Roman" w:eastAsia="Times New Roman" w:hAnsi="Times New Roman"/>
          <w:sz w:val="20"/>
          <w:szCs w:val="20"/>
          <w:color w:val="auto"/>
        </w:rPr>
      </w:pPr>
    </w:p>
    <w:p>
      <w:pPr>
        <w:jc w:val="both"/>
        <w:ind w:left="740" w:firstLine="740"/>
        <w:spacing w:after="0" w:line="246" w:lineRule="auto"/>
        <w:tabs>
          <w:tab w:leader="none" w:pos="188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financial statements of Longhorn required to be delivered to the Company pursuant to </w:t>
      </w:r>
      <w:r>
        <w:rPr>
          <w:rFonts w:ascii="Times New Roman" w:cs="Times New Roman" w:eastAsia="Times New Roman" w:hAnsi="Times New Roman"/>
          <w:sz w:val="20"/>
          <w:szCs w:val="20"/>
          <w:u w:val="single" w:color="auto"/>
          <w:color w:val="auto"/>
        </w:rPr>
        <w:t>Section 5.17(b)</w:t>
      </w:r>
      <w:r>
        <w:rPr>
          <w:rFonts w:ascii="Times New Roman" w:cs="Times New Roman" w:eastAsia="Times New Roman" w:hAnsi="Times New Roman"/>
          <w:sz w:val="20"/>
          <w:szCs w:val="20"/>
          <w:color w:val="auto"/>
        </w:rPr>
        <w:t xml:space="preserve"> of the Longhorn Acquisition Agreement as in effect on the Amendment No. 1 Effective Date; it being understood that information required to be delivered pursuant to this clause (iii) shall be deemed to have been delivered to the Administrative Agent if such information, or one or more annual or quarterly reports containing such information, shall be available on the website of the SEC at http://www.sec.gov;</w:t>
      </w:r>
    </w:p>
    <w:p>
      <w:pPr>
        <w:spacing w:after="0" w:line="184" w:lineRule="exact"/>
        <w:rPr>
          <w:rFonts w:ascii="Times New Roman" w:cs="Times New Roman" w:eastAsia="Times New Roman" w:hAnsi="Times New Roman"/>
          <w:sz w:val="20"/>
          <w:szCs w:val="20"/>
          <w:color w:val="auto"/>
        </w:rPr>
      </w:pPr>
    </w:p>
    <w:p>
      <w:pPr>
        <w:jc w:val="both"/>
        <w:ind w:left="740" w:firstLine="740"/>
        <w:spacing w:after="0" w:line="244" w:lineRule="auto"/>
        <w:tabs>
          <w:tab w:leader="none" w:pos="188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consolidated balance sheets of the Company and its Restricted Subsidiaries as at the end of, and related pro forma consolidated statements of income or operations of the Company and its Restricted Subsidiaries for, the fiscal quarter or year referred to in clause (i) above, prepared after giving effect to the Transactions as if the Transactions had occurred as of such date (in the case of such balance sheet) or at the beginning of such period (in the case of such statements of operations) (which, with respect to any of the foregoing delivered after the Amendment No. 1 Effective Date, shall be calculated in a manner consistent with those provided by the Company to BAS prior to the Amendment No. 1 Effective Date, unless otherwise agreed between the Company and BAS); and</w:t>
      </w:r>
    </w:p>
    <w:p>
      <w:pPr>
        <w:spacing w:after="0" w:line="185" w:lineRule="exact"/>
        <w:rPr>
          <w:rFonts w:ascii="Times New Roman" w:cs="Times New Roman" w:eastAsia="Times New Roman" w:hAnsi="Times New Roman"/>
          <w:sz w:val="20"/>
          <w:szCs w:val="20"/>
          <w:color w:val="auto"/>
        </w:rPr>
      </w:pPr>
    </w:p>
    <w:p>
      <w:pPr>
        <w:jc w:val="both"/>
        <w:ind w:left="740" w:firstLine="740"/>
        <w:spacing w:after="0" w:line="246" w:lineRule="auto"/>
        <w:tabs>
          <w:tab w:leader="none" w:pos="188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forecasts for the Company and its Restricted Subsidiaries (after giving effect to the Transactions) of balance sheets and statements of income or operations, changes in shareholders’ equity, and cash flows on an annual basis for each fiscal year during the term of the Incremental Term A-1 Loan Facility and on a quarterly basis for the first year after the anticipated Longhorn Acquisition Funding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acknowledges and agrees that it has received the forecasts required by this clause (v).</w:t>
      </w:r>
    </w:p>
    <w:p>
      <w:pPr>
        <w:spacing w:after="0" w:line="184" w:lineRule="exact"/>
        <w:rPr>
          <w:rFonts w:ascii="Times New Roman" w:cs="Times New Roman" w:eastAsia="Times New Roman" w:hAnsi="Times New Roman"/>
          <w:sz w:val="20"/>
          <w:szCs w:val="20"/>
          <w:color w:val="auto"/>
        </w:rPr>
      </w:pPr>
    </w:p>
    <w:p>
      <w:pPr>
        <w:ind w:left="-20" w:firstLine="751"/>
        <w:spacing w:after="0" w:line="269" w:lineRule="auto"/>
        <w:tabs>
          <w:tab w:leader="none" w:pos="113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Any fees required to be paid to the Administrative Agent, the Arrangers or the Lenders in connection with the Longhorn Transaction on or before the Longhorn Acquisition Funding Date shall have been paid.</w:t>
      </w:r>
    </w:p>
    <w:p>
      <w:pPr>
        <w:spacing w:after="0" w:line="159" w:lineRule="exact"/>
        <w:rPr>
          <w:rFonts w:ascii="Times New Roman" w:cs="Times New Roman" w:eastAsia="Times New Roman" w:hAnsi="Times New Roman"/>
          <w:sz w:val="20"/>
          <w:szCs w:val="20"/>
          <w:color w:val="auto"/>
        </w:rPr>
      </w:pPr>
    </w:p>
    <w:p>
      <w:pPr>
        <w:jc w:val="both"/>
        <w:ind w:left="-20" w:firstLine="751"/>
        <w:spacing w:after="0" w:line="243" w:lineRule="auto"/>
        <w:tabs>
          <w:tab w:leader="none" w:pos="112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Fees and Expenses</w:t>
      </w:r>
      <w:r>
        <w:rPr>
          <w:rFonts w:ascii="Times New Roman" w:cs="Times New Roman" w:eastAsia="Times New Roman" w:hAnsi="Times New Roman"/>
          <w:sz w:val="20"/>
          <w:szCs w:val="20"/>
          <w:color w:val="auto"/>
        </w:rPr>
        <w:t xml:space="preserve">. Unless waived by the Administrative Agent, the Company shall have paid all reasonable and documented out-of-pocket fees, charges and disbursements of counsel to the Administrative Agent (directly to such counsel if requested by the Administrative Agent) to the extent invoiced at least two Business Days (or such shorter period as the Company may agree) prior to the Longhorn Acquisition Funding Date (or otherwise reflected in a settlement statement approved by the Company),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additional amounts of such fees, charges and disbursements as shall constitute its reasonable estimate of such fees, charges and disbursements incurred or to be incurred by it through the closing proceedings to the extent invoiced at least two Business Days (or such shorter period as the Company may agree) prior to the Longhorn Acquisition Funding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the Company and the Administrative Agent or its counsel).</w:t>
      </w:r>
    </w:p>
    <w:p>
      <w:pPr>
        <w:spacing w:after="0" w:line="189"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2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Accuracy of Longhorn Specified Acquisition Agreement Representations and Specified Representations</w:t>
      </w:r>
      <w:r>
        <w:rPr>
          <w:rFonts w:ascii="Times New Roman" w:cs="Times New Roman" w:eastAsia="Times New Roman" w:hAnsi="Times New Roman"/>
          <w:sz w:val="20"/>
          <w:szCs w:val="20"/>
          <w:color w:val="auto"/>
        </w:rPr>
        <w:t>. The Longhorn Specified Acquisition Agreement Representations shall be true and correct, and the Longhorn Specified Representations shall be true and correct in all material respects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46" w:name="page147"/>
    <w:bookmarkEnd w:id="146"/>
    <w:p>
      <w:pPr>
        <w:ind w:left="380" w:right="20"/>
        <w:spacing w:after="0" w:line="269" w:lineRule="auto"/>
        <w:rPr>
          <w:sz w:val="20"/>
          <w:szCs w:val="20"/>
          <w:color w:val="auto"/>
        </w:rPr>
      </w:pPr>
      <w:r>
        <w:rPr>
          <w:rFonts w:ascii="Times New Roman" w:cs="Times New Roman" w:eastAsia="Times New Roman" w:hAnsi="Times New Roman"/>
          <w:sz w:val="20"/>
          <w:szCs w:val="20"/>
          <w:color w:val="auto"/>
        </w:rPr>
        <w:t>(except for any representation and warranty that is qualified by materiality or reference to Material Adverse Effect, which such representation and warranty shall be true and correct in all respects).</w:t>
      </w:r>
    </w:p>
    <w:p>
      <w:pPr>
        <w:spacing w:after="0" w:line="159" w:lineRule="exact"/>
        <w:rPr>
          <w:sz w:val="20"/>
          <w:szCs w:val="20"/>
          <w:color w:val="auto"/>
        </w:rPr>
      </w:pPr>
    </w:p>
    <w:p>
      <w:pPr>
        <w:jc w:val="both"/>
        <w:ind w:left="380" w:firstLine="751"/>
        <w:spacing w:after="0" w:line="249" w:lineRule="auto"/>
        <w:tabs>
          <w:tab w:leader="none" w:pos="153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Payment or Bankruptcy Default</w:t>
      </w:r>
      <w:r>
        <w:rPr>
          <w:rFonts w:ascii="Times New Roman" w:cs="Times New Roman" w:eastAsia="Times New Roman" w:hAnsi="Times New Roman"/>
          <w:sz w:val="20"/>
          <w:szCs w:val="20"/>
          <w:color w:val="auto"/>
        </w:rPr>
        <w:t xml:space="preserve">. No Event of Default under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8.01(g)</w:t>
      </w:r>
      <w:r>
        <w:rPr>
          <w:rFonts w:ascii="Times New Roman" w:cs="Times New Roman" w:eastAsia="Times New Roman" w:hAnsi="Times New Roman"/>
          <w:sz w:val="20"/>
          <w:szCs w:val="20"/>
          <w:color w:val="auto"/>
        </w:rPr>
        <w:t xml:space="preserve"> shall have occurred and be continuing on the Longhorn Acquisition Funding Date, either immediately before or immediately after giving effect, on a Pro Forma Basis, to the Longhorn Acquisition and all Indebtedness incurred in connection therewith (including the Incremental Term A-1 Loans and the Longhorn Acquisition Revolving Borrowing).</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4" w:lineRule="auto"/>
        <w:tabs>
          <w:tab w:leader="none" w:pos="1552"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Longhorn Refinancing</w:t>
      </w:r>
      <w:r>
        <w:rPr>
          <w:rFonts w:ascii="Times New Roman" w:cs="Times New Roman" w:eastAsia="Times New Roman" w:hAnsi="Times New Roman"/>
          <w:sz w:val="20"/>
          <w:szCs w:val="20"/>
          <w:color w:val="auto"/>
        </w:rPr>
        <w:t>. The Longhorn Refinancing shall have been consummated prior to, or shall be consummated substantially simultaneously with, the funding of the Loans on the Longhorn Acquisition Funding Date, and the Administrative Agent shall have received customary payoff letters in connection therewith confirming that all Indebtedness with respect thereto shall have been fully repaid (or shall have been repaid and terminated or, in the case of letters of credit, cash collateralized and/or backstopped upon the funding of the Loans on the Longhorn Acquisition Funding Date) and all commitments thereunder shall have been terminated and cancelled and all Liens in connection therewith shall have been terminated and released, in each case prior to or concurrently with the funding of the Loans on the Longhorn Acquisition Funding Date.</w:t>
      </w:r>
    </w:p>
    <w:p>
      <w:pPr>
        <w:spacing w:after="0" w:line="185"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Longhorn Acquisition Commitment Termination Date</w:t>
      </w:r>
      <w:r>
        <w:rPr>
          <w:rFonts w:ascii="Times New Roman" w:cs="Times New Roman" w:eastAsia="Times New Roman" w:hAnsi="Times New Roman"/>
          <w:sz w:val="20"/>
          <w:szCs w:val="20"/>
          <w:color w:val="auto"/>
        </w:rPr>
        <w:t>. The Longhorn Acquisition Funding Date shall have occurred on or before the Longhorn Acquisition Commitment Termination Date.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Except as otherwise provided in </w:t>
      </w:r>
      <w:r>
        <w:rPr>
          <w:rFonts w:ascii="Times New Roman" w:cs="Times New Roman" w:eastAsia="Times New Roman" w:hAnsi="Times New Roman"/>
          <w:sz w:val="20"/>
          <w:szCs w:val="20"/>
          <w:u w:val="single" w:color="auto"/>
          <w:color w:val="auto"/>
        </w:rPr>
        <w:t>Section 5.23</w:t>
      </w:r>
      <w:r>
        <w:rPr>
          <w:rFonts w:ascii="Times New Roman" w:cs="Times New Roman" w:eastAsia="Times New Roman" w:hAnsi="Times New Roman"/>
          <w:sz w:val="20"/>
          <w:szCs w:val="20"/>
          <w:color w:val="auto"/>
        </w:rPr>
        <w:t>, each Borrower represents and warrants to the Administrative Agent and the Lenders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5.01 Existence, Qualification and Power. </w:t>
      </w:r>
      <w:r>
        <w:rPr>
          <w:rFonts w:ascii="Times New Roman" w:cs="Times New Roman" w:eastAsia="Times New Roman" w:hAnsi="Times New Roman"/>
          <w:sz w:val="20"/>
          <w:szCs w:val="20"/>
          <w:color w:val="auto"/>
        </w:rPr>
        <w:t>Each Loan Party and each Restricted Subsidiary thereof (a) is duly organized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w:t>
      </w:r>
    </w:p>
    <w:p>
      <w:pPr>
        <w:spacing w:after="0" w:line="17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5.02 Authorization; No Contravention. </w:t>
      </w:r>
      <w:r>
        <w:rPr>
          <w:rFonts w:ascii="Times New Roman" w:cs="Times New Roman" w:eastAsia="Times New Roman" w:hAnsi="Times New Roman"/>
          <w:sz w:val="20"/>
          <w:szCs w:val="20"/>
          <w:color w:val="auto"/>
        </w:rPr>
        <w:t>The execution, delivery and performance by each Loan Party of each Loan Document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(other than the creation of a Lien in favor of the Administrative Agent under the Collateral Documents) under, or require any payment to be made under (i) any Contractual Obligation to which such Person is a party or affecting such Person or the properties of such Person or any of its Restricted Subsidiaries or any arbitral award to which such Person or its property is subject, except in each case referred to in this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where such breach or contravention could not, individually or in the aggregate, reasonably be expected to have a Material Adverse Effect, or (ii) any order, injunction, writ or decree of any Governmental Authority; or (c) violate any Law in any material respect.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7" w:name="page148"/>
    <w:bookmarkEnd w:id="147"/>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5.03 Governmental Authorization; Other Consents. </w:t>
      </w:r>
      <w:r>
        <w:rPr>
          <w:rFonts w:ascii="Times New Roman" w:cs="Times New Roman" w:eastAsia="Times New Roman" w:hAnsi="Times New Roman"/>
          <w:sz w:val="20"/>
          <w:szCs w:val="20"/>
          <w:color w:val="auto"/>
        </w:rPr>
        <w:t>No approval, consent, exemption, authorization, or other action by,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subject to Permitted Liens) or (d) the exercise by the Administrative Agent or any Lender of its rights under the Loan Documents or the remedies in respect of the Collateral pursuant to the Collateral Documents, in each case, other than (i) such as have been obtained or made and are in full force and effect and (ii) for approvals, consents, exemptions, authorizations, other actions, notices or filings, the failure of which to obtain or make could not, individually or in the aggregate, reasonably be expected to have a Material Adverse Effect.</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5.04 Binding Effect. </w:t>
      </w:r>
      <w:r>
        <w:rPr>
          <w:rFonts w:ascii="Times New Roman" w:cs="Times New Roman" w:eastAsia="Times New Roman" w:hAnsi="Times New Roman"/>
          <w:sz w:val="20"/>
          <w:szCs w:val="20"/>
          <w:color w:val="auto"/>
        </w:rPr>
        <w:t>This Agreement has been, and each other Loan Document, when delivered hereunder, will have been,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5.05 Financial Statements; No Material Adverse Effect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4" w:lineRule="auto"/>
        <w:tabs>
          <w:tab w:leader="none" w:pos="152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Financial Statements (i) were prepared in accordance with GAAP consistently applied throughout the period covered thereby, except as otherwise expressly noted therein; (ii) fairly present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 that would be required to be disclosed in accordance with GAAP.</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unaudited consolidated balance sheet of the Company and its Subsidiaries dated September 30, 2025,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cash flows and changes in shareholders’ equity for the period covered thereby, subject, in the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to the absence of footnotes and to normal year-end audit adjustments.</w:t>
      </w:r>
    </w:p>
    <w:p>
      <w:pPr>
        <w:spacing w:after="0" w:line="184"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2024, there has been no event or circumstance, either individually or in the aggregate, that has had or could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jc w:val="both"/>
        <w:ind w:left="380" w:right="20" w:firstLine="751"/>
        <w:spacing w:after="0" w:line="249" w:lineRule="auto"/>
        <w:tabs>
          <w:tab w:leader="none" w:pos="152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consolidated forecasted balance sheet and statements of income and cash flows of the Company and its Restricted Subsidiaries delivered pursuant to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were prepared in good faith on the basis of the assumptions stated therein, which assumptions were believed to be reasonable at the time of delivery of such forecasts (it being understood that such forecasts are subject to uncertainties and contingencies, some of which are beyond the control of the Company, that no</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48" w:name="page149"/>
    <w:bookmarkEnd w:id="148"/>
    <w:p>
      <w:pPr>
        <w:ind w:left="380"/>
        <w:spacing w:after="0" w:line="269" w:lineRule="auto"/>
        <w:rPr>
          <w:sz w:val="20"/>
          <w:szCs w:val="20"/>
          <w:color w:val="auto"/>
        </w:rPr>
      </w:pPr>
      <w:r>
        <w:rPr>
          <w:rFonts w:ascii="Times New Roman" w:cs="Times New Roman" w:eastAsia="Times New Roman" w:hAnsi="Times New Roman"/>
          <w:sz w:val="20"/>
          <w:szCs w:val="20"/>
          <w:color w:val="auto"/>
        </w:rPr>
        <w:t>assurance can be given that any particular forecast will be realized, that actual results may differ and that such differences may be material).</w:t>
      </w:r>
    </w:p>
    <w:p>
      <w:pPr>
        <w:spacing w:after="0" w:line="15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5.06 Litigation. </w:t>
      </w:r>
      <w:r>
        <w:rPr>
          <w:rFonts w:ascii="Times New Roman" w:cs="Times New Roman" w:eastAsia="Times New Roman" w:hAnsi="Times New Roman"/>
          <w:sz w:val="20"/>
          <w:szCs w:val="20"/>
          <w:color w:val="auto"/>
        </w:rPr>
        <w:t>There are no actions, suits, proceedings, claims or disputes pending or, to the actual knowledge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reasonable inquiry, threatened or contemplated, at law, in equity, in arbitration or before any Governmental Authority, by or against the Company or any of its Restricted Subsidiaries or against any of their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5.07 No Default. </w:t>
      </w:r>
      <w:r>
        <w:rPr>
          <w:rFonts w:ascii="Times New Roman" w:cs="Times New Roman" w:eastAsia="Times New Roman" w:hAnsi="Times New Roman"/>
          <w:sz w:val="20"/>
          <w:szCs w:val="20"/>
          <w:color w:val="auto"/>
        </w:rPr>
        <w:t>Neither any Loan Party nor any Restricted Subsidiary thereof is in default under or with respect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5.08 Ownership of Property; Liens. </w:t>
      </w:r>
      <w:r>
        <w:rPr>
          <w:rFonts w:ascii="Times New Roman" w:cs="Times New Roman" w:eastAsia="Times New Roman" w:hAnsi="Times New Roman"/>
          <w:sz w:val="20"/>
          <w:szCs w:val="20"/>
          <w:color w:val="auto"/>
        </w:rPr>
        <w:t>Each of the Company and each Restricted Subsidiary has good record and marketable title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fee simple to, or valid leasehold interests in, all real property necessary or material to the conduct of its business, except as could not, individually or in the aggregate, reasonably be expected to have a Material Adverse Effect. The property of the Company and its Restricted Subsidiaries is subject to no Liens, other than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5.09 Environmental Compliance. </w:t>
      </w:r>
      <w:r>
        <w:rPr>
          <w:rFonts w:ascii="Times New Roman" w:cs="Times New Roman" w:eastAsia="Times New Roman" w:hAnsi="Times New Roman"/>
          <w:sz w:val="20"/>
          <w:szCs w:val="20"/>
          <w:color w:val="auto"/>
        </w:rPr>
        <w:t>The Company and its Restricted Subsidiaries conduct in the ordinary course of business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 of the effect 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could not, individually or in the aggregate, reasonably be expected to have a Material Adverse Effect.</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5.10 Insurance. </w:t>
      </w:r>
      <w:r>
        <w:rPr>
          <w:rFonts w:ascii="Times New Roman" w:cs="Times New Roman" w:eastAsia="Times New Roman" w:hAnsi="Times New Roman"/>
          <w:sz w:val="20"/>
          <w:szCs w:val="20"/>
          <w:color w:val="auto"/>
        </w:rPr>
        <w:t>The properties of the Company and its Restricted Subsidiaries are insured with financially sound and reputable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companies not Affiliates of any Borrower, in such amounts, with such deductibles and covering such risks as are customarily carried by companies engaged in similar businesses and owning similar properties in localities where the Company or the applicable Restricted Subsidiary operates.</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5.11 Taxes. </w:t>
      </w:r>
      <w:r>
        <w:rPr>
          <w:rFonts w:ascii="Times New Roman" w:cs="Times New Roman" w:eastAsia="Times New Roman" w:hAnsi="Times New Roman"/>
          <w:sz w:val="20"/>
          <w:szCs w:val="20"/>
          <w:color w:val="auto"/>
        </w:rPr>
        <w:t>The Company and its Restricted Subsidiaries have filed all Federal, state and other material tax returns and reports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written proposed tax assessment against the Company or any Subsidiary that would, if made, have a Material Adverse Effect. Neither any Loan Party nor any Subsidiary thereof is party to any tax sharing agreement by or among any one or more other Loan Parties or Subsidiaries that has not been disclosed to the Administrative Agent and the Lenders, excluding, for the avoidance of doubt, commercial agreements with third parties entered into in the ordinary course of business one of the principal purposes of which is not tax.</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5.12 ERISA Compliance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9" w:name="page150"/>
    <w:bookmarkEnd w:id="149"/>
    <w:p>
      <w:pPr>
        <w:jc w:val="both"/>
        <w:ind w:left="-20" w:firstLine="751"/>
        <w:spacing w:after="0" w:line="244" w:lineRule="auto"/>
        <w:tabs>
          <w:tab w:leader="none" w:pos="112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or is permitted to rely on an opinion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determination letter is currently being processed by the Internal Revenue Service. To the best knowledge of the Company, nothing has occurred that would prevent or cause the loss of such tax-qualified status.</w:t>
      </w:r>
    </w:p>
    <w:p>
      <w:pPr>
        <w:spacing w:after="0" w:line="185" w:lineRule="exact"/>
        <w:rPr>
          <w:rFonts w:ascii="Times New Roman" w:cs="Times New Roman" w:eastAsia="Times New Roman" w:hAnsi="Times New Roman"/>
          <w:sz w:val="20"/>
          <w:szCs w:val="20"/>
          <w:color w:val="auto"/>
        </w:rPr>
      </w:pPr>
    </w:p>
    <w:p>
      <w:pPr>
        <w:jc w:val="both"/>
        <w:ind w:left="-20" w:right="20" w:firstLine="751"/>
        <w:spacing w:after="0" w:line="249" w:lineRule="auto"/>
        <w:tabs>
          <w:tab w:leader="none" w:pos="112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9" w:lineRule="exact"/>
        <w:rPr>
          <w:rFonts w:ascii="Times New Roman" w:cs="Times New Roman" w:eastAsia="Times New Roman" w:hAnsi="Times New Roman"/>
          <w:sz w:val="20"/>
          <w:szCs w:val="20"/>
          <w:color w:val="auto"/>
        </w:rPr>
      </w:pPr>
    </w:p>
    <w:p>
      <w:pPr>
        <w:jc w:val="both"/>
        <w:ind w:left="-20" w:firstLine="751"/>
        <w:spacing w:after="0" w:line="241" w:lineRule="auto"/>
        <w:tabs>
          <w:tab w:leader="none" w:pos="112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ERISA Event has occurred, and neither the Company nor any ERISA Affiliate is aware of any fact, event or circumstance that could reasonably be expected to constitute or result in an ERISA Event with respect to any Pension Plan, which has resulted or could reasonably be expected to result in liability of the Company or any of its Restricted Subsidiaries under Title IV of ERISA to the Pension Plan, Multiemployer Plan or the PBGC in an aggregate amount in excess of the Threshold Amount; (ii) the Company and each ERISA Affiliate has met all applicable requirements under the Pension Funding Rules in respect of each Pension Plan, except as could not, either individually or in the aggregate, reasonably be expected to result in a Material Adverse Effect,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which has resulted or could reasonably be expected to result in liability of the Company or any of its Restricted Subsidiaries under Title IV of ERISA to the Pension Plan or the PBGC in an aggregate amount in excess of the Threshold Amount and no Pension Plan has been terminated by the PBGC, and no event or circumstance has occurred or exists that could reasonably be expected to cause the PBGC to institute proceedings under Title IV of ERISA to terminate any Pension Plan.</w:t>
      </w:r>
    </w:p>
    <w:p>
      <w:pPr>
        <w:spacing w:after="0" w:line="191"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2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Company nor any ERISA Affiliate maintains or contributes to, or has any unsatisfied obligation to contribute to, or liability under, any active or terminated Pension Plan other than (i) on the Closing Date, those listed on </w:t>
      </w:r>
      <w:r>
        <w:rPr>
          <w:rFonts w:ascii="Times New Roman" w:cs="Times New Roman" w:eastAsia="Times New Roman" w:hAnsi="Times New Roman"/>
          <w:sz w:val="20"/>
          <w:szCs w:val="20"/>
          <w:u w:val="single" w:color="auto"/>
          <w:color w:val="auto"/>
        </w:rPr>
        <w:t>Schedule 5.12(d)</w:t>
      </w:r>
      <w:r>
        <w:rPr>
          <w:rFonts w:ascii="Times New Roman" w:cs="Times New Roman" w:eastAsia="Times New Roman" w:hAnsi="Times New Roman"/>
          <w:sz w:val="20"/>
          <w:szCs w:val="20"/>
          <w:color w:val="auto"/>
        </w:rPr>
        <w:t xml:space="preserve"> and (ii) thereafter, Pension Plans not otherwise prohibited by this Agreement.</w:t>
      </w:r>
    </w:p>
    <w:p>
      <w:pPr>
        <w:spacing w:after="0" w:line="174"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2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each scheme or arrangement mandated by a government other than the United States (a “ </w:t>
      </w:r>
      <w:r>
        <w:rPr>
          <w:rFonts w:ascii="Times New Roman" w:cs="Times New Roman" w:eastAsia="Times New Roman" w:hAnsi="Times New Roman"/>
          <w:sz w:val="20"/>
          <w:szCs w:val="20"/>
          <w:u w:val="single" w:color="auto"/>
          <w:color w:val="auto"/>
        </w:rPr>
        <w:t>Foreign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Government Scheme or Arrangement</w:t>
      </w:r>
      <w:r>
        <w:rPr>
          <w:rFonts w:ascii="Times New Roman" w:cs="Times New Roman" w:eastAsia="Times New Roman" w:hAnsi="Times New Roman"/>
          <w:sz w:val="20"/>
          <w:szCs w:val="20"/>
          <w:color w:val="auto"/>
        </w:rPr>
        <w:t>”) and with respect to each employee benefit plan maintained or contributed to by the Company or any Restricted Subsidiary that is not subject to United States law (a “</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50" w:name="page151"/>
    <w:bookmarkEnd w:id="150"/>
    <w:p>
      <w:pPr>
        <w:jc w:val="both"/>
        <w:ind w:left="1140" w:firstLine="740"/>
        <w:spacing w:after="0" w:line="254" w:lineRule="auto"/>
        <w:tabs>
          <w:tab w:leader="none" w:pos="228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45" w:lineRule="auto"/>
        <w:tabs>
          <w:tab w:leader="none" w:pos="228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either individually or in the aggregate, reasonably be expected to result in a Material Adverse Effect,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184" w:lineRule="exact"/>
        <w:rPr>
          <w:rFonts w:ascii="Times New Roman" w:cs="Times New Roman" w:eastAsia="Times New Roman" w:hAnsi="Times New Roman"/>
          <w:sz w:val="20"/>
          <w:szCs w:val="20"/>
          <w:color w:val="auto"/>
        </w:rPr>
      </w:pPr>
    </w:p>
    <w:p>
      <w:pPr>
        <w:ind w:left="1140" w:right="20" w:firstLine="740"/>
        <w:spacing w:after="0" w:line="269" w:lineRule="auto"/>
        <w:tabs>
          <w:tab w:leader="none" w:pos="228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Plan required to be registered has been registered and has been maintained in good standing with applicable regulatory authorities.</w:t>
      </w:r>
    </w:p>
    <w:p>
      <w:pPr>
        <w:spacing w:after="0" w:line="15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5.13 Subsidiaries; Equity Investments; Loan Parties. </w:t>
      </w:r>
      <w:r>
        <w:rPr>
          <w:rFonts w:ascii="Times New Roman" w:cs="Times New Roman" w:eastAsia="Times New Roman" w:hAnsi="Times New Roman"/>
          <w:sz w:val="20"/>
          <w:szCs w:val="20"/>
          <w:color w:val="auto"/>
        </w:rPr>
        <w:t>As of the Closing Date, the Company has no Subsidiaries other than those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specifically disclosed in </w:t>
      </w:r>
      <w:r>
        <w:rPr>
          <w:rFonts w:ascii="Times New Roman" w:cs="Times New Roman" w:eastAsia="Times New Roman" w:hAnsi="Times New Roman"/>
          <w:sz w:val="20"/>
          <w:szCs w:val="20"/>
          <w:u w:val="single" w:color="auto"/>
          <w:color w:val="auto"/>
        </w:rPr>
        <w:t>Part (a)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and all of the outstanding Equity Interests of each Restricted Subsidiary have been validly issued, are fully paid and nonassessable (to the extent such concept is applicable) and are owned by a Loan Party in the amounts specified on </w:t>
      </w:r>
      <w:r>
        <w:rPr>
          <w:rFonts w:ascii="Times New Roman" w:cs="Times New Roman" w:eastAsia="Times New Roman" w:hAnsi="Times New Roman"/>
          <w:sz w:val="20"/>
          <w:szCs w:val="20"/>
          <w:u w:val="single" w:color="auto"/>
          <w:color w:val="auto"/>
        </w:rPr>
        <w:t>Part (a)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free and clear of all Liens except those created under the Collateral Documents. As of the Closing Date, the Company has no equity investments in any other corporation or entity other than those specifically disclosed in </w:t>
      </w:r>
      <w:r>
        <w:rPr>
          <w:rFonts w:ascii="Times New Roman" w:cs="Times New Roman" w:eastAsia="Times New Roman" w:hAnsi="Times New Roman"/>
          <w:sz w:val="20"/>
          <w:szCs w:val="20"/>
          <w:u w:val="single" w:color="auto"/>
          <w:color w:val="auto"/>
        </w:rPr>
        <w:t>Part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All of the outstanding Equity Interests in the Company have been validly issued and are fully paid and nonassessable. Part (c) of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sets forth the name, jurisdiction of organization and U.S. taxpayer identification number of each Loan Party (or, in the case of any Foreign Obligor, the unique identification number of such Person that has been issued by its jurisdiction of organization) as of the Closing Date.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5.14 Margin Regulations; Investment Company Act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right="20" w:firstLine="751"/>
        <w:spacing w:after="0" w:line="295" w:lineRule="auto"/>
        <w:tabs>
          <w:tab w:leader="none" w:pos="1525"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Borrower is engaged or will engage, principally or as one of its important activities, in the business of purchasing or carrying margin stock (within the meaning of Regulation U), or extending credit for the purpose of purchasing or carrying margin stock.</w:t>
      </w:r>
    </w:p>
    <w:p>
      <w:pPr>
        <w:spacing w:after="0" w:line="137" w:lineRule="exact"/>
        <w:rPr>
          <w:rFonts w:ascii="Times New Roman" w:cs="Times New Roman" w:eastAsia="Times New Roman" w:hAnsi="Times New Roman"/>
          <w:sz w:val="19"/>
          <w:szCs w:val="19"/>
          <w:color w:val="auto"/>
        </w:rPr>
      </w:pPr>
    </w:p>
    <w:p>
      <w:pPr>
        <w:ind w:left="380" w:firstLine="751"/>
        <w:spacing w:after="0" w:line="269" w:lineRule="auto"/>
        <w:tabs>
          <w:tab w:leader="none" w:pos="152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any Person Controlling the Company, or any Restricted Subsidiary is or is required to be registered as an “investment company” under the Investment Company Act of 1940.</w:t>
      </w:r>
    </w:p>
    <w:p>
      <w:pPr>
        <w:spacing w:after="0" w:line="15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5.15 Disclosure. </w:t>
      </w:r>
      <w:r>
        <w:rPr>
          <w:rFonts w:ascii="Times New Roman" w:cs="Times New Roman" w:eastAsia="Times New Roman" w:hAnsi="Times New Roman"/>
          <w:sz w:val="19"/>
          <w:szCs w:val="19"/>
          <w:color w:val="auto"/>
        </w:rPr>
        <w:t>No report, financial statement, certificate or other written information furnished by or on behalf of any Loan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to the Administrative Agent or any Lender in connection 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material fact necessary to make the statements therein, in the light of the circumstances under which they were made, not misleading in any material respect;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 information, the Company represents only that such information was prepared in good faith based upon assumptions believed, when taken as a whole, to be reasonable at the time delivered (it being understood that any projected financial information is subject to uncertainties and contingencies, some of which are beyond the control of the Company, that no assurance can be given that any particular projected financial information will be realized, that actual results may differ and that such differences may be material).</w:t>
      </w:r>
    </w:p>
    <w:p>
      <w:pPr>
        <w:spacing w:after="0" w:line="200" w:lineRule="exact"/>
        <w:rPr>
          <w:sz w:val="20"/>
          <w:szCs w:val="20"/>
          <w:color w:val="auto"/>
        </w:rPr>
      </w:pPr>
    </w:p>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1" w:name="page152"/>
    <w:bookmarkEnd w:id="151"/>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5.16 Compliance with Laws. </w:t>
      </w:r>
      <w:r>
        <w:rPr>
          <w:rFonts w:ascii="Times New Roman" w:cs="Times New Roman" w:eastAsia="Times New Roman" w:hAnsi="Times New Roman"/>
          <w:sz w:val="20"/>
          <w:szCs w:val="20"/>
          <w:color w:val="auto"/>
        </w:rPr>
        <w:t>Each Loan Party and each Restricted Subsidiary thereof is in compliance in all material respects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5.17 Intellectual Property; Licenses, Etc. </w:t>
      </w:r>
      <w:r>
        <w:rPr>
          <w:rFonts w:ascii="Times New Roman" w:cs="Times New Roman" w:eastAsia="Times New Roman" w:hAnsi="Times New Roman"/>
          <w:sz w:val="20"/>
          <w:szCs w:val="20"/>
          <w:color w:val="auto"/>
        </w:rPr>
        <w:t>The Company and its Restricted Subsidiaries own, or possess the right to use, all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trademarks, service marks, trade names, copyrights, patents, patent rights, franchises, licenses and other intellectual property rights (collectively,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that are reasonably necessary for the operation of their respective businesses, without infringing upon the rights of any other Person. To the best knowledge of the Company, no slogan or other advertising device, product, process, method, substance, part or other material now employed, or now contemplated to be employed, by the Company or any Restricted Subsidiary infringes upon any rights held by any other Person. No claim or litigation regarding any of the foregoing is pending or, to the best knowledge of the Company, threatened, which, either individually or in the aggregate, could reasonably be expected to have a Material Adverse Effect.</w:t>
      </w:r>
    </w:p>
    <w:p>
      <w:pPr>
        <w:spacing w:after="0" w:line="17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5.18 OFAC. </w:t>
      </w:r>
      <w:r>
        <w:rPr>
          <w:rFonts w:ascii="Times New Roman" w:cs="Times New Roman" w:eastAsia="Times New Roman" w:hAnsi="Times New Roman"/>
          <w:sz w:val="19"/>
          <w:szCs w:val="19"/>
          <w:color w:val="auto"/>
        </w:rPr>
        <w:t>Neither the Company, nor any of its Subsidiaries, nor, to the knowledge of the Company and its Subsidiaries,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director, officer, employee, agent, affiliate or representative thereof, is an individual or entity that is, or is owned or controlled by one or more individuals or entities that are (a) currently the subject or target of any Sanctions, (b) included on OFAC’s List of Specially Designated Nationals or HMT’s Consolidated List of Financial Sanctions Targets and the Investment Ban List, or any similar list enforced by any other relevant sanctions authority or (c) located, organized or resident in a Designated Jurisdiction. The Company and its Subsidiaries have conducted their businesses in compliance in all material respects with all applicable Sanctions and have, in their reasonable business judgment, instituted and maintained policies and procedures designed to promote and achieve compliance with such Sanctions.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5.19 Solvency. </w:t>
      </w:r>
      <w:r>
        <w:rPr>
          <w:rFonts w:ascii="Times New Roman" w:cs="Times New Roman" w:eastAsia="Times New Roman" w:hAnsi="Times New Roman"/>
          <w:sz w:val="20"/>
          <w:szCs w:val="20"/>
          <w:color w:val="auto"/>
        </w:rPr>
        <w:t>The Loan Parties, on a consolidated basis, are Solvent.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5.20 [Reserved.]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5.21 Labor Matters. </w:t>
      </w:r>
      <w:r>
        <w:rPr>
          <w:rFonts w:ascii="Times New Roman" w:cs="Times New Roman" w:eastAsia="Times New Roman" w:hAnsi="Times New Roman"/>
          <w:sz w:val="20"/>
          <w:szCs w:val="20"/>
          <w:color w:val="auto"/>
        </w:rPr>
        <w:t>Except for those listed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5.21</w:t>
      </w:r>
      <w:r>
        <w:rPr>
          <w:rFonts w:ascii="Times New Roman" w:cs="Times New Roman" w:eastAsia="Times New Roman" w:hAnsi="Times New Roman"/>
          <w:sz w:val="20"/>
          <w:szCs w:val="20"/>
          <w:color w:val="auto"/>
        </w:rPr>
        <w:t>, there are no collective bargaining agreements or Multiemployer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Plans covering the employees of the Company or any of its Restricted Subsidiaries as of the Closing Date. Neither the Company nor any Restricted Subsidiary has suffered any strikes, walkouts, work stoppages or other material labor difficulty within the last five years.</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5.22 Collateral Documents. </w:t>
      </w:r>
      <w:r>
        <w:rPr>
          <w:rFonts w:ascii="Times New Roman" w:cs="Times New Roman" w:eastAsia="Times New Roman" w:hAnsi="Times New Roman"/>
          <w:sz w:val="20"/>
          <w:szCs w:val="20"/>
          <w:color w:val="auto"/>
        </w:rPr>
        <w:t>The provisions of the Collateral Documents are effective to create in favor of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for the benefit of the Secured Parties a legal, valid and enforceable first priority Lien (subject to Permitted Liens) on all right, title and interest of the respective Loan Parties in the Collateral described therein. Except for filings completed on or prior to the Closing Date and as contemplated hereby and by the Collateral Documents, no filing or other action will be necessary to perfect or protect such Liens.</w:t>
      </w:r>
    </w:p>
    <w:p>
      <w:pPr>
        <w:spacing w:after="0" w:line="176" w:lineRule="exact"/>
        <w:rPr>
          <w:sz w:val="20"/>
          <w:szCs w:val="20"/>
          <w:color w:val="auto"/>
        </w:rPr>
      </w:pPr>
    </w:p>
    <w:p>
      <w:pPr>
        <w:ind w:left="760"/>
        <w:spacing w:after="0"/>
        <w:tabs>
          <w:tab w:leader="none" w:pos="4740" w:val="left"/>
        </w:tabs>
        <w:rPr>
          <w:sz w:val="20"/>
          <w:szCs w:val="20"/>
          <w:color w:val="auto"/>
        </w:rPr>
      </w:pPr>
      <w:r>
        <w:rPr>
          <w:rFonts w:ascii="Times New Roman" w:cs="Times New Roman" w:eastAsia="Times New Roman" w:hAnsi="Times New Roman"/>
          <w:sz w:val="20"/>
          <w:szCs w:val="20"/>
          <w:b w:val="1"/>
          <w:bCs w:val="1"/>
          <w:color w:val="auto"/>
        </w:rPr>
        <w:t>5.23 Representations as to Foreign Obligors.</w:t>
      </w:r>
      <w:r>
        <w:rPr>
          <w:sz w:val="20"/>
          <w:szCs w:val="20"/>
          <w:color w:val="auto"/>
        </w:rPr>
        <w:tab/>
      </w:r>
      <w:r>
        <w:rPr>
          <w:rFonts w:ascii="Times New Roman" w:cs="Times New Roman" w:eastAsia="Times New Roman" w:hAnsi="Times New Roman"/>
          <w:sz w:val="20"/>
          <w:szCs w:val="20"/>
          <w:color w:val="auto"/>
        </w:rPr>
        <w:t>Each of the Company and each Foreign Obligor represents and warrants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the Lenders that:</w:t>
      </w:r>
    </w:p>
    <w:p>
      <w:pPr>
        <w:spacing w:after="0" w:line="194" w:lineRule="exact"/>
        <w:rPr>
          <w:sz w:val="20"/>
          <w:szCs w:val="20"/>
          <w:color w:val="auto"/>
        </w:rPr>
      </w:pPr>
    </w:p>
    <w:p>
      <w:pPr>
        <w:jc w:val="both"/>
        <w:ind w:left="380" w:right="20" w:firstLine="751"/>
        <w:spacing w:after="0" w:line="254" w:lineRule="auto"/>
        <w:tabs>
          <w:tab w:leader="none" w:pos="152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20"/>
          <w:szCs w:val="20"/>
          <w:u w:val="single" w:color="auto"/>
          <w:color w:val="auto"/>
        </w:rPr>
        <w:t>Applicable Foreign Obligor Documents</w:t>
      </w:r>
      <w:r>
        <w:rPr>
          <w:rFonts w:ascii="Times New Roman" w:cs="Times New Roman" w:eastAsia="Times New Roman" w:hAnsi="Times New Roman"/>
          <w:sz w:val="20"/>
          <w:szCs w:val="20"/>
          <w:color w:val="auto"/>
        </w:rPr>
        <w:t>”), and the execution, delivery</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52" w:name="page153"/>
    <w:bookmarkEnd w:id="152"/>
    <w:p>
      <w:pPr>
        <w:jc w:val="both"/>
        <w:spacing w:after="0" w:line="246" w:lineRule="auto"/>
        <w:rPr>
          <w:sz w:val="20"/>
          <w:szCs w:val="20"/>
          <w:color w:val="auto"/>
        </w:rPr>
      </w:pPr>
      <w:r>
        <w:rPr>
          <w:rFonts w:ascii="Times New Roman" w:cs="Times New Roman" w:eastAsia="Times New Roman" w:hAnsi="Times New Roman"/>
          <w:sz w:val="20"/>
          <w:szCs w:val="20"/>
          <w:color w:val="auto"/>
        </w:rPr>
        <w:t>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5" w:lineRule="exact"/>
        <w:rPr>
          <w:sz w:val="20"/>
          <w:szCs w:val="20"/>
          <w:color w:val="auto"/>
        </w:rPr>
      </w:pPr>
    </w:p>
    <w:p>
      <w:pPr>
        <w:jc w:val="both"/>
        <w:ind w:firstLine="751"/>
        <w:spacing w:after="0" w:line="257" w:lineRule="auto"/>
        <w:tabs>
          <w:tab w:leader="none" w:pos="1145"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75" w:lineRule="exact"/>
        <w:rPr>
          <w:rFonts w:ascii="Times New Roman" w:cs="Times New Roman" w:eastAsia="Times New Roman" w:hAnsi="Times New Roman"/>
          <w:sz w:val="19"/>
          <w:szCs w:val="19"/>
          <w:color w:val="auto"/>
        </w:rPr>
      </w:pPr>
    </w:p>
    <w:p>
      <w:pPr>
        <w:jc w:val="both"/>
        <w:ind w:firstLine="751"/>
        <w:spacing w:after="0" w:line="249" w:lineRule="auto"/>
        <w:tabs>
          <w:tab w:leader="none" w:pos="114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79" w:lineRule="exact"/>
        <w:rPr>
          <w:rFonts w:ascii="Times New Roman" w:cs="Times New Roman" w:eastAsia="Times New Roman" w:hAnsi="Times New Roman"/>
          <w:sz w:val="20"/>
          <w:szCs w:val="20"/>
          <w:color w:val="auto"/>
        </w:rPr>
      </w:pPr>
    </w:p>
    <w:p>
      <w:pPr>
        <w:jc w:val="both"/>
        <w:ind w:firstLine="751"/>
        <w:spacing w:after="0" w:line="246" w:lineRule="auto"/>
        <w:tabs>
          <w:tab w:leader="none" w:pos="114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notification or authorization described in clause (ii) shall be made or obtained as soon as is reasonably practicable).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5.24 Anti-Corruption Laws; Sanctions; Use of Proceeds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1"/>
        <w:spacing w:after="0" w:line="249" w:lineRule="auto"/>
        <w:tabs>
          <w:tab w:leader="none" w:pos="1145"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conducted their businesses in compliance with the United States Foreign Corrupt Practices Act of 1977, the UK Bribery Act 2010, and other similar anti-corruption legislation in other jurisdictions to which the Company and its Subsidiaries are subject, and have instituted and maintained policies and procedures designed to promote and achieve compliance with such laws.</w:t>
      </w:r>
    </w:p>
    <w:p>
      <w:pPr>
        <w:spacing w:after="0" w:line="179" w:lineRule="exact"/>
        <w:rPr>
          <w:rFonts w:ascii="Times New Roman" w:cs="Times New Roman" w:eastAsia="Times New Roman" w:hAnsi="Times New Roman"/>
          <w:sz w:val="20"/>
          <w:szCs w:val="20"/>
          <w:color w:val="auto"/>
        </w:rPr>
      </w:pPr>
    </w:p>
    <w:p>
      <w:pPr>
        <w:jc w:val="both"/>
        <w:ind w:firstLine="751"/>
        <w:spacing w:after="0" w:line="245" w:lineRule="auto"/>
        <w:tabs>
          <w:tab w:leader="none" w:pos="1145"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Subsidiary, directly or indirectly, to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Arrangers, the Administrative Agent, the L/C Issuers, the Swing Line Lender, or otherwise) of Sanctions.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53" w:name="page154"/>
    <w:bookmarkEnd w:id="153"/>
    <w:p>
      <w:pPr>
        <w:jc w:val="both"/>
        <w:ind w:left="380" w:firstLine="751"/>
        <w:spacing w:after="0" w:line="254" w:lineRule="auto"/>
        <w:tabs>
          <w:tab w:leader="none" w:pos="152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Subsidiary, to directly or indirectly use the proceeds of any Credit Extension for any purpose which would breach the United States Foreign Corrupt Practices Act of 1977, the UK Bribery Act 2010, and other similar anti-corruption legislation in other jurisdictions to which the Company and its Subsidiaries are subject.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5.25 Affected Financial Institution. </w:t>
      </w:r>
      <w:r>
        <w:rPr>
          <w:rFonts w:ascii="Times New Roman" w:cs="Times New Roman" w:eastAsia="Times New Roman" w:hAnsi="Times New Roman"/>
          <w:sz w:val="20"/>
          <w:szCs w:val="20"/>
          <w:color w:val="auto"/>
        </w:rPr>
        <w:t>No Loan Party is an Affected Financial Institution.</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5.26 Borrower ERISA Status. </w:t>
      </w:r>
      <w:r>
        <w:rPr>
          <w:rFonts w:ascii="Times New Roman" w:cs="Times New Roman" w:eastAsia="Times New Roman" w:hAnsi="Times New Roman"/>
          <w:sz w:val="20"/>
          <w:szCs w:val="20"/>
          <w:color w:val="auto"/>
        </w:rPr>
        <w:t>Each Borrower represents and warrants as of the Closing Date that such Borrower is not and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be (a) an employee benefit plan subject to Title I of ERISA, (b) a plan or account subject to Section 4975 of the Code; (c) an entity deemed to hold “plan assets” (within the meaning of Section 3(42) of ERISA or otherwise) of any such plans or accounts for purposes of ERISA or the Code; or (d) a “governmental plan” within the meaning of ERISA.</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5.27 Beneficial Ownership Certification. </w:t>
      </w:r>
      <w:r>
        <w:rPr>
          <w:rFonts w:ascii="Times New Roman" w:cs="Times New Roman" w:eastAsia="Times New Roman" w:hAnsi="Times New Roman"/>
          <w:sz w:val="20"/>
          <w:szCs w:val="20"/>
          <w:color w:val="auto"/>
        </w:rPr>
        <w:t>As of the Closing Date, the information included in any Beneficial Ownership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Certification, if applicable, is true and correct in all respects.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5.28 Covered Entity. </w:t>
      </w:r>
      <w:r>
        <w:rPr>
          <w:rFonts w:ascii="Times New Roman" w:cs="Times New Roman" w:eastAsia="Times New Roman" w:hAnsi="Times New Roman"/>
          <w:sz w:val="20"/>
          <w:szCs w:val="20"/>
          <w:color w:val="auto"/>
        </w:rPr>
        <w:t>No Loan Party is a Covered Entity.</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5.29 Residency for Dutch Tax Purposes. </w:t>
      </w:r>
      <w:r>
        <w:rPr>
          <w:rFonts w:ascii="Times New Roman" w:cs="Times New Roman" w:eastAsia="Times New Roman" w:hAnsi="Times New Roman"/>
          <w:sz w:val="20"/>
          <w:szCs w:val="20"/>
          <w:color w:val="auto"/>
        </w:rPr>
        <w:t>The Netherlands Designated Borrower or any other Loan Party incorporated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Netherlands is resident for Tax purposes in the Netherlands only, and does not have a permanent establishment or other taxable presence outside the Netherlands.</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5.30 Fiscal Unity for Dutch Tax Purposes. </w:t>
      </w:r>
      <w:r>
        <w:rPr>
          <w:rFonts w:ascii="Times New Roman" w:cs="Times New Roman" w:eastAsia="Times New Roman" w:hAnsi="Times New Roman"/>
          <w:sz w:val="20"/>
          <w:szCs w:val="20"/>
          <w:color w:val="auto"/>
        </w:rPr>
        <w:t>Any fiscal unity (</w:t>
      </w:r>
      <w:r>
        <w:rPr>
          <w:rFonts w:ascii="Times New Roman" w:cs="Times New Roman" w:eastAsia="Times New Roman" w:hAnsi="Times New Roman"/>
          <w:sz w:val="20"/>
          <w:szCs w:val="20"/>
          <w:i w:val="1"/>
          <w:iCs w:val="1"/>
          <w:color w:val="auto"/>
        </w:rPr>
        <w:t>fiscale eenheid</w:t>
      </w:r>
      <w:r>
        <w:rPr>
          <w:rFonts w:ascii="Times New Roman" w:cs="Times New Roman" w:eastAsia="Times New Roman" w:hAnsi="Times New Roman"/>
          <w:sz w:val="20"/>
          <w:szCs w:val="20"/>
          <w:color w:val="auto"/>
        </w:rPr>
        <w:t>) for Dutch tax purposes in which a Loan Party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included, consists of Loan Parties only.</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5.31 Centre of Main Interests. </w:t>
      </w:r>
      <w:r>
        <w:rPr>
          <w:rFonts w:ascii="Times New Roman" w:cs="Times New Roman" w:eastAsia="Times New Roman" w:hAnsi="Times New Roman"/>
          <w:sz w:val="20"/>
          <w:szCs w:val="20"/>
          <w:color w:val="auto"/>
        </w:rPr>
        <w:t>For the purposes of the Insolvency Regulation, the centre of main interests of any Person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incorporated in the Netherlands, is situated in its jurisdiction of incorporation and it has no “establishment” (as that term is used in Article 2(10) of the Insolvency Regulation) in any other jurisdiction.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So long as the Termination Date has not occurred, the Company shall, and shall (except in the case of the covenants set forth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cause each Restricted Subsidiary to:</w:t>
      </w:r>
    </w:p>
    <w:p>
      <w:pPr>
        <w:spacing w:after="0" w:line="190" w:lineRule="exact"/>
        <w:rPr>
          <w:sz w:val="20"/>
          <w:szCs w:val="20"/>
          <w:color w:val="auto"/>
        </w:rPr>
      </w:pPr>
    </w:p>
    <w:p>
      <w:pPr>
        <w:ind w:left="760"/>
        <w:spacing w:after="0"/>
        <w:tabs>
          <w:tab w:leader="none" w:pos="3200" w:val="left"/>
        </w:tabs>
        <w:rPr>
          <w:sz w:val="20"/>
          <w:szCs w:val="20"/>
          <w:color w:val="auto"/>
        </w:rPr>
      </w:pPr>
      <w:r>
        <w:rPr>
          <w:rFonts w:ascii="Times New Roman" w:cs="Times New Roman" w:eastAsia="Times New Roman" w:hAnsi="Times New Roman"/>
          <w:sz w:val="20"/>
          <w:szCs w:val="20"/>
          <w:b w:val="1"/>
          <w:bCs w:val="1"/>
          <w:color w:val="auto"/>
        </w:rPr>
        <w:t>6.01 Financial Statements.</w:t>
      </w:r>
      <w:r>
        <w:rPr>
          <w:sz w:val="20"/>
          <w:szCs w:val="20"/>
          <w:color w:val="auto"/>
        </w:rPr>
        <w:tab/>
      </w:r>
      <w:r>
        <w:rPr>
          <w:rFonts w:ascii="Times New Roman" w:cs="Times New Roman" w:eastAsia="Times New Roman" w:hAnsi="Times New Roman"/>
          <w:sz w:val="20"/>
          <w:szCs w:val="20"/>
          <w:color w:val="auto"/>
        </w:rPr>
        <w:t>Deliver to the Administrative Agent, in form and detail reasonably satisfactory to the Required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Lenders:</w:t>
      </w:r>
    </w:p>
    <w:p>
      <w:pPr>
        <w:spacing w:after="0" w:line="194" w:lineRule="exact"/>
        <w:rPr>
          <w:sz w:val="20"/>
          <w:szCs w:val="20"/>
          <w:color w:val="auto"/>
        </w:rPr>
      </w:pPr>
    </w:p>
    <w:p>
      <w:pPr>
        <w:jc w:val="both"/>
        <w:ind w:left="380" w:firstLine="751"/>
        <w:spacing w:after="0" w:line="243" w:lineRule="auto"/>
        <w:tabs>
          <w:tab w:leader="none" w:pos="152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90 days after the end of each fiscal year of the Company (or, if earlier, 15 days after the date required to be filed with the SEC (after giving effect to any extension permitted by the SEC)) (commencing with the fiscal year ended December 31, 2025),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4" w:name="page155"/>
    <w:bookmarkEnd w:id="154"/>
    <w:p>
      <w:pPr>
        <w:jc w:val="both"/>
        <w:ind w:left="380" w:firstLine="751"/>
        <w:spacing w:after="0" w:line="256" w:lineRule="auto"/>
        <w:tabs>
          <w:tab w:leader="none" w:pos="1525"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within 45 days after the end of each of the first three fiscal quarters of each fiscal year of the Company (or, if earlier, 5 days after the date required to be filed with the SEC (after giving effect to any extension permitted by the SEC)) (commencing with the fiscal quarter ended March 31, 2026), a consolidated balance sheet of the Company and its Subsidiaries as at the end of such fiscal quarter, the related consolidated statements of income or operations for such fiscal quarter and for the portion of the Company’s fiscal year then ended, and the related consolidated statements of changes in shareholders’ equity and cash flows for such fiscal quarter and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w:t>
      </w:r>
    </w:p>
    <w:p>
      <w:pPr>
        <w:spacing w:after="0" w:line="180" w:lineRule="exact"/>
        <w:rPr>
          <w:rFonts w:ascii="Times New Roman" w:cs="Times New Roman" w:eastAsia="Times New Roman" w:hAnsi="Times New Roman"/>
          <w:sz w:val="19"/>
          <w:szCs w:val="19"/>
          <w:color w:val="auto"/>
        </w:rPr>
      </w:pPr>
    </w:p>
    <w:p>
      <w:pPr>
        <w:jc w:val="both"/>
        <w:ind w:left="380" w:firstLine="751"/>
        <w:spacing w:after="0" w:line="249" w:lineRule="auto"/>
        <w:tabs>
          <w:tab w:leader="none" w:pos="152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Unrestricted Subsidiaries exist at such time, then simultaneously with the delivery of each set of consolidated financial statements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 summary statement, in form reasonably satisfactory to the Required Lenders, prepared in good faith by a Responsible Officer of the Company, reflecting adjustments necessary to eliminate the accounts of such Unrestricted Subsidiaries from such consolidated financial statements; and</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90 days after the end of each fiscal year of the Company, forecasts prepared by management of the Company, in form reasonably satisfactory to the Required Lenders (it being agreed that the form of forecasts delivered by the Company pursuant to the Existing Credit Agreement are satisfactory), of consolidated balance sheets and statements of income or operations and cash flows of the Company and its Restricted Subsidiaries on an annual basis for the current fiscal year (including the fiscal year in which the Maturity Date occurs).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the Company shall not be separately required to furnish such information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but the foregoing shall not be in derogation of the obligation of the Company to furnish the information and materials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at the times specified therein.</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6.02 Certificates; Other Information. </w:t>
      </w:r>
      <w:r>
        <w:rPr>
          <w:rFonts w:ascii="Times New Roman" w:cs="Times New Roman" w:eastAsia="Times New Roman" w:hAnsi="Times New Roman"/>
          <w:sz w:val="20"/>
          <w:szCs w:val="20"/>
          <w:color w:val="auto"/>
        </w:rPr>
        <w:t>Deliver to the Administrative Agent, in form and detail reasonably satisfactory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Lenders (which delivery may, unless the Administrative Agent or a Lender requests executed originals, be by electronic communication including fax or email and shall be deemed to be an original authentic counterpart thereof for all purposes):</w:t>
      </w:r>
    </w:p>
    <w:p>
      <w:pPr>
        <w:spacing w:after="0" w:line="173" w:lineRule="exact"/>
        <w:rPr>
          <w:sz w:val="20"/>
          <w:szCs w:val="20"/>
          <w:color w:val="auto"/>
        </w:rPr>
      </w:pPr>
    </w:p>
    <w:p>
      <w:pPr>
        <w:jc w:val="both"/>
        <w:ind w:left="380" w:firstLine="751"/>
        <w:spacing w:after="0" w:line="249" w:lineRule="auto"/>
        <w:tabs>
          <w:tab w:leader="none" w:pos="152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(commencing with the fiscal quarter ended December 31, 2025) (i) a duly completed Compliance Certificate signed by the chief executive officer, chief financial officer, treasurer or controller of the Company and (ii) a listing of each Subsidiary designated as an Unrestricted Subsidiary as of the date thereof;</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any request by the Administrative Agent or any Lender, copies of any final audit reports, management letters or recommendations submitted to the board of directors (or the audit committee of the board of directors) of the Company by independent accountants in connection with the accounts or books of the Company or any Restricted Subsidiary, or any audit of any of them;</w:t>
      </w:r>
    </w:p>
    <w:p>
      <w:pPr>
        <w:spacing w:after="0" w:line="179"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are available, copies of each annual report, proxy or financial statement or other report or communication sent to the stockholders of the Company, and copies of all</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5" w:name="page156"/>
    <w:bookmarkEnd w:id="155"/>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174" w:lineRule="exact"/>
        <w:rPr>
          <w:sz w:val="20"/>
          <w:szCs w:val="20"/>
          <w:color w:val="auto"/>
        </w:rPr>
      </w:pPr>
    </w:p>
    <w:p>
      <w:pPr>
        <w:jc w:val="both"/>
        <w:ind w:left="380" w:firstLine="751"/>
        <w:spacing w:after="0" w:line="249" w:lineRule="auto"/>
        <w:tabs>
          <w:tab w:leader="none" w:pos="152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by such agency regarding financial or other operational results of any Loan Party or any Subsidiary thereof;</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request thereof, such other information and documentation required by bank regulatory authorities under applicable “know your customer” and anti-money laundering rules and regulations (including, without limitation, the Act and the Beneficial Ownership Regulation), as from time to time reasonably requested by the Administrative Agent or any Lender; and</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Company shall deliver paper copies of such documents to the Administrative Agent or any Lender upon its request to the Company to deliver such paper copies until a written request to cease delivering paper copies is given by the Administrative Agent or such Lender and (ii) the Company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9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Each Borrower hereby acknowledges that (a) the Administrative Agent and/or the Arrangers may, but shall not be obligated to, make available to the Lenders and the L/C Issuers materials and/or information provided by or on behalf of the Borrowers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Debt Domain, IntraLinks, SyndTrak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Issuers and the Lenders to treat such Borrower Materials as not containing any material non-public information with respect to such Borrower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such Borrower Materials constitute Information, they shall be treated as set forth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6" w:name="page157"/>
    <w:bookmarkEnd w:id="156"/>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in Section </w:t>
      </w:r>
      <w:r>
        <w:rPr>
          <w:rFonts w:ascii="Times New Roman" w:cs="Times New Roman" w:eastAsia="Times New Roman" w:hAnsi="Times New Roman"/>
          <w:sz w:val="20"/>
          <w:szCs w:val="20"/>
          <w:u w:val="single" w:color="auto"/>
          <w:color w:val="auto"/>
        </w:rPr>
        <w:t>10.07</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6.03 Notices. </w:t>
      </w:r>
      <w:r>
        <w:rPr>
          <w:rFonts w:ascii="Times New Roman" w:cs="Times New Roman" w:eastAsia="Times New Roman" w:hAnsi="Times New Roman"/>
          <w:sz w:val="20"/>
          <w:szCs w:val="20"/>
          <w:color w:val="auto"/>
        </w:rPr>
        <w:t>Promptly notify the Administrative Agent:</w:t>
      </w:r>
    </w:p>
    <w:p>
      <w:pPr>
        <w:spacing w:after="0" w:line="220" w:lineRule="exact"/>
        <w:rPr>
          <w:sz w:val="20"/>
          <w:szCs w:val="20"/>
          <w:color w:val="auto"/>
        </w:rPr>
      </w:pPr>
    </w:p>
    <w:p>
      <w:pPr>
        <w:ind w:left="1520" w:hanging="389"/>
        <w:spacing w:after="0"/>
        <w:tabs>
          <w:tab w:leader="none" w:pos="152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 including any such matter arising from (i) a breach or non-performance of, or any default under, a Contractual Obligation of the Company or any Restricted Subsidiary involving more than the Threshold Amount; (ii) a material dispute, litigation, investigation, proceeding or suspension between the Company or any Restricted Subsidiary and any Governmental Authority; or (iii) the commencement of, or any material development in, any litigation or proceeding affecting the Company or any Restricted Subsidiary, including pursuant to any applicable Environmental Laws, involving more than the Threshold Amount;</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ERISA Event with respect to any Pension Plan or Multiemployer Plan which has resulted or could reasonably be expected to result in liability of the Company under Title IV of ERISA to such Pension Plan, such Multiemployer Plan or the PBGC in an aggregate amount in excess of the Threshold Amount;</w:t>
      </w:r>
    </w:p>
    <w:p>
      <w:pPr>
        <w:spacing w:after="0" w:line="174"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material change in accounting policies or financial reporting practices by the Company or any Subsidiary, including any determination by the Company referred to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(i) occurrence of any Disposition of property or assets for which the Company is required to make a mandatory prepayment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(ii) incurrence or issuance of any Indebtedness for which the Company is required to make a mandatory prepayment pursuant to </w:t>
      </w:r>
      <w:r>
        <w:rPr>
          <w:rFonts w:ascii="Times New Roman" w:cs="Times New Roman" w:eastAsia="Times New Roman" w:hAnsi="Times New Roman"/>
          <w:sz w:val="20"/>
          <w:szCs w:val="20"/>
          <w:u w:val="single" w:color="auto"/>
          <w:color w:val="auto"/>
        </w:rPr>
        <w:t>Section 2.05(b)(ii)</w:t>
      </w:r>
      <w:r>
        <w:rPr>
          <w:rFonts w:ascii="Times New Roman" w:cs="Times New Roman" w:eastAsia="Times New Roman" w:hAnsi="Times New Roman"/>
          <w:sz w:val="20"/>
          <w:szCs w:val="20"/>
          <w:color w:val="auto"/>
        </w:rPr>
        <w:t xml:space="preserve">, and (iii) the occurrence of any Insurance and Condemnation Event for which the Company is required to make a mandatory prepayment pursuant to </w:t>
      </w:r>
      <w:r>
        <w:rPr>
          <w:rFonts w:ascii="Times New Roman" w:cs="Times New Roman" w:eastAsia="Times New Roman" w:hAnsi="Times New Roman"/>
          <w:sz w:val="20"/>
          <w:szCs w:val="20"/>
          <w:u w:val="single" w:color="auto"/>
          <w:color w:val="auto"/>
        </w:rPr>
        <w:t>Section 2.05(b)(iii)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6.04 Payment of Obligations. </w:t>
      </w:r>
      <w:r>
        <w:rPr>
          <w:rFonts w:ascii="Times New Roman" w:cs="Times New Roman" w:eastAsia="Times New Roman" w:hAnsi="Times New Roman"/>
          <w:sz w:val="20"/>
          <w:szCs w:val="20"/>
          <w:color w:val="auto"/>
        </w:rPr>
        <w:t>Pay and discharge as the same shall become due and payable, all its material obligations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including (a) all Federal, State and other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Restricted Subsidiary; (b) all other lawful claims which, if unpaid, would by law become a Lien upon its property; and (c) all Indebtedness, as and when due and payable, but subject to any subordination provisions contained in any instrument or agreement evidencing or governing such Indebtedness.</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6.05 Preservation of Existence, Etc. </w:t>
      </w:r>
      <w:r>
        <w:rPr>
          <w:rFonts w:ascii="Times New Roman" w:cs="Times New Roman" w:eastAsia="Times New Roman" w:hAnsi="Times New Roman"/>
          <w:sz w:val="20"/>
          <w:szCs w:val="20"/>
          <w:color w:val="auto"/>
        </w:rPr>
        <w:t>(a) (i) Preserve, renew and maintain in full force and effect its legal existence under the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jurisdiction of its organization except in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and (ii) preserve, renew and maintain in full force and effect its good standing under the Laws of the jurisdiction of its organization except in a transaction permitted by </w:t>
      </w:r>
      <w:r>
        <w:rPr>
          <w:rFonts w:ascii="Times New Roman" w:cs="Times New Roman" w:eastAsia="Times New Roman" w:hAnsi="Times New Roman"/>
          <w:sz w:val="20"/>
          <w:szCs w:val="20"/>
          <w:u w:val="single" w:color="auto"/>
          <w:color w:val="auto"/>
        </w:rPr>
        <w:t>Section</w:t>
      </w:r>
    </w:p>
    <w:p>
      <w:pPr>
        <w:spacing w:after="0" w:line="200" w:lineRule="exact"/>
        <w:rPr>
          <w:sz w:val="20"/>
          <w:szCs w:val="20"/>
          <w:color w:val="auto"/>
        </w:rPr>
      </w:pPr>
    </w:p>
    <w:p>
      <w:pPr>
        <w:spacing w:after="0" w:line="3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7" w:name="page158"/>
    <w:bookmarkEnd w:id="157"/>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and except to the extent that the failure to do so could not reasonably be expected to have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8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6.06 Maintenance of Properties. </w:t>
      </w:r>
      <w:r>
        <w:rPr>
          <w:rFonts w:ascii="Times New Roman" w:cs="Times New Roman" w:eastAsia="Times New Roman" w:hAnsi="Times New Roman"/>
          <w:sz w:val="20"/>
          <w:szCs w:val="20"/>
          <w:color w:val="auto"/>
        </w:rPr>
        <w:t>(a) Maintain, preserve and protect all of its material properties and equipment necessary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 of its business in good working order and condition, ordinary wear and tear excepted and (b) make all necessary repairs thereto and renewals and replacements thereof except, in each case, where the failure to do so could not reasonably be expected to have a Material Adverse Effect.</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6.07 Maintenance of Insurance. </w:t>
      </w:r>
      <w:r>
        <w:rPr>
          <w:rFonts w:ascii="Times New Roman" w:cs="Times New Roman" w:eastAsia="Times New Roman" w:hAnsi="Times New Roman"/>
          <w:sz w:val="20"/>
          <w:szCs w:val="20"/>
          <w:color w:val="auto"/>
        </w:rPr>
        <w:t>Maintain with financially sound and reputable insurance companies not Affiliates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as may be required by Applicable Law and as are required by any Collateral Document. All such insurance shall (unless otherwise agreed to by the Administrative Agent in writing), (a) provide that no cancellation or material modification thereof shall be effective until at least 30 days after receipt by the Administrative Agent of written notice thereof (except in the case of cancellation as a result of non-payment of premium in which case only 10 days’ prior written notice shall be required) and (b) name the Administrative Agent as an additional insured or lender’s loss payee, as applicable.</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6.08 Compliance with Laws. </w:t>
      </w:r>
      <w:r>
        <w:rPr>
          <w:rFonts w:ascii="Times New Roman" w:cs="Times New Roman" w:eastAsia="Times New Roman" w:hAnsi="Times New Roman"/>
          <w:sz w:val="20"/>
          <w:szCs w:val="20"/>
          <w:color w:val="auto"/>
        </w:rPr>
        <w:t>Comply in all material respects with the requirements of all Laws and all orders, writs, injunctions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6.09 Books and Records. </w:t>
      </w:r>
      <w:r>
        <w:rPr>
          <w:rFonts w:ascii="Times New Roman" w:cs="Times New Roman" w:eastAsia="Times New Roman" w:hAnsi="Times New Roman"/>
          <w:sz w:val="20"/>
          <w:szCs w:val="20"/>
          <w:color w:val="auto"/>
        </w:rPr>
        <w:t>Maintain proper books of record and account, with entries that are full, true and correct in all 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respects in conformity with GAAP consistently applied shall be made of all financial transactions and matters involving the assets and business of the Company or such Restricted Subsidiary, as the case may be.</w:t>
      </w:r>
    </w:p>
    <w:p>
      <w:pPr>
        <w:spacing w:after="0" w:line="16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6.10 Inspection Rights. </w:t>
      </w:r>
      <w:r>
        <w:rPr>
          <w:rFonts w:ascii="Times New Roman" w:cs="Times New Roman" w:eastAsia="Times New Roman" w:hAnsi="Times New Roman"/>
          <w:sz w:val="20"/>
          <w:szCs w:val="20"/>
          <w:color w:val="auto"/>
        </w:rPr>
        <w:t>Permit representatives and independent contractors of the Administrative Agent to visit and inspect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upon reasonable advance notice to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when no Event of Default exists, the Company shall not be obligated to pay for more than one such visitation and inspection in the period beginning on the Closing Date and ending on the day prior to the first anniversary of the Closing Date, or in any subsequent twelve-month period commencing on an anniversary of the Closing Date and ending twelve months thereafter and (b) when an Event of Default exists the Administrative Agent (or its representatives or independent contractors) may do any of the foregoing at the expense of the Company at any time during normal business hours, without advance notice and as often as may be reasonably deemed necessary or prudent to protect the interests of the Secured Parties. Each Lender shall be provided advance notice by the Administrative Agent of any such inspection and shall be permitted, at such Lender’s expense, to accompany (or to have its representatives or independent contractors accompany) the Administrative Agent (or its representatives or independent contractors) on any such inspection.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8" w:name="page159"/>
    <w:bookmarkEnd w:id="158"/>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6.11 Use of Proceeds. </w:t>
      </w:r>
      <w:r>
        <w:rPr>
          <w:rFonts w:ascii="Times New Roman" w:cs="Times New Roman" w:eastAsia="Times New Roman" w:hAnsi="Times New Roman"/>
          <w:sz w:val="20"/>
          <w:szCs w:val="20"/>
          <w:color w:val="auto"/>
        </w:rPr>
        <w:t>Use the proceeds of the Credit Extensions for general corporate purposes not in contravention of any Law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Loan Document.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6.12 Additional Subsidiaries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2" w:lineRule="auto"/>
        <w:tabs>
          <w:tab w:leader="none" w:pos="1525"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limits and exclusions set forth in </w:t>
      </w:r>
      <w:r>
        <w:rPr>
          <w:rFonts w:ascii="Times New Roman" w:cs="Times New Roman" w:eastAsia="Times New Roman" w:hAnsi="Times New Roman"/>
          <w:sz w:val="20"/>
          <w:szCs w:val="20"/>
          <w:u w:val="single" w:color="auto"/>
          <w:color w:val="auto"/>
        </w:rPr>
        <w:t>Section 6.12(c)</w:t>
      </w:r>
      <w:r>
        <w:rPr>
          <w:rFonts w:ascii="Times New Roman" w:cs="Times New Roman" w:eastAsia="Times New Roman" w:hAnsi="Times New Roman"/>
          <w:sz w:val="20"/>
          <w:szCs w:val="20"/>
          <w:color w:val="auto"/>
        </w:rPr>
        <w:t xml:space="preserve"> below, if (1) (i) at any time the Company acquires or forms any additional Subsidiary, merges any Subsidiary into another Person or Disposes of assets from any Subsidiary to another Person and, as a result of such acquisition, formation, merger or Disposition, a Person becomes a Material Subsidiary (other than an Unrestricted Subsidiary), or (ii) as of the end of any fiscal quarter, any Subsidiary that is not already a Subsidiary Guarantor qualifies as a Material Subsidiary (other than an Unrestricted Subsidiary), the Company will promptly notify the Administrative Agent thereof and within thirty days (or such longer period to which the Administrative Agent may agree in its sole discretion) following such acquisition, formation, merger, Disposition or fiscal quarter end, as the case may be, deliver or cause to be delivered to the Administrative Agent each of the following or (2) any Person becomes a Designated Borrower, the Company will concurrently with such Person becoming a Designated Borrower, to the extent such Person has not already complied with this Section as a Subsidiary Guarantor), deliver or cause to be delivered to the Administrative Agent each of the following:</w:t>
      </w:r>
    </w:p>
    <w:p>
      <w:pPr>
        <w:spacing w:after="0" w:line="192" w:lineRule="exact"/>
        <w:rPr>
          <w:rFonts w:ascii="Times New Roman" w:cs="Times New Roman" w:eastAsia="Times New Roman" w:hAnsi="Times New Roman"/>
          <w:sz w:val="20"/>
          <w:szCs w:val="20"/>
          <w:color w:val="auto"/>
        </w:rPr>
      </w:pPr>
    </w:p>
    <w:p>
      <w:pPr>
        <w:ind w:left="1140" w:firstLine="740"/>
        <w:spacing w:after="0" w:line="269" w:lineRule="auto"/>
        <w:tabs>
          <w:tab w:leader="none" w:pos="228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Subsidiary Guaranty Agreement or a Subsidiary Guaranty Joinder Agreement, as applicable, duly executed by such Subsidiary;</w:t>
      </w:r>
    </w:p>
    <w:p>
      <w:pPr>
        <w:spacing w:after="0" w:line="159" w:lineRule="exact"/>
        <w:rPr>
          <w:rFonts w:ascii="Times New Roman" w:cs="Times New Roman" w:eastAsia="Times New Roman" w:hAnsi="Times New Roman"/>
          <w:sz w:val="20"/>
          <w:szCs w:val="20"/>
          <w:color w:val="auto"/>
        </w:rPr>
      </w:pPr>
    </w:p>
    <w:p>
      <w:pPr>
        <w:ind w:left="1140" w:firstLine="740"/>
        <w:spacing w:after="0" w:line="269" w:lineRule="auto"/>
        <w:tabs>
          <w:tab w:leader="none" w:pos="228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Security Agreement or a Security Joinder Agreement, as applicable, duly executed by such Subsidiary (with all schedules thereto appropriately completed);</w:t>
      </w:r>
    </w:p>
    <w:p>
      <w:pPr>
        <w:spacing w:after="0" w:line="159"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Subsidiary owns Equity Interests in any other Subsidiary, which Equity Interests constitute Collateral, a Pledge Agreement or a Pledge Joinder Agreement, as applicable, duly executed by such Subsidiary (with all schedules thereto appropriately completed);</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Pledge Agreement, Pledge Joinder Agreement or Pledge Agreement Supplement, as applicable, duly executed by the Loan Party owning the Equity Interests of such Subsidiary (in either case, with all schedules thereto appropriately completed);</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46" w:lineRule="auto"/>
        <w:tabs>
          <w:tab w:leader="none" w:pos="228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documents referenced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are delivered (or required to be delivered) and if requested by the Administrative Agent, opinions of counsel to the applicable Loan Parties and such Subsidiary with respect to the documents delivered and the transactions contemplated by this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in form and substance reasonably acceptable to the Administrative Agent, including opinions, assumptions and qualifications similar to those contained in the opinions of counsel delivered pursuant to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documents referenced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are delivered (or required to be delivered), current copies of the documents of the types referred to in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with respect to such Subsidiary, all certified by the applicable Governmental Authority or appropriate officer as the Administrative Agent may elect, all in form and substance reasonably satisfactory to the Administrative Agent; and</w:t>
      </w:r>
    </w:p>
    <w:p>
      <w:pPr>
        <w:spacing w:after="0" w:line="179" w:lineRule="exact"/>
        <w:rPr>
          <w:rFonts w:ascii="Times New Roman" w:cs="Times New Roman" w:eastAsia="Times New Roman" w:hAnsi="Times New Roman"/>
          <w:sz w:val="20"/>
          <w:szCs w:val="20"/>
          <w:color w:val="auto"/>
        </w:rPr>
      </w:pPr>
    </w:p>
    <w:p>
      <w:pPr>
        <w:jc w:val="both"/>
        <w:ind w:left="1140" w:right="20" w:firstLine="740"/>
        <w:spacing w:after="0" w:line="254" w:lineRule="auto"/>
        <w:tabs>
          <w:tab w:leader="none" w:pos="228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evidence reasonably satisfactory to the Administrative Agent that all taxes, filing fees and recording fees related to the perfection of the Liens created under any of the documents delivered pursuant to this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have been paid and all reasonable costs and expenses of the Administrative Agent in connection therewith have been paid.</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59" w:name="page160"/>
    <w:bookmarkEnd w:id="159"/>
    <w:p>
      <w:pPr>
        <w:jc w:val="both"/>
        <w:ind w:left="380" w:firstLine="751"/>
        <w:spacing w:after="0" w:line="245" w:lineRule="auto"/>
        <w:tabs>
          <w:tab w:leader="none" w:pos="152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within 30 days (or such longer period as approved by the Administrative Agent in its sole discretion) after (i) each delivery or required delivery of financial information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and (ii) any Disposition of any Restricted Subsidiary or any material portion of its assets (including via merger or dissolution), cause one or more Subsidiaries to become Subsidiary Guarantors and take such additional actions of the type described in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as if such Subsidiaries were Material Subsidiaries, to the extent necessary to cause, subject to the limits and exclusions set forth in </w:t>
      </w:r>
      <w:r>
        <w:rPr>
          <w:rFonts w:ascii="Times New Roman" w:cs="Times New Roman" w:eastAsia="Times New Roman" w:hAnsi="Times New Roman"/>
          <w:sz w:val="20"/>
          <w:szCs w:val="20"/>
          <w:u w:val="single" w:color="auto"/>
          <w:color w:val="auto"/>
        </w:rPr>
        <w:t>Section 6.12(c)</w:t>
      </w:r>
      <w:r>
        <w:rPr>
          <w:rFonts w:ascii="Times New Roman" w:cs="Times New Roman" w:eastAsia="Times New Roman" w:hAnsi="Times New Roman"/>
          <w:sz w:val="20"/>
          <w:szCs w:val="20"/>
          <w:color w:val="auto"/>
        </w:rPr>
        <w:t xml:space="preserve"> below:</w:t>
      </w:r>
    </w:p>
    <w:p>
      <w:pPr>
        <w:spacing w:after="0" w:line="184"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Company and each other U.S. Borrower to be guaranteed by Domestic Subsidiaries, and secured by the Equity Interests and assets of, Subsidiaries that, together with the Company, account for at least 90% of the Consolidated Total Assets and 90% of the consolidated total revenues of the Company and its Subsidiaries (but excluding from such calculation the assets and revenues of each Foreign Subsidiary); and</w:t>
      </w:r>
    </w:p>
    <w:p>
      <w:pPr>
        <w:spacing w:after="0" w:line="179"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Designated Borrower that is a Foreign Subsidiary to be guaranteed by, and secured by the Equity Interests and assets of, Subsidiaries that, together with the Company, account for at least 90% of Consolidated Total Assets and 90% of the consolidated total revenues of the Company and its Subsidiaries.</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the foregoing calculations, (x) assets shall be determined as of the last day of the most recently ended fiscal quarter for which financial information is available, (y) revenues shall be determined using the results of the four fiscal quarter period of the Company most recently ended for which financial information is available, but giving effect to any pro forma adjustments, with respect to any Specified Transaction, in a manner consistent with the adjustments described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and (z) the assets and revenues of a Subsidiary shall not be deemed to include the assets and revenues of its Subsidiaries.</w:t>
      </w:r>
    </w:p>
    <w:p>
      <w:pPr>
        <w:spacing w:after="0" w:line="185" w:lineRule="exact"/>
        <w:rPr>
          <w:sz w:val="20"/>
          <w:szCs w:val="20"/>
          <w:color w:val="auto"/>
        </w:rPr>
      </w:pPr>
    </w:p>
    <w:p>
      <w:pPr>
        <w:jc w:val="both"/>
        <w:ind w:left="380" w:firstLine="751"/>
        <w:spacing w:after="0" w:line="250" w:lineRule="auto"/>
        <w:tabs>
          <w:tab w:leader="none" w:pos="1525"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to the contrary, it is acknowledged and agreed that (i) in no event shall any Foreign Subsidiary be required to guarantee, or provide collateral security for, any portion of the Obligations of a U.S. Loan Party and</w:t>
      </w:r>
    </w:p>
    <w:p>
      <w:pPr>
        <w:spacing w:after="0" w:line="1" w:lineRule="exact"/>
        <w:rPr>
          <w:rFonts w:ascii="Times New Roman" w:cs="Times New Roman" w:eastAsia="Times New Roman" w:hAnsi="Times New Roman"/>
          <w:sz w:val="20"/>
          <w:szCs w:val="20"/>
          <w:color w:val="auto"/>
        </w:rPr>
      </w:pPr>
    </w:p>
    <w:p>
      <w:pPr>
        <w:jc w:val="both"/>
        <w:ind w:left="380" w:firstLine="2"/>
        <w:spacing w:after="0" w:line="242" w:lineRule="auto"/>
        <w:tabs>
          <w:tab w:leader="none" w:pos="67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pledge of any Voting Equity Interests (as defined in the U.S. Pledge Agreement) in Foreign Subsidiaries as collateral security for any portion of the Obligations of a U.S. Loan Party shall be limited as provided in the U.S. Pledge Agreement and the other Loan Documents.</w:t>
      </w:r>
    </w:p>
    <w:p>
      <w:pPr>
        <w:spacing w:after="0" w:line="18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6.13 Compliance with Environmental Laws. </w:t>
      </w:r>
      <w:r>
        <w:rPr>
          <w:rFonts w:ascii="Times New Roman" w:cs="Times New Roman" w:eastAsia="Times New Roman" w:hAnsi="Times New Roman"/>
          <w:sz w:val="20"/>
          <w:szCs w:val="20"/>
          <w:color w:val="auto"/>
        </w:rPr>
        <w:t>Comply, and use commercially reasonable efforts to cause all lessees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neither the Company nor any of its Restricted Subsidiaries shall be required to undertake any such cleanup, removal, remedial or other action to the extent that (a) its obligation to do so is being contested in good faith and by proper proceedings and appropriate reserves are being maintained with respect to such circumstances in accordance with GAAP, or (b) its failure to undertake any such action, either individually or in the aggregate, could not reasonably be expected to have a Material Adverse Effect or result in a penalty, fine or liability to the Company or any of its Restricted Subsidiaries in excess of the Threshold Amount.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6.14 Further Assurances. </w:t>
      </w:r>
      <w:r>
        <w:rPr>
          <w:rFonts w:ascii="Times New Roman" w:cs="Times New Roman" w:eastAsia="Times New Roman" w:hAnsi="Times New Roman"/>
          <w:sz w:val="20"/>
          <w:szCs w:val="20"/>
          <w:color w:val="auto"/>
        </w:rPr>
        <w:t>Promptly upon request by the Administrative Agent, or any Lender through the Administrative Agent,</w:t>
      </w:r>
    </w:p>
    <w:p>
      <w:pPr>
        <w:spacing w:after="0" w:line="26" w:lineRule="exact"/>
        <w:rPr>
          <w:sz w:val="20"/>
          <w:szCs w:val="20"/>
          <w:color w:val="auto"/>
        </w:rPr>
      </w:pPr>
    </w:p>
    <w:p>
      <w:pPr>
        <w:ind w:firstLine="8"/>
        <w:spacing w:after="0" w:line="246" w:lineRule="auto"/>
        <w:tabs>
          <w:tab w:leader="none" w:pos="30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material defect or error that may be discovered in any Loan Document or in the execution, acknowledgment, filing or recordation thereof, and (b) do, execute,</w:t>
      </w:r>
    </w:p>
    <w:p>
      <w:pPr>
        <w:spacing w:after="0" w:line="200" w:lineRule="exact"/>
        <w:rPr>
          <w:sz w:val="20"/>
          <w:szCs w:val="20"/>
          <w:color w:val="auto"/>
        </w:rPr>
      </w:pPr>
    </w:p>
    <w:p>
      <w:pPr>
        <w:spacing w:after="0" w:line="4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0" w:name="page161"/>
    <w:bookmarkEnd w:id="160"/>
    <w:p>
      <w:pPr>
        <w:jc w:val="both"/>
        <w:spacing w:after="0" w:line="243" w:lineRule="auto"/>
        <w:rPr>
          <w:sz w:val="20"/>
          <w:szCs w:val="20"/>
          <w:color w:val="auto"/>
        </w:rPr>
      </w:pPr>
      <w:r>
        <w:rPr>
          <w:rFonts w:ascii="Times New Roman" w:cs="Times New Roman" w:eastAsia="Times New Roman" w:hAnsi="Times New Roman"/>
          <w:sz w:val="20"/>
          <w:szCs w:val="20"/>
          <w:color w:val="auto"/>
        </w:rPr>
        <w:t>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Restricted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6.15 Approvals and Authorizations. </w:t>
      </w:r>
      <w:r>
        <w:rPr>
          <w:rFonts w:ascii="Times New Roman" w:cs="Times New Roman" w:eastAsia="Times New Roman" w:hAnsi="Times New Roman"/>
          <w:sz w:val="20"/>
          <w:szCs w:val="20"/>
          <w:color w:val="auto"/>
        </w:rPr>
        <w:t>Except as would not reasonably be expected to cause a Material Adverse Effect, maintain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6.16 Anti-Corruption Laws; Sanctions. </w:t>
      </w:r>
      <w:r>
        <w:rPr>
          <w:rFonts w:ascii="Times New Roman" w:cs="Times New Roman" w:eastAsia="Times New Roman" w:hAnsi="Times New Roman"/>
          <w:sz w:val="20"/>
          <w:szCs w:val="20"/>
          <w:color w:val="auto"/>
        </w:rPr>
        <w:t>Conduct its businesses in compliance in all material respects with the United States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Corrupt Practices Act of 1977, the UK Bribery Act 2010, and other similar anti-corruption legislation in other jurisdictions applicable to the Company or any of its Restricted Subsidiaries and with all applicable Sanctions and maintain policies and procedures in the Company’s reasonable business judgment designed to promote and achieve compliance with such laws and Sanctions.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6.17 Residency for Dutch Tax Purposes </w:t>
      </w:r>
      <w:r>
        <w:rPr>
          <w:rFonts w:ascii="Times New Roman" w:cs="Times New Roman" w:eastAsia="Times New Roman" w:hAnsi="Times New Roman"/>
          <w:sz w:val="20"/>
          <w:szCs w:val="20"/>
          <w:color w:val="auto"/>
        </w:rPr>
        <w:t>. The Netherlands Designated Borrower or any other Loan Party incorporated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Netherlands will remain resident for tax purposes in the Netherlands only and not create a permanent establishment or other taxable presence outside the Netherlands, unless with the prior written consent of the Administrative Agent.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6.18 Fiscal Unity for Dutch Tax Purposes</w:t>
      </w:r>
      <w:r>
        <w:rPr>
          <w:rFonts w:ascii="Times New Roman" w:cs="Times New Roman" w:eastAsia="Times New Roman" w:hAnsi="Times New Roman"/>
          <w:sz w:val="20"/>
          <w:szCs w:val="20"/>
          <w:color w:val="auto"/>
        </w:rPr>
        <w:t>. Any fiscal unity (</w:t>
      </w:r>
      <w:r>
        <w:rPr>
          <w:rFonts w:ascii="Times New Roman" w:cs="Times New Roman" w:eastAsia="Times New Roman" w:hAnsi="Times New Roman"/>
          <w:sz w:val="20"/>
          <w:szCs w:val="20"/>
          <w:i w:val="1"/>
          <w:iCs w:val="1"/>
          <w:color w:val="auto"/>
        </w:rPr>
        <w:t>fiscale eenheid</w:t>
      </w:r>
      <w:r>
        <w:rPr>
          <w:rFonts w:ascii="Times New Roman" w:cs="Times New Roman" w:eastAsia="Times New Roman" w:hAnsi="Times New Roman"/>
          <w:sz w:val="20"/>
          <w:szCs w:val="20"/>
          <w:color w:val="auto"/>
        </w:rPr>
        <w:t>) for Dutch tax purposes in which a Loan Party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included, will consist of Loan Parties only, unless with the prior written consent of the Administrative Agent.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6.19 Centre of Main Interests </w:t>
      </w:r>
      <w:r>
        <w:rPr>
          <w:rFonts w:ascii="Times New Roman" w:cs="Times New Roman" w:eastAsia="Times New Roman" w:hAnsi="Times New Roman"/>
          <w:sz w:val="20"/>
          <w:szCs w:val="20"/>
          <w:color w:val="auto"/>
        </w:rPr>
        <w:t>. Each Person incorporated in the Netherlands shall maintain its centre of main interest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Netherlands for the purposes of the Insolvency Regulation.</w:t>
      </w:r>
    </w:p>
    <w:p>
      <w:pPr>
        <w:spacing w:after="0" w:line="15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6.20 Allocation of Tax Losses upon Termination of Fiscal Unity for Dutch Tax Purposes</w:t>
      </w:r>
      <w:r>
        <w:rPr>
          <w:rFonts w:ascii="Times New Roman" w:cs="Times New Roman" w:eastAsia="Times New Roman" w:hAnsi="Times New Roman"/>
          <w:sz w:val="20"/>
          <w:szCs w:val="20"/>
          <w:color w:val="auto"/>
        </w:rPr>
        <w:t>. If, at any time, a Loan Party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of a fiscal unity (</w:t>
      </w:r>
      <w:r>
        <w:rPr>
          <w:rFonts w:ascii="Times New Roman" w:cs="Times New Roman" w:eastAsia="Times New Roman" w:hAnsi="Times New Roman"/>
          <w:sz w:val="20"/>
          <w:szCs w:val="20"/>
          <w:i w:val="1"/>
          <w:iCs w:val="1"/>
          <w:color w:val="auto"/>
        </w:rPr>
        <w:t>fiscale eenheid</w:t>
      </w:r>
      <w:r>
        <w:rPr>
          <w:rFonts w:ascii="Times New Roman" w:cs="Times New Roman" w:eastAsia="Times New Roman" w:hAnsi="Times New Roman"/>
          <w:sz w:val="20"/>
          <w:szCs w:val="20"/>
          <w:color w:val="auto"/>
        </w:rPr>
        <w:t>) for Dutch corporate income tax (</w:t>
      </w:r>
      <w:r>
        <w:rPr>
          <w:rFonts w:ascii="Times New Roman" w:cs="Times New Roman" w:eastAsia="Times New Roman" w:hAnsi="Times New Roman"/>
          <w:sz w:val="20"/>
          <w:szCs w:val="20"/>
          <w:i w:val="1"/>
          <w:iCs w:val="1"/>
          <w:color w:val="auto"/>
        </w:rPr>
        <w:t>vennootschapsbelasting</w:t>
      </w:r>
      <w:r>
        <w:rPr>
          <w:rFonts w:ascii="Times New Roman" w:cs="Times New Roman" w:eastAsia="Times New Roman" w:hAnsi="Times New Roman"/>
          <w:sz w:val="20"/>
          <w:szCs w:val="20"/>
          <w:color w:val="auto"/>
        </w:rPr>
        <w:t>) purposes and such fiscal unity is, in respect of that Loan Party, terminated (</w:t>
      </w:r>
      <w:r>
        <w:rPr>
          <w:rFonts w:ascii="Times New Roman" w:cs="Times New Roman" w:eastAsia="Times New Roman" w:hAnsi="Times New Roman"/>
          <w:sz w:val="20"/>
          <w:szCs w:val="20"/>
          <w:i w:val="1"/>
          <w:iCs w:val="1"/>
          <w:color w:val="auto"/>
        </w:rPr>
        <w:t>verbroken</w:t>
      </w:r>
      <w:r>
        <w:rPr>
          <w:rFonts w:ascii="Times New Roman" w:cs="Times New Roman" w:eastAsia="Times New Roman" w:hAnsi="Times New Roman"/>
          <w:sz w:val="20"/>
          <w:szCs w:val="20"/>
          <w:color w:val="auto"/>
        </w:rPr>
        <w:t>) or disrupted (</w:t>
      </w:r>
      <w:r>
        <w:rPr>
          <w:rFonts w:ascii="Times New Roman" w:cs="Times New Roman" w:eastAsia="Times New Roman" w:hAnsi="Times New Roman"/>
          <w:sz w:val="20"/>
          <w:szCs w:val="20"/>
          <w:i w:val="1"/>
          <w:iCs w:val="1"/>
          <w:color w:val="auto"/>
        </w:rPr>
        <w:t>beëindigd</w:t>
      </w:r>
      <w:r>
        <w:rPr>
          <w:rFonts w:ascii="Times New Roman" w:cs="Times New Roman" w:eastAsia="Times New Roman" w:hAnsi="Times New Roman"/>
          <w:sz w:val="20"/>
          <w:szCs w:val="20"/>
          <w:color w:val="auto"/>
        </w:rPr>
        <w:t>) as a result of or in connection with the Administrative Agent enforcing its rights under any Netherlands Security Document, such Loan Party shall, at the request of the Administrative Agent and together with the parent company (</w:t>
      </w:r>
      <w:r>
        <w:rPr>
          <w:rFonts w:ascii="Times New Roman" w:cs="Times New Roman" w:eastAsia="Times New Roman" w:hAnsi="Times New Roman"/>
          <w:sz w:val="20"/>
          <w:szCs w:val="20"/>
          <w:i w:val="1"/>
          <w:iCs w:val="1"/>
          <w:color w:val="auto"/>
        </w:rPr>
        <w:t>moedermaatschappij</w:t>
      </w:r>
      <w:r>
        <w:rPr>
          <w:rFonts w:ascii="Times New Roman" w:cs="Times New Roman" w:eastAsia="Times New Roman" w:hAnsi="Times New Roman"/>
          <w:sz w:val="20"/>
          <w:szCs w:val="20"/>
          <w:color w:val="auto"/>
        </w:rPr>
        <w:t>) or deemed parent company (</w:t>
      </w:r>
      <w:r>
        <w:rPr>
          <w:rFonts w:ascii="Times New Roman" w:cs="Times New Roman" w:eastAsia="Times New Roman" w:hAnsi="Times New Roman"/>
          <w:sz w:val="20"/>
          <w:szCs w:val="20"/>
          <w:i w:val="1"/>
          <w:iCs w:val="1"/>
          <w:color w:val="auto"/>
        </w:rPr>
        <w:t>aangewezen moedermaatschappij</w:t>
      </w:r>
      <w:r>
        <w:rPr>
          <w:rFonts w:ascii="Times New Roman" w:cs="Times New Roman" w:eastAsia="Times New Roman" w:hAnsi="Times New Roman"/>
          <w:sz w:val="20"/>
          <w:szCs w:val="20"/>
          <w:color w:val="auto"/>
        </w:rPr>
        <w:t>) of that fiscal unity, for no consideration and as soon as reasonably practicable, lodge a request with the relevant governmental body to allocate and surrender any tax losses (within the meaning of Article 20 of the Dutch Corporate Income Tax Act (</w:t>
      </w:r>
      <w:r>
        <w:rPr>
          <w:rFonts w:ascii="Times New Roman" w:cs="Times New Roman" w:eastAsia="Times New Roman" w:hAnsi="Times New Roman"/>
          <w:sz w:val="20"/>
          <w:szCs w:val="20"/>
          <w:i w:val="1"/>
          <w:iCs w:val="1"/>
          <w:color w:val="auto"/>
        </w:rPr>
        <w:t>Wet op de vennootschapsbelasting 1969</w:t>
      </w:r>
      <w:r>
        <w:rPr>
          <w:rFonts w:ascii="Times New Roman" w:cs="Times New Roman" w:eastAsia="Times New Roman" w:hAnsi="Times New Roman"/>
          <w:sz w:val="20"/>
          <w:szCs w:val="20"/>
          <w:color w:val="auto"/>
        </w:rPr>
        <w:t>)), any interest expenses available for carry forward (within the meaning of Article 15b(5) of the Dutch Corporate Income Tax Act) and/or Tax credit carry forward (within the meaning of Article 25a of the Dutch Corporate Income Tax Act) to the Loan Party leaving the fiscal unity, to the extent such tax losses are attributable (</w:t>
      </w:r>
      <w:r>
        <w:rPr>
          <w:rFonts w:ascii="Times New Roman" w:cs="Times New Roman" w:eastAsia="Times New Roman" w:hAnsi="Times New Roman"/>
          <w:sz w:val="20"/>
          <w:szCs w:val="20"/>
          <w:i w:val="1"/>
          <w:iCs w:val="1"/>
          <w:color w:val="auto"/>
        </w:rPr>
        <w:t>toerekenbaar</w:t>
      </w:r>
      <w:r>
        <w:rPr>
          <w:rFonts w:ascii="Times New Roman" w:cs="Times New Roman" w:eastAsia="Times New Roman" w:hAnsi="Times New Roman"/>
          <w:sz w:val="20"/>
          <w:szCs w:val="20"/>
          <w:color w:val="auto"/>
        </w:rPr>
        <w:t>) to that Loan Party (within the meaning of Articles 15af, 15al and 15ahb of the Dutch Corporate Income Tax Act).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94"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So long as the Termination Date has not occurred, the Company shall not, nor shall it permit any Restricted Subsidiary to, directly or indirectly:</w:t>
      </w:r>
    </w:p>
    <w:p>
      <w:pPr>
        <w:spacing w:after="0" w:line="15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7.01 Liens. </w:t>
      </w:r>
      <w:r>
        <w:rPr>
          <w:rFonts w:ascii="Times New Roman" w:cs="Times New Roman" w:eastAsia="Times New Roman" w:hAnsi="Times New Roman"/>
          <w:sz w:val="20"/>
          <w:szCs w:val="20"/>
          <w:color w:val="auto"/>
        </w:rPr>
        <w:t>Create, incur, assume or suffer to exist any Lien upon any of its property, assets or revenues, whether now owned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hereafter acquired, other than the following:</w:t>
      </w:r>
    </w:p>
    <w:p>
      <w:pPr>
        <w:spacing w:after="0" w:line="156" w:lineRule="exact"/>
        <w:rPr>
          <w:sz w:val="20"/>
          <w:szCs w:val="20"/>
          <w:color w:val="auto"/>
        </w:rPr>
      </w:pPr>
    </w:p>
    <w:p>
      <w:pPr>
        <w:ind w:left="1520" w:hanging="389"/>
        <w:spacing w:after="0"/>
        <w:tabs>
          <w:tab w:leader="none" w:pos="15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date hereof and listed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and any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7.03(b)</w:t>
      </w:r>
      <w:r>
        <w:rPr>
          <w:rFonts w:ascii="Times New Roman" w:cs="Times New Roman" w:eastAsia="Times New Roman" w:hAnsi="Times New Roman"/>
          <w:sz w:val="20"/>
          <w:szCs w:val="20"/>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0"/>
          <w:szCs w:val="20"/>
          <w:u w:val="single" w:color="auto"/>
          <w:color w:val="auto"/>
        </w:rPr>
        <w:t>Section 7.03(b)</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(i) not yet due or as to which the period of grace (not to exceed thirty (30) days), if any, related thereto has not expired or (ii) which are being contested in good faith and by appropriate proceedings diligently conducted, if adequate reserves with respect thereto are maintained on the books of the applicable Person in accordance with GAAP;</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179" w:lineRule="exact"/>
        <w:rPr>
          <w:rFonts w:ascii="Times New Roman" w:cs="Times New Roman" w:eastAsia="Times New Roman" w:hAnsi="Times New Roman"/>
          <w:sz w:val="20"/>
          <w:szCs w:val="20"/>
          <w:color w:val="auto"/>
        </w:rPr>
      </w:pPr>
    </w:p>
    <w:p>
      <w:pPr>
        <w:ind w:left="380" w:right="60" w:firstLine="751"/>
        <w:spacing w:after="0" w:line="269" w:lineRule="auto"/>
        <w:tabs>
          <w:tab w:leader="none" w:pos="152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59"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Section 8.01(h)</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7.03(f)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do not at any time encumber any property other than the property financed by such Indebtedness and, in the case of Indebtedness assumed in connection with a Permitted Acquisition, the property subject thereto immediately prior to such Acquisition and (ii) the Indebtedness secured thereby does not exceed the cost or fair market value, whichever is lower, of the property being acquired on the date of acquisition;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62" w:name="page163"/>
    <w:bookmarkEnd w:id="162"/>
    <w:p>
      <w:pPr>
        <w:jc w:val="both"/>
        <w:ind w:left="-20" w:firstLine="751"/>
        <w:spacing w:after="0" w:line="266" w:lineRule="auto"/>
        <w:tabs>
          <w:tab w:leader="none" w:pos="1125"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if any, in favor of a surety granted by the Company and/or its Restricted Subsidiaries arising by operation of law or under any indemnity agreement or surety agreement entered into in the ordinary course of business in connection with construction-related bid or performance bonds;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Lien does not at any time encumber any property other than the applicable bonded contractual obligation and the accounts receivable, material and equipment under such applicable bonded contractual obligation;</w:t>
      </w:r>
    </w:p>
    <w:p>
      <w:pPr>
        <w:spacing w:after="0" w:line="165" w:lineRule="exact"/>
        <w:rPr>
          <w:rFonts w:ascii="Times New Roman" w:cs="Times New Roman" w:eastAsia="Times New Roman" w:hAnsi="Times New Roman"/>
          <w:sz w:val="19"/>
          <w:szCs w:val="19"/>
          <w:color w:val="auto"/>
        </w:rPr>
      </w:pPr>
    </w:p>
    <w:p>
      <w:pPr>
        <w:jc w:val="both"/>
        <w:ind w:left="-20" w:firstLine="751"/>
        <w:spacing w:after="0" w:line="246" w:lineRule="auto"/>
        <w:tabs>
          <w:tab w:leader="none" w:pos="112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collateral securing Indebtedness permitted under </w:t>
      </w:r>
      <w:r>
        <w:rPr>
          <w:rFonts w:ascii="Times New Roman" w:cs="Times New Roman" w:eastAsia="Times New Roman" w:hAnsi="Times New Roman"/>
          <w:sz w:val="20"/>
          <w:szCs w:val="20"/>
          <w:u w:val="single" w:color="auto"/>
          <w:color w:val="auto"/>
        </w:rPr>
        <w:t>Section 7.03(j)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amount of obligations secured thereby shall not exceed the greater of (A) $20,000,000 and (B) 10% of Consolidated Net Tangible Assets as of the most recently ended period of four consecutive fiscal quarters for which financial information is available prior to the incurrence of such obligations and (ii) the amount of cash collateral provided shall not exceed 110% of the face amount of the letter of credit or bank guarantee secured thereby;</w:t>
      </w:r>
    </w:p>
    <w:p>
      <w:pPr>
        <w:spacing w:after="0" w:line="184" w:lineRule="exact"/>
        <w:rPr>
          <w:rFonts w:ascii="Times New Roman" w:cs="Times New Roman" w:eastAsia="Times New Roman" w:hAnsi="Times New Roman"/>
          <w:sz w:val="20"/>
          <w:szCs w:val="20"/>
          <w:color w:val="auto"/>
        </w:rPr>
      </w:pPr>
    </w:p>
    <w:p>
      <w:pPr>
        <w:ind w:left="-20" w:right="40" w:firstLine="751"/>
        <w:spacing w:after="0" w:line="269" w:lineRule="auto"/>
        <w:tabs>
          <w:tab w:leader="none" w:pos="112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accounts receivable (and related assets customarily included in such transactions) arising under a Qualified Supply Chain Finance Program permitted under </w:t>
      </w:r>
      <w:r>
        <w:rPr>
          <w:rFonts w:ascii="Times New Roman" w:cs="Times New Roman" w:eastAsia="Times New Roman" w:hAnsi="Times New Roman"/>
          <w:sz w:val="20"/>
          <w:szCs w:val="20"/>
          <w:u w:val="single" w:color="auto"/>
          <w:color w:val="auto"/>
        </w:rPr>
        <w:t>Section 7.05(f)(ii)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20" w:right="20" w:firstLine="751"/>
        <w:spacing w:after="0" w:line="269" w:lineRule="auto"/>
        <w:tabs>
          <w:tab w:leader="none" w:pos="112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Cash Equivalents, deposit accounts and similar items of Foreign Subsidiaries securing obligations under any Cash Pooling Agreements, including any guarantees by any Foreign Subsidiary of such obligations of other Foreign Subsidiaries;</w:t>
      </w:r>
    </w:p>
    <w:p>
      <w:pPr>
        <w:spacing w:after="0" w:line="159" w:lineRule="exact"/>
        <w:rPr>
          <w:rFonts w:ascii="Times New Roman" w:cs="Times New Roman" w:eastAsia="Times New Roman" w:hAnsi="Times New Roman"/>
          <w:sz w:val="20"/>
          <w:szCs w:val="20"/>
          <w:color w:val="auto"/>
        </w:rPr>
      </w:pPr>
    </w:p>
    <w:p>
      <w:pPr>
        <w:ind w:left="-20" w:right="40" w:firstLine="751"/>
        <w:spacing w:after="0" w:line="269" w:lineRule="auto"/>
        <w:tabs>
          <w:tab w:leader="none" w:pos="112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the filing of precautionary UCC financing statements relating solely to personal property leased pursuant to operating leases or consignment arrangements, in each case, entered into in the ordinary course of business;</w:t>
      </w:r>
    </w:p>
    <w:p>
      <w:pPr>
        <w:spacing w:after="0" w:line="159"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2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Collateral securing (i) Incremental Equivalent Debt, (ii) Refinancing Debt or (iii) any Permitted Refinancing Indebtedness in respect of the foregoing, in each case subject to the holders thereof (or a duly authorized agent or trustee on their behalf) having entered into an Acceptable Intercreditor Agreement;</w:t>
      </w:r>
    </w:p>
    <w:p>
      <w:pPr>
        <w:spacing w:after="0" w:line="174" w:lineRule="exact"/>
        <w:rPr>
          <w:rFonts w:ascii="Times New Roman" w:cs="Times New Roman" w:eastAsia="Times New Roman" w:hAnsi="Times New Roman"/>
          <w:sz w:val="20"/>
          <w:szCs w:val="20"/>
          <w:color w:val="auto"/>
        </w:rPr>
      </w:pPr>
    </w:p>
    <w:p>
      <w:pPr>
        <w:ind w:left="1120" w:hanging="389"/>
        <w:spacing w:after="0"/>
        <w:tabs>
          <w:tab w:leader="none" w:pos="112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Qualified Securitization Assets securing Indebtedness permitted under </w:t>
      </w:r>
      <w:r>
        <w:rPr>
          <w:rFonts w:ascii="Times New Roman" w:cs="Times New Roman" w:eastAsia="Times New Roman" w:hAnsi="Times New Roman"/>
          <w:sz w:val="20"/>
          <w:szCs w:val="20"/>
          <w:u w:val="single" w:color="auto"/>
          <w:color w:val="auto"/>
        </w:rPr>
        <w:t>Section 7.03(p)</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2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securing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aggregate amount of all such obligations so secured shall not exceed the greater of (i) $10,000,000 and (ii) 5% of Consolidated Net Tangible Assets as of the most recently ended period of four consecutive fiscal quarters for which financial information is available prior to the incurrence of such obligations.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 xml:space="preserve">7.02 Investments. </w:t>
      </w:r>
      <w:r>
        <w:rPr>
          <w:rFonts w:ascii="Times New Roman" w:cs="Times New Roman" w:eastAsia="Times New Roman" w:hAnsi="Times New Roman"/>
          <w:sz w:val="20"/>
          <w:szCs w:val="20"/>
          <w:color w:val="auto"/>
        </w:rPr>
        <w:t>Make or hold any Investments, except:</w:t>
      </w:r>
    </w:p>
    <w:p>
      <w:pPr>
        <w:spacing w:after="0" w:line="220" w:lineRule="exact"/>
        <w:rPr>
          <w:sz w:val="20"/>
          <w:szCs w:val="20"/>
          <w:color w:val="auto"/>
        </w:rPr>
      </w:pPr>
    </w:p>
    <w:p>
      <w:pPr>
        <w:ind w:left="1120" w:hanging="389"/>
        <w:spacing w:after="0"/>
        <w:tabs>
          <w:tab w:leader="none" w:pos="11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the Company or such Restricted Subsidiary in the form of Cash Equivalents;</w:t>
      </w:r>
    </w:p>
    <w:p>
      <w:pPr>
        <w:spacing w:after="0" w:line="215" w:lineRule="exact"/>
        <w:rPr>
          <w:rFonts w:ascii="Times New Roman" w:cs="Times New Roman" w:eastAsia="Times New Roman" w:hAnsi="Times New Roman"/>
          <w:sz w:val="20"/>
          <w:szCs w:val="20"/>
          <w:color w:val="auto"/>
        </w:rPr>
      </w:pPr>
    </w:p>
    <w:p>
      <w:pPr>
        <w:ind w:left="-20" w:right="40" w:firstLine="751"/>
        <w:spacing w:after="0" w:line="269" w:lineRule="auto"/>
        <w:tabs>
          <w:tab w:leader="none" w:pos="112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officers, directors and employees of the Company and Restricted Subsidiaries in the ordinary course of business in an aggregate amount not to exceed $1,000,000 at any time outstanding;</w:t>
      </w:r>
    </w:p>
    <w:p>
      <w:pPr>
        <w:spacing w:after="0" w:line="159" w:lineRule="exact"/>
        <w:rPr>
          <w:rFonts w:ascii="Times New Roman" w:cs="Times New Roman" w:eastAsia="Times New Roman" w:hAnsi="Times New Roman"/>
          <w:sz w:val="20"/>
          <w:szCs w:val="20"/>
          <w:color w:val="auto"/>
        </w:rPr>
      </w:pPr>
    </w:p>
    <w:p>
      <w:pPr>
        <w:jc w:val="both"/>
        <w:ind w:left="-20" w:firstLine="751"/>
        <w:spacing w:after="0" w:line="249" w:lineRule="auto"/>
        <w:tabs>
          <w:tab w:leader="none" w:pos="112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on the Closing Date in Subsidiaries existing on the Closing Date (other than Investments existing on the Closing Date in the Netherlands Designated Borrower); (ii) Investments existing on the Closing Date (other than Investments in Subsidiaries existing on the Closing Date) and described on </w:t>
      </w: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 (iii) Investments made after the Closing Date by any Loan Party in any other Loan Party (limited, in the case of U.S. Loan Parties, to Investments in each</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63" w:name="page164"/>
    <w:bookmarkEnd w:id="163"/>
    <w:p>
      <w:pPr>
        <w:jc w:val="both"/>
        <w:spacing w:after="0" w:line="249" w:lineRule="auto"/>
        <w:rPr>
          <w:sz w:val="20"/>
          <w:szCs w:val="20"/>
          <w:color w:val="auto"/>
        </w:rPr>
      </w:pPr>
      <w:r>
        <w:rPr>
          <w:rFonts w:ascii="Times New Roman" w:cs="Times New Roman" w:eastAsia="Times New Roman" w:hAnsi="Times New Roman"/>
          <w:sz w:val="20"/>
          <w:szCs w:val="20"/>
          <w:color w:val="auto"/>
        </w:rPr>
        <w:t>other and in other Loan Parties that have Guaranteed the Obligations of the Company); (iv) Investments made after the Closing Date by any Restricted Subsidiary that is not a Loan Party in any other Restricted Subsidiary that is not a Loan Party; (v) Investments made after the Closing Date by any Restricted Subsidiary that is not a Loan Party in any Loan Party; and (vi) Investments made in the ordinary course of business in any Restricted Subsidiary in connection with Cash Pooling Agreements;</w:t>
      </w:r>
    </w:p>
    <w:p>
      <w:pPr>
        <w:spacing w:after="0" w:line="180" w:lineRule="exact"/>
        <w:rPr>
          <w:sz w:val="20"/>
          <w:szCs w:val="20"/>
          <w:color w:val="auto"/>
        </w:rPr>
      </w:pPr>
    </w:p>
    <w:p>
      <w:pPr>
        <w:jc w:val="both"/>
        <w:ind w:right="20" w:firstLine="751"/>
        <w:spacing w:after="0" w:line="254"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4" w:lineRule="exact"/>
        <w:rPr>
          <w:rFonts w:ascii="Times New Roman" w:cs="Times New Roman" w:eastAsia="Times New Roman" w:hAnsi="Times New Roman"/>
          <w:sz w:val="20"/>
          <w:szCs w:val="20"/>
          <w:color w:val="auto"/>
        </w:rPr>
      </w:pPr>
    </w:p>
    <w:p>
      <w:pPr>
        <w:ind w:left="1140" w:hanging="389"/>
        <w:spacing w:after="0"/>
        <w:tabs>
          <w:tab w:leader="none" w:pos="114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1"/>
        <w:spacing w:after="0" w:line="244"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any Loan Party after the Closing Date (i) in any Subsidiary that is either not a Loan Party or is a Loan Party that has not Guaranteed the Obligations of the Company or (ii) in joint ventures;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amount of all such Investments described in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when taken together with the aggregate amount of Investments made in the form of Permitted Acquisitions pursuant to </w:t>
      </w:r>
      <w:r>
        <w:rPr>
          <w:rFonts w:ascii="Times New Roman" w:cs="Times New Roman" w:eastAsia="Times New Roman" w:hAnsi="Times New Roman"/>
          <w:sz w:val="20"/>
          <w:szCs w:val="20"/>
          <w:u w:val="single" w:color="auto"/>
          <w:color w:val="auto"/>
        </w:rPr>
        <w:t>Section 7.02(g)(ii)</w:t>
      </w:r>
      <w:r>
        <w:rPr>
          <w:rFonts w:ascii="Times New Roman" w:cs="Times New Roman" w:eastAsia="Times New Roman" w:hAnsi="Times New Roman"/>
          <w:sz w:val="20"/>
          <w:szCs w:val="20"/>
          <w:color w:val="auto"/>
        </w:rPr>
        <w:t xml:space="preserve">, shall not at any time exceed the Investment Amount and (B) any Investments in the form of loans or advances made by any Loan Party pursuant to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be evidenced by a demand note in form and substance reasonably satisfactory to the Administrative Agent and shall be pledged and delivered to the Administrative Agent pursuant to the Collateral Documents;</w:t>
      </w:r>
    </w:p>
    <w:p>
      <w:pPr>
        <w:spacing w:after="0" w:line="185" w:lineRule="exact"/>
        <w:rPr>
          <w:rFonts w:ascii="Times New Roman" w:cs="Times New Roman" w:eastAsia="Times New Roman" w:hAnsi="Times New Roman"/>
          <w:sz w:val="20"/>
          <w:szCs w:val="20"/>
          <w:color w:val="auto"/>
        </w:rPr>
      </w:pPr>
    </w:p>
    <w:p>
      <w:pPr>
        <w:ind w:left="1140" w:hanging="389"/>
        <w:spacing w:after="0"/>
        <w:tabs>
          <w:tab w:leader="none" w:pos="114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Company or any Restricted Subsidiary in the form of:</w:t>
      </w:r>
    </w:p>
    <w:p>
      <w:pPr>
        <w:spacing w:after="0" w:line="215" w:lineRule="exact"/>
        <w:rPr>
          <w:rFonts w:ascii="Times New Roman" w:cs="Times New Roman" w:eastAsia="Times New Roman" w:hAnsi="Times New Roman"/>
          <w:sz w:val="20"/>
          <w:szCs w:val="20"/>
          <w:color w:val="auto"/>
        </w:rPr>
      </w:pPr>
    </w:p>
    <w:p>
      <w:pPr>
        <w:jc w:val="both"/>
        <w:ind w:left="760" w:firstLine="740"/>
        <w:spacing w:after="0" w:line="254" w:lineRule="auto"/>
        <w:tabs>
          <w:tab w:leader="none" w:pos="1904"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Acquisitions to the extent that any Person or property acquired in such Permitted Acquisition becomes a part of the Company or a Loan Party that has Guaranteed the Obligations of the Company or becomes a Subsidiary Guarantor which Guarantees the Obligations of the Company in the manner contemplated by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760" w:firstLine="740"/>
        <w:spacing w:after="0" w:line="249" w:lineRule="auto"/>
        <w:tabs>
          <w:tab w:leader="none" w:pos="1904"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Acquisitions after the Closing Date to the extent that any Person or property acquired in such Permitted Acquisition does not become a Loan Party that has Guaranteed the Obligations of the Company or a part of a Loan Party that has Guaranteed the Obligations of the Company in an aggregate amount, when taken together with the aggregate amount of Investments made pursuant to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not to exceed the Investment Amount;</w:t>
      </w:r>
    </w:p>
    <w:p>
      <w:pPr>
        <w:spacing w:after="0" w:line="179" w:lineRule="exact"/>
        <w:rPr>
          <w:rFonts w:ascii="Times New Roman" w:cs="Times New Roman" w:eastAsia="Times New Roman" w:hAnsi="Times New Roman"/>
          <w:sz w:val="20"/>
          <w:szCs w:val="20"/>
          <w:color w:val="auto"/>
        </w:rPr>
      </w:pPr>
    </w:p>
    <w:p>
      <w:pPr>
        <w:jc w:val="both"/>
        <w:ind w:firstLine="751"/>
        <w:spacing w:after="0" w:line="246"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of a Person or any of its Restricted Subsidiaries existing at the time such Person becomes a Restricted Subsidiary of the Company or at the time such Person merges or consolidates with the Company or any of its Restricted Subsidiaries, in either case,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Investments were not made by such Person in connection with, or in anticipation or contemplation of, such Person becoming a Restricted Subsidiary of the Company or such merger or consolidation;</w:t>
      </w:r>
    </w:p>
    <w:p>
      <w:pPr>
        <w:spacing w:after="0" w:line="184" w:lineRule="exact"/>
        <w:rPr>
          <w:rFonts w:ascii="Times New Roman" w:cs="Times New Roman" w:eastAsia="Times New Roman" w:hAnsi="Times New Roman"/>
          <w:sz w:val="20"/>
          <w:szCs w:val="20"/>
          <w:color w:val="auto"/>
        </w:rPr>
      </w:pPr>
    </w:p>
    <w:p>
      <w:pPr>
        <w:ind w:firstLine="751"/>
        <w:spacing w:after="0" w:line="295" w:lineRule="auto"/>
        <w:tabs>
          <w:tab w:leader="none" w:pos="1145"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Investments existing on the Closing Date that were made pursuant to either of </w:t>
      </w:r>
      <w:r>
        <w:rPr>
          <w:rFonts w:ascii="Times New Roman" w:cs="Times New Roman" w:eastAsia="Times New Roman" w:hAnsi="Times New Roman"/>
          <w:sz w:val="19"/>
          <w:szCs w:val="19"/>
          <w:u w:val="single" w:color="auto"/>
          <w:color w:val="auto"/>
        </w:rPr>
        <w:t>Section 7.02(f)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(g)(ii)</w:t>
      </w:r>
      <w:r>
        <w:rPr>
          <w:rFonts w:ascii="Times New Roman" w:cs="Times New Roman" w:eastAsia="Times New Roman" w:hAnsi="Times New Roman"/>
          <w:sz w:val="19"/>
          <w:szCs w:val="19"/>
          <w:color w:val="auto"/>
        </w:rPr>
        <w:t xml:space="preserve">, in each case, to the extent permitted pursuant to the terms thereof as in effect immediately prior to the Closing Date, and described on </w:t>
      </w:r>
      <w:r>
        <w:rPr>
          <w:rFonts w:ascii="Times New Roman" w:cs="Times New Roman" w:eastAsia="Times New Roman" w:hAnsi="Times New Roman"/>
          <w:sz w:val="19"/>
          <w:szCs w:val="19"/>
          <w:u w:val="single" w:color="auto"/>
          <w:color w:val="auto"/>
        </w:rPr>
        <w:t>Schedule 7.02</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1140" w:hanging="389"/>
        <w:spacing w:after="0"/>
        <w:tabs>
          <w:tab w:leader="none" w:pos="114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Rubber Joint Venture Investment;</w:t>
      </w:r>
    </w:p>
    <w:p>
      <w:pPr>
        <w:spacing w:after="0" w:line="215" w:lineRule="exact"/>
        <w:rPr>
          <w:rFonts w:ascii="Times New Roman" w:cs="Times New Roman" w:eastAsia="Times New Roman" w:hAnsi="Times New Roman"/>
          <w:sz w:val="20"/>
          <w:szCs w:val="20"/>
          <w:color w:val="auto"/>
        </w:rPr>
      </w:pPr>
    </w:p>
    <w:p>
      <w:pPr>
        <w:jc w:val="both"/>
        <w:ind w:firstLine="751"/>
        <w:spacing w:after="0" w:line="254"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U.S. Loan Parties in the Netherlands Designated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amount of such Investments described in this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shall not at any time exceed (1) from the Closing Date through the date on which the Netherlands Designated Borrower has been properly joined</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9"/>
          <w:szCs w:val="19"/>
          <w:color w:val="auto"/>
        </w:rPr>
        <w:t xml:space="preserve">hereto as a Designated Borrower in accordance with the terms set forth in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$25,000,000 and (2) thereafter, $75,000,000, and</w:t>
      </w:r>
    </w:p>
    <w:p>
      <w:pPr>
        <w:spacing w:after="0" w:line="33" w:lineRule="exact"/>
        <w:rPr>
          <w:sz w:val="20"/>
          <w:szCs w:val="20"/>
          <w:color w:val="auto"/>
        </w:rPr>
      </w:pPr>
    </w:p>
    <w:p>
      <w:pPr>
        <w:jc w:val="both"/>
        <w:ind w:firstLine="2"/>
        <w:spacing w:after="0" w:line="242" w:lineRule="auto"/>
        <w:tabs>
          <w:tab w:leader="none" w:pos="292"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Investments in the form of loans or advances made by any Loan Party pursuant to this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shall be evidenced by a demand note in form and substance reasonably satisfactory to the Administrative Agent and shall be pledged and delivered to the Administrative Agent pursuant to the Collateral Documents;</w:t>
      </w:r>
    </w:p>
    <w:p>
      <w:pPr>
        <w:spacing w:after="0" w:line="186" w:lineRule="exact"/>
        <w:rPr>
          <w:rFonts w:ascii="Times New Roman" w:cs="Times New Roman" w:eastAsia="Times New Roman" w:hAnsi="Times New Roman"/>
          <w:sz w:val="20"/>
          <w:szCs w:val="20"/>
          <w:color w:val="auto"/>
        </w:rPr>
      </w:pPr>
    </w:p>
    <w:p>
      <w:pPr>
        <w:ind w:right="20" w:firstLine="751"/>
        <w:spacing w:after="0" w:line="295" w:lineRule="auto"/>
        <w:tabs>
          <w:tab w:leader="none" w:pos="1145"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(i) the Korean facility operated by one or more Restricted Subsidiaries in an aggregate amount not to exceed $8,000,000 and (ii) the Indian businesses of one or more Restricted Subsidiaries in an aggregate amount to exceed $10,000,000;</w:t>
      </w:r>
    </w:p>
    <w:p>
      <w:pPr>
        <w:spacing w:after="0" w:line="137" w:lineRule="exact"/>
        <w:rPr>
          <w:rFonts w:ascii="Times New Roman" w:cs="Times New Roman" w:eastAsia="Times New Roman" w:hAnsi="Times New Roman"/>
          <w:sz w:val="19"/>
          <w:szCs w:val="19"/>
          <w:color w:val="auto"/>
        </w:rPr>
      </w:pPr>
    </w:p>
    <w:p>
      <w:pPr>
        <w:ind w:left="1140" w:hanging="389"/>
        <w:spacing w:after="0"/>
        <w:tabs>
          <w:tab w:leader="none" w:pos="1140"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Bond Hedge Transaction and any Permitted Warrant Transaction;</w:t>
      </w:r>
    </w:p>
    <w:p>
      <w:pPr>
        <w:spacing w:after="0" w:line="215" w:lineRule="exact"/>
        <w:rPr>
          <w:rFonts w:ascii="Times New Roman" w:cs="Times New Roman" w:eastAsia="Times New Roman" w:hAnsi="Times New Roman"/>
          <w:sz w:val="20"/>
          <w:szCs w:val="20"/>
          <w:color w:val="auto"/>
        </w:rPr>
      </w:pPr>
    </w:p>
    <w:p>
      <w:pPr>
        <w:ind w:left="1140" w:hanging="389"/>
        <w:spacing w:after="0"/>
        <w:tabs>
          <w:tab w:leader="none" w:pos="1140"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 Receivables Subsidiary arising as a result of a Securitization Transaction permitted hereunder; and</w:t>
      </w:r>
    </w:p>
    <w:p>
      <w:pPr>
        <w:spacing w:after="0" w:line="215" w:lineRule="exact"/>
        <w:rPr>
          <w:rFonts w:ascii="Times New Roman" w:cs="Times New Roman" w:eastAsia="Times New Roman" w:hAnsi="Times New Roman"/>
          <w:sz w:val="20"/>
          <w:szCs w:val="20"/>
          <w:color w:val="auto"/>
        </w:rPr>
      </w:pPr>
    </w:p>
    <w:p>
      <w:pPr>
        <w:jc w:val="both"/>
        <w:ind w:firstLine="751"/>
        <w:spacing w:after="0" w:line="256" w:lineRule="auto"/>
        <w:tabs>
          <w:tab w:leader="none" w:pos="1145"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Investments (other than in any Unrestricted Subsidiary) so long as, after giving thereto, (i) at any time prior to the Longhorn Acquisition Funding Date, the amount of Investments made pursuant to this </w:t>
      </w:r>
      <w:r>
        <w:rPr>
          <w:rFonts w:ascii="Times New Roman" w:cs="Times New Roman" w:eastAsia="Times New Roman" w:hAnsi="Times New Roman"/>
          <w:sz w:val="19"/>
          <w:szCs w:val="19"/>
          <w:u w:val="single" w:color="auto"/>
          <w:color w:val="auto"/>
        </w:rPr>
        <w:t>clause (o)</w:t>
      </w:r>
      <w:r>
        <w:rPr>
          <w:rFonts w:ascii="Times New Roman" w:cs="Times New Roman" w:eastAsia="Times New Roman" w:hAnsi="Times New Roman"/>
          <w:sz w:val="19"/>
          <w:szCs w:val="19"/>
          <w:color w:val="auto"/>
        </w:rPr>
        <w:t xml:space="preserve"> in the fiscal quarter in which such Investment is made and in the three fiscal quarters immediately preceding such fiscal quarter, in the aggregate, does not exceed $10,000,000 and (ii) from and after the Longhorn Acquisition Funding Date, (A) the Company shall be in compliance with the financial covenants set forth in </w:t>
      </w:r>
      <w:r>
        <w:rPr>
          <w:rFonts w:ascii="Times New Roman" w:cs="Times New Roman" w:eastAsia="Times New Roman" w:hAnsi="Times New Roman"/>
          <w:sz w:val="19"/>
          <w:szCs w:val="19"/>
          <w:u w:val="single" w:color="auto"/>
          <w:color w:val="auto"/>
        </w:rPr>
        <w:t>Sections 7.11(b)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7.11(c)</w:t>
      </w:r>
      <w:r>
        <w:rPr>
          <w:rFonts w:ascii="Times New Roman" w:cs="Times New Roman" w:eastAsia="Times New Roman" w:hAnsi="Times New Roman"/>
          <w:sz w:val="19"/>
          <w:szCs w:val="19"/>
          <w:color w:val="auto"/>
        </w:rPr>
        <w:t xml:space="preserve"> and the Consolidated Net Leverage Ratio and the Consolidated Secured Net Leverage Ratio shall not be greater than 4.00 to 1.00 and 3.50 to 1.00, respectively, in each case determined on a Pro Forma Basis as of the most recently ended period of four consecutive fiscal quarters for which financial information is available prior to such Investment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each Investment or series of related Investments involving aggregate consideration of $40,000,000 or more, the Company shall have delivered to the Administrative Agent a Compliance Certificate demonstrating the pro forma compliance required by this </w:t>
      </w:r>
      <w:r>
        <w:rPr>
          <w:rFonts w:ascii="Times New Roman" w:cs="Times New Roman" w:eastAsia="Times New Roman" w:hAnsi="Times New Roman"/>
          <w:sz w:val="19"/>
          <w:szCs w:val="19"/>
          <w:u w:val="single" w:color="auto"/>
          <w:color w:val="auto"/>
        </w:rPr>
        <w:t>clause (n)(ii)(A)</w:t>
      </w:r>
      <w:r>
        <w:rPr>
          <w:rFonts w:ascii="Times New Roman" w:cs="Times New Roman" w:eastAsia="Times New Roman" w:hAnsi="Times New Roman"/>
          <w:sz w:val="19"/>
          <w:szCs w:val="19"/>
          <w:color w:val="auto"/>
        </w:rPr>
        <w:t>) and (B) immediately before and immediately after giving effect to any such Investment (including any assumption or incurrence of Indebtedness in connection therewith), no Event of Default shall have occurred and be continuing.</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 xml:space="preserve">7.03 Indebtedness. </w:t>
      </w:r>
      <w:r>
        <w:rPr>
          <w:rFonts w:ascii="Times New Roman" w:cs="Times New Roman" w:eastAsia="Times New Roman" w:hAnsi="Times New Roman"/>
          <w:sz w:val="20"/>
          <w:szCs w:val="20"/>
          <w:color w:val="auto"/>
        </w:rPr>
        <w:t>Create, incur, assume or suffer to exist any Indebtedness, except:</w:t>
      </w:r>
    </w:p>
    <w:p>
      <w:pPr>
        <w:spacing w:after="0" w:line="220" w:lineRule="exact"/>
        <w:rPr>
          <w:sz w:val="20"/>
          <w:szCs w:val="20"/>
          <w:color w:val="auto"/>
        </w:rPr>
      </w:pPr>
    </w:p>
    <w:p>
      <w:pPr>
        <w:ind w:left="1140" w:hanging="389"/>
        <w:spacing w:after="0"/>
        <w:tabs>
          <w:tab w:leader="none" w:pos="114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215" w:lineRule="exact"/>
        <w:rPr>
          <w:rFonts w:ascii="Times New Roman" w:cs="Times New Roman" w:eastAsia="Times New Roman" w:hAnsi="Times New Roman"/>
          <w:sz w:val="20"/>
          <w:szCs w:val="20"/>
          <w:color w:val="auto"/>
        </w:rPr>
      </w:pPr>
    </w:p>
    <w:p>
      <w:pPr>
        <w:ind w:right="20" w:firstLine="751"/>
        <w:spacing w:after="0" w:line="269" w:lineRule="auto"/>
        <w:tabs>
          <w:tab w:leader="none" w:pos="114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and any Permitted Refinancing Indebtedness in respect thereof;</w:t>
      </w:r>
    </w:p>
    <w:p>
      <w:pPr>
        <w:spacing w:after="0" w:line="159" w:lineRule="exact"/>
        <w:rPr>
          <w:rFonts w:ascii="Times New Roman" w:cs="Times New Roman" w:eastAsia="Times New Roman" w:hAnsi="Times New Roman"/>
          <w:sz w:val="20"/>
          <w:szCs w:val="20"/>
          <w:color w:val="auto"/>
        </w:rPr>
      </w:pPr>
    </w:p>
    <w:p>
      <w:pPr>
        <w:jc w:val="both"/>
        <w:ind w:firstLine="751"/>
        <w:spacing w:after="0" w:line="242" w:lineRule="auto"/>
        <w:tabs>
          <w:tab w:leader="none" w:pos="114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 Indebtedness of any U.S. Loan Party to another U.S. Loan Party and Guarantees of any U.S. Loan Party in respect of Indebtedness otherwise permitted hereunder of another U.S. Loan Party; (ii) Indebtedness of any Restricted Subsidiary that is not a Loan Party to another Restricted Subsidiary that is not a Loan Party and Guarantees of any Restricted Subsidiary that is not a Loan Party in respect of Indebtedness otherwise permitted hereunder of another Restricted Subsidiary that is not a Loan Party; (iii) Indebtedness of a Restricted Subsidiary that is either not a Loan Party or is a Loan Party that has not Guaranteed the Obligations of the Company to the Company or any wholly-owned Restricted Subsidiary that is a Loan Party to the extent such Indebtedness is permitted by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7.02(i)</w:t>
      </w:r>
      <w:r>
        <w:rPr>
          <w:rFonts w:ascii="Times New Roman" w:cs="Times New Roman" w:eastAsia="Times New Roman" w:hAnsi="Times New Roman"/>
          <w:sz w:val="20"/>
          <w:szCs w:val="20"/>
          <w:color w:val="auto"/>
        </w:rPr>
        <w:t>; (iv) Indebtedness owed by any Loan Party to any Restricted Subsidiary that is not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shall be subordinated to the Obligations in a manner reasonably satisfactory to the Administrative Agent); and (v) Indebtedness of the Netherlands Designated Borrower payable to U.S. Loan Parties incurred in respect of Investments permitted pursuant to </w:t>
      </w:r>
      <w:r>
        <w:rPr>
          <w:rFonts w:ascii="Times New Roman" w:cs="Times New Roman" w:eastAsia="Times New Roman" w:hAnsi="Times New Roman"/>
          <w:sz w:val="20"/>
          <w:szCs w:val="20"/>
          <w:u w:val="single" w:color="auto"/>
          <w:color w:val="auto"/>
        </w:rPr>
        <w:t>Section 7.02(k)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65" w:name="page166"/>
    <w:bookmarkEnd w:id="165"/>
    <w:p>
      <w:pPr>
        <w:jc w:val="both"/>
        <w:ind w:left="-20" w:firstLine="751"/>
        <w:spacing w:after="0" w:line="245" w:lineRule="auto"/>
        <w:tabs>
          <w:tab w:leader="none" w:pos="112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of the Company or any Restricted Subsidiary existing or arising under any Swap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84" w:lineRule="exact"/>
        <w:rPr>
          <w:rFonts w:ascii="Times New Roman" w:cs="Times New Roman" w:eastAsia="Times New Roman" w:hAnsi="Times New Roman"/>
          <w:sz w:val="20"/>
          <w:szCs w:val="20"/>
          <w:color w:val="auto"/>
        </w:rPr>
      </w:pPr>
    </w:p>
    <w:p>
      <w:pPr>
        <w:jc w:val="both"/>
        <w:ind w:left="-20" w:firstLine="751"/>
        <w:spacing w:after="0" w:line="249" w:lineRule="auto"/>
        <w:tabs>
          <w:tab w:leader="none" w:pos="112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Capitalized Leases, Synthetic Lease Obligations and purchase money obligations for fixed or capital assets within the limitations set forth in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aggregate amount of all such Indebtedness shall not exceed the greater of (i) $20,000,000 and (ii) 10% of Consolidated Net Tangible Assets as of the most recently ended period of four consecutive fiscal quarters for which financial information is available prior to the incurrence of such Indebtedness;</w:t>
      </w:r>
    </w:p>
    <w:p>
      <w:pPr>
        <w:spacing w:after="0" w:line="179" w:lineRule="exact"/>
        <w:rPr>
          <w:rFonts w:ascii="Times New Roman" w:cs="Times New Roman" w:eastAsia="Times New Roman" w:hAnsi="Times New Roman"/>
          <w:sz w:val="20"/>
          <w:szCs w:val="20"/>
          <w:color w:val="auto"/>
        </w:rPr>
      </w:pPr>
    </w:p>
    <w:p>
      <w:pPr>
        <w:jc w:val="both"/>
        <w:ind w:left="-20" w:firstLine="751"/>
        <w:spacing w:after="0" w:line="246" w:lineRule="auto"/>
        <w:tabs>
          <w:tab w:leader="none" w:pos="112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in connection with Permitted Acquisitions (including existing Indebtedness of a Person acquired in connection with a Permitted Acquisition provided such Indebtedness was not incurred in anticipation of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aggregate amount of all such Indebtedness shall not exceed the greater of (i) $20,000,000 and (ii) 10% of Consolidated Net Tangible Assets as of the most recently ended period of four consecutive fiscal quarters for which financial information is available prior to the incurrence of such Indebtedness;</w:t>
      </w:r>
    </w:p>
    <w:p>
      <w:pPr>
        <w:spacing w:after="0" w:line="184" w:lineRule="exact"/>
        <w:rPr>
          <w:rFonts w:ascii="Times New Roman" w:cs="Times New Roman" w:eastAsia="Times New Roman" w:hAnsi="Times New Roman"/>
          <w:sz w:val="20"/>
          <w:szCs w:val="20"/>
          <w:color w:val="auto"/>
        </w:rPr>
      </w:pPr>
    </w:p>
    <w:p>
      <w:pPr>
        <w:ind w:left="-20" w:right="60" w:firstLine="751"/>
        <w:spacing w:after="0" w:line="269" w:lineRule="auto"/>
        <w:tabs>
          <w:tab w:leader="none" w:pos="112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“earn-out” and similar payments and obligations to make purchase price adjustments, indemnities and the like in connection with Acquisitions permitted hereby;</w:t>
      </w:r>
    </w:p>
    <w:p>
      <w:pPr>
        <w:spacing w:after="0" w:line="159" w:lineRule="exact"/>
        <w:rPr>
          <w:rFonts w:ascii="Times New Roman" w:cs="Times New Roman" w:eastAsia="Times New Roman" w:hAnsi="Times New Roman"/>
          <w:sz w:val="20"/>
          <w:szCs w:val="20"/>
          <w:color w:val="auto"/>
        </w:rPr>
      </w:pPr>
    </w:p>
    <w:p>
      <w:pPr>
        <w:jc w:val="both"/>
        <w:ind w:left="-20" w:firstLine="751"/>
        <w:spacing w:after="0" w:line="249" w:lineRule="auto"/>
        <w:tabs>
          <w:tab w:leader="none" w:pos="112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Restricted Subsidiaries that are Foreign Subsidiaries and Guarantees by the Company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aggregate amount of all such Indebtedness shall not exceed the greater of (i) $40,000,000 and (ii) 20% of Consolidated Net Tangible Assets as of the most recently ended period of four consecutive fiscal quarters for which financial information is available prior to the incurrence of such Indebtedness;</w:t>
      </w:r>
    </w:p>
    <w:p>
      <w:pPr>
        <w:spacing w:after="0" w:line="179" w:lineRule="exact"/>
        <w:rPr>
          <w:rFonts w:ascii="Times New Roman" w:cs="Times New Roman" w:eastAsia="Times New Roman" w:hAnsi="Times New Roman"/>
          <w:sz w:val="20"/>
          <w:szCs w:val="20"/>
          <w:color w:val="auto"/>
        </w:rPr>
      </w:pPr>
    </w:p>
    <w:p>
      <w:pPr>
        <w:ind w:left="1120" w:hanging="389"/>
        <w:spacing w:after="0"/>
        <w:tabs>
          <w:tab w:leader="none" w:pos="112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Permitted Standalone Letters of Credit;</w:t>
      </w:r>
    </w:p>
    <w:p>
      <w:pPr>
        <w:spacing w:after="0" w:line="215" w:lineRule="exact"/>
        <w:rPr>
          <w:rFonts w:ascii="Times New Roman" w:cs="Times New Roman" w:eastAsia="Times New Roman" w:hAnsi="Times New Roman"/>
          <w:sz w:val="20"/>
          <w:szCs w:val="20"/>
          <w:color w:val="auto"/>
        </w:rPr>
      </w:pPr>
    </w:p>
    <w:p>
      <w:pPr>
        <w:jc w:val="both"/>
        <w:ind w:left="-20" w:firstLine="751"/>
        <w:spacing w:after="0" w:line="249" w:lineRule="auto"/>
        <w:tabs>
          <w:tab w:leader="none" w:pos="112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other letters of credit and bank guarantees supporting the operations of the Company or any of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face amount of all such letters of credit and bank guarantees shall not exceed the greater of (i) $20,000,000 and (ii) 10% of Consolidated Net Tangible Assets as of the most recently ended period of four consecutive fiscal quarters for which financial information is available prior to the incurrence of such Indebtedness;</w:t>
      </w:r>
    </w:p>
    <w:p>
      <w:pPr>
        <w:spacing w:after="0" w:line="179" w:lineRule="exact"/>
        <w:rPr>
          <w:rFonts w:ascii="Times New Roman" w:cs="Times New Roman" w:eastAsia="Times New Roman" w:hAnsi="Times New Roman"/>
          <w:sz w:val="20"/>
          <w:szCs w:val="20"/>
          <w:color w:val="auto"/>
        </w:rPr>
      </w:pPr>
    </w:p>
    <w:p>
      <w:pPr>
        <w:ind w:left="-20" w:right="20" w:firstLine="751"/>
        <w:spacing w:after="0" w:line="269" w:lineRule="auto"/>
        <w:tabs>
          <w:tab w:leader="none" w:pos="112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bid, performance or surety, appeal or similar bonds and completion guarantees, in each case incurred in the ordinary course of business;</w:t>
      </w:r>
    </w:p>
    <w:p>
      <w:pPr>
        <w:spacing w:after="0" w:line="159" w:lineRule="exact"/>
        <w:rPr>
          <w:rFonts w:ascii="Times New Roman" w:cs="Times New Roman" w:eastAsia="Times New Roman" w:hAnsi="Times New Roman"/>
          <w:sz w:val="20"/>
          <w:szCs w:val="20"/>
          <w:color w:val="auto"/>
        </w:rPr>
      </w:pPr>
    </w:p>
    <w:p>
      <w:pPr>
        <w:jc w:val="both"/>
        <w:ind w:left="-20" w:firstLine="751"/>
        <w:spacing w:after="0" w:line="254" w:lineRule="auto"/>
        <w:tabs>
          <w:tab w:leader="none" w:pos="112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pursuant to a Qualified Supply Chain Finance Program permitted pursuant to </w:t>
      </w:r>
      <w:r>
        <w:rPr>
          <w:rFonts w:ascii="Times New Roman" w:cs="Times New Roman" w:eastAsia="Times New Roman" w:hAnsi="Times New Roman"/>
          <w:sz w:val="20"/>
          <w:szCs w:val="20"/>
          <w:u w:val="single" w:color="auto"/>
          <w:color w:val="auto"/>
        </w:rPr>
        <w:t>Section 7.05(f)(ii)</w:t>
      </w:r>
      <w:r>
        <w:rPr>
          <w:rFonts w:ascii="Times New Roman" w:cs="Times New Roman" w:eastAsia="Times New Roman" w:hAnsi="Times New Roman"/>
          <w:sz w:val="20"/>
          <w:szCs w:val="20"/>
          <w:color w:val="auto"/>
        </w:rPr>
        <w:t xml:space="preserve"> (solely to the extent the sales of accounts receivable under such Qualified Supply Chain Finance Program are intended to be “true sales” but include precautionary financing provisions);</w:t>
      </w:r>
    </w:p>
    <w:p>
      <w:pPr>
        <w:spacing w:after="0" w:line="174" w:lineRule="exact"/>
        <w:rPr>
          <w:rFonts w:ascii="Times New Roman" w:cs="Times New Roman" w:eastAsia="Times New Roman" w:hAnsi="Times New Roman"/>
          <w:sz w:val="20"/>
          <w:szCs w:val="20"/>
          <w:color w:val="auto"/>
        </w:rPr>
      </w:pPr>
    </w:p>
    <w:p>
      <w:pPr>
        <w:ind w:left="1120" w:hanging="389"/>
        <w:spacing w:after="0"/>
        <w:tabs>
          <w:tab w:leader="none" w:pos="112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Cash Pooling Agreements or guarantees thereof by any Foreign Subsidiary;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66" w:name="page167"/>
    <w:bookmarkEnd w:id="166"/>
    <w:p>
      <w:pPr>
        <w:jc w:val="both"/>
        <w:ind w:left="380" w:firstLine="751"/>
        <w:spacing w:after="0" w:line="254" w:lineRule="auto"/>
        <w:tabs>
          <w:tab w:leader="none" w:pos="1525"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 an aggregate principal amount not to exceed the greater of (i) $25,000,000 and (ii) 12.5% of Consolidated Net Tangible Assets as of the most recently ended period of four consecutive fiscal quarters for which financial information is available prior to the incurrence of such Indebtedness;</w:t>
      </w:r>
    </w:p>
    <w:p>
      <w:pPr>
        <w:spacing w:after="0" w:line="174"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Loan Party in respect of Incremental Equivalent Indebtedness not to exceed the available Incremental Facilities Limit at the time of incurrence thereof and any Permitted Refinancing Indebtedness in respect thereof;</w:t>
      </w:r>
    </w:p>
    <w:p>
      <w:pPr>
        <w:spacing w:after="0" w:line="159"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Attributable Indebtedness of a Receivables Subsidiary in respect of Securitization Transactions in an aggregate principal amount not to exceed $150,000,000 at any time outstanding; and</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unsecured Indebtedness (including, for the avoidance of doubt, Permitted Convertible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1" w:lineRule="exact"/>
        <w:rPr>
          <w:rFonts w:ascii="Times New Roman" w:cs="Times New Roman" w:eastAsia="Times New Roman" w:hAnsi="Times New Roman"/>
          <w:sz w:val="20"/>
          <w:szCs w:val="20"/>
          <w:color w:val="auto"/>
        </w:rPr>
      </w:pPr>
    </w:p>
    <w:p>
      <w:pPr>
        <w:jc w:val="both"/>
        <w:ind w:left="380" w:firstLine="2"/>
        <w:spacing w:after="0"/>
        <w:tabs>
          <w:tab w:leader="none" w:pos="63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satisfies each of the Permitted Indebtedness Conditions (except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thereof) and (ii) the Company shall be in compliance with the financial covenants set forth in </w:t>
      </w:r>
      <w:r>
        <w:rPr>
          <w:rFonts w:ascii="Times New Roman" w:cs="Times New Roman" w:eastAsia="Times New Roman" w:hAnsi="Times New Roman"/>
          <w:sz w:val="20"/>
          <w:szCs w:val="20"/>
          <w:u w:val="single" w:color="auto"/>
          <w:color w:val="auto"/>
        </w:rPr>
        <w:t>Sections 7.11(b)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7.11(c)</w:t>
      </w:r>
      <w:r>
        <w:rPr>
          <w:rFonts w:ascii="Times New Roman" w:cs="Times New Roman" w:eastAsia="Times New Roman" w:hAnsi="Times New Roman"/>
          <w:sz w:val="20"/>
          <w:szCs w:val="20"/>
          <w:color w:val="auto"/>
        </w:rPr>
        <w:t xml:space="preserve"> (giving effect to any then applicable Elevated Ratio Period), in each case determined on a Pro Forma Basis as of the most recently ended period of four consecutive fiscal quarters for which financial information is available prior to the incurrence of such Indebtedness (with compliance as to the requirements set forth herein being certified in writing by the Company to the Administrative Agent in the event that any such incurrence of Indebtedness is equal to or greater than $50,000,000).</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To the extent that the creation, incurrence or assumption of any Indebtedness could be attributable to more than one subsection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the Company may allocate such Indebtedness to any one or more of such subsections and in no event shall the same portion of Indebtedness be deemed to utilize or be attributable to more than one item.</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7.04 Fundamental Changes. </w:t>
      </w:r>
      <w:r>
        <w:rPr>
          <w:rFonts w:ascii="Times New Roman" w:cs="Times New Roman" w:eastAsia="Times New Roman" w:hAnsi="Times New Roman"/>
          <w:sz w:val="20"/>
          <w:szCs w:val="20"/>
          <w:color w:val="auto"/>
        </w:rPr>
        <w:t>Merge, dissolve, liquidate, consolidate with or into another Person, or Dispose of (whether in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or in a series of transactions) all or substantially all of its assets (whether now owned or hereafter acquired) to or in favor of any Person (including, in each case, pursuant to a Division), except that, so long as no Event of Default exists or would result therefrom:</w:t>
      </w:r>
    </w:p>
    <w:p>
      <w:pPr>
        <w:spacing w:after="0" w:line="173" w:lineRule="exact"/>
        <w:rPr>
          <w:sz w:val="20"/>
          <w:szCs w:val="20"/>
          <w:color w:val="auto"/>
        </w:rPr>
      </w:pPr>
    </w:p>
    <w:p>
      <w:pPr>
        <w:jc w:val="both"/>
        <w:ind w:left="380" w:firstLine="751"/>
        <w:spacing w:after="0" w:line="245" w:lineRule="auto"/>
        <w:tabs>
          <w:tab w:leader="none" w:pos="1525"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merge with (i)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the continuing or surviving Person, or (ii) any one or more other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when any Restricted Subsidiary that is a Loan Party is merging with another Restricted Subsidiary that is not a Loan Party, the Restricted Subsidiary that is a Loan Party shall be the continuing or surviving Person and (ii) when any Restricted Subsidiary that is a Loan Party that has Guaranteed the Obligations of the Company is merging with another Restricted Subsidiary, the Restricted Subsidiary that is a Loan Party that has Guaranteed the Obligations of the Company shall be the continuing or surviving Person;</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Dispose of all or substantially all of its assets (upon voluntary liquidation or otherwise) to the Company or to another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the transferor in such a transaction is a Loan Party, then the transferee must either be the Company or another Loan Party and (ii) if the transferor of such property is a Loan Party that has Guaranteed the Obligations of the Company, the transferee thereof must either be the Company or a Loan Party that has Guaranteed the Obligations of the Company; and</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acquisition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any Restricted Subsidiary may merge into or consolidate with any other Person or permit any other Person to merge into or consolidate with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each case, immediately after giving effect thereto (i) the</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7" w:name="page168"/>
    <w:bookmarkEnd w:id="167"/>
    <w:p>
      <w:pPr>
        <w:spacing w:after="0" w:line="269" w:lineRule="auto"/>
        <w:rPr>
          <w:sz w:val="20"/>
          <w:szCs w:val="20"/>
          <w:color w:val="auto"/>
        </w:rPr>
      </w:pPr>
      <w:r>
        <w:rPr>
          <w:rFonts w:ascii="Times New Roman" w:cs="Times New Roman" w:eastAsia="Times New Roman" w:hAnsi="Times New Roman"/>
          <w:sz w:val="20"/>
          <w:szCs w:val="20"/>
          <w:color w:val="auto"/>
        </w:rPr>
        <w:t>Person surviving such merger shall be a wholly-owned Restricted Subsidiary and (ii) in the case of any such merger to which any Loan Party (other than the Company) is a party, such Loan Party is the surviving Person.</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 xml:space="preserve">7.05 Dispositions. </w:t>
      </w:r>
      <w:r>
        <w:rPr>
          <w:rFonts w:ascii="Times New Roman" w:cs="Times New Roman" w:eastAsia="Times New Roman" w:hAnsi="Times New Roman"/>
          <w:sz w:val="20"/>
          <w:szCs w:val="20"/>
          <w:color w:val="auto"/>
        </w:rPr>
        <w:t>Make any Disposition, except:</w:t>
      </w:r>
    </w:p>
    <w:p>
      <w:pPr>
        <w:spacing w:after="0" w:line="220" w:lineRule="exact"/>
        <w:rPr>
          <w:sz w:val="20"/>
          <w:szCs w:val="20"/>
          <w:color w:val="auto"/>
        </w:rPr>
      </w:pPr>
    </w:p>
    <w:p>
      <w:pPr>
        <w:ind w:right="20" w:firstLine="751"/>
        <w:spacing w:after="0" w:line="269" w:lineRule="auto"/>
        <w:tabs>
          <w:tab w:leader="none" w:pos="1145"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assets or assets no longer used or useful to the business in the reasonable business judgment of the Company, whether now owned or hereafter acquired, in the ordinary course of business;</w:t>
      </w:r>
    </w:p>
    <w:p>
      <w:pPr>
        <w:spacing w:after="0" w:line="159" w:lineRule="exact"/>
        <w:rPr>
          <w:rFonts w:ascii="Times New Roman" w:cs="Times New Roman" w:eastAsia="Times New Roman" w:hAnsi="Times New Roman"/>
          <w:sz w:val="20"/>
          <w:szCs w:val="20"/>
          <w:color w:val="auto"/>
        </w:rPr>
      </w:pPr>
    </w:p>
    <w:p>
      <w:pPr>
        <w:ind w:left="1140" w:hanging="389"/>
        <w:spacing w:after="0"/>
        <w:tabs>
          <w:tab w:leader="none" w:pos="114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751"/>
        <w:spacing w:after="0" w:line="254" w:lineRule="auto"/>
        <w:tabs>
          <w:tab w:leader="none" w:pos="1145"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74" w:lineRule="exact"/>
        <w:rPr>
          <w:rFonts w:ascii="Times New Roman" w:cs="Times New Roman" w:eastAsia="Times New Roman" w:hAnsi="Times New Roman"/>
          <w:sz w:val="20"/>
          <w:szCs w:val="20"/>
          <w:color w:val="auto"/>
        </w:rPr>
      </w:pPr>
    </w:p>
    <w:p>
      <w:pPr>
        <w:jc w:val="both"/>
        <w:ind w:firstLine="751"/>
        <w:spacing w:after="0" w:line="264" w:lineRule="auto"/>
        <w:tabs>
          <w:tab w:leader="none" w:pos="1145"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of property by any Restricted Subsidiary to the Company or to a wholly-owned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the transferor of such property is a Loan Party, the transferee thereof must either be the Company or a Loan Party and</w:t>
      </w:r>
    </w:p>
    <w:p>
      <w:pPr>
        <w:ind w:firstLine="2"/>
        <w:spacing w:after="0" w:line="246" w:lineRule="auto"/>
        <w:tabs>
          <w:tab w:leader="none" w:pos="30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transferor of such property is a Loan Party that has Guaranteed the Obligations of the Company, the transferee thereof must either be the Company or a Loan Party that has Guaranteed the Obligations of the Company;</w:t>
      </w:r>
    </w:p>
    <w:p>
      <w:pPr>
        <w:spacing w:after="0" w:line="181" w:lineRule="exact"/>
        <w:rPr>
          <w:rFonts w:ascii="Times New Roman" w:cs="Times New Roman" w:eastAsia="Times New Roman" w:hAnsi="Times New Roman"/>
          <w:sz w:val="20"/>
          <w:szCs w:val="20"/>
          <w:color w:val="auto"/>
        </w:rPr>
      </w:pPr>
    </w:p>
    <w:p>
      <w:pPr>
        <w:ind w:left="1140" w:hanging="389"/>
        <w:spacing w:after="0"/>
        <w:tabs>
          <w:tab w:leader="none" w:pos="114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1"/>
        <w:spacing w:after="0" w:line="249" w:lineRule="auto"/>
        <w:tabs>
          <w:tab w:leader="none" w:pos="1145"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Dispositions of accounts receivable that are at least 180 days past due or are owing from obligors that are the subject of proceedings of the types described in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(ii) Dispositions of accounts receivable (and related assets customarily included in such transactions) in connection with a Qualified Supply Chain Finance Program and (iii) Dispositions of Qualified Securitization Assets made as part of a Securitization Transaction permitted hereunder;</w:t>
      </w:r>
    </w:p>
    <w:p>
      <w:pPr>
        <w:spacing w:after="0" w:line="179" w:lineRule="exact"/>
        <w:rPr>
          <w:rFonts w:ascii="Times New Roman" w:cs="Times New Roman" w:eastAsia="Times New Roman" w:hAnsi="Times New Roman"/>
          <w:sz w:val="20"/>
          <w:szCs w:val="20"/>
          <w:color w:val="auto"/>
        </w:rPr>
      </w:pPr>
    </w:p>
    <w:p>
      <w:pPr>
        <w:jc w:val="both"/>
        <w:ind w:firstLine="751"/>
        <w:spacing w:after="0" w:line="246" w:lineRule="auto"/>
        <w:tabs>
          <w:tab w:leader="none" w:pos="1145"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non-core assets acquired in a Permitted Acquisition by the Company or any of its Restricted Subsidiaries within 18 months of such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book value of all property Disposed of in reliance on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from the Closing Date through the Termination Date shall not exceed the greater of (i) $10,000,000 and (ii) 5% of Consolidated Net Tangible Assets as of the most recently ended period of four consecutive fiscal quarters for which financial information is available prior to such Disposition;</w:t>
      </w:r>
    </w:p>
    <w:p>
      <w:pPr>
        <w:spacing w:after="0" w:line="184" w:lineRule="exact"/>
        <w:rPr>
          <w:rFonts w:ascii="Times New Roman" w:cs="Times New Roman" w:eastAsia="Times New Roman" w:hAnsi="Times New Roman"/>
          <w:sz w:val="20"/>
          <w:szCs w:val="20"/>
          <w:color w:val="auto"/>
        </w:rPr>
      </w:pPr>
    </w:p>
    <w:p>
      <w:pPr>
        <w:jc w:val="both"/>
        <w:ind w:firstLine="751"/>
        <w:spacing w:after="0" w:line="266" w:lineRule="auto"/>
        <w:tabs>
          <w:tab w:leader="none" w:pos="1145"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sale of real estate located in Utah and the improvements, fixtures and personal property related thereto for up to approximately $8,000,000, (ii) the sale of real estate located in Korea and the improvements, fixtures and personal property related thereto for up to approximately $6,000,000 and (iii) the sale of an existing fleet of vehicles for up to approximately $1,000,000, in each case on the same or substantially consistent terms and conditions as disclosed by the Company to the Lenders prior to the Closing Date;</w:t>
      </w:r>
    </w:p>
    <w:p>
      <w:pPr>
        <w:spacing w:after="0" w:line="165" w:lineRule="exact"/>
        <w:rPr>
          <w:rFonts w:ascii="Times New Roman" w:cs="Times New Roman" w:eastAsia="Times New Roman" w:hAnsi="Times New Roman"/>
          <w:sz w:val="19"/>
          <w:szCs w:val="19"/>
          <w:color w:val="auto"/>
        </w:rPr>
      </w:pPr>
    </w:p>
    <w:p>
      <w:pPr>
        <w:jc w:val="both"/>
        <w:ind w:firstLine="751"/>
        <w:spacing w:after="0" w:line="246" w:lineRule="auto"/>
        <w:tabs>
          <w:tab w:leader="none" w:pos="1145"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Disclosed Asset Sales;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Disclosed Asset Sale, no Event of Default shall exist or would result from such Disclosed Asset Sale, (ii) each Disclosed Asset Sale shall be for at least 75% cash consideration and (iii) both immediately prior to and after giving effect to such Disclosed Asset Sale the Company shall be in compliance, on a Pro Forma Basis,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which, in each case, shall be certified in writing by the Company to the Administrative Agent prior to such Disclosed Asset Sale;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68" w:name="page169"/>
    <w:bookmarkEnd w:id="168"/>
    <w:p>
      <w:pPr>
        <w:jc w:val="both"/>
        <w:ind w:left="380" w:firstLine="751"/>
        <w:spacing w:after="0" w:line="246" w:lineRule="auto"/>
        <w:tabs>
          <w:tab w:leader="none" w:pos="1525"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by the Company and its Restricted Subsidiaries not otherwise permitted under this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Disposition, no Event of Default shall exist or would result from such Disposition and (ii) the aggregate book value of all property Disposed of in reliance on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from the Closing Date through the Termination Date shall not exceed the greater of (i) $35,000,000 and (ii) 15% of Consolidated Net Tangible Assets as of the most recently ended period of four consecutive fiscal quarters for which financial information is available prior to such Disposition;</w:t>
      </w:r>
    </w:p>
    <w:p>
      <w:pPr>
        <w:spacing w:after="0" w:line="1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Disposition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above shall be for fair market value and, in the case of Dispositions pursuant to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above, shall be for at least 75% cash consideration.</w:t>
      </w:r>
    </w:p>
    <w:p>
      <w:pPr>
        <w:spacing w:after="0" w:line="15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7.06 Restricted Payments. </w:t>
      </w:r>
      <w:r>
        <w:rPr>
          <w:rFonts w:ascii="Times New Roman" w:cs="Times New Roman" w:eastAsia="Times New Roman" w:hAnsi="Times New Roman"/>
          <w:sz w:val="20"/>
          <w:szCs w:val="20"/>
          <w:color w:val="auto"/>
        </w:rPr>
        <w:t>Declare or make, directly or indirectly, any Restricted Payment, or incur any obligation (contingent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to do so, except that:</w:t>
      </w:r>
    </w:p>
    <w:p>
      <w:pPr>
        <w:spacing w:after="0" w:line="156" w:lineRule="exact"/>
        <w:rPr>
          <w:sz w:val="20"/>
          <w:szCs w:val="20"/>
          <w:color w:val="auto"/>
        </w:rPr>
      </w:pPr>
    </w:p>
    <w:p>
      <w:pPr>
        <w:jc w:val="both"/>
        <w:ind w:left="380" w:firstLine="751"/>
        <w:spacing w:after="0" w:line="254" w:lineRule="auto"/>
        <w:tabs>
          <w:tab w:leader="none" w:pos="152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Restricted Subsidiary may make Restricted Payments to the Company, the Subsidiary Guarantors and any other Person that owns an Equity Interest in such Restricted Subsidiary, ratably according to their respective holdings of the type of Equity Interest in respect of which such Restricted Payment is being made;</w:t>
      </w:r>
    </w:p>
    <w:p>
      <w:pPr>
        <w:spacing w:after="0" w:line="174"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Restricted Subsidiary may declare and make dividend payments or other distributions payable solely in the common stock or other common Equity Interests of such Person;</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Restricted Subsidiary may purchase, redeem or otherwise acquire common Equity Interests issued by it with the proceeds received from the substantially concurrent issue of new shares of its common stock or other common Equity Interests;</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1" w:lineRule="auto"/>
        <w:tabs>
          <w:tab w:leader="none" w:pos="152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(i) no Event of Default exists or would result therefrom and after giving effect thereto and (ii) (A) at any time prior to the Longhorn Acquisition Funding Date, the Company is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(calculated, on a Pro Forma Basis, as of the last day of the four fiscal quarter period most recently ended for which financial information is available, but, in the case of the Consolidated Fixed Charge Coverage Ratio, ignoring all cash dividends, distributions and redemptions made during such period and instead assuming that the particular cash dividend, distribution or redemption and all other cash dividends, distributions and redemptions made pursuant to this clause (d) during the trailing 365-day period immediately preceding the day on which such cash dividend, distribution or redemption is proposed to be made were made on the last day of such four fiscal quarter period), and (B) from and after the Longhorn Acquisition Funding Date, the Company is in compliance with the financial covenants set forth in </w:t>
      </w:r>
      <w:r>
        <w:rPr>
          <w:rFonts w:ascii="Times New Roman" w:cs="Times New Roman" w:eastAsia="Times New Roman" w:hAnsi="Times New Roman"/>
          <w:sz w:val="20"/>
          <w:szCs w:val="20"/>
          <w:u w:val="single" w:color="auto"/>
          <w:color w:val="auto"/>
        </w:rPr>
        <w:t>Sections 7.11(b)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7.11(c)</w:t>
      </w:r>
      <w:r>
        <w:rPr>
          <w:rFonts w:ascii="Times New Roman" w:cs="Times New Roman" w:eastAsia="Times New Roman" w:hAnsi="Times New Roman"/>
          <w:sz w:val="20"/>
          <w:szCs w:val="20"/>
          <w:color w:val="auto"/>
        </w:rPr>
        <w:t xml:space="preserve"> and the Consolidated Net Leverage Ratio and the Consolidated Secured Net Leverage Ratio shall not be greater than 4.00 to 1.00 and 3.50 to 1.00, respectively, in each case determined on a Pro Forma Basis as of the most recently ended period of four consecutive fiscal quarters for which financial information is available, the Company may declare and pay cash dividends and distributions to the holders of its Equity Interests or declare and make redemptions of its Equity Interests;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7.06(d)</w:t>
      </w:r>
      <w:r>
        <w:rPr>
          <w:rFonts w:ascii="Times New Roman" w:cs="Times New Roman" w:eastAsia="Times New Roman" w:hAnsi="Times New Roman"/>
          <w:sz w:val="20"/>
          <w:szCs w:val="20"/>
          <w:color w:val="auto"/>
        </w:rPr>
        <w:t xml:space="preserve"> shall operate to prevent the making of a previously declared Restricted Payment by the Company so long as (1) at the declaration date, such Restricted Payment was permitted by the foregoing and (2) such Restricted Payment is made within the earlier of (x) 60 days following such declaration date and (y) any date under Applicable Law on which such Restricted Payment must be made;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9" w:name="page170"/>
    <w:bookmarkEnd w:id="169"/>
    <w:p>
      <w:pPr>
        <w:ind w:left="380" w:right="20" w:firstLine="751"/>
        <w:spacing w:after="0" w:line="269" w:lineRule="auto"/>
        <w:tabs>
          <w:tab w:leader="none" w:pos="152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by the Company of its common Equity Interests contemporaneously and otherwise in connection with the incurrence of Permitted Convertible Indebtedness.</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7.07 Change in Nature of Business. </w:t>
      </w:r>
      <w:r>
        <w:rPr>
          <w:rFonts w:ascii="Times New Roman" w:cs="Times New Roman" w:eastAsia="Times New Roman" w:hAnsi="Times New Roman"/>
          <w:sz w:val="20"/>
          <w:szCs w:val="20"/>
          <w:color w:val="auto"/>
        </w:rPr>
        <w:t>Engage in any material line of business substantially different from those lines of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conducted by the Company and its Restricted Subsidiaries on the Closing Date or any business substantially related or incidental thereto or reasonable extensions thereof.</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7.08 Transactions with Affiliates. </w:t>
      </w:r>
      <w:r>
        <w:rPr>
          <w:rFonts w:ascii="Times New Roman" w:cs="Times New Roman" w:eastAsia="Times New Roman" w:hAnsi="Times New Roman"/>
          <w:sz w:val="20"/>
          <w:szCs w:val="20"/>
          <w:color w:val="auto"/>
        </w:rPr>
        <w:t>Enter into any transaction of any kind with any Affiliate of the Company, whether or not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ordinary course of business, other than on fair and reasonable terms substantially as favorable to the Company or such Restricted Subsidiary as would be obtainable by the Company or such Restricted Subsidiary at the time in a comparable arm’s length transaction with a Person other than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 shall not apply to transactions between or among the Company and any Subsidiary Guarantor or Designated Borrower, between and among any Designated Borrowers or Subsidiary Guarantors or between and among any Foreign Subsidiaries with respect to any Cash Pooling Agreements.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7.09 Burdensome Agreements. </w:t>
      </w:r>
      <w:r>
        <w:rPr>
          <w:rFonts w:ascii="Times New Roman" w:cs="Times New Roman" w:eastAsia="Times New Roman" w:hAnsi="Times New Roman"/>
          <w:sz w:val="20"/>
          <w:szCs w:val="20"/>
          <w:color w:val="auto"/>
        </w:rPr>
        <w:t>Enter into or permit to exist any Contractual Obligation (other than this Agreement or any other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Document) that:</w:t>
      </w:r>
    </w:p>
    <w:p>
      <w:pPr>
        <w:spacing w:after="0" w:line="194" w:lineRule="exact"/>
        <w:rPr>
          <w:sz w:val="20"/>
          <w:szCs w:val="20"/>
          <w:color w:val="auto"/>
        </w:rPr>
      </w:pPr>
    </w:p>
    <w:p>
      <w:pPr>
        <w:jc w:val="both"/>
        <w:ind w:left="380" w:firstLine="751"/>
        <w:spacing w:after="0"/>
        <w:tabs>
          <w:tab w:leader="none" w:pos="152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limits the ability (i) of any Restricted Subsidiary to make Restricted Payments to the Company or any Restricted Subsidiary or to otherwise transfer property to the Company or any Restricted Subsidiary that is not a Foreign Subsidiary, (ii) of any Restricted Subsidiary to Guarantee the Indebtedness of the Company or (iii) of the Company or any Restricted Subsidiary to create, incur, assume or suffer to exist Liens on property of such Person, in each case, other than (A) customary restrictions and conditions contained in agreements relating to the sale of all or a substantial part of the Equity Interests or assets of such Person pending such sale (provided such restrictions and conditions apply only to such Person pending such sale and such sale is permitted hereunder), (B) customary restrictions in purchase agreements related to a Disposition of property permitted hereunder that limit the transfer of such property pending the consummation of such Disposition, (C) customary restrictions and conditions imposed by any agreement relating to purchase money Indebtedness or Capitalized Leases permitted hereunder, but only to the extent such restrictions and conditions apply only to the assets secured pursuant to such Indebtedness or Capitalized Lease, (D) customary restrictions and conditions contained in leases and other contracts restricting the assignment thereof, (E) customary provisions in joint venture agreements and other similar agreements applicable to joint ventures permitted hereunder and applicable solely to such joint venture that are entered into in the ordinary course of business but not entered into in contemplation hereof, (F) customary restrictions and conditions imposed on participants under Cash Pooling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(1) do not hinder the Loan Parties’ ability to satisfy their Obligations under the Loan Documents (including, without limitation, the requirements set forth in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(2) relate only to the cash, Cash Equivalents, deposit accounts and similar items of Foreign Subsidiaries securing obligations under any Cash Pooling Agreements, (G) restrictions or conditions on a Restricted Subsidiary existing prior to such Restricted Subsidiary becoming a Subsidiary of the Company, so long as such restriction or condition only applies to such Restricted Subsidiary and was not entered into in contemplation of such Person becoming a Subsidiary, (H) imposed by any agreement related to Indebtedness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to the extent such restrictions (1) in the Company’s reasonable judgment, are not more restrictive, taken as a whole, than the restrictions contained herein and (2) do not hinder the Loan Parties ability to satisfy their Obligations under the Loan Documents (including, without limitation, the requirements set forth in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and (I) restrictions on cash or other deposits imposed by customers under contracts entered into in the ordinary course of business; 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0" w:name="page171"/>
    <w:bookmarkEnd w:id="170"/>
    <w:p>
      <w:pPr>
        <w:jc w:val="both"/>
        <w:ind w:left="-20" w:firstLine="751"/>
        <w:spacing w:after="0" w:line="254" w:lineRule="auto"/>
        <w:tabs>
          <w:tab w:leader="none" w:pos="112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requires the grant of a Lien to secure an obligation of such Person if a Lien is granted to secure another obligation of such Person, except customary restrictions in connection with any Permitted Lien or any document or instrument governing any Permitted Lien;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contained therein relates only to the asset or assets subject to such Permitted Lien.</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7.10 Use of Proceeds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20" w:right="20" w:firstLine="751"/>
        <w:spacing w:after="0" w:line="254" w:lineRule="auto"/>
        <w:tabs>
          <w:tab w:leader="none" w:pos="112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spacing w:after="0" w:line="174" w:lineRule="exact"/>
        <w:rPr>
          <w:rFonts w:ascii="Times New Roman" w:cs="Times New Roman" w:eastAsia="Times New Roman" w:hAnsi="Times New Roman"/>
          <w:sz w:val="20"/>
          <w:szCs w:val="20"/>
          <w:color w:val="auto"/>
        </w:rPr>
      </w:pPr>
    </w:p>
    <w:p>
      <w:pPr>
        <w:jc w:val="both"/>
        <w:ind w:left="-20" w:firstLine="751"/>
        <w:spacing w:after="0" w:line="246" w:lineRule="auto"/>
        <w:tabs>
          <w:tab w:leader="none" w:pos="112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Arrangers, the Administrative Agent, the L/C Issuers, the Swing Line Lender, or otherwise) of Sanctions.</w:t>
      </w:r>
    </w:p>
    <w:p>
      <w:pPr>
        <w:spacing w:after="0" w:line="184" w:lineRule="exact"/>
        <w:rPr>
          <w:rFonts w:ascii="Times New Roman" w:cs="Times New Roman" w:eastAsia="Times New Roman" w:hAnsi="Times New Roman"/>
          <w:sz w:val="20"/>
          <w:szCs w:val="20"/>
          <w:color w:val="auto"/>
        </w:rPr>
      </w:pPr>
    </w:p>
    <w:p>
      <w:pPr>
        <w:ind w:left="-20" w:right="20" w:firstLine="751"/>
        <w:spacing w:after="0" w:line="269" w:lineRule="auto"/>
        <w:tabs>
          <w:tab w:leader="none" w:pos="112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use the proceeds of any Credit Extension for any purpose which would breach the United States Foreign Corrupt Practices Act of 1977, the UK Bribery Act 2010, and other similar anti-corruption legislation in other jurisdictions.</w:t>
      </w:r>
    </w:p>
    <w:p>
      <w:pPr>
        <w:spacing w:after="0" w:line="159" w:lineRule="exact"/>
        <w:rPr>
          <w:rFonts w:ascii="Times New Roman" w:cs="Times New Roman" w:eastAsia="Times New Roman" w:hAnsi="Times New Roman"/>
          <w:sz w:val="20"/>
          <w:szCs w:val="20"/>
          <w:color w:val="auto"/>
        </w:rPr>
      </w:pPr>
    </w:p>
    <w:p>
      <w:pPr>
        <w:ind w:left="-20" w:right="20" w:firstLine="751"/>
        <w:spacing w:after="0" w:line="269" w:lineRule="auto"/>
        <w:tabs>
          <w:tab w:leader="none" w:pos="112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the proceeds of the Incremental Term A-1 Loan Borrowing or the Longhorn Acquisition Revolving Borrowing for any purpose other than to pay the Longhorn Acquisition Costs.</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7.11 Financial Covenants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120" w:hanging="389"/>
        <w:spacing w:after="0"/>
        <w:tabs>
          <w:tab w:leader="none" w:pos="11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Coverage Ratios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40"/>
        <w:spacing w:after="0" w:line="254" w:lineRule="auto"/>
        <w:tabs>
          <w:tab w:leader="none" w:pos="1898"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Fixed Charge Coverage Ratio</w:t>
      </w:r>
      <w:r>
        <w:rPr>
          <w:rFonts w:ascii="Times New Roman" w:cs="Times New Roman" w:eastAsia="Times New Roman" w:hAnsi="Times New Roman"/>
          <w:sz w:val="20"/>
          <w:szCs w:val="20"/>
          <w:color w:val="auto"/>
        </w:rPr>
        <w:t>. Until the occurrence of the Longhorn Acquisition Funding Date, permit the Consolidated Fixed Charge Coverage Ratio as of the last day of any fiscal quarter of the Company (commencing with the fiscal quarter ending December 31, 2025) to be less than 1.25 to 1.00.</w:t>
      </w:r>
    </w:p>
    <w:p>
      <w:pPr>
        <w:spacing w:after="0" w:line="174" w:lineRule="exact"/>
        <w:rPr>
          <w:rFonts w:ascii="Times New Roman" w:cs="Times New Roman" w:eastAsia="Times New Roman" w:hAnsi="Times New Roman"/>
          <w:sz w:val="20"/>
          <w:szCs w:val="20"/>
          <w:color w:val="auto"/>
        </w:rPr>
      </w:pPr>
    </w:p>
    <w:p>
      <w:pPr>
        <w:jc w:val="both"/>
        <w:ind w:left="740" w:firstLine="740"/>
        <w:spacing w:after="0" w:line="254" w:lineRule="auto"/>
        <w:tabs>
          <w:tab w:leader="none" w:pos="1884"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At any time on or after the Longhorn Acquisition Funding Date, permit the Consolidated Interest Coverage Ratio as of the last day of any fiscal quarter of the Company (commencing with the first fiscal quarter ending on or after the Longhorn Acquisition Funding Date) to be less than 3.00 to 1.00.</w:t>
      </w:r>
    </w:p>
    <w:p>
      <w:pPr>
        <w:spacing w:after="0" w:line="174" w:lineRule="exact"/>
        <w:rPr>
          <w:rFonts w:ascii="Times New Roman" w:cs="Times New Roman" w:eastAsia="Times New Roman" w:hAnsi="Times New Roman"/>
          <w:sz w:val="20"/>
          <w:szCs w:val="20"/>
          <w:color w:val="auto"/>
        </w:rPr>
      </w:pPr>
    </w:p>
    <w:p>
      <w:pPr>
        <w:jc w:val="both"/>
        <w:ind w:left="-20" w:firstLine="751"/>
        <w:spacing w:after="0" w:line="249" w:lineRule="auto"/>
        <w:tabs>
          <w:tab w:leader="none" w:pos="1125"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Permit the Consolidated Net Leverage Ratio as of the last day of any fiscal quarter of the Company (commencing with the fiscal quarter ending December 31, 2025) to be greater than (in either case, subject to adjustment as set forth in </w:t>
      </w:r>
      <w:r>
        <w:rPr>
          <w:rFonts w:ascii="Times New Roman" w:cs="Times New Roman" w:eastAsia="Times New Roman" w:hAnsi="Times New Roman"/>
          <w:sz w:val="20"/>
          <w:szCs w:val="20"/>
          <w:u w:val="single" w:color="auto"/>
          <w:color w:val="auto"/>
        </w:rPr>
        <w:t>Section 7.11(d)</w:t>
      </w:r>
      <w:r>
        <w:rPr>
          <w:rFonts w:ascii="Times New Roman" w:cs="Times New Roman" w:eastAsia="Times New Roman" w:hAnsi="Times New Roman"/>
          <w:sz w:val="20"/>
          <w:szCs w:val="20"/>
          <w:color w:val="auto"/>
        </w:rPr>
        <w:t xml:space="preserve"> in connection with an Elevated Ratio Period) (i) until the occurrence of the Longhorn Acquisition Funding Date, 4.00 to 1.00 and (ii) at any time on or after the Longhorn Acquisition Funding Date, the applicable ratio set forth below:</w:t>
      </w:r>
    </w:p>
    <w:p>
      <w:pPr>
        <w:spacing w:after="0" w:line="18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20"/>
          <w:szCs w:val="20"/>
          <w:b w:val="1"/>
          <w:bCs w:val="1"/>
          <w:color w:val="auto"/>
        </w:rPr>
        <w:t>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-139065</wp:posOffset>
            </wp:positionV>
            <wp:extent cx="6165850" cy="4584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65850" cy="458470"/>
                    </a:xfrm>
                    <a:prstGeom prst="rect">
                      <a:avLst/>
                    </a:prstGeom>
                    <a:noFill/>
                  </pic:spPr>
                </pic:pic>
              </a:graphicData>
            </a:graphic>
          </wp:anchor>
        </w:drawing>
      </w:r>
    </w:p>
    <w:p>
      <w:pPr>
        <w:spacing w:after="0" w:line="5" w:lineRule="exact"/>
        <w:rPr>
          <w:sz w:val="20"/>
          <w:szCs w:val="20"/>
          <w:color w:val="auto"/>
        </w:rPr>
      </w:pPr>
    </w:p>
    <w:p>
      <w:pPr>
        <w:ind w:left="4080"/>
        <w:spacing w:after="0"/>
        <w:tabs>
          <w:tab w:leader="none" w:pos="9140" w:val="left"/>
        </w:tabs>
        <w:rPr>
          <w:sz w:val="20"/>
          <w:szCs w:val="20"/>
          <w:color w:val="auto"/>
        </w:rPr>
      </w:pPr>
      <w:r>
        <w:rPr>
          <w:rFonts w:ascii="Times New Roman" w:cs="Times New Roman" w:eastAsia="Times New Roman" w:hAnsi="Times New Roman"/>
          <w:sz w:val="20"/>
          <w:szCs w:val="20"/>
          <w:b w:val="1"/>
          <w:bCs w:val="1"/>
          <w:color w:val="auto"/>
        </w:rPr>
        <w:t>Measurement Date</w:t>
      </w:r>
      <w:r>
        <w:rPr>
          <w:sz w:val="20"/>
          <w:szCs w:val="20"/>
          <w:color w:val="auto"/>
        </w:rPr>
        <w:tab/>
      </w:r>
      <w:r>
        <w:rPr>
          <w:rFonts w:ascii="Times New Roman" w:cs="Times New Roman" w:eastAsia="Times New Roman" w:hAnsi="Times New Roman"/>
          <w:sz w:val="19"/>
          <w:szCs w:val="19"/>
          <w:b w:val="1"/>
          <w:bCs w:val="1"/>
          <w:color w:val="auto"/>
        </w:rPr>
        <w:t>Consolidated</w:t>
      </w:r>
    </w:p>
    <w:p>
      <w:pPr>
        <w:ind w:left="8920"/>
        <w:spacing w:after="0"/>
        <w:rPr>
          <w:sz w:val="20"/>
          <w:szCs w:val="20"/>
          <w:color w:val="auto"/>
        </w:rPr>
      </w:pPr>
      <w:r>
        <w:rPr>
          <w:rFonts w:ascii="Times New Roman" w:cs="Times New Roman" w:eastAsia="Times New Roman" w:hAnsi="Times New Roman"/>
          <w:sz w:val="20"/>
          <w:szCs w:val="20"/>
          <w:b w:val="1"/>
          <w:bCs w:val="1"/>
          <w:color w:val="auto"/>
        </w:rPr>
        <w:t>Net Leverage Ratio</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71" w:name="page172"/>
    <w:bookmarkEnd w:id="171"/>
    <w:tbl>
      <w:tblPr>
        <w:tblLayout w:type="fixed"/>
        <w:tblInd w:w="1130" w:type="dxa"/>
        <w:tblCellMar>
          <w:top w:w="0" w:type="dxa"/>
          <w:left w:w="0" w:type="dxa"/>
          <w:bottom w:w="0" w:type="dxa"/>
          <w:right w:w="0" w:type="dxa"/>
        </w:tblCellMar>
      </w:tblPr>
      <w:tr>
        <w:trPr>
          <w:trHeight w:val="264"/>
        </w:trPr>
        <w:tc>
          <w:tcPr>
            <w:tcW w:w="75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Longhorn Acquisition Funding Date through the last day of the third full fiscal quarter</w:t>
            </w:r>
          </w:p>
        </w:tc>
        <w:tc>
          <w:tcPr>
            <w:tcW w:w="218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4.50 to 1.00</w:t>
            </w:r>
          </w:p>
        </w:tc>
      </w:tr>
      <w:tr>
        <w:trPr>
          <w:trHeight w:val="276"/>
        </w:trPr>
        <w:tc>
          <w:tcPr>
            <w:tcW w:w="7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ending after the Longhorn Acquisition Funding Date</w:t>
            </w:r>
          </w:p>
        </w:tc>
        <w:tc>
          <w:tcPr>
            <w:tcW w:w="2180" w:type="dxa"/>
            <w:vAlign w:val="bottom"/>
            <w:tcBorders>
              <w:bottom w:val="single" w:sz="8" w:color="auto"/>
              <w:right w:val="single" w:sz="8" w:color="auto"/>
            </w:tcBorders>
          </w:tcPr>
          <w:p>
            <w:pPr>
              <w:spacing w:after="0"/>
              <w:rPr>
                <w:sz w:val="24"/>
                <w:szCs w:val="24"/>
                <w:color w:val="auto"/>
              </w:rPr>
            </w:pPr>
          </w:p>
        </w:tc>
      </w:tr>
      <w:tr>
        <w:trPr>
          <w:trHeight w:val="244"/>
        </w:trPr>
        <w:tc>
          <w:tcPr>
            <w:tcW w:w="7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Last day of the fourth full fiscal quarter ending after the Longhorn Acquisition Funding</w:t>
            </w:r>
          </w:p>
        </w:tc>
        <w:tc>
          <w:tcPr>
            <w:tcW w:w="218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4.25 to 1.00</w:t>
            </w:r>
          </w:p>
        </w:tc>
      </w:tr>
      <w:tr>
        <w:trPr>
          <w:trHeight w:val="230"/>
        </w:trPr>
        <w:tc>
          <w:tcPr>
            <w:tcW w:w="7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Date through last day of the fifth full fiscal quarter ending after the Longhorn Acquisition</w:t>
            </w:r>
          </w:p>
        </w:tc>
        <w:tc>
          <w:tcPr>
            <w:tcW w:w="2180" w:type="dxa"/>
            <w:vAlign w:val="bottom"/>
            <w:tcBorders>
              <w:right w:val="single" w:sz="8" w:color="auto"/>
            </w:tcBorders>
          </w:tcPr>
          <w:p>
            <w:pPr>
              <w:spacing w:after="0"/>
              <w:rPr>
                <w:sz w:val="19"/>
                <w:szCs w:val="19"/>
                <w:color w:val="auto"/>
              </w:rPr>
            </w:pPr>
          </w:p>
        </w:tc>
      </w:tr>
      <w:tr>
        <w:trPr>
          <w:trHeight w:val="258"/>
        </w:trPr>
        <w:tc>
          <w:tcPr>
            <w:tcW w:w="7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Funding Date</w:t>
            </w:r>
          </w:p>
        </w:tc>
        <w:tc>
          <w:tcPr>
            <w:tcW w:w="2180" w:type="dxa"/>
            <w:vAlign w:val="bottom"/>
            <w:tcBorders>
              <w:right w:val="single" w:sz="8" w:color="auto"/>
            </w:tcBorders>
          </w:tcPr>
          <w:p>
            <w:pPr>
              <w:spacing w:after="0"/>
              <w:rPr>
                <w:sz w:val="22"/>
                <w:szCs w:val="22"/>
                <w:color w:val="auto"/>
              </w:rPr>
            </w:pPr>
          </w:p>
        </w:tc>
      </w:tr>
      <w:tr>
        <w:trPr>
          <w:trHeight w:val="21"/>
        </w:trPr>
        <w:tc>
          <w:tcPr>
            <w:tcW w:w="7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41"/>
        </w:trPr>
        <w:tc>
          <w:tcPr>
            <w:tcW w:w="7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Last day of the sixth full fiscal quarter ending after the Longhorn Acquisition Funding Date</w:t>
            </w:r>
          </w:p>
        </w:tc>
        <w:tc>
          <w:tcPr>
            <w:tcW w:w="218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4.00 to 1.00</w:t>
            </w:r>
          </w:p>
        </w:tc>
      </w:tr>
      <w:tr>
        <w:trPr>
          <w:trHeight w:val="258"/>
        </w:trPr>
        <w:tc>
          <w:tcPr>
            <w:tcW w:w="7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and each fiscal quarter thereafter</w:t>
            </w:r>
          </w:p>
        </w:tc>
        <w:tc>
          <w:tcPr>
            <w:tcW w:w="2180" w:type="dxa"/>
            <w:vAlign w:val="bottom"/>
            <w:tcBorders>
              <w:right w:val="single" w:sz="8" w:color="auto"/>
            </w:tcBorders>
          </w:tcPr>
          <w:p>
            <w:pPr>
              <w:spacing w:after="0"/>
              <w:rPr>
                <w:sz w:val="22"/>
                <w:szCs w:val="22"/>
                <w:color w:val="auto"/>
              </w:rPr>
            </w:pPr>
          </w:p>
        </w:tc>
      </w:tr>
      <w:tr>
        <w:trPr>
          <w:trHeight w:val="21"/>
        </w:trPr>
        <w:tc>
          <w:tcPr>
            <w:tcW w:w="7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20" w:firstLine="751"/>
        <w:spacing w:after="0" w:line="246" w:lineRule="auto"/>
        <w:tabs>
          <w:tab w:leader="none" w:pos="1125"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Secured Net Leverage Ratio</w:t>
      </w:r>
      <w:r>
        <w:rPr>
          <w:rFonts w:ascii="Times New Roman" w:cs="Times New Roman" w:eastAsia="Times New Roman" w:hAnsi="Times New Roman"/>
          <w:sz w:val="20"/>
          <w:szCs w:val="20"/>
          <w:color w:val="auto"/>
        </w:rPr>
        <w:t xml:space="preserve">. Permit the Consolidated Secured Net Leverage Ratio as of the last day of any fiscal quarter of the Company (commencing with the fiscal quarter ending December 31, 2025) to be greater than (in either case, subject to adjustment as set forth in </w:t>
      </w:r>
      <w:r>
        <w:rPr>
          <w:rFonts w:ascii="Times New Roman" w:cs="Times New Roman" w:eastAsia="Times New Roman" w:hAnsi="Times New Roman"/>
          <w:sz w:val="20"/>
          <w:szCs w:val="20"/>
          <w:u w:val="single" w:color="auto"/>
          <w:color w:val="auto"/>
        </w:rPr>
        <w:t>Section 7.11(d)</w:t>
      </w:r>
      <w:r>
        <w:rPr>
          <w:rFonts w:ascii="Times New Roman" w:cs="Times New Roman" w:eastAsia="Times New Roman" w:hAnsi="Times New Roman"/>
          <w:sz w:val="20"/>
          <w:szCs w:val="20"/>
          <w:color w:val="auto"/>
        </w:rPr>
        <w:t xml:space="preserve"> in connection with an Elevated Ratio Period) (i) until the occurrence of the Longhorn Acquisition Funding Date, 3.50 to 1.00 and (ii) at any time on or after the Longhorn Acquisition Funding Date, the applicable ratio set forth below:</w:t>
      </w:r>
    </w:p>
    <w:p>
      <w:pPr>
        <w:spacing w:after="0" w:line="184" w:lineRule="exact"/>
        <w:rPr>
          <w:sz w:val="20"/>
          <w:szCs w:val="20"/>
          <w:color w:val="auto"/>
        </w:rPr>
      </w:pPr>
    </w:p>
    <w:tbl>
      <w:tblPr>
        <w:tblLayout w:type="fixed"/>
        <w:tblInd w:w="1130" w:type="dxa"/>
        <w:tblCellMar>
          <w:top w:w="0" w:type="dxa"/>
          <w:left w:w="0" w:type="dxa"/>
          <w:bottom w:w="0" w:type="dxa"/>
          <w:right w:w="0" w:type="dxa"/>
        </w:tblCellMar>
      </w:tblPr>
      <w:tr>
        <w:trPr>
          <w:trHeight w:val="219"/>
        </w:trPr>
        <w:tc>
          <w:tcPr>
            <w:tcW w:w="744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2280" w:type="dxa"/>
            <w:vAlign w:val="bottom"/>
            <w:tcBorders>
              <w:top w:val="single" w:sz="8" w:color="auto"/>
              <w:right w:val="single" w:sz="8" w:color="auto"/>
            </w:tcBorders>
            <w:shd w:val="clear" w:color="auto" w:fill="F2F2F2"/>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8"/>
              </w:rPr>
              <w:t>Maximum Consolidated</w:t>
            </w:r>
          </w:p>
        </w:tc>
      </w:tr>
      <w:tr>
        <w:trPr>
          <w:trHeight w:val="229"/>
        </w:trPr>
        <w:tc>
          <w:tcPr>
            <w:tcW w:w="7440" w:type="dxa"/>
            <w:vAlign w:val="bottom"/>
            <w:tcBorders>
              <w:left w:val="single" w:sz="8" w:color="auto"/>
              <w:right w:val="single" w:sz="8" w:color="auto"/>
            </w:tcBorders>
            <w:shd w:val="clear" w:color="auto" w:fill="F2F2F2"/>
          </w:tcPr>
          <w:p>
            <w:pPr>
              <w:ind w:left="2920"/>
              <w:spacing w:after="0"/>
              <w:rPr>
                <w:sz w:val="20"/>
                <w:szCs w:val="20"/>
                <w:color w:val="auto"/>
              </w:rPr>
            </w:pPr>
            <w:r>
              <w:rPr>
                <w:rFonts w:ascii="Times New Roman" w:cs="Times New Roman" w:eastAsia="Times New Roman" w:hAnsi="Times New Roman"/>
                <w:sz w:val="20"/>
                <w:szCs w:val="20"/>
                <w:b w:val="1"/>
                <w:bCs w:val="1"/>
                <w:color w:val="auto"/>
              </w:rPr>
              <w:t>Measurement Date</w:t>
            </w:r>
          </w:p>
        </w:tc>
        <w:tc>
          <w:tcPr>
            <w:tcW w:w="22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Secured Net Leverage</w:t>
            </w:r>
          </w:p>
        </w:tc>
      </w:tr>
      <w:tr>
        <w:trPr>
          <w:trHeight w:val="253"/>
        </w:trPr>
        <w:tc>
          <w:tcPr>
            <w:tcW w:w="7440" w:type="dxa"/>
            <w:vAlign w:val="bottom"/>
            <w:tcBorders>
              <w:left w:val="single" w:sz="8" w:color="auto"/>
              <w:bottom w:val="single" w:sz="8" w:color="auto"/>
              <w:right w:val="single" w:sz="8" w:color="auto"/>
            </w:tcBorders>
            <w:shd w:val="clear" w:color="auto" w:fill="F2F2F2"/>
          </w:tcPr>
          <w:p>
            <w:pPr>
              <w:spacing w:after="0"/>
              <w:rPr>
                <w:sz w:val="22"/>
                <w:szCs w:val="22"/>
                <w:color w:val="auto"/>
              </w:rPr>
            </w:pPr>
          </w:p>
        </w:tc>
        <w:tc>
          <w:tcPr>
            <w:tcW w:w="22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Ratio</w:t>
            </w:r>
          </w:p>
        </w:tc>
      </w:tr>
      <w:tr>
        <w:trPr>
          <w:trHeight w:val="244"/>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Longhorn Acquisition Funding Date through the last day of the third full fiscal quarter</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4.25 to 1.00</w:t>
            </w:r>
          </w:p>
        </w:tc>
      </w:tr>
      <w:tr>
        <w:trPr>
          <w:trHeight w:val="258"/>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ending after the Longhorn Acquisition Funding Date</w:t>
            </w:r>
          </w:p>
        </w:tc>
        <w:tc>
          <w:tcPr>
            <w:tcW w:w="2280" w:type="dxa"/>
            <w:vAlign w:val="bottom"/>
            <w:tcBorders>
              <w:right w:val="single" w:sz="8" w:color="auto"/>
            </w:tcBorders>
          </w:tcPr>
          <w:p>
            <w:pPr>
              <w:spacing w:after="0"/>
              <w:rPr>
                <w:sz w:val="22"/>
                <w:szCs w:val="22"/>
                <w:color w:val="auto"/>
              </w:rPr>
            </w:pPr>
          </w:p>
        </w:tc>
      </w:tr>
      <w:tr>
        <w:trPr>
          <w:trHeight w:val="21"/>
        </w:trPr>
        <w:tc>
          <w:tcPr>
            <w:tcW w:w="7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241"/>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Last day of the fourth full fiscal quarter ending after the Longhorn Acquisition Funding</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4.00 to 1.00</w:t>
            </w:r>
          </w:p>
        </w:tc>
      </w:tr>
      <w:tr>
        <w:trPr>
          <w:trHeight w:val="230"/>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Date through last day of the fifth full fiscal quarter ending after the Longhorn Acquisition</w:t>
            </w:r>
          </w:p>
        </w:tc>
        <w:tc>
          <w:tcPr>
            <w:tcW w:w="2280" w:type="dxa"/>
            <w:vAlign w:val="bottom"/>
            <w:tcBorders>
              <w:right w:val="single" w:sz="8" w:color="auto"/>
            </w:tcBorders>
          </w:tcPr>
          <w:p>
            <w:pPr>
              <w:spacing w:after="0"/>
              <w:rPr>
                <w:sz w:val="19"/>
                <w:szCs w:val="19"/>
                <w:color w:val="auto"/>
              </w:rPr>
            </w:pPr>
          </w:p>
        </w:tc>
      </w:tr>
      <w:tr>
        <w:trPr>
          <w:trHeight w:val="258"/>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Funding Date</w:t>
            </w:r>
          </w:p>
        </w:tc>
        <w:tc>
          <w:tcPr>
            <w:tcW w:w="2280" w:type="dxa"/>
            <w:vAlign w:val="bottom"/>
            <w:tcBorders>
              <w:right w:val="single" w:sz="8" w:color="auto"/>
            </w:tcBorders>
          </w:tcPr>
          <w:p>
            <w:pPr>
              <w:spacing w:after="0"/>
              <w:rPr>
                <w:sz w:val="22"/>
                <w:szCs w:val="22"/>
                <w:color w:val="auto"/>
              </w:rPr>
            </w:pPr>
          </w:p>
        </w:tc>
      </w:tr>
      <w:tr>
        <w:trPr>
          <w:trHeight w:val="21"/>
        </w:trPr>
        <w:tc>
          <w:tcPr>
            <w:tcW w:w="7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241"/>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Last day of the sixth full fiscal quarter ending after the Longhorn Acquisition Funding</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3.50 to 1.00</w:t>
            </w:r>
          </w:p>
        </w:tc>
      </w:tr>
      <w:tr>
        <w:trPr>
          <w:trHeight w:val="258"/>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Date and each fiscal quarter thereafter</w:t>
            </w:r>
          </w:p>
        </w:tc>
        <w:tc>
          <w:tcPr>
            <w:tcW w:w="2280" w:type="dxa"/>
            <w:vAlign w:val="bottom"/>
            <w:tcBorders>
              <w:right w:val="single" w:sz="8" w:color="auto"/>
            </w:tcBorders>
          </w:tcPr>
          <w:p>
            <w:pPr>
              <w:spacing w:after="0"/>
              <w:rPr>
                <w:sz w:val="22"/>
                <w:szCs w:val="22"/>
                <w:color w:val="auto"/>
              </w:rPr>
            </w:pPr>
          </w:p>
        </w:tc>
      </w:tr>
      <w:tr>
        <w:trPr>
          <w:trHeight w:val="21"/>
        </w:trPr>
        <w:tc>
          <w:tcPr>
            <w:tcW w:w="7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20" w:firstLine="751"/>
        <w:spacing w:after="0" w:line="255" w:lineRule="auto"/>
        <w:tabs>
          <w:tab w:leader="none" w:pos="1138"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Elevated Ratio Period</w:t>
      </w:r>
      <w:r>
        <w:rPr>
          <w:rFonts w:ascii="Times New Roman" w:cs="Times New Roman" w:eastAsia="Times New Roman" w:hAnsi="Times New Roman"/>
          <w:sz w:val="19"/>
          <w:szCs w:val="19"/>
          <w:color w:val="auto"/>
        </w:rPr>
        <w:t>. Notwithstanding the foregoing, if Permitted Acquisitions (excluding the Longhorn Acquisition) involving aggregate consideration of $40,000,000 or more are consummated during any contiguous 90-day period ending after the Closing Date, at the request of the Company (which shall be made on or prior to the date of consummation of the Permitted Acquisition resulting in the aggregate consideration for all Permitted Acquisitions (excluding the Longhorn Acquisition) consummated during such contiguous 90-day period equaling or exceeding $40,000,000, such Permitted Acquisition, the “</w:t>
      </w:r>
      <w:r>
        <w:rPr>
          <w:rFonts w:ascii="Times New Roman" w:cs="Times New Roman" w:eastAsia="Times New Roman" w:hAnsi="Times New Roman"/>
          <w:sz w:val="19"/>
          <w:szCs w:val="19"/>
          <w:u w:val="single" w:color="auto"/>
          <w:color w:val="auto"/>
        </w:rPr>
        <w:t>Trigger Acquisition</w:t>
      </w:r>
      <w:r>
        <w:rPr>
          <w:rFonts w:ascii="Times New Roman" w:cs="Times New Roman" w:eastAsia="Times New Roman" w:hAnsi="Times New Roman"/>
          <w:sz w:val="19"/>
          <w:szCs w:val="19"/>
          <w:color w:val="auto"/>
        </w:rPr>
        <w:t>”), the maximum permitted Consolidated Net Leverage Ratio and (subject to the proviso below) Consolidated Secured Net Leverage Ratio shall each be increased by 0.50 to 1.00 (but in no event higher than 4.50 to 1.00 (in the case of the Consolidated Net Leverage Ratio) or (subject to the proviso below) 4.00 to 1.00 (in the case of the Consolidated Secured Net Leverage Ratio)) during the fiscal quarter in which the Trigger Acquisition is consummated and the subsequent three fiscal quarters (such four fiscal quarters, an “</w:t>
      </w:r>
      <w:r>
        <w:rPr>
          <w:rFonts w:ascii="Times New Roman" w:cs="Times New Roman" w:eastAsia="Times New Roman" w:hAnsi="Times New Roman"/>
          <w:sz w:val="19"/>
          <w:szCs w:val="19"/>
          <w:u w:val="single" w:color="auto"/>
          <w:color w:val="auto"/>
        </w:rPr>
        <w:t>Elevated Ratio Period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(i) there shall be at least one full fiscal quarter between Elevated Ratio Periods during which neither of the Consolidated Net Leverage Ratio nor the Consolidated Secured Net Leverage Ratio is in excess of the maximum level then permitted hereunder with respect thereto without giving effect to this </w:t>
      </w:r>
      <w:r>
        <w:rPr>
          <w:rFonts w:ascii="Times New Roman" w:cs="Times New Roman" w:eastAsia="Times New Roman" w:hAnsi="Times New Roman"/>
          <w:sz w:val="19"/>
          <w:szCs w:val="19"/>
          <w:u w:val="single" w:color="auto"/>
          <w:color w:val="auto"/>
        </w:rPr>
        <w:t>subsection (d)</w:t>
      </w:r>
      <w:r>
        <w:rPr>
          <w:rFonts w:ascii="Times New Roman" w:cs="Times New Roman" w:eastAsia="Times New Roman" w:hAnsi="Times New Roman"/>
          <w:sz w:val="19"/>
          <w:szCs w:val="19"/>
          <w:color w:val="auto"/>
        </w:rPr>
        <w:t xml:space="preserve"> as of the last day thereof, (ii) the Company may in its discretion, by written notice to the Administrative Agent, elect to end an Elevated Ratio Period early and (iii) such increase shall apply solely with respect to compliance with the maintenance financial covenants and any incurrence tests for purposes of the definition of Permitted Acquisition and any incurrence test with respect to any Indebtedness used to finance a Permitted Acquisition (other than for purposes of</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1" w:right="339" w:bottom="1440" w:gutter="0" w:footer="0" w:header="0"/>
        </w:sectPr>
      </w:pPr>
    </w:p>
    <w:bookmarkStart w:id="172" w:name="page173"/>
    <w:bookmarkEnd w:id="172"/>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 xml:space="preserve">determining the Incremental Facilities Limit) and, except as otherwise expressly provided herein, shall not apply to any other incurrence test set forth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(i) the Elevated Ratio Period with respect to the Consolidated Secured Net Leverage Ratio shall only be given effect in the event that the Permitted Acquisitions are financed via secured Indebtedness in an aggregate principal amount of no less than $40,000,000 and (ii) in the case of a Limited Condition Transaction that would result in an Elevated Ratio Period, an Elevated Ratio Period shall be deemed to be in effect solely for purposes of determining compliance on a Pro Forma Basis with any incurrence tests with respect to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for purposes of the definition of Permitted Acquisition and any incurrence test with respect to any Indebtedness used to finance a Permitted Acquisition (other than for purposes of determining the Incremental Facilities Limit) as of the last day of the most recently ended fiscal quarter for which financial information is available prior to the LCT Test Date.</w:t>
      </w:r>
    </w:p>
    <w:p>
      <w:pPr>
        <w:spacing w:after="0" w:line="18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7.12 Amendment or Modification of Organization Documents. </w:t>
      </w:r>
      <w:r>
        <w:rPr>
          <w:rFonts w:ascii="Times New Roman" w:cs="Times New Roman" w:eastAsia="Times New Roman" w:hAnsi="Times New Roman"/>
          <w:sz w:val="20"/>
          <w:szCs w:val="20"/>
          <w:color w:val="auto"/>
        </w:rPr>
        <w:t>Amend any of its Organization Documents in any manner that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and adverse to the interests of any Secured Party.</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7.13 Accounting Changes. </w:t>
      </w:r>
      <w:r>
        <w:rPr>
          <w:rFonts w:ascii="Times New Roman" w:cs="Times New Roman" w:eastAsia="Times New Roman" w:hAnsi="Times New Roman"/>
          <w:sz w:val="20"/>
          <w:szCs w:val="20"/>
          <w:color w:val="auto"/>
        </w:rPr>
        <w:t>Make any material change in (a) accounting policies or reporting practices, except as required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by GAAP, or (b) fiscal year, except that any Subsidiary can conform its fiscal year to that of the Company.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7.14 Payments and Modifications of Junior Indebtedness.</w:t>
      </w:r>
    </w:p>
    <w:p>
      <w:pPr>
        <w:spacing w:after="0" w:line="220" w:lineRule="exact"/>
        <w:rPr>
          <w:sz w:val="20"/>
          <w:szCs w:val="20"/>
          <w:color w:val="auto"/>
        </w:rPr>
      </w:pPr>
    </w:p>
    <w:p>
      <w:pPr>
        <w:jc w:val="both"/>
        <w:ind w:left="380" w:firstLine="751"/>
        <w:spacing w:after="0" w:line="249" w:lineRule="auto"/>
        <w:tabs>
          <w:tab w:leader="none" w:pos="152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waive or supplement (or permit the modification, amendment, waiver or supplement of) any of the terms or provisions of any Junior Indebtedness in any respect which would materially and adversely affect the rights or interests of the Administrative Agent and Lenders hereunder or would violate the subordination terms thereof or the subordination agreement applicable thereto.</w:t>
      </w:r>
    </w:p>
    <w:p>
      <w:pPr>
        <w:spacing w:after="0" w:line="179" w:lineRule="exact"/>
        <w:rPr>
          <w:rFonts w:ascii="Times New Roman" w:cs="Times New Roman" w:eastAsia="Times New Roman" w:hAnsi="Times New Roman"/>
          <w:sz w:val="20"/>
          <w:szCs w:val="20"/>
          <w:color w:val="auto"/>
        </w:rPr>
      </w:pPr>
    </w:p>
    <w:p>
      <w:pPr>
        <w:jc w:val="both"/>
        <w:ind w:left="380" w:right="20" w:firstLine="751"/>
        <w:spacing w:after="0" w:line="249" w:lineRule="auto"/>
        <w:tabs>
          <w:tab w:leader="none" w:pos="152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 repay, redeem, purchase, defease or acquire for value (including (x) by way of depositing with any trustee with respect thereto money or securities before due for the purpose of paying when due and (y) at the maturity thereof), cancel, forgive, make (directly or indirectly) any distribution (whether in cash, securities or other property) in respect of, or otherwise satisfy prior to the scheduled maturity date thereof, any Junior Indebtedness, except:</w:t>
      </w:r>
    </w:p>
    <w:p>
      <w:pPr>
        <w:spacing w:after="0" w:line="179" w:lineRule="exact"/>
        <w:rPr>
          <w:rFonts w:ascii="Times New Roman" w:cs="Times New Roman" w:eastAsia="Times New Roman" w:hAnsi="Times New Roman"/>
          <w:sz w:val="20"/>
          <w:szCs w:val="20"/>
          <w:color w:val="auto"/>
        </w:rPr>
      </w:pPr>
    </w:p>
    <w:p>
      <w:pPr>
        <w:ind w:left="1140" w:firstLine="740"/>
        <w:spacing w:after="0" w:line="269" w:lineRule="auto"/>
        <w:tabs>
          <w:tab w:leader="none" w:pos="2284"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Permitted Refinancing Indebtedness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and in compliance with any subordination provisions thereof or the subordination agreement applicable thereto;</w:t>
      </w:r>
    </w:p>
    <w:p>
      <w:pPr>
        <w:spacing w:after="0" w:line="159"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or Event of Default then exists or would be caused thereby, mandatory repayments, repurchases, redemptions or defeasances of Junior Indebtedness (in each case, except to the extent prohibited by the subordination terms thereof or the subordination agreement applicable thereto);</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and prepayments of any Junior Indebtedness made solely with the proceeds of Qualified Equity Interests or any capital contribution in respect of Qualified Equity Interests of the Company, so long as immediately before and after giving effect to any such payment or prepayment, no Default or Event of Default then exists;</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as a result of the conversion of all or any portion of such Junior Indebtedness into Qualified Equity Interests of the Company, and (B) payments of interest in respect of Junior Indebtedness in the form of payment in kind interest constituting Indebtedness permitted pursuant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3" w:name="page174"/>
    <w:bookmarkEnd w:id="173"/>
    <w:p>
      <w:pPr>
        <w:ind w:left="1140" w:right="60" w:firstLine="740"/>
        <w:spacing w:after="0" w:line="269" w:lineRule="auto"/>
        <w:tabs>
          <w:tab w:leader="none" w:pos="2284"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interest, expenses and indemnities in respect of Junior Indebtedness (except to the extent prohibited by the subordination terms thereof or the subordination agreement applicable thereto); and</w:t>
      </w:r>
    </w:p>
    <w:p>
      <w:pPr>
        <w:spacing w:after="0" w:line="159" w:lineRule="exact"/>
        <w:rPr>
          <w:rFonts w:ascii="Times New Roman" w:cs="Times New Roman" w:eastAsia="Times New Roman" w:hAnsi="Times New Roman"/>
          <w:sz w:val="20"/>
          <w:szCs w:val="20"/>
          <w:color w:val="auto"/>
        </w:rPr>
      </w:pPr>
    </w:p>
    <w:p>
      <w:pPr>
        <w:jc w:val="both"/>
        <w:ind w:left="1140" w:firstLine="740"/>
        <w:spacing w:after="0" w:line="256" w:lineRule="auto"/>
        <w:tabs>
          <w:tab w:leader="none" w:pos="2284"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payment upon maturity (or otherwise required pursuant to customary prepayment, redemption, repurchase or defeasance obligations in connection with a change of control, fundamental change or asset sale) of any Permitted Convertible Indebtedness, and (B) (1) the conversion or exchange of any Permitted Convertible Indebtedness in accordance with its terms into or for shares of Qualified Equity Interests of the Company and the making of a payment of cash in lieu of fractional shares of the Company’s Qualified Equity Interests deliverable upon any such conversion or exchange or</w:t>
      </w:r>
    </w:p>
    <w:p>
      <w:pPr>
        <w:spacing w:after="0" w:line="4" w:lineRule="exact"/>
        <w:rPr>
          <w:rFonts w:ascii="Times New Roman" w:cs="Times New Roman" w:eastAsia="Times New Roman" w:hAnsi="Times New Roman"/>
          <w:sz w:val="19"/>
          <w:szCs w:val="19"/>
          <w:color w:val="auto"/>
        </w:rPr>
      </w:pPr>
    </w:p>
    <w:p>
      <w:pPr>
        <w:jc w:val="both"/>
        <w:ind w:left="1140" w:hanging="9"/>
        <w:spacing w:after="0" w:line="239" w:lineRule="auto"/>
        <w:tabs>
          <w:tab w:leader="none" w:pos="1454"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delivery of cash in connection with any conversion or exchange of any Permitted Convertible Indebtedness in an aggregate amount since the date of the indenture governing such Permitted Convertible Indebtedness not to exceed the sum of</w:t>
      </w:r>
    </w:p>
    <w:p>
      <w:pPr>
        <w:jc w:val="both"/>
        <w:ind w:left="114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principal amount of such Permitted Convertible Indebtedness, as applicable, and (y) the amount of any payments required to be made to the Company or any of its Restricted Subsidiaries upon the exercise, settlement, termination or unwind of any related Permitted Bond Hedge Transaction substantially concurrently with, or a commercially reasonable period of time before or after, the settlement date for the exchange or conversion of such relevant Permitted Convertible Indebtedness.</w:t>
      </w:r>
    </w:p>
    <w:p>
      <w:pPr>
        <w:spacing w:after="0" w:line="184"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7.15 Post-Closing Actions. </w:t>
      </w:r>
      <w:r>
        <w:rPr>
          <w:rFonts w:ascii="Times New Roman" w:cs="Times New Roman" w:eastAsia="Times New Roman" w:hAnsi="Times New Roman"/>
          <w:sz w:val="20"/>
          <w:szCs w:val="20"/>
          <w:color w:val="auto"/>
        </w:rPr>
        <w:t>Fail to deliver to the Administrative Agent the items described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7.15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the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period specified therein.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8.01 Events of Default. </w:t>
      </w:r>
      <w:r>
        <w:rPr>
          <w:rFonts w:ascii="Times New Roman" w:cs="Times New Roman" w:eastAsia="Times New Roman" w:hAnsi="Times New Roman"/>
          <w:sz w:val="20"/>
          <w:szCs w:val="20"/>
          <w:color w:val="auto"/>
        </w:rPr>
        <w:t>Any of the following shall constitute an event of default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6" w:lineRule="auto"/>
        <w:tabs>
          <w:tab w:leader="none" w:pos="1525"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Company or any other Loan Party fails to (i) pay when and as required to be paid herein, and in the currency required hereunder, any amount of principal of any Loan or any L/C Obligation or deposit any funds as Cash Collateral in respect of L/C Obligations, or (ii) pay within three Business Days after the same becomes due, any interest on any Loan or on any L/C Obligation, or any fee due hereunder, or (iii) pay within five Business Days after the same becomes due, any other amount payable hereunder or under any other Loan Document; or</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The Company or Restricted Subsidiary fails to perform or observe any term, covenant or agreement contained in any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6.05(a)</w:t>
      </w:r>
      <w:r>
        <w:rPr>
          <w:rFonts w:ascii="Times New Roman" w:cs="Times New Roman" w:eastAsia="Times New Roman" w:hAnsi="Times New Roman"/>
          <w:sz w:val="20"/>
          <w:szCs w:val="20"/>
          <w:color w:val="auto"/>
        </w:rPr>
        <w:t xml:space="preserve"> (in the case of any Borrower only),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or</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xml:space="preserve">. Any Loan Party fails to perform or observe any other covenant or agreement (not specified in </w:t>
      </w:r>
      <w:r>
        <w:rPr>
          <w:rFonts w:ascii="Times New Roman" w:cs="Times New Roman" w:eastAsia="Times New Roman" w:hAnsi="Times New Roman"/>
          <w:sz w:val="20"/>
          <w:szCs w:val="20"/>
          <w:u w:val="single" w:color="auto"/>
          <w:color w:val="auto"/>
        </w:rPr>
        <w:t>subsection</w:t>
      </w:r>
    </w:p>
    <w:p>
      <w:pPr>
        <w:spacing w:after="0" w:line="21" w:lineRule="exact"/>
        <w:rPr>
          <w:rFonts w:ascii="Times New Roman" w:cs="Times New Roman" w:eastAsia="Times New Roman" w:hAnsi="Times New Roman"/>
          <w:sz w:val="20"/>
          <w:szCs w:val="20"/>
          <w:color w:val="auto"/>
        </w:rPr>
      </w:pPr>
    </w:p>
    <w:p>
      <w:pPr>
        <w:ind w:left="380" w:firstLine="2"/>
        <w:spacing w:after="0" w:line="246" w:lineRule="auto"/>
        <w:tabs>
          <w:tab w:leader="none" w:pos="656" w:val="left"/>
        </w:tabs>
        <w:numPr>
          <w:ilvl w:val="0"/>
          <w:numId w:val="2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contained in any Loan Document on its part to be performed or observed and such failure continues for (i) 5 Business Days, in the case of any covenant or agreement contained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or (ii) 30 days, in all other cases; or</w:t>
      </w:r>
    </w:p>
    <w:p>
      <w:pPr>
        <w:spacing w:after="0" w:line="181" w:lineRule="exact"/>
        <w:rPr>
          <w:rFonts w:ascii="Times New Roman" w:cs="Times New Roman" w:eastAsia="Times New Roman" w:hAnsi="Times New Roman"/>
          <w:sz w:val="20"/>
          <w:szCs w:val="20"/>
          <w:u w:val="single" w:color="auto"/>
          <w:color w:val="auto"/>
        </w:rPr>
      </w:pPr>
    </w:p>
    <w:p>
      <w:pPr>
        <w:jc w:val="both"/>
        <w:ind w:left="380" w:firstLine="751"/>
        <w:spacing w:after="0" w:line="254" w:lineRule="auto"/>
        <w:tabs>
          <w:tab w:leader="none" w:pos="1525"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spacing w:after="0" w:line="174" w:lineRule="exact"/>
        <w:rPr>
          <w:rFonts w:ascii="Times New Roman" w:cs="Times New Roman" w:eastAsia="Times New Roman" w:hAnsi="Times New Roman"/>
          <w:sz w:val="20"/>
          <w:szCs w:val="20"/>
          <w:color w:val="auto"/>
        </w:rPr>
      </w:pPr>
    </w:p>
    <w:p>
      <w:pPr>
        <w:ind w:left="380" w:firstLine="751"/>
        <w:spacing w:after="0" w:line="269" w:lineRule="auto"/>
        <w:tabs>
          <w:tab w:leader="none" w:pos="1552"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(i) The Company or any Restricted Subsidiary (A) fails to make any payment when due (whether by scheduled maturity, required prepayment, acceleration, demand, or</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4" w:name="page175"/>
    <w:bookmarkEnd w:id="174"/>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otherwise but taking into account any applicable period of grace)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(after taking into account any applicable period of grace) any other agreement or condition relating to any such Indebtedness or Guarantee or contained in any instrument or agreement evidencing, securing or relating thereto, or any other event occurs (other than (x) any event that permits holders of any Permitted Convertible Indebtedness to convert or exchange such Indebtedness or (y) the conversion or exchange of any Permitted Convertible Indebtedness, in either of the foregoing </w:t>
      </w:r>
      <w:r>
        <w:rPr>
          <w:rFonts w:ascii="Times New Roman" w:cs="Times New Roman" w:eastAsia="Times New Roman" w:hAnsi="Times New Roman"/>
          <w:sz w:val="19"/>
          <w:szCs w:val="19"/>
          <w:u w:val="single" w:color="auto"/>
          <w:color w:val="auto"/>
        </w:rPr>
        <w:t>clause (x)</w:t>
      </w:r>
      <w:r>
        <w:rPr>
          <w:rFonts w:ascii="Times New Roman" w:cs="Times New Roman" w:eastAsia="Times New Roman" w:hAnsi="Times New Roman"/>
          <w:sz w:val="19"/>
          <w:szCs w:val="19"/>
          <w:color w:val="auto"/>
        </w:rPr>
        <w:t xml:space="preserve"> or</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into common stock of the Company (or other securities or property following a merger event, reclassification or other change of the common stock of the Company), cash or a combination thereof),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(ii) shall not apply to the occurrence of any early termination or cancellation and payment (each howsoever defined) under any Permitted Bond Hedge Transaction or any Permitted Warrant Transaction; or</w:t>
      </w:r>
    </w:p>
    <w:p>
      <w:pPr>
        <w:spacing w:after="0" w:line="188" w:lineRule="exact"/>
        <w:rPr>
          <w:sz w:val="20"/>
          <w:szCs w:val="20"/>
          <w:color w:val="auto"/>
        </w:rPr>
      </w:pPr>
    </w:p>
    <w:p>
      <w:pPr>
        <w:jc w:val="both"/>
        <w:ind w:firstLine="751"/>
        <w:spacing w:after="0" w:line="244" w:lineRule="auto"/>
        <w:tabs>
          <w:tab w:leader="none" w:pos="1158"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xml:space="preserve"> The Company or any Restricted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5" w:lineRule="exact"/>
        <w:rPr>
          <w:rFonts w:ascii="Times New Roman" w:cs="Times New Roman" w:eastAsia="Times New Roman" w:hAnsi="Times New Roman"/>
          <w:sz w:val="20"/>
          <w:szCs w:val="20"/>
          <w:color w:val="auto"/>
        </w:rPr>
      </w:pPr>
    </w:p>
    <w:p>
      <w:pPr>
        <w:jc w:val="both"/>
        <w:ind w:firstLine="751"/>
        <w:spacing w:after="0" w:line="249" w:lineRule="auto"/>
        <w:tabs>
          <w:tab w:leader="none" w:pos="1145"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xml:space="preserve">. (i) The Company or any Restricted Subsidiary becomes unable or admits in writing its inability or fails generally to pay its debts as they become due, or (ii) any writ or warrant of attachment (including a </w:t>
      </w:r>
      <w:r>
        <w:rPr>
          <w:rFonts w:ascii="Times New Roman" w:cs="Times New Roman" w:eastAsia="Times New Roman" w:hAnsi="Times New Roman"/>
          <w:sz w:val="20"/>
          <w:szCs w:val="20"/>
          <w:i w:val="1"/>
          <w:iCs w:val="1"/>
          <w:color w:val="auto"/>
        </w:rPr>
        <w:t>conservatoir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beslag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executoriaal beslag</w:t>
      </w:r>
      <w:r>
        <w:rPr>
          <w:rFonts w:ascii="Times New Roman" w:cs="Times New Roman" w:eastAsia="Times New Roman" w:hAnsi="Times New Roman"/>
          <w:sz w:val="20"/>
          <w:szCs w:val="20"/>
          <w:color w:val="auto"/>
        </w:rPr>
        <w:t>) or execution or similar process is issued or levied against all or any material part of the property of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Person and is not released, vacated or fully bonded within 30 days after its issue or levy; or</w:t>
      </w:r>
    </w:p>
    <w:p>
      <w:pPr>
        <w:spacing w:after="0" w:line="179" w:lineRule="exact"/>
        <w:rPr>
          <w:rFonts w:ascii="Times New Roman" w:cs="Times New Roman" w:eastAsia="Times New Roman" w:hAnsi="Times New Roman"/>
          <w:sz w:val="20"/>
          <w:szCs w:val="20"/>
          <w:color w:val="auto"/>
        </w:rPr>
      </w:pPr>
    </w:p>
    <w:p>
      <w:pPr>
        <w:jc w:val="both"/>
        <w:ind w:firstLine="751"/>
        <w:spacing w:after="0" w:line="246" w:lineRule="auto"/>
        <w:tabs>
          <w:tab w:leader="none" w:pos="1145"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the Company or any Restricted Subsidiary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2" w:right="339" w:bottom="1440" w:gutter="0" w:footer="0" w:header="0"/>
        </w:sectPr>
      </w:pPr>
    </w:p>
    <w:bookmarkStart w:id="175" w:name="page176"/>
    <w:bookmarkEnd w:id="175"/>
    <w:p>
      <w:pPr>
        <w:ind w:left="380"/>
        <w:spacing w:after="0" w:line="269" w:lineRule="auto"/>
        <w:rPr>
          <w:sz w:val="20"/>
          <w:szCs w:val="20"/>
          <w:color w:val="auto"/>
        </w:rPr>
      </w:pPr>
      <w:r>
        <w:rPr>
          <w:rFonts w:ascii="Times New Roman" w:cs="Times New Roman" w:eastAsia="Times New Roman" w:hAnsi="Times New Roman"/>
          <w:sz w:val="20"/>
          <w:szCs w:val="20"/>
          <w:color w:val="auto"/>
        </w:rPr>
        <w:t>creditor upon such judgment or order, or (B) there is a period of 30 consecutive days during which a stay of enforcement of such judgment, by reason of a pending appeal or otherwise, is not in effect; or</w:t>
      </w:r>
    </w:p>
    <w:p>
      <w:pPr>
        <w:spacing w:after="0" w:line="159" w:lineRule="exact"/>
        <w:rPr>
          <w:sz w:val="20"/>
          <w:szCs w:val="20"/>
          <w:color w:val="auto"/>
        </w:rPr>
      </w:pPr>
    </w:p>
    <w:p>
      <w:pPr>
        <w:jc w:val="both"/>
        <w:ind w:left="380" w:firstLine="751"/>
        <w:spacing w:after="0" w:line="245" w:lineRule="auto"/>
        <w:tabs>
          <w:tab w:leader="none" w:pos="1538"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 reasonably be expected to result in liability of the Company or any of its Restricted Subsidiaries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5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contests in any manner the validity or enforceability of any material provision of any Loan Document; or any Loan Party denies that it has any or further liability or obligation under any Loan Document, or purports to revoke, terminate or rescind any provision of any Loan Document; or</w:t>
      </w:r>
    </w:p>
    <w:p>
      <w:pPr>
        <w:spacing w:after="0" w:line="18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 or</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38"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Any Collateral Document after delivery thereof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shall for any reason (other than pursuant to the terms thereof) cease to create a valid Lien on any portion of the Collateral purported to be covered thereby the aggregate fair market value of which is in excess of $1,000,000.</w:t>
      </w:r>
    </w:p>
    <w:p>
      <w:pPr>
        <w:spacing w:after="0" w:line="170"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8.02 Remedies Upon Event of Default. </w:t>
      </w:r>
      <w:r>
        <w:rPr>
          <w:rFonts w:ascii="Times New Roman" w:cs="Times New Roman" w:eastAsia="Times New Roman" w:hAnsi="Times New Roman"/>
          <w:sz w:val="20"/>
          <w:szCs w:val="20"/>
          <w:color w:val="auto"/>
        </w:rPr>
        <w:t>If any Event of Default occurs and is continuing, the Administrative Agent shall,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or may, with the consent of, the Required Lenders, take any or all of the following actions:</w:t>
      </w:r>
    </w:p>
    <w:p>
      <w:pPr>
        <w:spacing w:after="0" w:line="156" w:lineRule="exact"/>
        <w:rPr>
          <w:sz w:val="20"/>
          <w:szCs w:val="20"/>
          <w:color w:val="auto"/>
        </w:rPr>
      </w:pPr>
    </w:p>
    <w:p>
      <w:pPr>
        <w:ind w:left="380" w:right="40" w:firstLine="751"/>
        <w:spacing w:after="0" w:line="269" w:lineRule="auto"/>
        <w:tabs>
          <w:tab w:leader="none" w:pos="152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each L/C Issuer to make L/C Credit Extensions to be terminated, whereupon such commitments and obligation shall be terminated;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Company Cash Collateralize the L/C Obligations (in an amount equal to the Minimum Collateral Amount with respect thereto) and Cash Collateralize the Secured Permitted Bilateral Letters of Credit (in an amount equal to the maximum potential drawings thereunder); and</w:t>
      </w:r>
    </w:p>
    <w:p>
      <w:pPr>
        <w:spacing w:after="0" w:line="174"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Issuers all rights and remedies available to it, the Lenders and the L/C Issuers under the Loan Documents;</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any Borrower under the Bankruptcy Code of the United States, the obligation of each Lender to make Loans and any obligation of any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and Secured Permitted Standalone Letters of Credit as aforesaid shall automatically become effective, in each case without further act of the Administrative Agent or any Lender.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6" w:name="page177"/>
    <w:bookmarkEnd w:id="176"/>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8.03 Application of Funds. </w:t>
      </w:r>
      <w:r>
        <w:rPr>
          <w:rFonts w:ascii="Times New Roman" w:cs="Times New Roman" w:eastAsia="Times New Roman" w:hAnsi="Times New Roman"/>
          <w:sz w:val="20"/>
          <w:szCs w:val="20"/>
          <w:color w:val="auto"/>
        </w:rPr>
        <w:t>After the exercise of remedies provided for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after the Loans have automatically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any amounts received on account of the Obligations shall, subject to the provisions of </w:t>
      </w:r>
      <w:r>
        <w:rPr>
          <w:rFonts w:ascii="Times New Roman" w:cs="Times New Roman" w:eastAsia="Times New Roman" w:hAnsi="Times New Roman"/>
          <w:sz w:val="20"/>
          <w:szCs w:val="20"/>
          <w:u w:val="single" w:color="auto"/>
          <w:color w:val="auto"/>
        </w:rPr>
        <w:t>Sections 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be applied by the Administrative Agent in the following order:</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fees, charges and disbursements of counsel to the Administrative Agent (to the extent required to be paid or reimbursed hereunder)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arising under the Loan Documents constituting fees, indemnities and other amounts (other than principal, interest and Letter of Credit Fees) payable to the Lenders and the L/C Issuers (including fees, charges and disbursements of counsel to the respective Lenders and the L/C Issuers (to the extent required to be paid or reimbursed hereunder)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Obligations constituting unpaid principal of the Loans, L/C Borrowings, Obligations then owing under Secured Hedge Agreements and Secured Cash Management Agreements and Obligations in the nature of drawn and unreimbursed amounts under Secured Permitted Standalone Letters of Credit, ratably among the Lenders, the L/C Issuers, the Hedge Banks, the Cash Management Banks and the PSLOC Banks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Administrative Agent for the account of the L/C Issuers and the PSLOC Banks, to Cash Collateralize that portion of L/C Obligations comprised of the aggregate undrawn amount of Letters of Credit and obligations comprised of the aggregate undrawn amount of Secured Permitted Standalone Letters of Credit, in each case to the extent not otherwise Cash Collateralized by the Company pursuant to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the terms of such Secured Permitted Standalone Letters of Credit ratably among the L/C Issuers and the PSLOC Banks in proportion to the respective amounts described in this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held by them; and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u w:val="single" w:color="auto"/>
          <w:color w:val="auto"/>
        </w:rPr>
        <w:t>Last</w:t>
      </w:r>
      <w:r>
        <w:rPr>
          <w:rFonts w:ascii="Times New Roman" w:cs="Times New Roman" w:eastAsia="Times New Roman" w:hAnsi="Times New Roman"/>
          <w:sz w:val="19"/>
          <w:szCs w:val="19"/>
          <w:color w:val="auto"/>
        </w:rPr>
        <w:t>, the balance, if any, after all of the Obligations have been indefeasibly paid in full, to the Company or as otherwise required by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amounts used to Cash Collateralize the aggregate undrawn amount of Letters of Credit and Secured Permitted Standalone Letters of Credit pursuant to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above shall be applied to satisfy drawings under such Letters of Credit and Secured Permitted Standalone Letters of Credit as they occur. If any amount remains on deposit as Cash Collateral after all Letters of Credit and Secured Permitted Standalone Letters of Credit have either been fully drawn or expired, such remaining amount shall be applied to the other Obligations, if any, in the order set forth above.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the foregoing, Obligations arising under Secured Cash Management Agreements, Secured Hedge Agreements and Secured Permitted Standalone Letters of Credit shall be excluded from the application described above if the Administrative Agent has not received written notice thereof, together</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77" w:name="page178"/>
    <w:bookmarkEnd w:id="17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with such supporting documentation as the Administrative Agent may request, from the applicable Cash Management Bank, Hedge Bank or PSLOC Bank, as the case may be. Each Cash Management Bank, Hedge Bank or PSLOC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hereof for itself and its Affiliates as if a “Lender” party to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9.01 Appointment and Authority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2" w:lineRule="auto"/>
        <w:tabs>
          <w:tab w:leader="none" w:pos="152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capacities as a potential Hedge Bank, a potential Cash Management Bank and a potential PSLOC Bank)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rFonts w:ascii="Times New Roman" w:cs="Times New Roman" w:eastAsia="Times New Roman" w:hAnsi="Times New Roman"/>
          <w:sz w:val="20"/>
          <w:szCs w:val="20"/>
          <w:color w:val="auto"/>
        </w:rPr>
      </w:pPr>
    </w:p>
    <w:p>
      <w:pPr>
        <w:jc w:val="both"/>
        <w:ind w:left="380" w:firstLine="751"/>
        <w:spacing w:after="0" w:line="242" w:lineRule="auto"/>
        <w:tabs>
          <w:tab w:leader="none" w:pos="152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also act as the “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under the Loan Documents, and each of the Lenders (including in its capacities as a potential Hedge Bank, a potential Cash Management Bank and a potential PSLOC Bank) and each L/C Issuer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9.02 Rights as a Lender. </w:t>
      </w:r>
      <w:r>
        <w:rPr>
          <w:rFonts w:ascii="Times New Roman" w:cs="Times New Roman" w:eastAsia="Times New Roman" w:hAnsi="Times New Roman"/>
          <w:sz w:val="20"/>
          <w:szCs w:val="20"/>
          <w:color w:val="auto"/>
        </w:rPr>
        <w:t>The Person serving as the Administrative Agent hereunder shall have the same rights and powers in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Borrower or any Subsidiary or other Affiliate thereof as if such Person were not the Administrative Agent hereunder and without any duty to account therefor to the Lenders or to provide notice or consent of the Lenders with respect thereto.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8" w:name="page179"/>
    <w:bookmarkEnd w:id="178"/>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9.03 Exculpatory Provisions. </w:t>
      </w:r>
      <w:r>
        <w:rPr>
          <w:rFonts w:ascii="Times New Roman" w:cs="Times New Roman" w:eastAsia="Times New Roman" w:hAnsi="Times New Roman"/>
          <w:sz w:val="20"/>
          <w:szCs w:val="20"/>
          <w:color w:val="auto"/>
        </w:rPr>
        <w:t>The Administrative Agent or the Arrangers, as applicable, shall not have any duties or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those expressly set forth herein and in the other Loan Documents, and its duties hereunder shall be administrative in nature. Without limiting the generality of the foregoing, the Administrative Agent or the Arrangers, as applicable, and its Related Parties:</w:t>
      </w:r>
    </w:p>
    <w:p>
      <w:pPr>
        <w:spacing w:after="0" w:line="173" w:lineRule="exact"/>
        <w:rPr>
          <w:sz w:val="20"/>
          <w:szCs w:val="20"/>
          <w:color w:val="auto"/>
        </w:rPr>
      </w:pPr>
    </w:p>
    <w:p>
      <w:pPr>
        <w:ind w:left="1520" w:hanging="389"/>
        <w:spacing w:after="0"/>
        <w:tabs>
          <w:tab w:leader="none" w:pos="152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w:t>
      </w:r>
    </w:p>
    <w:p>
      <w:pPr>
        <w:spacing w:after="0" w:line="21" w:lineRule="exact"/>
        <w:rPr>
          <w:rFonts w:ascii="Times New Roman" w:cs="Times New Roman" w:eastAsia="Times New Roman" w:hAnsi="Times New Roman"/>
          <w:sz w:val="20"/>
          <w:szCs w:val="20"/>
          <w:color w:val="auto"/>
        </w:rPr>
      </w:pPr>
    </w:p>
    <w:p>
      <w:pPr>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93" w:lineRule="exact"/>
        <w:rPr>
          <w:rFonts w:ascii="Times New Roman" w:cs="Times New Roman" w:eastAsia="Times New Roman" w:hAnsi="Times New Roman"/>
          <w:sz w:val="20"/>
          <w:szCs w:val="20"/>
          <w:color w:val="auto"/>
        </w:rPr>
      </w:pPr>
    </w:p>
    <w:p>
      <w:pPr>
        <w:jc w:val="both"/>
        <w:ind w:left="380" w:firstLine="751"/>
        <w:spacing w:after="0" w:line="259" w:lineRule="auto"/>
        <w:tabs>
          <w:tab w:leader="none" w:pos="1525"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72" w:lineRule="exact"/>
        <w:rPr>
          <w:rFonts w:ascii="Times New Roman" w:cs="Times New Roman" w:eastAsia="Times New Roman" w:hAnsi="Times New Roman"/>
          <w:sz w:val="19"/>
          <w:szCs w:val="19"/>
          <w:color w:val="auto"/>
        </w:rPr>
      </w:pPr>
    </w:p>
    <w:p>
      <w:pPr>
        <w:jc w:val="both"/>
        <w:ind w:left="380" w:firstLine="751"/>
        <w:spacing w:after="0" w:line="246" w:lineRule="auto"/>
        <w:tabs>
          <w:tab w:leader="none" w:pos="152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Arrangers or any of their Related Parties in any capacity, except for notices, reports and other documents expressly required to be furnished to the Lenders by the Administrative Agent herein;</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4" w:lineRule="auto"/>
        <w:tabs>
          <w:tab w:leader="none" w:pos="152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L/C Issuer; and</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43" w:lineRule="auto"/>
        <w:tabs>
          <w:tab w:leader="none" w:pos="152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9.04 Reliance by Administrative Agent. </w:t>
      </w:r>
      <w:r>
        <w:rPr>
          <w:rFonts w:ascii="Times New Roman" w:cs="Times New Roman" w:eastAsia="Times New Roman" w:hAnsi="Times New Roman"/>
          <w:sz w:val="20"/>
          <w:szCs w:val="20"/>
          <w:color w:val="auto"/>
        </w:rPr>
        <w:t>The Administrative Agent shall be entitled to rely upon, and shall not incur any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relying upon, any notice, request, certificate, consent, statement,</w:t>
      </w:r>
    </w:p>
    <w:p>
      <w:pPr>
        <w:spacing w:after="0" w:line="200" w:lineRule="exact"/>
        <w:rPr>
          <w:sz w:val="20"/>
          <w:szCs w:val="20"/>
          <w:color w:val="auto"/>
        </w:rPr>
      </w:pPr>
    </w:p>
    <w:p>
      <w:pPr>
        <w:spacing w:after="0" w:line="3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79" w:name="page180"/>
    <w:bookmarkEnd w:id="179"/>
    <w:p>
      <w:pPr>
        <w:jc w:val="both"/>
        <w:spacing w:after="0" w:line="242" w:lineRule="auto"/>
        <w:rPr>
          <w:sz w:val="20"/>
          <w:szCs w:val="20"/>
          <w:color w:val="auto"/>
        </w:rPr>
      </w:pPr>
      <w:r>
        <w:rPr>
          <w:rFonts w:ascii="Times New Roman" w:cs="Times New Roman" w:eastAsia="Times New Roman" w:hAnsi="Times New Roman"/>
          <w:sz w:val="20"/>
          <w:szCs w:val="20"/>
          <w:color w:val="auto"/>
        </w:rPr>
        <w:t>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9.05 Delegation of Duties. </w:t>
      </w:r>
      <w:r>
        <w:rPr>
          <w:rFonts w:ascii="Times New Roman" w:cs="Times New Roman" w:eastAsia="Times New Roman" w:hAnsi="Times New Roman"/>
          <w:sz w:val="19"/>
          <w:szCs w:val="19"/>
          <w:color w:val="auto"/>
        </w:rPr>
        <w:t>The Administrative Agent may perform any and all of its duties and exercise its rights and powers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9.06 Resignation of Administrative Agent. </w:t>
      </w:r>
      <w:r>
        <w:rPr>
          <w:rFonts w:ascii="Times New Roman" w:cs="Times New Roman" w:eastAsia="Times New Roman" w:hAnsi="Times New Roman"/>
          <w:sz w:val="20"/>
          <w:szCs w:val="20"/>
          <w:color w:val="auto"/>
        </w:rPr>
        <w:t>The Administrative Agent may at any time give notice of its resignation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Lenders, the L/C Issuers and the Company. Upon receipt of any such notice of resignation, the Required Lenders shall have the right, with the consent of the Company so long as no Event of Default has occurred and is continuing (such consent not to be unreasonably withheld, conditioned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and the L/C Issuers, appoint a successor Administrative Agent meeting the qualifications set forth above with the consent of the Company so long as no Event of Default has occurred and is continuing (such consent not to be unreasonably withheld, conditioned or delayed). Whether or not a successor has been appointed, such resignation shall become effective in accordance with such notice on the Resignation Effective Date. With effect from the Resignation Effective Date, (1)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Administrative Agent as of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0" w:name="page181"/>
    <w:bookmarkEnd w:id="180"/>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Resignation Effective Date),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shall continue in effect for the benefit of such retiring Administrative Agent, its sub 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Any resignation by Bank of America as Administrative Agent pursuant to this Section shall also constitute its resignation as an L/C Issuer and the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the Company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9.07 Non-Reliance on Administrative Agent, Arrangers and Other Lenders. </w:t>
      </w:r>
      <w:r>
        <w:rPr>
          <w:rFonts w:ascii="Times New Roman" w:cs="Times New Roman" w:eastAsia="Times New Roman" w:hAnsi="Times New Roman"/>
          <w:sz w:val="20"/>
          <w:szCs w:val="20"/>
          <w:color w:val="auto"/>
        </w:rPr>
        <w:t>Each Lender and each L/C Issuer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L/C Issuer as to any matter, including whether the Administrative Agent or any Arranger have disclosed material information in their (or their Related Parties’) possession. Each Lender and each L/C Issuer 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1" w:name="page182"/>
    <w:bookmarkEnd w:id="181"/>
    <w:p>
      <w:pPr>
        <w:jc w:val="both"/>
        <w:spacing w:after="0" w:line="242" w:lineRule="auto"/>
        <w:rPr>
          <w:sz w:val="20"/>
          <w:szCs w:val="20"/>
          <w:color w:val="auto"/>
        </w:rPr>
      </w:pPr>
      <w:r>
        <w:rPr>
          <w:rFonts w:ascii="Times New Roman" w:cs="Times New Roman" w:eastAsia="Times New Roman" w:hAnsi="Times New Roman"/>
          <w:sz w:val="20"/>
          <w:szCs w:val="20"/>
          <w:color w:val="auto"/>
        </w:rPr>
        <w:t>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9.08 No Other Duties, Etc. </w:t>
      </w:r>
      <w:r>
        <w:rPr>
          <w:rFonts w:ascii="Times New Roman" w:cs="Times New Roman" w:eastAsia="Times New Roman" w:hAnsi="Times New Roman"/>
          <w:sz w:val="20"/>
          <w:szCs w:val="20"/>
          <w:color w:val="auto"/>
        </w:rPr>
        <w:t>Anything herein to the contrary notwithstanding, none of the arranger(s), bookrunner(s), syndication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agent(s) or documentation agent(s) listed on the cover page hereof shall have any powers, duties or responsibilities under this Agreement or any of the other Loan Documents, except in its capacity, as applicable, as the Administrative Agent, a Lender or an L/C Issuer hereunder.</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9.09 Administrative Agent May File Proofs of Claim; Credit Bidding. </w:t>
      </w:r>
      <w:r>
        <w:rPr>
          <w:rFonts w:ascii="Times New Roman" w:cs="Times New Roman" w:eastAsia="Times New Roman" w:hAnsi="Times New Roman"/>
          <w:sz w:val="20"/>
          <w:szCs w:val="20"/>
          <w:color w:val="auto"/>
        </w:rPr>
        <w:t>In case of the pendency of any proceeding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4" w:lineRule="exact"/>
        <w:rPr>
          <w:sz w:val="20"/>
          <w:szCs w:val="20"/>
          <w:color w:val="auto"/>
        </w:rPr>
      </w:pPr>
    </w:p>
    <w:p>
      <w:pPr>
        <w:jc w:val="both"/>
        <w:ind w:left="380" w:firstLine="751"/>
        <w:spacing w:after="0" w:line="245" w:lineRule="auto"/>
        <w:tabs>
          <w:tab w:leader="none" w:pos="1525"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allowed in such judicial proceeding; and</w:t>
      </w:r>
    </w:p>
    <w:p>
      <w:pPr>
        <w:spacing w:after="0" w:line="18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2" w:name="page183"/>
    <w:bookmarkEnd w:id="182"/>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9.10 Collateral and Guaranty Matters. </w:t>
      </w:r>
      <w:r>
        <w:rPr>
          <w:rFonts w:ascii="Times New Roman" w:cs="Times New Roman" w:eastAsia="Times New Roman" w:hAnsi="Times New Roman"/>
          <w:sz w:val="20"/>
          <w:szCs w:val="20"/>
          <w:color w:val="auto"/>
        </w:rPr>
        <w:t>Each of the Lenders (including in its capacities as a potential Cash Management Bank,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potential Hedge Bank and a potential PSLOC Bank) and each L/C Issuer irrevocably authorize the Administrative Agent at its option and in its discretion,</w:t>
      </w:r>
    </w:p>
    <w:p>
      <w:pPr>
        <w:spacing w:after="0" w:line="173" w:lineRule="exact"/>
        <w:rPr>
          <w:sz w:val="20"/>
          <w:szCs w:val="20"/>
          <w:color w:val="auto"/>
        </w:rPr>
      </w:pPr>
    </w:p>
    <w:p>
      <w:pPr>
        <w:jc w:val="both"/>
        <w:ind w:left="380" w:firstLine="751"/>
        <w:spacing w:after="0" w:line="257" w:lineRule="auto"/>
        <w:tabs>
          <w:tab w:leader="none" w:pos="1525"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release any Lien on any property granted to or held by the Administrative Agent under any Loan Document (i) upon termination of the Aggregate Commitments and payment in full of all Obligations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the expiration or termination of all Letters of Credit and Secured Permitted Standalone Letters of Credit (other than Letters of Credit or Secured Permitted Standalone Letters of Credit as to which other arrangements with respect thereto reasonably satisfactory to the Administrative Agent and each L/C Issuer or the applicable PSLOC Bank, as applicable, shall have been made), (ii) that is sold or otherwise Disposed of or to be sold or otherwise Disposed of as part of or in connection with any sale or other Disposition permitted hereunder or under any other Loan Document to a Person that is not a Loan Party, (iii) that</w:t>
      </w:r>
    </w:p>
    <w:p>
      <w:pPr>
        <w:spacing w:after="0" w:line="200" w:lineRule="exact"/>
        <w:rPr>
          <w:sz w:val="20"/>
          <w:szCs w:val="20"/>
          <w:color w:val="auto"/>
        </w:rPr>
      </w:pPr>
    </w:p>
    <w:p>
      <w:pPr>
        <w:spacing w:after="0" w:line="3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3" w:name="page184"/>
    <w:bookmarkEnd w:id="183"/>
    <w:p>
      <w:pPr>
        <w:ind w:left="380" w:right="20"/>
        <w:spacing w:after="0" w:line="269" w:lineRule="auto"/>
        <w:rPr>
          <w:sz w:val="20"/>
          <w:szCs w:val="20"/>
          <w:color w:val="auto"/>
        </w:rPr>
      </w:pPr>
      <w:r>
        <w:rPr>
          <w:rFonts w:ascii="Times New Roman" w:cs="Times New Roman" w:eastAsia="Times New Roman" w:hAnsi="Times New Roman"/>
          <w:sz w:val="20"/>
          <w:szCs w:val="20"/>
          <w:color w:val="auto"/>
        </w:rPr>
        <w:t xml:space="preserve">no longer constitutes Collateral or is no longer required to secure the Obligations or (iv) subject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if approved, authorized or ratified in writing by the Required Lenders;</w:t>
      </w:r>
    </w:p>
    <w:p>
      <w:pPr>
        <w:spacing w:after="0" w:line="159" w:lineRule="exact"/>
        <w:rPr>
          <w:sz w:val="20"/>
          <w:szCs w:val="20"/>
          <w:color w:val="auto"/>
        </w:rPr>
      </w:pPr>
    </w:p>
    <w:p>
      <w:pPr>
        <w:ind w:left="380" w:right="20" w:firstLine="751"/>
        <w:spacing w:after="0" w:line="269" w:lineRule="auto"/>
        <w:tabs>
          <w:tab w:leader="none" w:pos="1525"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Subsidiary Guarantor from its obligations under the Loan Documents to which it is a party if such Person ceases to be a Restricted Subsidiary or is no longer required to be a Subsidiary Guarantor, in each case, as a result of a transaction permitted hereunder or as otherwise permitted hereunder.</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Loan Documents to which it is a party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9.11 Secured Cash Management Agreements, Secured Hedge Agreements and Secured Permitted Standalone Letters of Credit. </w:t>
      </w:r>
      <w:r>
        <w:rPr>
          <w:rFonts w:ascii="Times New Roman" w:cs="Times New Roman" w:eastAsia="Times New Roman" w:hAnsi="Times New Roman"/>
          <w:sz w:val="20"/>
          <w:szCs w:val="20"/>
          <w:color w:val="auto"/>
        </w:rPr>
        <w:t>No Cash Management Bank, Hedge Bank or PSLOC Bank that obtains the benefit of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any Guaranty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reasonably satisfactory arrangements have been made with respect to, Obligations arising under Secured Cash Management Agreements, Secured Hedge Agreements and Secured Permitted Standalone Letters of Credit unless the Administrative Agent has received written notice of such Obligations, together with such supporting documentation as the Administrative Agent may request, from the applicable Cash Management Bank, Hedge Bank or PSLOC Bank, as the case may be.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9.12 Certain ERISA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9" w:lineRule="auto"/>
        <w:tabs>
          <w:tab w:leader="none" w:pos="1525"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Company or any other Loan Party, that at least one of the following is and will be true:</w:t>
      </w:r>
    </w:p>
    <w:p>
      <w:pPr>
        <w:spacing w:after="0" w:line="179"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4" w:name="page185"/>
    <w:bookmarkEnd w:id="184"/>
    <w:p>
      <w:pPr>
        <w:jc w:val="both"/>
        <w:ind w:left="1140" w:firstLine="740"/>
        <w:spacing w:after="0" w:line="244" w:lineRule="auto"/>
        <w:tabs>
          <w:tab w:leader="none" w:pos="2284"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5" w:lineRule="exact"/>
        <w:rPr>
          <w:rFonts w:ascii="Times New Roman" w:cs="Times New Roman" w:eastAsia="Times New Roman" w:hAnsi="Times New Roman"/>
          <w:sz w:val="20"/>
          <w:szCs w:val="20"/>
          <w:color w:val="auto"/>
        </w:rPr>
      </w:pPr>
    </w:p>
    <w:p>
      <w:pPr>
        <w:jc w:val="both"/>
        <w:ind w:left="1140" w:firstLine="740"/>
        <w:spacing w:after="0" w:line="243" w:lineRule="auto"/>
        <w:tabs>
          <w:tab w:leader="none" w:pos="2284"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rFonts w:ascii="Times New Roman" w:cs="Times New Roman" w:eastAsia="Times New Roman" w:hAnsi="Times New Roman"/>
          <w:sz w:val="20"/>
          <w:szCs w:val="20"/>
          <w:color w:val="auto"/>
        </w:rPr>
      </w:pPr>
    </w:p>
    <w:p>
      <w:pPr>
        <w:ind w:left="1140" w:firstLine="740"/>
        <w:spacing w:after="0" w:line="269" w:lineRule="auto"/>
        <w:tabs>
          <w:tab w:leader="none" w:pos="2284"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3" w:lineRule="auto"/>
        <w:tabs>
          <w:tab w:leader="none" w:pos="1525"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9.13 Recovery of Erroneous Payments. </w:t>
      </w:r>
      <w:r>
        <w:rPr>
          <w:rFonts w:ascii="Times New Roman" w:cs="Times New Roman" w:eastAsia="Times New Roman" w:hAnsi="Times New Roman"/>
          <w:sz w:val="20"/>
          <w:szCs w:val="20"/>
          <w:color w:val="auto"/>
        </w:rPr>
        <w:t>Without limitation of any other provision in this Agreement, if at any time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10.01 Amendments, Etc.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last three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paragraphs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no amendment or waiver of any provision of this Agreement or any other Loan Document, and no consent to any departure by the Company or any other Loan Party therefrom, shall be effective unless in writing signed by the Required Lenders (or the Administrative Agent acting with the authorization of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amendment, waiver or consent shall:</w:t>
      </w:r>
    </w:p>
    <w:p>
      <w:pPr>
        <w:spacing w:after="0" w:line="183" w:lineRule="exact"/>
        <w:rPr>
          <w:sz w:val="20"/>
          <w:szCs w:val="20"/>
          <w:color w:val="auto"/>
        </w:rPr>
      </w:pPr>
    </w:p>
    <w:p>
      <w:pPr>
        <w:ind w:left="1520" w:hanging="389"/>
        <w:spacing w:after="0"/>
        <w:tabs>
          <w:tab w:leader="none" w:pos="152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condition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4.01(h)</w:t>
      </w:r>
      <w:r>
        <w:rPr>
          <w:rFonts w:ascii="Times New Roman" w:cs="Times New Roman" w:eastAsia="Times New Roman" w:hAnsi="Times New Roman"/>
          <w:sz w:val="20"/>
          <w:szCs w:val="20"/>
          <w:color w:val="auto"/>
        </w:rPr>
        <w:t>) without the written consent of each Lender;</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waive any condition set forth in (i)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as to any Credit Extension under the Revolving Credit Facility without the written consent of the Required Revolving Credit Lenders or (ii) except as otherwise provided therein,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without the written consent of the Required Revolving Credit Lenders and the Required Term Loan Lenders;</w:t>
      </w:r>
    </w:p>
    <w:p>
      <w:pPr>
        <w:spacing w:after="0" w:line="179"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any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without the written consent of such Lender;</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of the second proviso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any interest, fees or other amounts payable hereunder or under any other Loan Document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change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any other provision hereof in a manner that would have the effect of altering the ratable reduction of Commitments or the pro rata sharing of payments otherwise required hereunder or the order of application of payments required thereby without the written consent of each Lender adversely and directly affected thereby or (ii) subordinate, or change any provision hereof that would have the effect of subordinating, the Obligations hereunder to any other Indebtedness or other obligation, without the written consent of each Lender adversely and directly affected thereby;</w:t>
      </w:r>
    </w:p>
    <w:p>
      <w:pPr>
        <w:spacing w:after="0" w:line="184"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subordinate all or substantially all Liens on any property granted to or held by the Administrative Agent under any Loan Document without the written consent of each Lender, except to the extent the subordination of such Lien is permitted by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(i) any provision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the definition of “Required Lenders” or “Required Class Lenders” or any other provision hereof specifying the number or percentage of Lenders required to amend, waive or otherwise modify any rights hereunder or make any determination or grant</w:t>
      </w:r>
    </w:p>
    <w:p>
      <w:pPr>
        <w:spacing w:after="0" w:line="200" w:lineRule="exact"/>
        <w:rPr>
          <w:sz w:val="20"/>
          <w:szCs w:val="20"/>
          <w:color w:val="auto"/>
        </w:rPr>
      </w:pP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86" w:name="page187"/>
    <w:bookmarkEnd w:id="186"/>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 xml:space="preserve">any consent hereunder (other than the definitions specified in clause (ii) of this </w:t>
      </w:r>
      <w:r>
        <w:rPr>
          <w:rFonts w:ascii="Times New Roman" w:cs="Times New Roman" w:eastAsia="Times New Roman" w:hAnsi="Times New Roman"/>
          <w:sz w:val="20"/>
          <w:szCs w:val="20"/>
          <w:u w:val="single" w:color="auto"/>
          <w:color w:val="auto"/>
        </w:rPr>
        <w:t>Section 10.01(h)</w:t>
      </w:r>
      <w:r>
        <w:rPr>
          <w:rFonts w:ascii="Times New Roman" w:cs="Times New Roman" w:eastAsia="Times New Roman" w:hAnsi="Times New Roman"/>
          <w:sz w:val="20"/>
          <w:szCs w:val="20"/>
          <w:color w:val="auto"/>
        </w:rPr>
        <w:t>), without the written consent of each Lender, or (ii) the definition of “Required Revolving Credit Lenders” or “Required Term Loan Lenders”, with the written consent of each Lender under the applicable Facility;</w:t>
      </w:r>
    </w:p>
    <w:p>
      <w:pPr>
        <w:spacing w:after="0" w:line="174" w:lineRule="exact"/>
        <w:rPr>
          <w:sz w:val="20"/>
          <w:szCs w:val="20"/>
          <w:color w:val="auto"/>
        </w:rPr>
      </w:pPr>
    </w:p>
    <w:p>
      <w:pPr>
        <w:ind w:left="380" w:firstLine="751"/>
        <w:spacing w:after="0" w:line="269" w:lineRule="auto"/>
        <w:tabs>
          <w:tab w:leader="none" w:pos="152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or the definition of “Alternative Currency” without the written consent of each Lender directly affected thereby;</w:t>
      </w:r>
    </w:p>
    <w:p>
      <w:pPr>
        <w:spacing w:after="0" w:line="159"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in any transaction or series of related transactions,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(i) the Company from the Company Guaranty without the written consent of each Lender, or (ii) all or substantially all of the value of the Subsidiary Guaranties without the written consent of each Lender, except to the extent the release of any Subsidiary Guarantor is permitted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 or</w:t>
      </w:r>
    </w:p>
    <w:p>
      <w:pPr>
        <w:spacing w:after="0" w:line="179"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xml:space="preserve"> as it relates to the termination of a Designated Borrower’s status as such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any greater restriction on the ability of any Lender under a Facility to assign any of its rights or obligations hereunder without the written consent of (i) if such Facility is the Incremental Term A-1 Loan Facility, the Required Term Loan Lenders and (ii) if such Facility is the Revolving Credit Facility, the Required Revolving Credit Lenders; or</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and materially adversely affect the rights of Lenders holding Commitments or Loans of one Class differently from the rights of Lenders holding Commitments or Loans of any other Class without the written consent of the applicable Required Class Lenders;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 no amendment, waiver or consent shall, unless in writing and signed by such L/C Issuer in addition to the Lenders required above, affect the rights or duties of any L/C Issuer under this Agreement or any Issuer Document relating to any Letter of Credit issued or to be issued by it (including, without limitation, any amendment, waiver or consent that would change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xml:space="preserve"> or the definition of Alternative Currency);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Letters may be amended, or rights or privileges thereunder waived, in a writing executed only by the parties thereto; and (v) the L/C Commitment of any L/C Issuer may be amended in a writing executed only by each of the L/C Issuers and the Company and acknowledged by the Administrative Agent.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the maturity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200" w:lineRule="exact"/>
        <w:rPr>
          <w:sz w:val="20"/>
          <w:szCs w:val="20"/>
          <w:color w:val="auto"/>
        </w:rPr>
      </w:pPr>
    </w:p>
    <w:p>
      <w:pPr>
        <w:spacing w:after="0" w:line="3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7" w:name="page188"/>
    <w:bookmarkEnd w:id="187"/>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 provision herein to the contrary, this Agreement may be amended with the written consent of the Administrative Agent, the L/C Issuers, the Company and the Lenders affected thereby to amend the definition of “Alternative Currency” or “Alternative Currency Daily Rate” or “Alternative Currency Term Rate” or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solely to add additional currency options and the applicable interest rate with respect thereto, in each case solely to the extent permitted pursuant to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in this Agreement to the contrary, each Lender hereby irrevocably authorizes the Administrative Agent on its behalf, and without further consent of any Lender (but with the consent of the Borrowers or the other applicable Loan Parties and the Administrative Agent), to (x) amend and restate this Agreement and the other Loan Documents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and (y) enter into amendments or modifications to this Agreement (including amendments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any of the other Loan Documents or to enter into additional Loan Documents as the Administrative Agent reasonably deems appropriate in order to effectuate the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(including as applicable, (1) to permit the Incremental Increases to share ratably in the benefits of this Agreement and the other Loan Documents and (2) to include Incremental Increases in any determination of (i) Required Lenders or (ii) similar required lender terms applicable thereto, including the introduction of tranche voting);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amendment or modification shall result in any increase in the amount of any Lender’s Commitment(s) or any increase in any Lender’s Applicable Percentage, in each case, without the written consent of such affected Lender.</w:t>
      </w:r>
    </w:p>
    <w:p>
      <w:pPr>
        <w:spacing w:after="0" w:line="19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Times New Roman" w:cs="Times New Roman" w:eastAsia="Times New Roman" w:hAnsi="Times New Roman"/>
          <w:sz w:val="19"/>
          <w:szCs w:val="19"/>
          <w:b w:val="1"/>
          <w:bCs w:val="1"/>
          <w:color w:val="auto"/>
        </w:rPr>
        <w:t>Notices; Effectiveness; Electronic Communication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80" w:firstLine="751"/>
        <w:spacing w:after="0" w:line="246" w:lineRule="auto"/>
        <w:tabs>
          <w:tab w:leader="none" w:pos="152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Company, the Administrative Agent or Bank of America, in its capacity as an L/C Issuer or the Swing Line Lender,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8" w:name="page189"/>
    <w:bookmarkEnd w:id="188"/>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80" w:firstLine="751"/>
        <w:spacing w:after="0" w:line="243" w:lineRule="auto"/>
        <w:tabs>
          <w:tab w:leader="none" w:pos="1538"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any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such L/C Issuer, as applicable, has notified the Administrative Agent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9"/>
          <w:szCs w:val="19"/>
          <w:u w:val="single" w:color="auto"/>
          <w:color w:val="auto"/>
        </w:rPr>
        <w:t>clause</w:t>
      </w:r>
    </w:p>
    <w:p>
      <w:pPr>
        <w:ind w:left="240" w:hanging="232"/>
        <w:spacing w:after="0"/>
        <w:tabs>
          <w:tab w:leader="none" w:pos="240" w:val="left"/>
        </w:tabs>
        <w:numPr>
          <w:ilvl w:val="0"/>
          <w:numId w:val="23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notification that such notice or communication is available and identifying the website address therefor; provided that, for both clauses</w:t>
      </w:r>
    </w:p>
    <w:p>
      <w:pPr>
        <w:ind w:right="20" w:firstLine="8"/>
        <w:spacing w:after="0" w:line="246" w:lineRule="auto"/>
        <w:tabs>
          <w:tab w:leader="none" w:pos="246"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1"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color w:val="auto"/>
        </w:rPr>
      </w:pPr>
    </w:p>
    <w:p>
      <w:pPr>
        <w:jc w:val="both"/>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any Borrower, any other Loan Party, any Lender, any L/C Issuer or any other Person for losses, claims, damages, liabilities or expenses of any kind (whether in tort, contract or otherwise) arising out of any Borrower’s, any other Loan Party’s or the Administrative Agent’s transmission of Borrower Materials or notices through the Platform, any other electronic platform or electronic messaging service or through the Internet.</w:t>
      </w:r>
    </w:p>
    <w:p>
      <w:pPr>
        <w:spacing w:after="0" w:line="189"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38"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Borrowers, the Administrative Agent, the L/C Issuers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Issuers and the Swing Line Lender. In addition, each Lender agrees to notify the Administrative Agent from time to time to ensure that the Administrative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9" w:name="page190"/>
    <w:bookmarkEnd w:id="189"/>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89" w:lineRule="exact"/>
        <w:rPr>
          <w:sz w:val="20"/>
          <w:szCs w:val="20"/>
          <w:color w:val="auto"/>
        </w:rPr>
      </w:pPr>
    </w:p>
    <w:p>
      <w:pPr>
        <w:jc w:val="both"/>
        <w:ind w:left="380" w:firstLine="751"/>
        <w:spacing w:after="0" w:line="243" w:lineRule="auto"/>
        <w:tabs>
          <w:tab w:leader="none" w:pos="1525"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Issuers and Lenders</w:t>
      </w:r>
      <w:r>
        <w:rPr>
          <w:rFonts w:ascii="Times New Roman" w:cs="Times New Roman" w:eastAsia="Times New Roman" w:hAnsi="Times New Roman"/>
          <w:sz w:val="20"/>
          <w:szCs w:val="20"/>
          <w:color w:val="auto"/>
        </w:rPr>
        <w:t>. The Administrative Agent, the L/C Issuers and the Lenders shall be entitled to rely and act upon any notices (including telephonic or electronic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liabilities and reasonable and documented out-of-pocket expenses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10.03 No Waiver; Cumulative Remedies; Enforcement. </w:t>
      </w:r>
      <w:r>
        <w:rPr>
          <w:rFonts w:ascii="Times New Roman" w:cs="Times New Roman" w:eastAsia="Times New Roman" w:hAnsi="Times New Roman"/>
          <w:sz w:val="20"/>
          <w:szCs w:val="20"/>
          <w:color w:val="auto"/>
        </w:rPr>
        <w:t>No failure by any Lender, any L/C Issuer or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and the L/C Issuers;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an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(ii) in addition to the matters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0" w:name="page191"/>
    <w:bookmarkEnd w:id="190"/>
    <w:p>
      <w:pPr>
        <w:ind w:left="378"/>
        <w:spacing w:after="0"/>
        <w:tabs>
          <w:tab w:leader="none" w:pos="1137"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Times New Roman" w:cs="Times New Roman" w:eastAsia="Times New Roman" w:hAnsi="Times New Roman"/>
          <w:sz w:val="19"/>
          <w:szCs w:val="19"/>
          <w:b w:val="1"/>
          <w:bCs w:val="1"/>
          <w:color w:val="auto"/>
        </w:rPr>
        <w:t>Expenses; Indemnity; Damage Waiver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 w:firstLine="751"/>
        <w:spacing w:after="0" w:line="253" w:lineRule="auto"/>
        <w:tabs>
          <w:tab w:leader="none" w:pos="1142"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Company shall pay (i) all reasonable and documented out-of-pocket expenses incurred by the Administrative Agent and its Affiliates (including the reasonable and documented fees, disbursements and other charges of one counsel for the Administrative Agent and the Arrangers, taken as a whole, and, if reasonably necessary, of one local counsel and one regulatory counsel in any relevant jurisdiction for the Administrative Agent and the Arrangers,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L/C Issuer in connection with the issuance, amendment, renewal or extension of any Letter of Credit or any demand for payment thereunder and (iii) all documented out-of-pocket expenses incurred by the Administrative Agent, any Lender or any L/C Issuer (including the documented fees, disbursements and other charges of one counsel for the Administrative Agent, the Lenders and the L/C Issuers, taken as a whole, and, if reasonably necessary, of one local counsel and one applicable regulatory counsel in each relevant jurisdiction for the Administrative Agent, the Lenders and each L/C Issuer, taken as a whole, and, solely in the case of a conflict of interest, one additional counsel to all such affected Persons similarly situated, taken as a whole), in connection with the enforcement or protection of its rights (A) in connection with this Agreement and the other Loan Documents, including its rights under this Section, or</w:t>
      </w:r>
    </w:p>
    <w:p>
      <w:pPr>
        <w:spacing w:after="0" w:line="10" w:lineRule="exact"/>
        <w:rPr>
          <w:rFonts w:ascii="Times New Roman" w:cs="Times New Roman" w:eastAsia="Times New Roman" w:hAnsi="Times New Roman"/>
          <w:sz w:val="19"/>
          <w:szCs w:val="19"/>
          <w:color w:val="auto"/>
        </w:rPr>
      </w:pPr>
    </w:p>
    <w:p>
      <w:pPr>
        <w:ind w:left="-2" w:right="20" w:firstLine="2"/>
        <w:spacing w:after="0" w:line="246" w:lineRule="auto"/>
        <w:tabs>
          <w:tab w:leader="none" w:pos="333"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Loans made or Letters of Credit issued hereunder, including all such documented out-of-pocket expenses incurred during any workout, restructuring or negotiations in respect of such Loans or Letters of Credit.</w:t>
      </w:r>
    </w:p>
    <w:p>
      <w:pPr>
        <w:spacing w:after="0" w:line="181" w:lineRule="exact"/>
        <w:rPr>
          <w:rFonts w:ascii="Times New Roman" w:cs="Times New Roman" w:eastAsia="Times New Roman" w:hAnsi="Times New Roman"/>
          <w:sz w:val="20"/>
          <w:szCs w:val="20"/>
          <w:color w:val="auto"/>
        </w:rPr>
      </w:pPr>
    </w:p>
    <w:p>
      <w:pPr>
        <w:jc w:val="both"/>
        <w:ind w:left="-2" w:firstLine="751"/>
        <w:spacing w:after="0" w:line="241" w:lineRule="auto"/>
        <w:tabs>
          <w:tab w:leader="none" w:pos="1142"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Company</w:t>
      </w:r>
      <w:r>
        <w:rPr>
          <w:rFonts w:ascii="Times New Roman" w:cs="Times New Roman" w:eastAsia="Times New Roman" w:hAnsi="Times New Roman"/>
          <w:sz w:val="20"/>
          <w:szCs w:val="20"/>
          <w:color w:val="auto"/>
        </w:rPr>
        <w:t>. The Company shall indemnify the Administrative Agent (and any sub-agent thereof), each Lender and each L/C Issuer,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(including the reasonable and documented out-of-pocket fees, disbursements and other charges of one counsel to the Indemnitees, taken as a whole, and, if reasonably necessary, of one local counsel and one applicable regulatory counsel in each relevant jurisdiction to all such Indemnitees, taken as a whole, and, solely in the case of a conflict of interest, one additional counsel to all affected Indemnitees similarly situated, taken as a whole),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w:t>
      </w:r>
      <w:r>
        <w:rPr>
          <w:rFonts w:ascii="Times New Roman" w:cs="Times New Roman" w:eastAsia="Times New Roman" w:hAnsi="Times New Roman"/>
          <w:sz w:val="20"/>
          <w:szCs w:val="20"/>
          <w:b w:val="1"/>
          <w:bCs w:val="1"/>
          <w:color w:val="auto"/>
        </w:rPr>
        <w:t>, IN ALL CASES, WHETHER OR NOT CAUSED BY OR ARISING,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
        <w:spacing w:after="0"/>
        <w:rPr>
          <w:sz w:val="20"/>
          <w:szCs w:val="20"/>
          <w:color w:val="auto"/>
        </w:rPr>
      </w:pPr>
      <w:r>
        <w:rPr>
          <w:rFonts w:ascii="Times New Roman" w:cs="Times New Roman" w:eastAsia="Times New Roman" w:hAnsi="Times New Roman"/>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481330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328" w:right="339" w:bottom="1440" w:gutter="0" w:footer="0" w:header="0"/>
        </w:sectPr>
      </w:pPr>
    </w:p>
    <w:bookmarkStart w:id="191" w:name="page192"/>
    <w:bookmarkEnd w:id="191"/>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IN WHOLE OR IN PART, OUT OF THE COMPARATIVE, CONTRIBUTORY OR SOLE NEGLIGENCE OF THE INDEMNITEE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such indemnity shall not, as to any Indemnitee, be available to the extent that such losses, claims,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damages, liabilities or related expenses (x) are determined by a court of competent jurisdiction by final and nonappealable judgment to have resulted from the gross negligence or willful misconduct of such Indemnitee or (y) result from a claim brought by the Company or any other Loan Party against an Indemnitee for breach in bad faith of such Indemnitee's obligations hereunder or under any other Loan Document, if the Company or such other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86" w:lineRule="exact"/>
        <w:rPr>
          <w:sz w:val="20"/>
          <w:szCs w:val="20"/>
          <w:color w:val="auto"/>
        </w:rPr>
      </w:pPr>
    </w:p>
    <w:p>
      <w:pPr>
        <w:jc w:val="both"/>
        <w:ind w:firstLine="751"/>
        <w:spacing w:after="0" w:line="242" w:lineRule="auto"/>
        <w:tabs>
          <w:tab w:leader="none" w:pos="1145"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Company for any reason fails to indefeasibly pay any amount required under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to be paid by it to the Administrative Agent (or any sub-agent thereof), any L/C Issuer, the Swing Line Lender or any Related Party of any of the foregoing,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aggregate Total Credit Exposures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751"/>
        <w:spacing w:after="0" w:line="256" w:lineRule="auto"/>
        <w:tabs>
          <w:tab w:leader="none" w:pos="1145"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Consequential Damages, Etc.</w:t>
      </w:r>
      <w:r>
        <w:rPr>
          <w:rFonts w:ascii="Times New Roman" w:cs="Times New Roman" w:eastAsia="Times New Roman" w:hAnsi="Times New Roman"/>
          <w:sz w:val="19"/>
          <w:szCs w:val="19"/>
          <w:color w:val="auto"/>
        </w:rPr>
        <w:t xml:space="preserve"> To the fullest extent permitted by Applicable Law, no Borrower shall assert, and each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9"/>
          <w:szCs w:val="19"/>
          <w:u w:val="single" w:color="auto"/>
          <w:color w:val="auto"/>
        </w:rPr>
        <w:t>subsection</w:t>
      </w:r>
    </w:p>
    <w:p>
      <w:pPr>
        <w:spacing w:after="0" w:line="4" w:lineRule="exact"/>
        <w:rPr>
          <w:rFonts w:ascii="Times New Roman" w:cs="Times New Roman" w:eastAsia="Times New Roman" w:hAnsi="Times New Roman"/>
          <w:sz w:val="19"/>
          <w:szCs w:val="19"/>
          <w:color w:val="auto"/>
        </w:rPr>
      </w:pPr>
    </w:p>
    <w:p>
      <w:pPr>
        <w:jc w:val="both"/>
        <w:ind w:firstLine="2"/>
        <w:spacing w:after="0" w:line="241" w:lineRule="auto"/>
        <w:tabs>
          <w:tab w:leader="none" w:pos="285" w:val="left"/>
        </w:tabs>
        <w:numPr>
          <w:ilvl w:val="0"/>
          <w:numId w:val="24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6" w:lineRule="exact"/>
        <w:rPr>
          <w:rFonts w:ascii="Times New Roman" w:cs="Times New Roman" w:eastAsia="Times New Roman" w:hAnsi="Times New Roman"/>
          <w:sz w:val="20"/>
          <w:szCs w:val="20"/>
          <w:u w:val="single" w:color="auto"/>
          <w:color w:val="auto"/>
        </w:rPr>
      </w:pPr>
    </w:p>
    <w:p>
      <w:pPr>
        <w:ind w:left="1140" w:hanging="389"/>
        <w:spacing w:after="0"/>
        <w:tabs>
          <w:tab w:leader="none" w:pos="1140"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demand therefor.</w:t>
      </w:r>
    </w:p>
    <w:p>
      <w:pPr>
        <w:spacing w:after="0" w:line="215" w:lineRule="exact"/>
        <w:rPr>
          <w:rFonts w:ascii="Times New Roman" w:cs="Times New Roman" w:eastAsia="Times New Roman" w:hAnsi="Times New Roman"/>
          <w:sz w:val="20"/>
          <w:szCs w:val="20"/>
          <w:color w:val="auto"/>
        </w:rPr>
      </w:pPr>
    </w:p>
    <w:p>
      <w:pPr>
        <w:jc w:val="both"/>
        <w:ind w:firstLine="751"/>
        <w:spacing w:after="0" w:line="254" w:lineRule="auto"/>
        <w:tabs>
          <w:tab w:leader="none" w:pos="1145"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 10.02(e)</w:t>
      </w:r>
      <w:r>
        <w:rPr>
          <w:rFonts w:ascii="Times New Roman" w:cs="Times New Roman" w:eastAsia="Times New Roman" w:hAnsi="Times New Roman"/>
          <w:sz w:val="20"/>
          <w:szCs w:val="20"/>
          <w:color w:val="auto"/>
        </w:rPr>
        <w:t xml:space="preserve"> shall survive the resignation of the Administrative Agent, any L/C Issuer and the Swing Line Lender, the replacement of any Lender, the termination of the Aggregate Commitments and the repayment, satisfaction or discharge of all the other Obligations.</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28" w:right="339" w:bottom="1440" w:gutter="0" w:footer="0" w:header="0"/>
        </w:sectPr>
      </w:pPr>
    </w:p>
    <w:bookmarkStart w:id="192" w:name="page193"/>
    <w:bookmarkEnd w:id="192"/>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10.05 Payments Set Aside. </w:t>
      </w:r>
      <w:r>
        <w:rPr>
          <w:rFonts w:ascii="Times New Roman" w:cs="Times New Roman" w:eastAsia="Times New Roman" w:hAnsi="Times New Roman"/>
          <w:sz w:val="20"/>
          <w:szCs w:val="20"/>
          <w:color w:val="auto"/>
        </w:rPr>
        <w:t>To the extent that any payment by or on behalf of any Borrower is made to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preceding sentence shall survive the payment in full of the Obligations and the termination of this Agreement.</w:t>
      </w:r>
    </w:p>
    <w:p>
      <w:pPr>
        <w:spacing w:after="0" w:line="187"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10.06</w:t>
      </w:r>
      <w:r>
        <w:rPr>
          <w:sz w:val="20"/>
          <w:szCs w:val="20"/>
          <w:color w:val="auto"/>
        </w:rPr>
        <w:tab/>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80" w:firstLine="751"/>
        <w:spacing w:after="0" w:line="242" w:lineRule="auto"/>
        <w:tabs>
          <w:tab w:leader="none" w:pos="152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(ii) by way of participation in accordance with the provisions of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 or (iii) by way of pledge or assignment of a security interest subject to the restrictions of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18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Documents(including all or a portion of its Commitment(s) and the Loans (including for purposes of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with respect to any Facility) any such assignment shall be subject to the following conditions:</w:t>
      </w:r>
    </w:p>
    <w:p>
      <w:pPr>
        <w:spacing w:after="0" w:line="17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880" w:firstLine="748"/>
        <w:spacing w:after="0" w:line="246" w:lineRule="auto"/>
        <w:tabs>
          <w:tab w:leader="none" w:pos="3024" w:val="left"/>
        </w:tabs>
        <w:numPr>
          <w:ilvl w:val="2"/>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84" w:lineRule="exact"/>
        <w:rPr>
          <w:rFonts w:ascii="Times New Roman" w:cs="Times New Roman" w:eastAsia="Times New Roman" w:hAnsi="Times New Roman"/>
          <w:sz w:val="20"/>
          <w:szCs w:val="20"/>
          <w:color w:val="auto"/>
        </w:rPr>
      </w:pPr>
    </w:p>
    <w:p>
      <w:pPr>
        <w:ind w:left="1880" w:firstLine="748"/>
        <w:spacing w:after="0" w:line="269" w:lineRule="auto"/>
        <w:tabs>
          <w:tab w:leader="none" w:pos="3024" w:val="left"/>
        </w:tabs>
        <w:numPr>
          <w:ilvl w:val="2"/>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subsection (b)(i)(A)</w:t>
      </w:r>
      <w:r>
        <w:rPr>
          <w:rFonts w:ascii="Times New Roman" w:cs="Times New Roman" w:eastAsia="Times New Roman" w:hAnsi="Times New Roman"/>
          <w:sz w:val="20"/>
          <w:szCs w:val="20"/>
          <w:color w:val="auto"/>
        </w:rPr>
        <w:t xml:space="preserve"> of this Section, the aggregate amount of the Commitment (which for this purpose includes Loans</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93" w:name="page194"/>
    <w:bookmarkEnd w:id="193"/>
    <w:p>
      <w:pPr>
        <w:jc w:val="both"/>
        <w:ind w:left="1480"/>
        <w:spacing w:after="0" w:line="244" w:lineRule="auto"/>
        <w:rPr>
          <w:sz w:val="20"/>
          <w:szCs w:val="20"/>
          <w:color w:val="auto"/>
        </w:rPr>
      </w:pPr>
      <w:r>
        <w:rPr>
          <w:rFonts w:ascii="Times New Roman" w:cs="Times New Roman" w:eastAsia="Times New Roman" w:hAnsi="Times New Roman"/>
          <w:sz w:val="20"/>
          <w:szCs w:val="20"/>
          <w:color w:val="auto"/>
        </w:rPr>
        <w:t>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any Term Loan Facility, unless each of the Administrative Agent and, so long as no Event of Default has occurred and is continuing, the Company otherwise consents (each such consent not to be unreasonably withheld or delayed).</w:t>
      </w:r>
    </w:p>
    <w:p>
      <w:pPr>
        <w:spacing w:after="0" w:line="186" w:lineRule="exact"/>
        <w:rPr>
          <w:sz w:val="20"/>
          <w:szCs w:val="20"/>
          <w:color w:val="auto"/>
        </w:rPr>
      </w:pPr>
    </w:p>
    <w:p>
      <w:pPr>
        <w:jc w:val="both"/>
        <w:ind w:left="740" w:firstLine="740"/>
        <w:spacing w:after="0" w:line="246" w:lineRule="auto"/>
        <w:tabs>
          <w:tab w:leader="none" w:pos="1898"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 and the other Loan Documents with respect to the Loans or the Commitment assigned, except that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(A) apply to the Swing Line Lender’s rights and obligations in respect of Swing Line Loans or (B) prohibit any Lender from assigning all or a portion of its rights and obligations among separate Classes on a non-</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w:t>
      </w:r>
    </w:p>
    <w:p>
      <w:pPr>
        <w:spacing w:after="0" w:line="184" w:lineRule="exact"/>
        <w:rPr>
          <w:rFonts w:ascii="Times New Roman" w:cs="Times New Roman" w:eastAsia="Times New Roman" w:hAnsi="Times New Roman"/>
          <w:sz w:val="20"/>
          <w:szCs w:val="20"/>
          <w:color w:val="auto"/>
        </w:rPr>
      </w:pPr>
    </w:p>
    <w:p>
      <w:pPr>
        <w:ind w:left="740" w:firstLine="740"/>
        <w:spacing w:after="0" w:line="269" w:lineRule="auto"/>
        <w:tabs>
          <w:tab w:leader="none" w:pos="188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subsection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(b)(i)(B)</w:t>
      </w:r>
      <w:r>
        <w:rPr>
          <w:rFonts w:ascii="Times New Roman" w:cs="Times New Roman" w:eastAsia="Times New Roman" w:hAnsi="Times New Roman"/>
          <w:sz w:val="20"/>
          <w:szCs w:val="20"/>
          <w:color w:val="auto"/>
        </w:rPr>
        <w:t xml:space="preserve"> of this Section and, in addition:</w:t>
      </w:r>
    </w:p>
    <w:p>
      <w:pPr>
        <w:spacing w:after="0" w:line="159" w:lineRule="exact"/>
        <w:rPr>
          <w:rFonts w:ascii="Times New Roman" w:cs="Times New Roman" w:eastAsia="Times New Roman" w:hAnsi="Times New Roman"/>
          <w:sz w:val="20"/>
          <w:szCs w:val="20"/>
          <w:color w:val="auto"/>
        </w:rPr>
      </w:pPr>
    </w:p>
    <w:p>
      <w:pPr>
        <w:jc w:val="both"/>
        <w:ind w:left="1480" w:firstLine="748"/>
        <w:spacing w:after="0" w:line="246" w:lineRule="auto"/>
        <w:tabs>
          <w:tab w:leader="none" w:pos="2624"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deemed to have consented to any such assignment unless it shall object thereto by written notice to the Administrative Agent within five (5) Business Days after having received notice thereof;</w:t>
      </w:r>
    </w:p>
    <w:p>
      <w:pPr>
        <w:spacing w:after="0" w:line="184" w:lineRule="exact"/>
        <w:rPr>
          <w:rFonts w:ascii="Times New Roman" w:cs="Times New Roman" w:eastAsia="Times New Roman" w:hAnsi="Times New Roman"/>
          <w:sz w:val="20"/>
          <w:szCs w:val="20"/>
          <w:color w:val="auto"/>
        </w:rPr>
      </w:pPr>
    </w:p>
    <w:p>
      <w:pPr>
        <w:jc w:val="both"/>
        <w:ind w:left="1480" w:firstLine="748"/>
        <w:spacing w:after="0" w:line="246" w:lineRule="auto"/>
        <w:tabs>
          <w:tab w:leader="none" w:pos="2624"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(i) any unfunded Term Loan Commitment or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and</w:t>
      </w:r>
    </w:p>
    <w:p>
      <w:pPr>
        <w:spacing w:after="0" w:line="184" w:lineRule="exact"/>
        <w:rPr>
          <w:rFonts w:ascii="Times New Roman" w:cs="Times New Roman" w:eastAsia="Times New Roman" w:hAnsi="Times New Roman"/>
          <w:sz w:val="20"/>
          <w:szCs w:val="20"/>
          <w:color w:val="auto"/>
        </w:rPr>
      </w:pPr>
    </w:p>
    <w:p>
      <w:pPr>
        <w:ind w:left="1480" w:right="40" w:firstLine="748"/>
        <w:spacing w:after="0" w:line="269" w:lineRule="auto"/>
        <w:tabs>
          <w:tab w:leader="none" w:pos="2624"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each L/C Issuer and the Swing Line Lender shall be required for any assignment in respect of the Revolving Credit Facility.</w:t>
      </w:r>
    </w:p>
    <w:p>
      <w:pPr>
        <w:spacing w:after="0" w:line="159" w:lineRule="exact"/>
        <w:rPr>
          <w:rFonts w:ascii="Times New Roman" w:cs="Times New Roman" w:eastAsia="Times New Roman" w:hAnsi="Times New Roman"/>
          <w:sz w:val="20"/>
          <w:szCs w:val="20"/>
          <w:color w:val="auto"/>
        </w:rPr>
      </w:pPr>
    </w:p>
    <w:p>
      <w:pPr>
        <w:jc w:val="both"/>
        <w:ind w:left="740" w:firstLine="740"/>
        <w:spacing w:after="0" w:line="246" w:lineRule="auto"/>
        <w:tabs>
          <w:tab w:leader="none" w:pos="1898"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4" w:lineRule="exact"/>
        <w:rPr>
          <w:rFonts w:ascii="Times New Roman" w:cs="Times New Roman" w:eastAsia="Times New Roman" w:hAnsi="Times New Roman"/>
          <w:sz w:val="20"/>
          <w:szCs w:val="20"/>
          <w:color w:val="auto"/>
        </w:rPr>
      </w:pPr>
    </w:p>
    <w:p>
      <w:pPr>
        <w:jc w:val="both"/>
        <w:ind w:left="740" w:firstLine="740"/>
        <w:spacing w:after="0" w:line="249" w:lineRule="auto"/>
        <w:tabs>
          <w:tab w:leader="none" w:pos="1911"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or (C) to a natural Person</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332" w:right="339" w:bottom="1440" w:gutter="0" w:footer="0" w:header="0"/>
        </w:sectPr>
      </w:pPr>
    </w:p>
    <w:bookmarkStart w:id="194" w:name="page195"/>
    <w:bookmarkEnd w:id="194"/>
    <w:p>
      <w:pPr>
        <w:ind w:left="1140"/>
        <w:spacing w:after="0" w:line="269" w:lineRule="auto"/>
        <w:rPr>
          <w:sz w:val="20"/>
          <w:szCs w:val="20"/>
          <w:color w:val="auto"/>
        </w:rPr>
      </w:pPr>
      <w:r>
        <w:rPr>
          <w:rFonts w:ascii="Times New Roman" w:cs="Times New Roman" w:eastAsia="Times New Roman" w:hAnsi="Times New Roman"/>
          <w:sz w:val="20"/>
          <w:szCs w:val="20"/>
          <w:color w:val="auto"/>
        </w:rPr>
        <w:t>(or to a holding company, investment vehicle or trust for, or owned and operated by or for the primary benefit of a natural Person).</w:t>
      </w:r>
    </w:p>
    <w:p>
      <w:pPr>
        <w:spacing w:after="0" w:line="159" w:lineRule="exact"/>
        <w:rPr>
          <w:sz w:val="20"/>
          <w:szCs w:val="20"/>
          <w:color w:val="auto"/>
        </w:rPr>
      </w:pPr>
    </w:p>
    <w:p>
      <w:pPr>
        <w:jc w:val="both"/>
        <w:ind w:left="1140" w:firstLine="740"/>
        <w:spacing w:after="0" w:line="241" w:lineRule="auto"/>
        <w:tabs>
          <w:tab w:leader="none" w:pos="229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7"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9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Assignee is not a Competitor</w:t>
      </w:r>
      <w:r>
        <w:rPr>
          <w:rFonts w:ascii="Times New Roman" w:cs="Times New Roman" w:eastAsia="Times New Roman" w:hAnsi="Times New Roman"/>
          <w:sz w:val="20"/>
          <w:szCs w:val="20"/>
          <w:color w:val="auto"/>
        </w:rPr>
        <w:t xml:space="preserve">. Unless an Event of Default has occurred and is continuing (in which case this </w:t>
      </w:r>
      <w:r>
        <w:rPr>
          <w:rFonts w:ascii="Times New Roman" w:cs="Times New Roman" w:eastAsia="Times New Roman" w:hAnsi="Times New Roman"/>
          <w:sz w:val="20"/>
          <w:szCs w:val="20"/>
          <w:u w:val="single" w:color="auto"/>
          <w:color w:val="auto"/>
        </w:rPr>
        <w:t>clause (vii)</w:t>
      </w:r>
      <w:r>
        <w:rPr>
          <w:rFonts w:ascii="Times New Roman" w:cs="Times New Roman" w:eastAsia="Times New Roman" w:hAnsi="Times New Roman"/>
          <w:sz w:val="20"/>
          <w:szCs w:val="20"/>
          <w:color w:val="auto"/>
        </w:rPr>
        <w:t xml:space="preserve"> shall not apply to such assignment), each assignee represents and warrants to the Company that such assignee is not a Competitor.</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Subject to acceptance and recording thereof by the Administrative Agent pursuant to </w:t>
      </w:r>
      <w:r>
        <w:rPr>
          <w:rFonts w:ascii="Times New Roman" w:cs="Times New Roman" w:eastAsia="Times New Roman" w:hAnsi="Times New Roman"/>
          <w:sz w:val="19"/>
          <w:szCs w:val="19"/>
          <w:u w:val="single" w:color="auto"/>
          <w:color w:val="auto"/>
        </w:rPr>
        <w:t>subsection (c)</w:t>
      </w:r>
      <w:r>
        <w:rPr>
          <w:rFonts w:ascii="Times New Roman" w:cs="Times New Roman" w:eastAsia="Times New Roman" w:hAnsi="Times New Roman"/>
          <w:sz w:val="19"/>
          <w:szCs w:val="19"/>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10.04</w:t>
      </w:r>
      <w:r>
        <w:rPr>
          <w:rFonts w:ascii="Times New Roman" w:cs="Times New Roman" w:eastAsia="Times New Roman" w:hAnsi="Times New Roman"/>
          <w:sz w:val="19"/>
          <w:szCs w:val="19"/>
          <w:color w:val="auto"/>
        </w:rPr>
        <w:t xml:space="preserve"> with respect to facts and circumstances occurring prior to the effective date of such assignment (subject to the requirements and limitations set forth therein);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subsection (d)</w:t>
      </w:r>
      <w:r>
        <w:rPr>
          <w:rFonts w:ascii="Times New Roman" w:cs="Times New Roman" w:eastAsia="Times New Roman" w:hAnsi="Times New Roman"/>
          <w:sz w:val="19"/>
          <w:szCs w:val="19"/>
          <w:color w:val="auto"/>
        </w:rPr>
        <w:t xml:space="preserve"> of this Section.</w:t>
      </w:r>
    </w:p>
    <w:p>
      <w:pPr>
        <w:spacing w:after="0" w:line="174" w:lineRule="exact"/>
        <w:rPr>
          <w:sz w:val="20"/>
          <w:szCs w:val="20"/>
          <w:color w:val="auto"/>
        </w:rPr>
      </w:pPr>
    </w:p>
    <w:p>
      <w:pPr>
        <w:jc w:val="both"/>
        <w:ind w:left="380" w:firstLine="751"/>
        <w:spacing w:after="0" w:line="245" w:lineRule="auto"/>
        <w:tabs>
          <w:tab w:leader="none" w:pos="1525"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of (and stated interest on)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(including within the meaning of section 151 Dutch Code of Civil Procedure) absent manifest error, and the Borrowers, the Administrative Agent and the Lenders shall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5" w:name="page196"/>
    <w:bookmarkEnd w:id="195"/>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treat each Person whose name is recorded in the Register pursuant to the terms hereof as a Lender hereunder for all purposes of this Agreement. The Register shall be available for inspection by each of the Borrowers and any Lender, at any reasonable time and from time to time upon reasonable prior notice.</w:t>
      </w:r>
    </w:p>
    <w:p>
      <w:pPr>
        <w:spacing w:after="0" w:line="174" w:lineRule="exact"/>
        <w:rPr>
          <w:sz w:val="20"/>
          <w:szCs w:val="20"/>
          <w:color w:val="auto"/>
        </w:rPr>
      </w:pPr>
    </w:p>
    <w:p>
      <w:pPr>
        <w:jc w:val="both"/>
        <w:ind w:left="380" w:firstLine="751"/>
        <w:spacing w:after="0" w:line="242" w:lineRule="auto"/>
        <w:tabs>
          <w:tab w:leader="none" w:pos="1538"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Commitment(s)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10.04(c)</w:t>
      </w:r>
      <w:r>
        <w:rPr>
          <w:rFonts w:ascii="Times New Roman" w:cs="Times New Roman" w:eastAsia="Times New Roman" w:hAnsi="Times New Roman"/>
          <w:sz w:val="20"/>
          <w:szCs w:val="20"/>
          <w:color w:val="auto"/>
        </w:rPr>
        <w:t xml:space="preserve"> without regard to the existence of any participation.</w:t>
      </w:r>
    </w:p>
    <w:p>
      <w:pPr>
        <w:spacing w:after="0" w:line="19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that affects such Participant. Each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the requirements and limitations set forth therein)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of (and stated interest on)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(including within the meaning of section 151 Dutch Code of Civil Procedure) absent manifest error, and such Lender shall treat each Person whose name is recorded in the Participant Register as the owner of such participation for all purposes of this Agreement notwithstanding any notice to the contrary.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color w:val="auto"/>
        </w:rPr>
        <w:t>the Administrative Agent (in its capacity as Administrative Agent) shall have no responsibility for maintaining a Participant Register.</w:t>
      </w:r>
    </w:p>
    <w:p>
      <w:pPr>
        <w:spacing w:after="0" w:line="216" w:lineRule="exact"/>
        <w:rPr>
          <w:sz w:val="20"/>
          <w:szCs w:val="20"/>
          <w:color w:val="auto"/>
        </w:rPr>
      </w:pPr>
    </w:p>
    <w:p>
      <w:pPr>
        <w:jc w:val="both"/>
        <w:ind w:left="380" w:firstLine="751"/>
        <w:spacing w:after="0" w:line="249" w:lineRule="auto"/>
        <w:tabs>
          <w:tab w:leader="none" w:pos="1525"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60" w:lineRule="auto"/>
        <w:tabs>
          <w:tab w:leader="none" w:pos="1525" w:val="left"/>
        </w:tabs>
        <w:numPr>
          <w:ilvl w:val="1"/>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as an L/C Issuer or Swing Line Lender after Assignment</w:t>
      </w:r>
      <w:r>
        <w:rPr>
          <w:rFonts w:ascii="Times New Roman" w:cs="Times New Roman" w:eastAsia="Times New Roman" w:hAnsi="Times New Roman"/>
          <w:sz w:val="19"/>
          <w:szCs w:val="19"/>
          <w:color w:val="auto"/>
        </w:rPr>
        <w:t xml:space="preserve">. Notwithstanding anything to the contrary contained herein, (i) if at any time Bank of America assigns all of its Revolving Credit Commitment and Revolving Credit Loans pursuant to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above, Bank of America may, (A) upon 30 days’ notice to the Company and the Lenders, resign as an L/C Issuer and/or</w:t>
      </w:r>
    </w:p>
    <w:p>
      <w:pPr>
        <w:jc w:val="both"/>
        <w:ind w:left="380" w:firstLine="2"/>
        <w:spacing w:after="0" w:line="239" w:lineRule="auto"/>
        <w:tabs>
          <w:tab w:leader="none" w:pos="699"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30 days’ notice to the Company, resign as Swing Line Lender, and (ii) if at any time any other Lender acting as an L/C Issuer assigns all of its Revolving Credit Commitment and Revolving Credit Loans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such Lender may, upon 30 days’ notice to the Company and the Lenders, resign as an L/C Issuer. In the event of any such resignation as an L/C Issuer or Swing Line Lender, the Company shall be entitled to appoint from among the Lenders a successor L/C Issuer or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failure by the Company to appoint any such successor shall affect the resignation of Bank of America as an L/C Issuer or Swing Line Lender, as the case may be, or any other Lender as an L/C Issuer. If Bank of America or any other Lender resigns as an L/C Issuer, it shall retain all the rights, powers, privileges and duties of an L/C Issuer hereunder with respect to all Letters of Credit outstanding and issued by it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 Issuer and/or Swing Line Lender,</w:t>
      </w:r>
    </w:p>
    <w:p>
      <w:pPr>
        <w:spacing w:after="0" w:line="6" w:lineRule="exact"/>
        <w:rPr>
          <w:rFonts w:ascii="Times New Roman" w:cs="Times New Roman" w:eastAsia="Times New Roman" w:hAnsi="Times New Roman"/>
          <w:sz w:val="20"/>
          <w:szCs w:val="20"/>
          <w:color w:val="auto"/>
        </w:rPr>
      </w:pPr>
    </w:p>
    <w:p>
      <w:pPr>
        <w:jc w:val="both"/>
        <w:ind w:left="38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such successor shall succeed to and become vested with all of the rights, powers, privileges and duties of the retiring L/C Issuer or Swing Line Lender, as the case may be, and (ii) the successor L/C Issuer shall issue letters of credit in substitution for the Letters of Credit, if any, outstanding at the time of such succession or make other arrangements reasonably satisfactory to Bank of America or such other retiring L/C Issuer, as the case may be, to effectively assume the obligations of Bank of America or such other retiring L/C Issuer, as the case may be, with respect to such Letters of Credit issued by it.</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10.07 Treatment of Certain Information; Confidentiality. </w:t>
      </w:r>
      <w:r>
        <w:rPr>
          <w:rFonts w:ascii="Times New Roman" w:cs="Times New Roman" w:eastAsia="Times New Roman" w:hAnsi="Times New Roman"/>
          <w:sz w:val="20"/>
          <w:szCs w:val="20"/>
          <w:color w:val="auto"/>
        </w:rPr>
        <w:t>Each of the Administrative Agent, the Lenders and the L/C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Issuers agree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7" w:name="page198"/>
    <w:bookmarkEnd w:id="197"/>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invited to be a Lender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or (ii) any actual or prospective party (or its Related Parties) to any swap, derivative or other transaction under which payments are to be made by reference to a Borrower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Section.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9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the Company or any Subsidiary relating to the Company or any Subsidiary or any of their respective businesses, other than any such information that is available to the Administrative Agent, any Lender or any L/C Issuer on a nonconfidential basis prior to disclosure by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Issuers acknowledge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7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10.08 Right of Setoff. </w:t>
      </w:r>
      <w:r>
        <w:rPr>
          <w:rFonts w:ascii="Times New Roman" w:cs="Times New Roman" w:eastAsia="Times New Roman" w:hAnsi="Times New Roman"/>
          <w:sz w:val="20"/>
          <w:szCs w:val="20"/>
          <w:color w:val="auto"/>
        </w:rPr>
        <w:t>If an Event of Default shall have occurred and be continuing, each Lender, each L/C Issuer and 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their respective 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against any and all of the obligations of such Borrower now or hereafter existing under this Agreement or any other Loan Document to such Lender or such L/C Issuer or their respective Affiliates, irrespective of whether or not such Lender, such L/C Issuer or such Affiliate shall have made any demand under this Agreement or any other Loan Document and although such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8" w:name="page199"/>
    <w:bookmarkEnd w:id="198"/>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obligations of such Borrower may be contingent or unmatured or are owed to a branch, office or Affiliate of such Lender or such L/C Issuer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10.09 Interest Rate Limitation. </w:t>
      </w:r>
      <w:r>
        <w:rPr>
          <w:rFonts w:ascii="Times New Roman" w:cs="Times New Roman" w:eastAsia="Times New Roman" w:hAnsi="Times New Roman"/>
          <w:sz w:val="20"/>
          <w:szCs w:val="20"/>
          <w:color w:val="auto"/>
        </w:rPr>
        <w:t>Notwithstanding anything to the contrary contained in any Loan Document, the interest paid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10.10 Integration; Effectiveness. </w:t>
      </w:r>
      <w:r>
        <w:rPr>
          <w:rFonts w:ascii="Times New Roman" w:cs="Times New Roman" w:eastAsia="Times New Roman" w:hAnsi="Times New Roman"/>
          <w:sz w:val="20"/>
          <w:szCs w:val="20"/>
          <w:color w:val="auto"/>
        </w:rPr>
        <w:t>This Agreement, the other Loan Documents, and any separate letter agreements with respect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10.11 Survival of Representations and Warranties. </w:t>
      </w:r>
      <w:r>
        <w:rPr>
          <w:rFonts w:ascii="Times New Roman" w:cs="Times New Roman" w:eastAsia="Times New Roman" w:hAnsi="Times New Roman"/>
          <w:sz w:val="20"/>
          <w:szCs w:val="20"/>
          <w:color w:val="auto"/>
        </w:rPr>
        <w:t>All representations and warranties made hereunder and in any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10.12 Severability. </w:t>
      </w:r>
      <w:r>
        <w:rPr>
          <w:rFonts w:ascii="Times New Roman" w:cs="Times New Roman" w:eastAsia="Times New Roman" w:hAnsi="Times New Roman"/>
          <w:sz w:val="20"/>
          <w:szCs w:val="20"/>
          <w:color w:val="auto"/>
        </w:rPr>
        <w:t>If any provision of this Agreement or the other Loan Documents is held to be illegal,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9" w:name="page200"/>
    <w:bookmarkEnd w:id="199"/>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8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10.13 Replacement of Lenders. </w:t>
      </w:r>
      <w:r>
        <w:rPr>
          <w:rFonts w:ascii="Times New Roman" w:cs="Times New Roman" w:eastAsia="Times New Roman" w:hAnsi="Times New Roman"/>
          <w:sz w:val="20"/>
          <w:szCs w:val="20"/>
          <w:color w:val="auto"/>
        </w:rPr>
        <w:t>If the Company is entitled to replace a Lender pursuant to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or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Lender is a 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3" w:lineRule="exact"/>
        <w:rPr>
          <w:sz w:val="20"/>
          <w:szCs w:val="20"/>
          <w:color w:val="auto"/>
        </w:rPr>
      </w:pPr>
    </w:p>
    <w:p>
      <w:pPr>
        <w:ind w:left="380" w:right="20" w:firstLine="751"/>
        <w:spacing w:after="0" w:line="269" w:lineRule="auto"/>
        <w:tabs>
          <w:tab w:leader="none" w:pos="1525"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paid (or caused a Designated Borrower to pay) to the Administrative Agent the assignment fee (if any) specified in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Company or applicable Designated Borrower (in the case of all other amounts);</w:t>
      </w:r>
    </w:p>
    <w:p>
      <w:pPr>
        <w:spacing w:after="0" w:line="179"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 and</w:t>
      </w:r>
    </w:p>
    <w:p>
      <w:pPr>
        <w:spacing w:after="0" w:line="215"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Each party hereto agrees that (x) an assignment required pursuant to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may be effected pursuant to an Assignment and Assumption executed by the Company, the Administrative Agent and the assignee and (y)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0" w:name="page201"/>
    <w:bookmarkEnd w:id="200"/>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10.14</w:t>
      </w:r>
      <w:r>
        <w:rPr>
          <w:sz w:val="20"/>
          <w:szCs w:val="20"/>
          <w:color w:val="auto"/>
        </w:rPr>
        <w:tab/>
      </w:r>
      <w:r>
        <w:rPr>
          <w:rFonts w:ascii="Times New Roman" w:cs="Times New Roman" w:eastAsia="Times New Roman" w:hAnsi="Times New Roman"/>
          <w:sz w:val="19"/>
          <w:szCs w:val="19"/>
          <w:b w:val="1"/>
          <w:bCs w:val="1"/>
          <w:color w:val="auto"/>
        </w:rPr>
        <w:t>Governing Law; Jurisdiction;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80" w:firstLine="751"/>
        <w:spacing w:after="0" w:line="241" w:lineRule="auto"/>
        <w:tabs>
          <w:tab w:leader="none" w:pos="1579"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TO THE CONTRARY, (A) THE INTERPRETATION OF THE DEFINITION OF “COMPANY MATERIAL ADVERSE EFFECT” UNDER THE LONGHORN ACQUISITION AGREEMENT AND THE DETERMINATION OF WHETHER THERE SHALL HAVE OCCURRED A “COMPANY MATERIAL ADVERSE EFFECT” (AS PROVIDED IN THE LONGHORN ACQUISITION AGREEMENT), (B) THE DETERMINATION OF WHETHER THE LONGHORN ACQUISITION HAS BEEN CONSUMMATED AS CONTEMPLATED BY THE LONGHORN ACQUISITION AGREEMENT, AND (C) THE DETERMINATION OF WHETHER ANY LONGHORN SPECIFIED ACQUISITION AGREEMENT REPRESENTATION IS ACCURATE, AND WHETHER ANY INACCURACY THEREOF ENTITLES THE COMPANY OR ITS APPLICABLE AFFILIATES TO TERMINATE ITS AND/OR THEIR OBLIGATIONS UNDER THE LONGHORN ACQUISITION AGREEMENT, OR TO DECLINE TO CONSUMMATE THE LONGHORN ACQUISITION PURSUANT TO THE LONGHORN ACQUISITION AGREEMENT, SHALL IN EACH CASE BE DETERMINED IN ACCORDANCE WITH THE LAWS OF THE STATE OF DELAWARE WITHOUT GIVING EFFECT TO THE PRINCIPLES OF CONFLICTS OF LAW THEREUNDER.</w:t>
      </w:r>
    </w:p>
    <w:p>
      <w:pPr>
        <w:spacing w:after="0" w:line="191" w:lineRule="exact"/>
        <w:rPr>
          <w:rFonts w:ascii="Times New Roman" w:cs="Times New Roman" w:eastAsia="Times New Roman" w:hAnsi="Times New Roman"/>
          <w:sz w:val="20"/>
          <w:szCs w:val="20"/>
          <w:color w:val="auto"/>
        </w:rPr>
      </w:pPr>
    </w:p>
    <w:p>
      <w:pPr>
        <w:jc w:val="both"/>
        <w:ind w:left="380" w:firstLine="751"/>
        <w:spacing w:after="0" w:line="241" w:lineRule="auto"/>
        <w:tabs>
          <w:tab w:leader="none" w:pos="1525"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EXCEPT TO THE EXTENT MANDATED BY APPLICABLE LAW OR RULES OF PROCEDURE, OR AS OTHERWISE EXPRESSLY REQUIRED IN ANY OTHER LOAN DOCUMENT,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1" w:name="page202"/>
    <w:bookmarkEnd w:id="201"/>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THE ADMINISTRATIVE AGENT, ANY LENDER OR ANY L/C ISSUER MAY OTHERWISE HAVE TO BRING ANY ACTION OR PROCEEDING RELATING TO THIS AGREEMENT OR ANY OTHER LOAN DOCUMENT AGAINST ANY BORROWER OR ITS PROPERTIES IN THE COURTS OF ANY JURISDICTION.</w:t>
      </w:r>
    </w:p>
    <w:p>
      <w:pPr>
        <w:spacing w:after="0" w:line="174" w:lineRule="exact"/>
        <w:rPr>
          <w:sz w:val="20"/>
          <w:szCs w:val="20"/>
          <w:color w:val="auto"/>
        </w:rPr>
      </w:pPr>
    </w:p>
    <w:p>
      <w:pPr>
        <w:jc w:val="both"/>
        <w:ind w:left="380" w:firstLine="751"/>
        <w:spacing w:after="0" w:line="244" w:lineRule="auto"/>
        <w:tabs>
          <w:tab w:leader="none" w:pos="1525"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38"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Power of Attorney</w:t>
      </w:r>
      <w:r>
        <w:rPr>
          <w:rFonts w:ascii="Times New Roman" w:cs="Times New Roman" w:eastAsia="Times New Roman" w:hAnsi="Times New Roman"/>
          <w:sz w:val="20"/>
          <w:szCs w:val="20"/>
          <w:color w:val="auto"/>
        </w:rPr>
        <w:t>. Each party acknowledges and accepts that, if a party is represented by an attorney in connection with the signing and/or execution of this Agreement or any other agreement, deed or document referred to in this Agreement or made pursuant to this Agreement, and the power of attorney is governed by Dutch law, that the existence and extent of the attorney’s authority and the effects of the attorney's exercise or purported exercise of its authority shall be governed by Dutch law.</w:t>
      </w:r>
    </w:p>
    <w:p>
      <w:pPr>
        <w:spacing w:after="0" w:line="175" w:lineRule="exact"/>
        <w:rPr>
          <w:rFonts w:ascii="Times New Roman" w:cs="Times New Roman" w:eastAsia="Times New Roman" w:hAnsi="Times New Roman"/>
          <w:sz w:val="20"/>
          <w:szCs w:val="20"/>
          <w:color w:val="auto"/>
        </w:rPr>
      </w:pPr>
    </w:p>
    <w:p>
      <w:pPr>
        <w:jc w:val="both"/>
        <w:ind w:left="380" w:firstLine="751"/>
        <w:spacing w:after="0" w:line="256" w:lineRule="auto"/>
        <w:tabs>
          <w:tab w:leader="none" w:pos="1525"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Instruction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Each Loan Party waives any right or power to vote as a creditor of any Loan Party incorporated in the Netherlands or its estate other than in accordance with the instruction of the Administrative Agent for an </w:t>
      </w:r>
      <w:r>
        <w:rPr>
          <w:rFonts w:ascii="Times New Roman" w:cs="Times New Roman" w:eastAsia="Times New Roman" w:hAnsi="Times New Roman"/>
          <w:sz w:val="20"/>
          <w:szCs w:val="20"/>
          <w:i w:val="1"/>
          <w:iCs w:val="1"/>
          <w:color w:val="auto"/>
        </w:rPr>
        <w:t>akkoord</w:t>
      </w:r>
      <w:r>
        <w:rPr>
          <w:rFonts w:ascii="Times New Roman" w:cs="Times New Roman" w:eastAsia="Times New Roman" w:hAnsi="Times New Roman"/>
          <w:sz w:val="20"/>
          <w:szCs w:val="20"/>
          <w:color w:val="auto"/>
        </w:rPr>
        <w:t xml:space="preserve"> within the meaning of the Dutch Bankruptcy Act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10.15 Waiver of Jury Trial. </w:t>
      </w:r>
      <w:r>
        <w:rPr>
          <w:rFonts w:ascii="Times New Roman" w:cs="Times New Roman" w:eastAsia="Times New Roman" w:hAnsi="Times New Roman"/>
          <w:sz w:val="20"/>
          <w:szCs w:val="20"/>
          <w:color w:val="auto"/>
        </w:rPr>
        <w:t>EACH PARTY HERETO HEREBY IRREVOCABLY WAIVES, TO THE FULLEST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10.16 No Advisory or Fiduciary Responsibility. </w:t>
      </w:r>
      <w:r>
        <w:rPr>
          <w:rFonts w:ascii="Times New Roman" w:cs="Times New Roman" w:eastAsia="Times New Roman" w:hAnsi="Times New Roman"/>
          <w:sz w:val="20"/>
          <w:szCs w:val="20"/>
          <w:color w:val="auto"/>
        </w:rPr>
        <w:t>In connection with all aspects of each transaction contemplated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Arrangers and the Lenders are arm’s-length commercial transactions between such Borrower and its Affiliates, on the one hand, and the Administrative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2" w:name="page203"/>
    <w:bookmarkEnd w:id="202"/>
    <w:p>
      <w:pPr>
        <w:jc w:val="both"/>
        <w:spacing w:after="0" w:line="241" w:lineRule="auto"/>
        <w:rPr>
          <w:sz w:val="20"/>
          <w:szCs w:val="20"/>
          <w:color w:val="auto"/>
        </w:rPr>
      </w:pPr>
      <w:r>
        <w:rPr>
          <w:rFonts w:ascii="Times New Roman" w:cs="Times New Roman" w:eastAsia="Times New Roman" w:hAnsi="Times New Roman"/>
          <w:sz w:val="20"/>
          <w:szCs w:val="20"/>
          <w:color w:val="auto"/>
        </w:rPr>
        <w:t>Agent, the Arrangers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the Arrangers nor any Lender has any obligation to such Borrower or any of its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such Borrower and its Affiliates, and neither the Administrative Agent, the Arrangers nor any Lender has any obligation to disclose any of such interests to any Borrower or any of their respective Affiliates. To the fullest extent permitted by law, each of the Borrowers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9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10.17 Electronic Execution; Electronic Records; Counterparts. </w:t>
      </w:r>
      <w:r>
        <w:rPr>
          <w:rFonts w:ascii="Times New Roman" w:cs="Times New Roman" w:eastAsia="Times New Roman" w:hAnsi="Times New Roman"/>
          <w:sz w:val="20"/>
          <w:szCs w:val="20"/>
          <w:color w:val="auto"/>
        </w:rPr>
        <w:t>This Agreement, any Loan Document and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Communication,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any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Neither the Administrative Agent, any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such L/C Issuer’s or Swing Line Lender’s reliance on any Electronic Signature transmitted by telecopy, emailed .pdf or any other electronic means). The Administrative Agent, each L/C Issuer and Swing Line Lender shall be entitled to rely on,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3" w:name="page204"/>
    <w:bookmarkEnd w:id="203"/>
    <w:p>
      <w:pPr>
        <w:jc w:val="both"/>
        <w:spacing w:after="0" w:line="249" w:lineRule="auto"/>
        <w:rPr>
          <w:sz w:val="20"/>
          <w:szCs w:val="20"/>
          <w:color w:val="auto"/>
        </w:rPr>
      </w:pPr>
      <w:r>
        <w:rPr>
          <w:rFonts w:ascii="Times New Roman" w:cs="Times New Roman" w:eastAsia="Times New Roman" w:hAnsi="Times New Roman"/>
          <w:sz w:val="20"/>
          <w:szCs w:val="20"/>
          <w:color w:val="auto"/>
        </w:rPr>
        <w:t>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10.18 USA PATRIOT Act. </w:t>
      </w:r>
      <w:r>
        <w:rPr>
          <w:rFonts w:ascii="Times New Roman" w:cs="Times New Roman" w:eastAsia="Times New Roman" w:hAnsi="Times New Roman"/>
          <w:sz w:val="20"/>
          <w:szCs w:val="20"/>
          <w:color w:val="auto"/>
        </w:rPr>
        <w:t>Each Lender that is subject to the Act (as hereinafter defined) and the Administrative Agent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10.19 Keepwell. </w:t>
      </w:r>
      <w:r>
        <w:rPr>
          <w:rFonts w:ascii="Times New Roman" w:cs="Times New Roman" w:eastAsia="Times New Roman" w:hAnsi="Times New Roman"/>
          <w:sz w:val="20"/>
          <w:szCs w:val="20"/>
          <w:color w:val="auto"/>
        </w:rPr>
        <w:t>The Company hereby absolutely, unconditionally and irrevocably undertakes to provide such funds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support to each Subsidiary Guarantor as may be needed by such Subsidiary Guarantor from time to time to honor all of its obligations under the Subsidiary Guaranty to which it is a party and the other Loan Documents to which it is a party in respect of Swap Obligations that would, in absence of the agreement in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otherwise constitute Excluded Swap Obligations (but, in each case, only up to the maximum amount of such liability that can be hereby incurred without rendering the Company’s obligations and undertakings under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obligations and undertakings of the Company under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shall remain in full force and effect until the Obligations have been indefeasibly paid and performed in full. The Company intends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Subsidiary Guarantor for all purposes of the Commodity Exchange Act.</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10.20 Judgment Currency. </w:t>
      </w:r>
      <w:r>
        <w:rPr>
          <w:rFonts w:ascii="Times New Roman" w:cs="Times New Roman" w:eastAsia="Times New Roman" w:hAnsi="Times New Roman"/>
          <w:sz w:val="20"/>
          <w:szCs w:val="20"/>
          <w:color w:val="auto"/>
        </w:rPr>
        <w:t>If, for the purposes of obtaining judgment in any court, it is necessary to convert a sum due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any Lender or any L/C Issuer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4" w:name="page205"/>
    <w:bookmarkEnd w:id="204"/>
    <w:p>
      <w:pPr>
        <w:jc w:val="both"/>
        <w:spacing w:after="0" w:line="245" w:lineRule="auto"/>
        <w:rPr>
          <w:sz w:val="20"/>
          <w:szCs w:val="20"/>
          <w:color w:val="auto"/>
        </w:rPr>
      </w:pPr>
      <w:r>
        <w:rPr>
          <w:rFonts w:ascii="Times New Roman" w:cs="Times New Roman" w:eastAsia="Times New Roman" w:hAnsi="Times New Roman"/>
          <w:sz w:val="20"/>
          <w:szCs w:val="20"/>
          <w:color w:val="auto"/>
        </w:rPr>
        <w:t>Judgment Currency. If the amount of the Agreement Currency so purchased is less than the sum originally due to the Administrative Agent, any Lender or any L/C Issuer from any Borrower in the Agreement Currency, such Borrower agrees, as a separate obligation and notwithstanding any such judgment, to 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such Borrower (or to any other Person who may be entitled thereto under Applicable Law).</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10.21 Amendment and Restatement; No Novation. </w:t>
      </w:r>
      <w:r>
        <w:rPr>
          <w:rFonts w:ascii="Times New Roman" w:cs="Times New Roman" w:eastAsia="Times New Roman" w:hAnsi="Times New Roman"/>
          <w:sz w:val="20"/>
          <w:szCs w:val="20"/>
          <w:color w:val="auto"/>
        </w:rPr>
        <w:t>This Agreement constitutes an amendment and restatement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Borrowers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Applicable Percentages of the Lenders hereunder and the Borrowers agree to pay any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in connection with such transfers as if all Loans under the Existing Credit Agreement were repaid on the Closing Date, to the extent not waived by the applicable Lenders.</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10.22 Acknowledgment and Consent to Bail-In of Affected Financial Institutions. </w:t>
      </w:r>
      <w:r>
        <w:rPr>
          <w:rFonts w:ascii="Times New Roman" w:cs="Times New Roman" w:eastAsia="Times New Roman" w:hAnsi="Times New Roman"/>
          <w:sz w:val="20"/>
          <w:szCs w:val="20"/>
          <w:color w:val="auto"/>
        </w:rPr>
        <w:t>Solely to the extent any Lender or L/C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ind w:left="380" w:right="20" w:firstLine="751"/>
        <w:spacing w:after="0" w:line="269" w:lineRule="auto"/>
        <w:tabs>
          <w:tab w:leader="none" w:pos="1525"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left="1140" w:right="20" w:firstLine="740"/>
        <w:spacing w:after="0" w:line="269" w:lineRule="auto"/>
        <w:tabs>
          <w:tab w:leader="none" w:pos="2284"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5" w:name="page206"/>
    <w:bookmarkEnd w:id="205"/>
    <w:p>
      <w:pPr>
        <w:jc w:val="both"/>
        <w:ind w:firstLine="749"/>
        <w:spacing w:after="0" w:line="260" w:lineRule="auto"/>
        <w:rPr>
          <w:sz w:val="20"/>
          <w:szCs w:val="20"/>
          <w:color w:val="auto"/>
        </w:rPr>
      </w:pPr>
      <w:r>
        <w:rPr>
          <w:rFonts w:ascii="Times New Roman" w:cs="Times New Roman" w:eastAsia="Times New Roman" w:hAnsi="Times New Roman"/>
          <w:sz w:val="19"/>
          <w:szCs w:val="19"/>
          <w:b w:val="1"/>
          <w:bCs w:val="1"/>
          <w:color w:val="auto"/>
        </w:rPr>
        <w:t>10.23 Acknowledgement Regarding Any Supported QFCs</w:t>
      </w:r>
      <w:r>
        <w:rPr>
          <w:rFonts w:ascii="Times New Roman" w:cs="Times New Roman" w:eastAsia="Times New Roman" w:hAnsi="Times New Roman"/>
          <w:sz w:val="19"/>
          <w:szCs w:val="19"/>
          <w:color w:val="auto"/>
        </w:rPr>
        <w:t>. To the extent that the Loan Documents provide support, through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0" w:lineRule="exact"/>
        <w:rPr>
          <w:sz w:val="20"/>
          <w:szCs w:val="20"/>
          <w:color w:val="auto"/>
        </w:rPr>
      </w:pPr>
    </w:p>
    <w:p>
      <w:pPr>
        <w:jc w:val="both"/>
        <w:ind w:left="380" w:firstLine="751"/>
        <w:spacing w:after="0" w:line="256" w:lineRule="auto"/>
        <w:tabs>
          <w:tab w:leader="none" w:pos="1525"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3" w:lineRule="exact"/>
        <w:rPr>
          <w:rFonts w:ascii="Times New Roman" w:cs="Times New Roman" w:eastAsia="Times New Roman" w:hAnsi="Times New Roman"/>
          <w:sz w:val="19"/>
          <w:szCs w:val="19"/>
          <w:color w:val="auto"/>
        </w:rPr>
      </w:pPr>
    </w:p>
    <w:p>
      <w:pPr>
        <w:ind w:left="1520" w:hanging="389"/>
        <w:spacing w:after="0"/>
        <w:tabs>
          <w:tab w:leader="none" w:pos="152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10.23</w:t>
      </w:r>
      <w:r>
        <w:rPr>
          <w:rFonts w:ascii="Times New Roman" w:cs="Times New Roman" w:eastAsia="Times New Roman" w:hAnsi="Times New Roman"/>
          <w:sz w:val="20"/>
          <w:szCs w:val="20"/>
          <w:color w:val="auto"/>
        </w:rPr>
        <w:t>, the following terms have the following meanings:</w:t>
      </w:r>
    </w:p>
    <w:p>
      <w:pPr>
        <w:spacing w:after="0" w:line="216" w:lineRule="exact"/>
        <w:rPr>
          <w:sz w:val="20"/>
          <w:szCs w:val="20"/>
          <w:color w:val="auto"/>
        </w:rPr>
      </w:pPr>
    </w:p>
    <w:p>
      <w:pPr>
        <w:jc w:val="both"/>
        <w:ind w:left="1220" w:firstLine="65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jc w:val="both"/>
        <w:ind w:left="1220" w:firstLine="65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0" w:lineRule="exact"/>
        <w:rPr>
          <w:sz w:val="20"/>
          <w:szCs w:val="20"/>
          <w:color w:val="auto"/>
        </w:rPr>
      </w:pPr>
    </w:p>
    <w:p>
      <w:pPr>
        <w:jc w:val="both"/>
        <w:ind w:left="1220" w:firstLine="65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left="1220" w:right="20" w:firstLine="65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10.24 Press Releases </w:t>
      </w:r>
      <w:r>
        <w:rPr>
          <w:rFonts w:ascii="Times New Roman" w:cs="Times New Roman" w:eastAsia="Times New Roman" w:hAnsi="Times New Roman"/>
          <w:sz w:val="20"/>
          <w:szCs w:val="20"/>
          <w:color w:val="auto"/>
        </w:rPr>
        <w:t>. Each Borrower, on behalf of itself and its Affiliates, agrees that it will not in the future issue any press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releases or other public disclosure using the name of the Administrative Agent, any Arranger or any Lender or their respective Affiliates or referring to this Agreement or any of the Loan Documents without the prior written consent of the Administrative Agent, unless (and only to the extent that) such Borrower or such Affiliate is required to do so under Applicable Law and then, in any event such</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206" w:name="page207"/>
    <w:bookmarkEnd w:id="206"/>
    <w:p>
      <w:pPr>
        <w:spacing w:after="0" w:line="269" w:lineRule="auto"/>
        <w:rPr>
          <w:sz w:val="20"/>
          <w:szCs w:val="20"/>
          <w:color w:val="auto"/>
        </w:rPr>
      </w:pPr>
      <w:r>
        <w:rPr>
          <w:rFonts w:ascii="Times New Roman" w:cs="Times New Roman" w:eastAsia="Times New Roman" w:hAnsi="Times New Roman"/>
          <w:sz w:val="20"/>
          <w:szCs w:val="20"/>
          <w:color w:val="auto"/>
        </w:rPr>
        <w:t>Borrower or such Affiliate will consult with the Administrative Agent, such Arranger, such Lender or such Affiliate of any of the foregoing, as applicable, before issuing such press release or other public disclosure.</w:t>
      </w:r>
    </w:p>
    <w:p>
      <w:pPr>
        <w:spacing w:after="0" w:line="15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10.25</w:t>
      </w:r>
      <w:r>
        <w:rPr>
          <w:sz w:val="20"/>
          <w:szCs w:val="20"/>
          <w:color w:val="auto"/>
        </w:rPr>
        <w:tab/>
      </w:r>
      <w:r>
        <w:rPr>
          <w:rFonts w:ascii="Times New Roman" w:cs="Times New Roman" w:eastAsia="Times New Roman" w:hAnsi="Times New Roman"/>
          <w:sz w:val="20"/>
          <w:szCs w:val="20"/>
          <w:b w:val="1"/>
          <w:bCs w:val="1"/>
          <w:color w:val="auto"/>
        </w:rPr>
        <w:t>Parallel Debt.</w:t>
      </w:r>
    </w:p>
    <w:p>
      <w:pPr>
        <w:spacing w:after="0" w:line="220" w:lineRule="exact"/>
        <w:rPr>
          <w:sz w:val="20"/>
          <w:szCs w:val="20"/>
          <w:color w:val="auto"/>
        </w:rPr>
      </w:pPr>
    </w:p>
    <w:p>
      <w:pPr>
        <w:jc w:val="both"/>
        <w:ind w:left="380" w:firstLine="751"/>
        <w:spacing w:after="0" w:line="274" w:lineRule="auto"/>
        <w:tabs>
          <w:tab w:leader="none" w:pos="1525"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Loan Party hereby irrevocably and unconditionally undertakes to pay to Bank of America, N.A. in its capacity as Administrative Agent amounts equal to the amounts due in respect of such Loan Party's Corresponding Obligations as they may exist from time to time. The payment undertakings of each Loan Party under this </w:t>
      </w:r>
      <w:r>
        <w:rPr>
          <w:rFonts w:ascii="Times New Roman" w:cs="Times New Roman" w:eastAsia="Times New Roman" w:hAnsi="Times New Roman"/>
          <w:sz w:val="19"/>
          <w:szCs w:val="19"/>
          <w:u w:val="single" w:color="auto"/>
          <w:color w:val="auto"/>
        </w:rPr>
        <w:t>Section 10.25</w:t>
      </w:r>
      <w:r>
        <w:rPr>
          <w:rFonts w:ascii="Times New Roman" w:cs="Times New Roman" w:eastAsia="Times New Roman" w:hAnsi="Times New Roman"/>
          <w:sz w:val="19"/>
          <w:szCs w:val="19"/>
          <w:color w:val="auto"/>
        </w:rPr>
        <w:t xml:space="preserve"> are each to be referred to as a "Parallel Debt".</w:t>
      </w:r>
    </w:p>
    <w:p>
      <w:pPr>
        <w:spacing w:after="0" w:line="156" w:lineRule="exact"/>
        <w:rPr>
          <w:rFonts w:ascii="Times New Roman" w:cs="Times New Roman" w:eastAsia="Times New Roman" w:hAnsi="Times New Roman"/>
          <w:sz w:val="19"/>
          <w:szCs w:val="19"/>
          <w:color w:val="auto"/>
        </w:rPr>
      </w:pPr>
    </w:p>
    <w:p>
      <w:pPr>
        <w:jc w:val="both"/>
        <w:ind w:left="380" w:firstLine="751"/>
        <w:spacing w:after="0" w:line="249" w:lineRule="auto"/>
        <w:tabs>
          <w:tab w:leader="none" w:pos="1525"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Parallel Debt will be payable in the currency or currencies of the relevant Corresponding Obligations and will become due and payable as and when and to the extent the relevant Corresponding Obligations become due and payable. An Event of Default in respect of the payment of the Corresponding Obligations shall constitute a default within the meaning of section 3:248 Dutch Civil Code with respect to the payment of the Parallel Debts without any notice being required.</w:t>
      </w:r>
    </w:p>
    <w:p>
      <w:pPr>
        <w:spacing w:after="0" w:line="17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to this Agreement hereby acknowledges that:</w:t>
      </w:r>
    </w:p>
    <w:p>
      <w:pPr>
        <w:spacing w:after="0" w:line="215" w:lineRule="exact"/>
        <w:rPr>
          <w:rFonts w:ascii="Times New Roman" w:cs="Times New Roman" w:eastAsia="Times New Roman" w:hAnsi="Times New Roman"/>
          <w:sz w:val="20"/>
          <w:szCs w:val="20"/>
          <w:color w:val="auto"/>
        </w:rPr>
      </w:pPr>
    </w:p>
    <w:p>
      <w:pPr>
        <w:ind w:left="1140" w:right="40" w:firstLine="740"/>
        <w:spacing w:after="0" w:line="269" w:lineRule="auto"/>
        <w:tabs>
          <w:tab w:leader="none" w:pos="228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Parallel Debt constitutes an undertaking, obligation and liability to the Administrative Agent which is separate and independent from, and without prejudice to, the Corresponding Obligations of the relevant Loan Party; and</w:t>
      </w:r>
    </w:p>
    <w:p>
      <w:pPr>
        <w:spacing w:after="0" w:line="159" w:lineRule="exact"/>
        <w:rPr>
          <w:rFonts w:ascii="Times New Roman" w:cs="Times New Roman" w:eastAsia="Times New Roman" w:hAnsi="Times New Roman"/>
          <w:sz w:val="20"/>
          <w:szCs w:val="20"/>
          <w:color w:val="auto"/>
        </w:rPr>
      </w:pPr>
    </w:p>
    <w:p>
      <w:pPr>
        <w:ind w:left="1140" w:right="60" w:firstLine="740"/>
        <w:spacing w:after="0" w:line="269" w:lineRule="auto"/>
        <w:tabs>
          <w:tab w:leader="none" w:pos="228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Parallel Debt represents the Administrative Agent’s own separate and independent claim to receive payment of each Parallel Debt from the relevant Loan Party,</w:t>
      </w:r>
    </w:p>
    <w:p>
      <w:pPr>
        <w:spacing w:after="0" w:line="159"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being understood, in each case, that the amounts which may be payable by each Loan Party as Parallel Debt at any time shall never exceed the total of the amounts which are payable under or in connection with the Corresponding Obligations at that time.</w:t>
      </w:r>
    </w:p>
    <w:p>
      <w:pPr>
        <w:spacing w:after="0" w:line="174"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paid by a Loan Party to the Administrative Agent in respect of a Parallel Debt will discharge the liability of the Loan Party under the Corresponding Obligations in an equal amount.</w:t>
      </w:r>
    </w:p>
    <w:p>
      <w:pPr>
        <w:spacing w:after="0" w:line="159"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 of this </w:t>
      </w:r>
      <w:r>
        <w:rPr>
          <w:rFonts w:ascii="Times New Roman" w:cs="Times New Roman" w:eastAsia="Times New Roman" w:hAnsi="Times New Roman"/>
          <w:sz w:val="20"/>
          <w:szCs w:val="20"/>
          <w:u w:val="single" w:color="auto"/>
          <w:color w:val="auto"/>
        </w:rPr>
        <w:t>Section 10.25</w:t>
      </w:r>
      <w:r>
        <w:rPr>
          <w:rFonts w:ascii="Times New Roman" w:cs="Times New Roman" w:eastAsia="Times New Roman" w:hAnsi="Times New Roman"/>
          <w:sz w:val="20"/>
          <w:szCs w:val="20"/>
          <w:color w:val="auto"/>
        </w:rPr>
        <w:t>, the Administrative Agent acts in its own name and for the benefit of the Secured Parties, but not as representative of the Secured Parties.</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Lien governed by Dutch law, any resignation by, or removal of, the Administrative Agent is not effective with respect to its rights under the Parallel Debts until all rights and obligations under the Parallel Debts have been assigned and assumed to a successor administrative agent.</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66" w:lineRule="auto"/>
        <w:tabs>
          <w:tab w:leader="none" w:pos="1525"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will reasonably cooperate in assigning its rights and obligations under the Parallel Debts to a successor administrative agent and will reasonably cooperate in transferring all rights and obligations under any Netherlands Security Document to such successor administrative agent. All other parties to this Agreement hereby, in advance, irrevocably grant their cooperation (</w:t>
      </w:r>
      <w:r>
        <w:rPr>
          <w:rFonts w:ascii="Times New Roman" w:cs="Times New Roman" w:eastAsia="Times New Roman" w:hAnsi="Times New Roman"/>
          <w:sz w:val="19"/>
          <w:szCs w:val="19"/>
          <w:i w:val="1"/>
          <w:iCs w:val="1"/>
          <w:color w:val="auto"/>
        </w:rPr>
        <w:t>medewerking</w:t>
      </w:r>
      <w:r>
        <w:rPr>
          <w:rFonts w:ascii="Times New Roman" w:cs="Times New Roman" w:eastAsia="Times New Roman" w:hAnsi="Times New Roman"/>
          <w:sz w:val="19"/>
          <w:szCs w:val="19"/>
          <w:color w:val="auto"/>
        </w:rPr>
        <w:t>) to such transfer of all rights and obligations by the Administrative Agent to a successor administrative agent.</w:t>
      </w:r>
    </w:p>
    <w:p>
      <w:pPr>
        <w:spacing w:after="0" w:line="16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10.26 ENTIRE AGREEMENT. </w:t>
      </w:r>
      <w:r>
        <w:rPr>
          <w:rFonts w:ascii="Times New Roman" w:cs="Times New Roman" w:eastAsia="Times New Roman" w:hAnsi="Times New Roman"/>
          <w:sz w:val="20"/>
          <w:szCs w:val="20"/>
          <w:color w:val="auto"/>
        </w:rPr>
        <w:t>THIS AGREEMENT AND THE OTHER LOAN DOCUMENTS REPRESENT THE FINAL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AMONG THE PARTIES AND MAY NOT BE CONTRADICTED BY EVIDENCE OF PRIOR, CONTEMPORANEOUS, OR SUBSEQUENT ORAL AGREEMENTS OF THE PARTIES. THERE ARE NO UNWRITTEN ORAL AGREEMENTS AMONG THE PARTIES.</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7" w:name="page208"/>
    <w:bookmarkEnd w:id="207"/>
    <w:p>
      <w:pPr>
        <w:jc w:val="right"/>
        <w:ind w:right="2939"/>
        <w:spacing w:after="0"/>
        <w:rPr>
          <w:sz w:val="20"/>
          <w:szCs w:val="20"/>
          <w:color w:val="auto"/>
        </w:rPr>
      </w:pPr>
      <w:r>
        <w:rPr>
          <w:rFonts w:ascii="Times New Roman" w:cs="Times New Roman" w:eastAsia="Times New Roman" w:hAnsi="Times New Roman"/>
          <w:sz w:val="20"/>
          <w:szCs w:val="20"/>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481330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332" w:right="1440"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ANNEX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Amended Exhibit A, Exhibit D and Exhibit J</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895350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09" w:name="page210"/>
    <w:bookmarkEnd w:id="209"/>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ANNEX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2.01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0"/>
          <w:szCs w:val="20"/>
          <w:b w:val="1"/>
          <w:bCs w:val="1"/>
          <w:color w:val="auto"/>
        </w:rPr>
        <w:t>SCHEDULE 2.01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COMMITMENTS AND APPLICABLE PERCENTAGES</w:t>
      </w:r>
      <w:r>
        <w:rPr>
          <w:rFonts w:ascii="Times New Roman" w:cs="Times New Roman" w:eastAsia="Times New Roman" w:hAnsi="Times New Roman"/>
          <w:sz w:val="26"/>
          <w:szCs w:val="26"/>
          <w:b w:val="1"/>
          <w:bCs w:val="1"/>
          <w:color w:val="auto"/>
          <w:vertAlign w:val="superscript"/>
        </w:rPr>
        <w:t>1</w:t>
      </w:r>
    </w:p>
    <w:p>
      <w:pPr>
        <w:spacing w:after="0" w:line="272" w:lineRule="exact"/>
        <w:rPr>
          <w:sz w:val="20"/>
          <w:szCs w:val="20"/>
          <w:color w:val="auto"/>
        </w:rPr>
      </w:pPr>
    </w:p>
    <w:tbl>
      <w:tblPr>
        <w:tblLayout w:type="fixed"/>
        <w:tblInd w:w="130" w:type="dxa"/>
        <w:tblCellMar>
          <w:top w:w="0" w:type="dxa"/>
          <w:left w:w="0" w:type="dxa"/>
          <w:bottom w:w="0" w:type="dxa"/>
          <w:right w:w="0" w:type="dxa"/>
        </w:tblCellMar>
      </w:tblPr>
      <w:tr>
        <w:trPr>
          <w:trHeight w:val="219"/>
        </w:trPr>
        <w:tc>
          <w:tcPr>
            <w:tcW w:w="434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1540" w:type="dxa"/>
            <w:vAlign w:val="bottom"/>
            <w:tcBorders>
              <w:top w:val="single" w:sz="8" w:color="auto"/>
              <w:right w:val="single" w:sz="8" w:color="auto"/>
            </w:tcBorders>
            <w:shd w:val="clear" w:color="auto" w:fill="BFBFBF"/>
          </w:tcPr>
          <w:p>
            <w:pPr>
              <w:spacing w:after="0"/>
              <w:rPr>
                <w:sz w:val="19"/>
                <w:szCs w:val="19"/>
                <w:color w:val="auto"/>
              </w:rPr>
            </w:pPr>
          </w:p>
        </w:tc>
        <w:tc>
          <w:tcPr>
            <w:tcW w:w="172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c>
          <w:tcPr>
            <w:tcW w:w="1720" w:type="dxa"/>
            <w:vAlign w:val="bottom"/>
            <w:tcBorders>
              <w:top w:val="single" w:sz="8" w:color="auto"/>
              <w:right w:val="single" w:sz="8" w:color="auto"/>
            </w:tcBorders>
            <w:shd w:val="clear" w:color="auto" w:fill="BFBFBF"/>
          </w:tcPr>
          <w:p>
            <w:pPr>
              <w:spacing w:after="0"/>
              <w:rPr>
                <w:sz w:val="19"/>
                <w:szCs w:val="19"/>
                <w:color w:val="auto"/>
              </w:rPr>
            </w:pPr>
          </w:p>
        </w:tc>
        <w:tc>
          <w:tcPr>
            <w:tcW w:w="1700" w:type="dxa"/>
            <w:vAlign w:val="bottom"/>
            <w:tcBorders>
              <w:top w:val="single" w:sz="8" w:color="auto"/>
              <w:right w:val="single" w:sz="8" w:color="auto"/>
            </w:tcBorders>
            <w:shd w:val="clear" w:color="auto" w:fill="BFBFBF"/>
          </w:tcPr>
          <w:p>
            <w:pPr>
              <w:jc w:val="center"/>
              <w:ind w:right="1"/>
              <w:spacing w:after="0" w:line="219" w:lineRule="exact"/>
              <w:rPr>
                <w:sz w:val="20"/>
                <w:szCs w:val="20"/>
                <w:color w:val="auto"/>
              </w:rPr>
            </w:pPr>
            <w:r>
              <w:rPr>
                <w:rFonts w:ascii="Times New Roman" w:cs="Times New Roman" w:eastAsia="Times New Roman" w:hAnsi="Times New Roman"/>
                <w:sz w:val="20"/>
                <w:szCs w:val="20"/>
                <w:b w:val="1"/>
                <w:bCs w:val="1"/>
                <w:color w:val="auto"/>
                <w:w w:val="99"/>
              </w:rPr>
              <w:t>Applicable</w:t>
            </w:r>
          </w:p>
        </w:tc>
        <w:tc>
          <w:tcPr>
            <w:tcW w:w="0" w:type="dxa"/>
            <w:vAlign w:val="bottom"/>
          </w:tcPr>
          <w:p>
            <w:pPr>
              <w:spacing w:after="0"/>
              <w:rPr>
                <w:sz w:val="1"/>
                <w:szCs w:val="1"/>
                <w:color w:val="auto"/>
              </w:rPr>
            </w:pPr>
          </w:p>
        </w:tc>
      </w:tr>
      <w:tr>
        <w:trPr>
          <w:trHeight w:val="108"/>
        </w:trPr>
        <w:tc>
          <w:tcPr>
            <w:tcW w:w="4340" w:type="dxa"/>
            <w:vAlign w:val="bottom"/>
            <w:tcBorders>
              <w:left w:val="single" w:sz="8" w:color="auto"/>
              <w:right w:val="single" w:sz="8" w:color="auto"/>
            </w:tcBorders>
            <w:shd w:val="clear" w:color="auto" w:fill="BFBFBF"/>
          </w:tcPr>
          <w:p>
            <w:pPr>
              <w:spacing w:after="0"/>
              <w:rPr>
                <w:sz w:val="9"/>
                <w:szCs w:val="9"/>
                <w:color w:val="auto"/>
              </w:rPr>
            </w:pPr>
          </w:p>
        </w:tc>
        <w:tc>
          <w:tcPr>
            <w:tcW w:w="1540" w:type="dxa"/>
            <w:vAlign w:val="bottom"/>
            <w:tcBorders>
              <w:right w:val="single" w:sz="8" w:color="auto"/>
            </w:tcBorders>
            <w:vMerge w:val="restart"/>
            <w:shd w:val="clear" w:color="auto" w:fill="BFBFBF"/>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Revolving</w:t>
            </w:r>
          </w:p>
        </w:tc>
        <w:tc>
          <w:tcPr>
            <w:tcW w:w="1720" w:type="dxa"/>
            <w:vAlign w:val="bottom"/>
            <w:tcBorders>
              <w:right w:val="single" w:sz="8" w:color="auto"/>
            </w:tcBorders>
            <w:vMerge w:val="continue"/>
            <w:shd w:val="clear" w:color="auto" w:fill="BFBFBF"/>
          </w:tcPr>
          <w:p>
            <w:pPr>
              <w:spacing w:after="0"/>
              <w:rPr>
                <w:sz w:val="9"/>
                <w:szCs w:val="9"/>
                <w:color w:val="auto"/>
              </w:rPr>
            </w:pPr>
          </w:p>
        </w:tc>
        <w:tc>
          <w:tcPr>
            <w:tcW w:w="17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Incremental</w:t>
            </w:r>
          </w:p>
        </w:tc>
        <w:tc>
          <w:tcPr>
            <w:tcW w:w="1700" w:type="dxa"/>
            <w:vAlign w:val="bottom"/>
            <w:tcBorders>
              <w:right w:val="single" w:sz="8" w:color="auto"/>
            </w:tcBorders>
            <w:vMerge w:val="restart"/>
            <w:shd w:val="clear" w:color="auto" w:fill="BFBFBF"/>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Percentage of</w:t>
            </w:r>
          </w:p>
        </w:tc>
        <w:tc>
          <w:tcPr>
            <w:tcW w:w="0" w:type="dxa"/>
            <w:vAlign w:val="bottom"/>
          </w:tcPr>
          <w:p>
            <w:pPr>
              <w:spacing w:after="0"/>
              <w:rPr>
                <w:sz w:val="1"/>
                <w:szCs w:val="1"/>
                <w:color w:val="auto"/>
              </w:rPr>
            </w:pPr>
          </w:p>
        </w:tc>
      </w:tr>
      <w:tr>
        <w:trPr>
          <w:trHeight w:val="122"/>
        </w:trPr>
        <w:tc>
          <w:tcPr>
            <w:tcW w:w="4340" w:type="dxa"/>
            <w:vAlign w:val="bottom"/>
            <w:tcBorders>
              <w:left w:val="single" w:sz="8" w:color="auto"/>
              <w:right w:val="single" w:sz="8" w:color="auto"/>
            </w:tcBorders>
            <w:shd w:val="clear" w:color="auto" w:fill="BFBFBF"/>
          </w:tcPr>
          <w:p>
            <w:pPr>
              <w:spacing w:after="0"/>
              <w:rPr>
                <w:sz w:val="10"/>
                <w:szCs w:val="10"/>
                <w:color w:val="auto"/>
              </w:rPr>
            </w:pPr>
          </w:p>
        </w:tc>
        <w:tc>
          <w:tcPr>
            <w:tcW w:w="1540" w:type="dxa"/>
            <w:vAlign w:val="bottom"/>
            <w:tcBorders>
              <w:right w:val="single" w:sz="8" w:color="auto"/>
            </w:tcBorders>
            <w:vMerge w:val="continue"/>
            <w:shd w:val="clear" w:color="auto" w:fill="BFBFBF"/>
          </w:tcPr>
          <w:p>
            <w:pPr>
              <w:spacing w:after="0"/>
              <w:rPr>
                <w:sz w:val="10"/>
                <w:szCs w:val="10"/>
                <w:color w:val="auto"/>
              </w:rPr>
            </w:pPr>
          </w:p>
        </w:tc>
        <w:tc>
          <w:tcPr>
            <w:tcW w:w="17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 of</w:t>
            </w:r>
          </w:p>
        </w:tc>
        <w:tc>
          <w:tcPr>
            <w:tcW w:w="1720" w:type="dxa"/>
            <w:vAlign w:val="bottom"/>
            <w:tcBorders>
              <w:right w:val="single" w:sz="8" w:color="auto"/>
            </w:tcBorders>
            <w:vMerge w:val="continue"/>
            <w:shd w:val="clear" w:color="auto" w:fill="BFBFBF"/>
          </w:tcPr>
          <w:p>
            <w:pPr>
              <w:spacing w:after="0"/>
              <w:rPr>
                <w:sz w:val="10"/>
                <w:szCs w:val="10"/>
                <w:color w:val="auto"/>
              </w:rPr>
            </w:pPr>
          </w:p>
        </w:tc>
        <w:tc>
          <w:tcPr>
            <w:tcW w:w="1700" w:type="dxa"/>
            <w:vAlign w:val="bottom"/>
            <w:tcBorders>
              <w:right w:val="single" w:sz="8" w:color="auto"/>
            </w:tcBorders>
            <w:vMerge w:val="continue"/>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40" w:type="dxa"/>
            <w:vAlign w:val="bottom"/>
            <w:tcBorders>
              <w:left w:val="single" w:sz="8" w:color="auto"/>
              <w:right w:val="single" w:sz="8" w:color="auto"/>
            </w:tcBorders>
            <w:vMerge w:val="restart"/>
            <w:shd w:val="clear" w:color="auto" w:fill="BFBFBF"/>
          </w:tcPr>
          <w:p>
            <w:pPr>
              <w:ind w:left="184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1540" w:type="dxa"/>
            <w:vAlign w:val="bottom"/>
            <w:tcBorders>
              <w:right w:val="single" w:sz="8" w:color="auto"/>
            </w:tcBorders>
            <w:vMerge w:val="restart"/>
            <w:shd w:val="clear" w:color="auto" w:fill="BFBFBF"/>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Credit</w:t>
            </w:r>
          </w:p>
        </w:tc>
        <w:tc>
          <w:tcPr>
            <w:tcW w:w="1720" w:type="dxa"/>
            <w:vAlign w:val="bottom"/>
            <w:tcBorders>
              <w:right w:val="single" w:sz="8" w:color="auto"/>
            </w:tcBorders>
            <w:vMerge w:val="continue"/>
            <w:shd w:val="clear" w:color="auto" w:fill="BFBFBF"/>
          </w:tcPr>
          <w:p>
            <w:pPr>
              <w:spacing w:after="0"/>
              <w:rPr>
                <w:sz w:val="9"/>
                <w:szCs w:val="9"/>
                <w:color w:val="auto"/>
              </w:rPr>
            </w:pPr>
          </w:p>
        </w:tc>
        <w:tc>
          <w:tcPr>
            <w:tcW w:w="17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Term A-1 Loan</w:t>
            </w:r>
          </w:p>
        </w:tc>
        <w:tc>
          <w:tcPr>
            <w:tcW w:w="1700" w:type="dxa"/>
            <w:vAlign w:val="bottom"/>
            <w:tcBorders>
              <w:right w:val="single" w:sz="8" w:color="auto"/>
            </w:tcBorders>
            <w:vMerge w:val="restart"/>
            <w:shd w:val="clear" w:color="auto" w:fill="BFBFBF"/>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Incremental</w:t>
            </w:r>
          </w:p>
        </w:tc>
        <w:tc>
          <w:tcPr>
            <w:tcW w:w="0" w:type="dxa"/>
            <w:vAlign w:val="bottom"/>
          </w:tcPr>
          <w:p>
            <w:pPr>
              <w:spacing w:after="0"/>
              <w:rPr>
                <w:sz w:val="1"/>
                <w:szCs w:val="1"/>
                <w:color w:val="auto"/>
              </w:rPr>
            </w:pPr>
          </w:p>
        </w:tc>
      </w:tr>
      <w:tr>
        <w:trPr>
          <w:trHeight w:val="122"/>
        </w:trPr>
        <w:tc>
          <w:tcPr>
            <w:tcW w:w="4340" w:type="dxa"/>
            <w:vAlign w:val="bottom"/>
            <w:tcBorders>
              <w:left w:val="single" w:sz="8" w:color="auto"/>
              <w:right w:val="single" w:sz="8" w:color="auto"/>
            </w:tcBorders>
            <w:vMerge w:val="continue"/>
            <w:shd w:val="clear" w:color="auto" w:fill="BFBFBF"/>
          </w:tcPr>
          <w:p>
            <w:pPr>
              <w:spacing w:after="0"/>
              <w:rPr>
                <w:sz w:val="10"/>
                <w:szCs w:val="10"/>
                <w:color w:val="auto"/>
              </w:rPr>
            </w:pPr>
          </w:p>
        </w:tc>
        <w:tc>
          <w:tcPr>
            <w:tcW w:w="1540" w:type="dxa"/>
            <w:vAlign w:val="bottom"/>
            <w:tcBorders>
              <w:right w:val="single" w:sz="8" w:color="auto"/>
            </w:tcBorders>
            <w:vMerge w:val="continue"/>
            <w:shd w:val="clear" w:color="auto" w:fill="BFBFBF"/>
          </w:tcPr>
          <w:p>
            <w:pPr>
              <w:spacing w:after="0"/>
              <w:rPr>
                <w:sz w:val="10"/>
                <w:szCs w:val="10"/>
                <w:color w:val="auto"/>
              </w:rPr>
            </w:pPr>
          </w:p>
        </w:tc>
        <w:tc>
          <w:tcPr>
            <w:tcW w:w="17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Revolving Credit</w:t>
            </w:r>
          </w:p>
        </w:tc>
        <w:tc>
          <w:tcPr>
            <w:tcW w:w="1720" w:type="dxa"/>
            <w:vAlign w:val="bottom"/>
            <w:tcBorders>
              <w:right w:val="single" w:sz="8" w:color="auto"/>
            </w:tcBorders>
            <w:vMerge w:val="continue"/>
            <w:shd w:val="clear" w:color="auto" w:fill="BFBFBF"/>
          </w:tcPr>
          <w:p>
            <w:pPr>
              <w:spacing w:after="0"/>
              <w:rPr>
                <w:sz w:val="10"/>
                <w:szCs w:val="10"/>
                <w:color w:val="auto"/>
              </w:rPr>
            </w:pPr>
          </w:p>
        </w:tc>
        <w:tc>
          <w:tcPr>
            <w:tcW w:w="1700" w:type="dxa"/>
            <w:vAlign w:val="bottom"/>
            <w:tcBorders>
              <w:right w:val="single" w:sz="8" w:color="auto"/>
            </w:tcBorders>
            <w:vMerge w:val="continue"/>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40" w:type="dxa"/>
            <w:vAlign w:val="bottom"/>
            <w:tcBorders>
              <w:left w:val="single" w:sz="8" w:color="auto"/>
              <w:right w:val="single" w:sz="8" w:color="auto"/>
            </w:tcBorders>
            <w:shd w:val="clear" w:color="auto" w:fill="BFBFBF"/>
          </w:tcPr>
          <w:p>
            <w:pPr>
              <w:spacing w:after="0"/>
              <w:rPr>
                <w:sz w:val="9"/>
                <w:szCs w:val="9"/>
                <w:color w:val="auto"/>
              </w:rPr>
            </w:pPr>
          </w:p>
        </w:tc>
        <w:tc>
          <w:tcPr>
            <w:tcW w:w="154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1720" w:type="dxa"/>
            <w:vAlign w:val="bottom"/>
            <w:tcBorders>
              <w:right w:val="single" w:sz="8" w:color="auto"/>
            </w:tcBorders>
            <w:vMerge w:val="continue"/>
            <w:shd w:val="clear" w:color="auto" w:fill="BFBFBF"/>
          </w:tcPr>
          <w:p>
            <w:pPr>
              <w:spacing w:after="0"/>
              <w:rPr>
                <w:sz w:val="9"/>
                <w:szCs w:val="9"/>
                <w:color w:val="auto"/>
              </w:rPr>
            </w:pPr>
          </w:p>
        </w:tc>
        <w:tc>
          <w:tcPr>
            <w:tcW w:w="17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1700" w:type="dxa"/>
            <w:vAlign w:val="bottom"/>
            <w:tcBorders>
              <w:right w:val="single" w:sz="8" w:color="auto"/>
            </w:tcBorders>
            <w:vMerge w:val="restart"/>
            <w:shd w:val="clear" w:color="auto" w:fill="BFBFBF"/>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Term A-1 Loan</w:t>
            </w:r>
          </w:p>
        </w:tc>
        <w:tc>
          <w:tcPr>
            <w:tcW w:w="0" w:type="dxa"/>
            <w:vAlign w:val="bottom"/>
          </w:tcPr>
          <w:p>
            <w:pPr>
              <w:spacing w:after="0"/>
              <w:rPr>
                <w:sz w:val="1"/>
                <w:szCs w:val="1"/>
                <w:color w:val="auto"/>
              </w:rPr>
            </w:pPr>
          </w:p>
        </w:tc>
      </w:tr>
      <w:tr>
        <w:trPr>
          <w:trHeight w:val="121"/>
        </w:trPr>
        <w:tc>
          <w:tcPr>
            <w:tcW w:w="4340" w:type="dxa"/>
            <w:vAlign w:val="bottom"/>
            <w:tcBorders>
              <w:left w:val="single" w:sz="8" w:color="auto"/>
              <w:right w:val="single" w:sz="8" w:color="auto"/>
            </w:tcBorders>
            <w:shd w:val="clear" w:color="auto" w:fill="BFBFBF"/>
          </w:tcPr>
          <w:p>
            <w:pPr>
              <w:spacing w:after="0"/>
              <w:rPr>
                <w:sz w:val="10"/>
                <w:szCs w:val="10"/>
                <w:color w:val="auto"/>
              </w:rPr>
            </w:pPr>
          </w:p>
        </w:tc>
        <w:tc>
          <w:tcPr>
            <w:tcW w:w="1540" w:type="dxa"/>
            <w:vAlign w:val="bottom"/>
            <w:tcBorders>
              <w:right w:val="single" w:sz="8" w:color="auto"/>
            </w:tcBorders>
            <w:vMerge w:val="continue"/>
            <w:shd w:val="clear" w:color="auto" w:fill="BFBFBF"/>
          </w:tcPr>
          <w:p>
            <w:pPr>
              <w:spacing w:after="0"/>
              <w:rPr>
                <w:sz w:val="10"/>
                <w:szCs w:val="10"/>
                <w:color w:val="auto"/>
              </w:rPr>
            </w:pPr>
          </w:p>
        </w:tc>
        <w:tc>
          <w:tcPr>
            <w:tcW w:w="1720" w:type="dxa"/>
            <w:vAlign w:val="bottom"/>
            <w:tcBorders>
              <w:right w:val="single" w:sz="8" w:color="auto"/>
            </w:tcBorders>
            <w:vMerge w:val="restart"/>
            <w:shd w:val="clear" w:color="auto" w:fill="BFBFBF"/>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Facility</w:t>
            </w:r>
          </w:p>
        </w:tc>
        <w:tc>
          <w:tcPr>
            <w:tcW w:w="1720" w:type="dxa"/>
            <w:vAlign w:val="bottom"/>
            <w:tcBorders>
              <w:right w:val="single" w:sz="8" w:color="auto"/>
            </w:tcBorders>
            <w:vMerge w:val="continue"/>
            <w:shd w:val="clear" w:color="auto" w:fill="BFBFBF"/>
          </w:tcPr>
          <w:p>
            <w:pPr>
              <w:spacing w:after="0"/>
              <w:rPr>
                <w:sz w:val="10"/>
                <w:szCs w:val="10"/>
                <w:color w:val="auto"/>
              </w:rPr>
            </w:pPr>
          </w:p>
        </w:tc>
        <w:tc>
          <w:tcPr>
            <w:tcW w:w="1700" w:type="dxa"/>
            <w:vAlign w:val="bottom"/>
            <w:tcBorders>
              <w:right w:val="single" w:sz="8" w:color="auto"/>
            </w:tcBorders>
            <w:vMerge w:val="continue"/>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40" w:type="dxa"/>
            <w:vAlign w:val="bottom"/>
            <w:tcBorders>
              <w:left w:val="single" w:sz="8" w:color="auto"/>
              <w:right w:val="single" w:sz="8" w:color="auto"/>
            </w:tcBorders>
            <w:shd w:val="clear" w:color="auto" w:fill="BFBFBF"/>
          </w:tcPr>
          <w:p>
            <w:pPr>
              <w:spacing w:after="0"/>
              <w:rPr>
                <w:sz w:val="12"/>
                <w:szCs w:val="12"/>
                <w:color w:val="auto"/>
              </w:rPr>
            </w:pPr>
          </w:p>
        </w:tc>
        <w:tc>
          <w:tcPr>
            <w:tcW w:w="1540" w:type="dxa"/>
            <w:vAlign w:val="bottom"/>
            <w:tcBorders>
              <w:right w:val="single" w:sz="8" w:color="auto"/>
            </w:tcBorders>
            <w:shd w:val="clear" w:color="auto" w:fill="BFBFBF"/>
          </w:tcPr>
          <w:p>
            <w:pPr>
              <w:spacing w:after="0"/>
              <w:rPr>
                <w:sz w:val="12"/>
                <w:szCs w:val="12"/>
                <w:color w:val="auto"/>
              </w:rPr>
            </w:pPr>
          </w:p>
        </w:tc>
        <w:tc>
          <w:tcPr>
            <w:tcW w:w="1720" w:type="dxa"/>
            <w:vAlign w:val="bottom"/>
            <w:tcBorders>
              <w:right w:val="single" w:sz="8" w:color="auto"/>
            </w:tcBorders>
            <w:vMerge w:val="continue"/>
            <w:shd w:val="clear" w:color="auto" w:fill="BFBFBF"/>
          </w:tcPr>
          <w:p>
            <w:pPr>
              <w:spacing w:after="0"/>
              <w:rPr>
                <w:sz w:val="12"/>
                <w:szCs w:val="12"/>
                <w:color w:val="auto"/>
              </w:rPr>
            </w:pPr>
          </w:p>
        </w:tc>
        <w:tc>
          <w:tcPr>
            <w:tcW w:w="1720" w:type="dxa"/>
            <w:vAlign w:val="bottom"/>
            <w:tcBorders>
              <w:right w:val="single" w:sz="8" w:color="auto"/>
            </w:tcBorders>
            <w:shd w:val="clear" w:color="auto" w:fill="BFBFBF"/>
          </w:tcPr>
          <w:p>
            <w:pPr>
              <w:spacing w:after="0"/>
              <w:rPr>
                <w:sz w:val="12"/>
                <w:szCs w:val="12"/>
                <w:color w:val="auto"/>
              </w:rPr>
            </w:pPr>
          </w:p>
        </w:tc>
        <w:tc>
          <w:tcPr>
            <w:tcW w:w="170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Facility</w:t>
            </w:r>
          </w:p>
        </w:tc>
        <w:tc>
          <w:tcPr>
            <w:tcW w:w="0" w:type="dxa"/>
            <w:vAlign w:val="bottom"/>
          </w:tcPr>
          <w:p>
            <w:pPr>
              <w:spacing w:after="0"/>
              <w:rPr>
                <w:sz w:val="1"/>
                <w:szCs w:val="1"/>
                <w:color w:val="auto"/>
              </w:rPr>
            </w:pPr>
          </w:p>
        </w:tc>
      </w:tr>
      <w:tr>
        <w:trPr>
          <w:trHeight w:val="112"/>
        </w:trPr>
        <w:tc>
          <w:tcPr>
            <w:tcW w:w="434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1540" w:type="dxa"/>
            <w:vAlign w:val="bottom"/>
            <w:tcBorders>
              <w:bottom w:val="single" w:sz="8" w:color="auto"/>
              <w:right w:val="single" w:sz="8" w:color="auto"/>
            </w:tcBorders>
            <w:shd w:val="clear" w:color="auto" w:fill="BFBFBF"/>
          </w:tcPr>
          <w:p>
            <w:pPr>
              <w:spacing w:after="0"/>
              <w:rPr>
                <w:sz w:val="9"/>
                <w:szCs w:val="9"/>
                <w:color w:val="auto"/>
              </w:rPr>
            </w:pPr>
          </w:p>
        </w:tc>
        <w:tc>
          <w:tcPr>
            <w:tcW w:w="1720" w:type="dxa"/>
            <w:vAlign w:val="bottom"/>
            <w:tcBorders>
              <w:bottom w:val="single" w:sz="8" w:color="auto"/>
              <w:right w:val="single" w:sz="8" w:color="auto"/>
            </w:tcBorders>
            <w:shd w:val="clear" w:color="auto" w:fill="BFBFBF"/>
          </w:tcPr>
          <w:p>
            <w:pPr>
              <w:spacing w:after="0"/>
              <w:rPr>
                <w:sz w:val="9"/>
                <w:szCs w:val="9"/>
                <w:color w:val="auto"/>
              </w:rPr>
            </w:pPr>
          </w:p>
        </w:tc>
        <w:tc>
          <w:tcPr>
            <w:tcW w:w="1720" w:type="dxa"/>
            <w:vAlign w:val="bottom"/>
            <w:tcBorders>
              <w:bottom w:val="single" w:sz="8" w:color="auto"/>
              <w:right w:val="single" w:sz="8" w:color="auto"/>
            </w:tcBorders>
            <w:shd w:val="clear" w:color="auto" w:fill="BFBFBF"/>
          </w:tcPr>
          <w:p>
            <w:pPr>
              <w:spacing w:after="0"/>
              <w:rPr>
                <w:sz w:val="9"/>
                <w:szCs w:val="9"/>
                <w:color w:val="auto"/>
              </w:rPr>
            </w:pPr>
          </w:p>
        </w:tc>
        <w:tc>
          <w:tcPr>
            <w:tcW w:w="170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Bank of America, N.A.</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$130,000,000.00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17.567567568%</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8.510638298%</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The Toronto-Dominion Bank, New York Branch</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$130,000,000.00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17.567567568%</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8.510638298%</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Fifth Third Bank, National Association</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$80,000,000.00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10.810810811%</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8.510638298%</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BMO Bank N.A.</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$80,000,000.00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10.810810811%</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8.510638298%</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PNC Bank, National Association</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$70,000,000.00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9.459459459%</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8.510638298%</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Citibank, N.A.</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$55,000,000.00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7.432432432%</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8.510638298%</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City National Bank</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$55,000,000.00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7.432432432%</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8.510638298%</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JPMorgan Chase Bank, N.A.</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$55,000,000.00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7.432432432%</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8.510638298%</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Wells Fargo Bank, National Association</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$55,000,000.00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7.432432432%</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8.510638298%</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HSBC Bank USA, National Association</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$30,000,000.00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4.054054054%</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Hancock Whitney Bank</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$30,000,000.00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12.765957447%</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SouthState Bank, N.A.</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$25,000,000.00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10.638297872%</w:t>
            </w:r>
          </w:p>
        </w:tc>
        <w:tc>
          <w:tcPr>
            <w:tcW w:w="0" w:type="dxa"/>
            <w:vAlign w:val="bottom"/>
          </w:tcPr>
          <w:p>
            <w:pPr>
              <w:spacing w:after="0"/>
              <w:rPr>
                <w:sz w:val="1"/>
                <w:szCs w:val="1"/>
                <w:color w:val="auto"/>
              </w:rPr>
            </w:pPr>
          </w:p>
        </w:tc>
      </w:tr>
      <w:tr>
        <w:trPr>
          <w:trHeight w:val="48"/>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5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$740,000,000.00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100.000000000%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$235,000,000.00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100.000000000%</w:t>
            </w:r>
          </w:p>
        </w:tc>
        <w:tc>
          <w:tcPr>
            <w:tcW w:w="0" w:type="dxa"/>
            <w:vAlign w:val="bottom"/>
          </w:tcPr>
          <w:p>
            <w:pPr>
              <w:spacing w:after="0"/>
              <w:rPr>
                <w:sz w:val="1"/>
                <w:szCs w:val="1"/>
                <w:color w:val="auto"/>
              </w:rPr>
            </w:pPr>
          </w:p>
        </w:tc>
      </w:tr>
      <w:tr>
        <w:trPr>
          <w:trHeight w:val="115"/>
        </w:trPr>
        <w:tc>
          <w:tcPr>
            <w:tcW w:w="4340" w:type="dxa"/>
            <w:vAlign w:val="bottom"/>
            <w:tcBorders>
              <w:left w:val="single" w:sz="8" w:color="auto"/>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1688465" cy="5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20" w:hanging="112"/>
        <w:spacing w:after="0"/>
        <w:tabs>
          <w:tab w:leader="none" w:pos="120" w:val="left"/>
        </w:tabs>
        <w:numPr>
          <w:ilvl w:val="0"/>
          <w:numId w:val="2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Applicable Percentages may be rounded for ease of reference and actual percentages may differ slightly from this schedule due to such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C-1 and Exhibit C-2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895350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1040130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13" w:name="page214"/>
    <w:bookmarkEnd w:id="2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1)"/>
      <w:numFmt w:val="lowerLetter"/>
      <w:start w:val="2"/>
    </w:lvl>
  </w:abstractNum>
  <w:abstractNum w:abstractNumId="3">
    <w:nsid w:val="2A082C70"/>
    <w:multiLevelType w:val="hybridMultilevel"/>
    <w:lvl w:ilvl="0">
      <w:lvlJc w:val="left"/>
      <w:lvlText w:val="(%1)"/>
      <w:numFmt w:val="decimal"/>
      <w:start w:val="1"/>
    </w:lvl>
  </w:abstractNum>
  <w:abstractNum w:abstractNumId="4">
    <w:nsid w:val="5EC6AFD4"/>
    <w:multiLevelType w:val="hybridMultilevel"/>
    <w:lvl w:ilvl="0">
      <w:lvlJc w:val="left"/>
      <w:lvlText w:val="%1."/>
      <w:numFmt w:val="upperLetter"/>
      <w:start w:val="2"/>
    </w:lvl>
  </w:abstractNum>
  <w:abstractNum w:abstractNumId="5">
    <w:nsid w:val="19E21BB2"/>
    <w:multiLevelType w:val="hybridMultilevel"/>
    <w:lvl w:ilvl="0">
      <w:lvlJc w:val="left"/>
      <w:lvlText w:val="(%1)"/>
      <w:numFmt w:val="lowerLetter"/>
      <w:start w:val="1"/>
    </w:lvl>
  </w:abstractNum>
  <w:abstractNum w:abstractNumId="6">
    <w:nsid w:val="75E0858A"/>
    <w:multiLevelType w:val="hybridMultilevel"/>
    <w:lvl w:ilvl="0">
      <w:lvlJc w:val="left"/>
      <w:lvlText w:val="(%1)"/>
      <w:numFmt w:val="lowerLetter"/>
      <w:start w:val="4"/>
    </w:lvl>
  </w:abstractNum>
  <w:abstractNum w:abstractNumId="7">
    <w:nsid w:val="57A61A29"/>
    <w:multiLevelType w:val="hybridMultilevel"/>
    <w:lvl w:ilvl="0">
      <w:lvlJc w:val="left"/>
      <w:lvlText w:val="(%1)"/>
      <w:numFmt w:val="lowerLetter"/>
      <w:start w:val="1"/>
    </w:lvl>
  </w:abstractNum>
  <w:abstractNum w:abstractNumId="8">
    <w:nsid w:val="5399C654"/>
    <w:multiLevelType w:val="hybridMultilevel"/>
    <w:lvl w:ilvl="0">
      <w:lvlJc w:val="left"/>
      <w:lvlText w:val="(%1)"/>
      <w:numFmt w:val="lowerLetter"/>
      <w:start w:val="2"/>
    </w:lvl>
  </w:abstractNum>
  <w:abstractNum w:abstractNumId="9">
    <w:nsid w:val="20EE1348"/>
    <w:multiLevelType w:val="hybridMultilevel"/>
    <w:lvl w:ilvl="0">
      <w:lvlJc w:val="left"/>
      <w:lvlText w:val="(%1)"/>
      <w:numFmt w:val="lowerLetter"/>
      <w:start w:val="1"/>
    </w:lvl>
    <w:lvl w:ilvl="1">
      <w:lvlJc w:val="left"/>
      <w:lvlText w:val="(%2)"/>
      <w:numFmt w:val="lowerRoman"/>
      <w:start w:val="1"/>
    </w:lvl>
  </w:abstractNum>
  <w:abstractNum w:abstractNumId="10">
    <w:nsid w:val="4427069A"/>
    <w:multiLevelType w:val="hybridMultilevel"/>
    <w:lvl w:ilvl="0">
      <w:lvlJc w:val="left"/>
      <w:lvlText w:val="%1"/>
      <w:numFmt w:val="decimal"/>
      <w:start w:val="1"/>
    </w:lvl>
    <w:lvl w:ilvl="1">
      <w:lvlJc w:val="left"/>
      <w:lvlText w:val="(%2)"/>
      <w:numFmt w:val="lowerLetter"/>
      <w:start w:val="2"/>
    </w:lvl>
  </w:abstractNum>
  <w:abstractNum w:abstractNumId="11">
    <w:nsid w:val="B37E80A"/>
    <w:multiLevelType w:val="hybridMultilevel"/>
    <w:lvl w:ilvl="0">
      <w:lvlJc w:val="left"/>
      <w:lvlText w:val="(%1)"/>
      <w:numFmt w:val="lowerLetter"/>
      <w:start w:val="1"/>
    </w:lvl>
    <w:lvl w:ilvl="1">
      <w:lvlJc w:val="left"/>
      <w:lvlText w:val="(%2)"/>
      <w:numFmt w:val="lowerRoman"/>
      <w:start w:val="1"/>
    </w:lvl>
  </w:abstractNum>
  <w:abstractNum w:abstractNumId="12">
    <w:nsid w:val="2157F6BC"/>
    <w:multiLevelType w:val="hybridMultilevel"/>
    <w:lvl w:ilvl="0">
      <w:lvlJc w:val="left"/>
      <w:lvlText w:val="(%1)"/>
      <w:numFmt w:val="lowerLetter"/>
      <w:start w:val="1"/>
    </w:lvl>
  </w:abstractNum>
  <w:abstractNum w:abstractNumId="13">
    <w:nsid w:val="704E1DD5"/>
    <w:multiLevelType w:val="hybridMultilevel"/>
    <w:lvl w:ilvl="0">
      <w:lvlJc w:val="left"/>
      <w:lvlText w:val="(%1)"/>
      <w:numFmt w:val="lowerLetter"/>
      <w:start w:val="7"/>
    </w:lvl>
    <w:lvl w:ilvl="1">
      <w:lvlJc w:val="left"/>
      <w:lvlText w:val="(%2)"/>
      <w:numFmt w:val="lowerLetter"/>
      <w:start w:val="8"/>
    </w:lvl>
  </w:abstractNum>
  <w:abstractNum w:abstractNumId="14">
    <w:nsid w:val="57D2F10E"/>
    <w:multiLevelType w:val="hybridMultilevel"/>
    <w:lvl w:ilvl="0">
      <w:lvlJc w:val="left"/>
      <w:lvlText w:val="A"/>
      <w:numFmt w:val="bullet"/>
      <w:start w:val="1"/>
    </w:lvl>
  </w:abstractNum>
  <w:abstractNum w:abstractNumId="15">
    <w:nsid w:val="BFFAE18"/>
    <w:multiLevelType w:val="hybridMultilevel"/>
    <w:lvl w:ilvl="0">
      <w:lvlJc w:val="left"/>
      <w:lvlText w:val="B"/>
      <w:numFmt w:val="bullet"/>
      <w:start w:val="1"/>
    </w:lvl>
  </w:abstractNum>
  <w:abstractNum w:abstractNumId="16">
    <w:nsid w:val="E3E47A8"/>
    <w:multiLevelType w:val="hybridMultilevel"/>
    <w:lvl w:ilvl="0">
      <w:lvlJc w:val="left"/>
      <w:lvlText w:val="F"/>
      <w:numFmt w:val="bullet"/>
      <w:start w:val="1"/>
    </w:lvl>
  </w:abstractNum>
  <w:abstractNum w:abstractNumId="17">
    <w:nsid w:val="2E48F044"/>
    <w:multiLevelType w:val="hybridMultilevel"/>
    <w:lvl w:ilvl="0">
      <w:lvlJc w:val="left"/>
      <w:lvlText w:val="G"/>
      <w:numFmt w:val="bullet"/>
      <w:start w:val="1"/>
    </w:lvl>
  </w:abstractNum>
  <w:abstractNum w:abstractNumId="18">
    <w:nsid w:val="49D0FEAC"/>
    <w:multiLevelType w:val="hybridMultilevel"/>
    <w:lvl w:ilvl="0">
      <w:lvlJc w:val="left"/>
      <w:lvlText w:val="H"/>
      <w:numFmt w:val="bullet"/>
      <w:start w:val="1"/>
    </w:lvl>
  </w:abstractNum>
  <w:abstractNum w:abstractNumId="19">
    <w:nsid w:val="4BEE5A5B"/>
    <w:multiLevelType w:val="hybridMultilevel"/>
    <w:lvl w:ilvl="0">
      <w:lvlJc w:val="left"/>
      <w:lvlText w:val="I"/>
      <w:numFmt w:val="bullet"/>
      <w:start w:val="1"/>
    </w:lvl>
  </w:abstractNum>
  <w:abstractNum w:abstractNumId="20">
    <w:nsid w:val="5551B9F3"/>
    <w:multiLevelType w:val="hybridMultilevel"/>
    <w:lvl w:ilvl="0">
      <w:lvlJc w:val="left"/>
      <w:lvlText w:val="J"/>
      <w:numFmt w:val="bullet"/>
      <w:start w:val="1"/>
    </w:lvl>
  </w:abstractNum>
  <w:abstractNum w:abstractNumId="21">
    <w:nsid w:val="24F6AB8E"/>
    <w:multiLevelType w:val="hybridMultilevel"/>
    <w:lvl w:ilvl="0">
      <w:lvlJc w:val="left"/>
      <w:lvlText w:val="K"/>
      <w:numFmt w:val="bullet"/>
      <w:start w:val="1"/>
    </w:lvl>
  </w:abstractNum>
  <w:abstractNum w:abstractNumId="22">
    <w:nsid w:val="634C574C"/>
    <w:multiLevelType w:val="hybridMultilevel"/>
    <w:lvl w:ilvl="0">
      <w:lvlJc w:val="left"/>
      <w:lvlText w:val="%1."/>
      <w:numFmt w:val="upperLetter"/>
      <w:start w:val="1"/>
    </w:lvl>
  </w:abstractNum>
  <w:abstractNum w:abstractNumId="23">
    <w:nsid w:val="24E99DD7"/>
    <w:multiLevelType w:val="hybridMultilevel"/>
    <w:lvl w:ilvl="0">
      <w:lvlJc w:val="left"/>
      <w:lvlText w:val="(%1)"/>
      <w:numFmt w:val="lowerLetter"/>
      <w:start w:val="1"/>
    </w:lvl>
  </w:abstractNum>
  <w:abstractNum w:abstractNumId="24">
    <w:nsid w:val="2A31B62D"/>
    <w:multiLevelType w:val="hybridMultilevel"/>
    <w:lvl w:ilvl="0">
      <w:lvlJc w:val="left"/>
      <w:lvlText w:val="(%1)"/>
      <w:numFmt w:val="lowerLetter"/>
      <w:start w:val="1"/>
    </w:lvl>
  </w:abstractNum>
  <w:abstractNum w:abstractNumId="25">
    <w:nsid w:val="1849C29B"/>
    <w:multiLevelType w:val="hybridMultilevel"/>
    <w:lvl w:ilvl="0">
      <w:lvlJc w:val="left"/>
      <w:lvlText w:val="(%1)"/>
      <w:numFmt w:val="lowerLetter"/>
      <w:start w:val="1"/>
    </w:lvl>
  </w:abstractNum>
  <w:abstractNum w:abstractNumId="26">
    <w:nsid w:val="7DFF9D09"/>
    <w:multiLevelType w:val="hybridMultilevel"/>
    <w:lvl w:ilvl="0">
      <w:lvlJc w:val="left"/>
      <w:lvlText w:val="(%1)"/>
      <w:numFmt w:val="lowerLetter"/>
      <w:start w:val="1"/>
    </w:lvl>
  </w:abstractNum>
  <w:abstractNum w:abstractNumId="27">
    <w:nsid w:val="754342"/>
    <w:multiLevelType w:val="hybridMultilevel"/>
    <w:lvl w:ilvl="0">
      <w:lvlJc w:val="left"/>
      <w:lvlText w:val="(%1)"/>
      <w:numFmt w:val="lowerLetter"/>
      <w:start w:val="1"/>
    </w:lvl>
  </w:abstractNum>
  <w:abstractNum w:abstractNumId="28">
    <w:nsid w:val="69E7F3E5"/>
    <w:multiLevelType w:val="hybridMultilevel"/>
    <w:lvl w:ilvl="0">
      <w:lvlJc w:val="left"/>
      <w:lvlText w:val="(%1)"/>
      <w:numFmt w:val="lowerLetter"/>
      <w:start w:val="1"/>
    </w:lvl>
  </w:abstractNum>
  <w:abstractNum w:abstractNumId="29">
    <w:nsid w:val="2A6DE806"/>
    <w:multiLevelType w:val="hybridMultilevel"/>
    <w:lvl w:ilvl="0">
      <w:lvlJc w:val="left"/>
      <w:lvlText w:val="(%1)"/>
      <w:numFmt w:val="lowerLetter"/>
      <w:start w:val="1"/>
    </w:lvl>
    <w:lvl w:ilvl="1">
      <w:lvlJc w:val="left"/>
      <w:lvlText w:val="(%2)"/>
      <w:numFmt w:val="lowerRoman"/>
      <w:start w:val="1"/>
    </w:lvl>
  </w:abstractNum>
  <w:abstractNum w:abstractNumId="30">
    <w:nsid w:val="1816F8C4"/>
    <w:multiLevelType w:val="hybridMultilevel"/>
    <w:lvl w:ilvl="0">
      <w:lvlJc w:val="left"/>
      <w:lvlText w:val="(%1)"/>
      <w:numFmt w:val="lowerRoman"/>
      <w:start w:val="6"/>
    </w:lvl>
  </w:abstractNum>
  <w:abstractNum w:abstractNumId="31">
    <w:nsid w:val="37DF2233"/>
    <w:multiLevelType w:val="hybridMultilevel"/>
    <w:lvl w:ilvl="0">
      <w:lvlJc w:val="left"/>
      <w:lvlText w:val="(%1)"/>
      <w:numFmt w:val="lowerLetter"/>
      <w:start w:val="3"/>
    </w:lvl>
    <w:lvl w:ilvl="1">
      <w:lvlJc w:val="left"/>
      <w:lvlText w:val="(%2)"/>
      <w:numFmt w:val="lowerRoman"/>
      <w:start w:val="1"/>
    </w:lvl>
  </w:abstractNum>
  <w:abstractNum w:abstractNumId="32">
    <w:nsid w:val="7AB49DAF"/>
    <w:multiLevelType w:val="hybridMultilevel"/>
    <w:lvl w:ilvl="0">
      <w:lvlJc w:val="left"/>
      <w:lvlText w:val="(%1)"/>
      <w:numFmt w:val="lowerRoman"/>
      <w:start w:val="3"/>
    </w:lvl>
  </w:abstractNum>
  <w:abstractNum w:abstractNumId="33">
    <w:nsid w:val="759F82CD"/>
    <w:multiLevelType w:val="hybridMultilevel"/>
    <w:lvl w:ilvl="0">
      <w:lvlJc w:val="left"/>
      <w:lvlText w:val="(%1)"/>
      <w:numFmt w:val="lowerLetter"/>
      <w:start w:val="4"/>
    </w:lvl>
  </w:abstractNum>
  <w:abstractNum w:abstractNumId="34">
    <w:nsid w:val="61E74EA3"/>
    <w:multiLevelType w:val="hybridMultilevel"/>
    <w:lvl w:ilvl="0">
      <w:lvlJc w:val="left"/>
      <w:lvlText w:val="(%1)"/>
      <w:numFmt w:val="lowerLetter"/>
      <w:start w:val="2"/>
    </w:lvl>
  </w:abstractNum>
  <w:abstractNum w:abstractNumId="35">
    <w:nsid w:val="597B4D84"/>
    <w:multiLevelType w:val="hybridMultilevel"/>
    <w:lvl w:ilvl="0">
      <w:lvlJc w:val="left"/>
      <w:lvlText w:val="(%1)"/>
      <w:numFmt w:val="lowerLetter"/>
      <w:start w:val="23"/>
    </w:lvl>
  </w:abstractNum>
  <w:abstractNum w:abstractNumId="36">
    <w:nsid w:val="F819E7F"/>
    <w:multiLevelType w:val="hybridMultilevel"/>
    <w:lvl w:ilvl="0">
      <w:lvlJc w:val="left"/>
      <w:lvlText w:val="(%1)"/>
      <w:numFmt w:val="lowerLetter"/>
      <w:start w:val="2"/>
    </w:lvl>
  </w:abstractNum>
  <w:abstractNum w:abstractNumId="37">
    <w:nsid w:val="57C7D42D"/>
    <w:multiLevelType w:val="hybridMultilevel"/>
    <w:lvl w:ilvl="0">
      <w:lvlJc w:val="left"/>
      <w:lvlText w:val="(%1)"/>
      <w:numFmt w:val="lowerLetter"/>
      <w:start w:val="1"/>
    </w:lvl>
    <w:lvl w:ilvl="1">
      <w:lvlJc w:val="left"/>
      <w:lvlText w:val="(%2)"/>
      <w:numFmt w:val="lowerRoman"/>
      <w:start w:val="2"/>
    </w:lvl>
  </w:abstractNum>
  <w:abstractNum w:abstractNumId="38">
    <w:nsid w:val="312167AD"/>
    <w:multiLevelType w:val="hybridMultilevel"/>
    <w:lvl w:ilvl="0">
      <w:lvlJc w:val="left"/>
      <w:lvlText w:val="(%1)"/>
      <w:numFmt w:val="decimal"/>
      <w:start w:val="1"/>
    </w:lvl>
  </w:abstractNum>
  <w:abstractNum w:abstractNumId="39">
    <w:nsid w:val="631B64D4"/>
    <w:multiLevelType w:val="hybridMultilevel"/>
    <w:lvl w:ilvl="0">
      <w:lvlJc w:val="left"/>
      <w:lvlText w:val="(%1)"/>
      <w:numFmt w:val="lowerLetter"/>
      <w:start w:val="1"/>
    </w:lvl>
  </w:abstractNum>
  <w:abstractNum w:abstractNumId="40">
    <w:nsid w:val="78B5E776"/>
    <w:multiLevelType w:val="hybridMultilevel"/>
    <w:lvl w:ilvl="0">
      <w:lvlJc w:val="left"/>
      <w:lvlText w:val="(%1)"/>
      <w:numFmt w:val="lowerLetter"/>
      <w:start w:val="1"/>
    </w:lvl>
  </w:abstractNum>
  <w:abstractNum w:abstractNumId="41">
    <w:nsid w:val="75486E47"/>
    <w:multiLevelType w:val="hybridMultilevel"/>
    <w:lvl w:ilvl="0">
      <w:lvlJc w:val="left"/>
      <w:lvlText w:val="(%1)"/>
      <w:numFmt w:val="lowerLetter"/>
      <w:start w:val="1"/>
    </w:lvl>
  </w:abstractNum>
  <w:abstractNum w:abstractNumId="42">
    <w:nsid w:val="6E534CDE"/>
    <w:multiLevelType w:val="hybridMultilevel"/>
    <w:lvl w:ilvl="0">
      <w:lvlJc w:val="left"/>
      <w:lvlText w:val="(%1)"/>
      <w:numFmt w:val="lowerLetter"/>
      <w:start w:val="1"/>
    </w:lvl>
  </w:abstractNum>
  <w:abstractNum w:abstractNumId="43">
    <w:nsid w:val="1A0DDE32"/>
    <w:multiLevelType w:val="hybridMultilevel"/>
    <w:lvl w:ilvl="0">
      <w:lvlJc w:val="left"/>
      <w:lvlText w:val="(%1)"/>
      <w:numFmt w:val="lowerLetter"/>
      <w:start w:val="4"/>
    </w:lvl>
  </w:abstractNum>
  <w:abstractNum w:abstractNumId="44">
    <w:nsid w:val="65968C1C"/>
    <w:multiLevelType w:val="hybridMultilevel"/>
    <w:lvl w:ilvl="0">
      <w:lvlJc w:val="left"/>
      <w:lvlText w:val="(%1)"/>
      <w:numFmt w:val="lowerLetter"/>
      <w:start w:val="1"/>
    </w:lvl>
  </w:abstractNum>
  <w:abstractNum w:abstractNumId="45">
    <w:nsid w:val="46263DEC"/>
    <w:multiLevelType w:val="hybridMultilevel"/>
    <w:lvl w:ilvl="0">
      <w:lvlJc w:val="left"/>
      <w:lvlText w:val="(%1)"/>
      <w:numFmt w:val="lowerLetter"/>
      <w:start w:val="5"/>
    </w:lvl>
  </w:abstractNum>
  <w:abstractNum w:abstractNumId="46">
    <w:nsid w:val="260D8C4A"/>
    <w:multiLevelType w:val="hybridMultilevel"/>
    <w:lvl w:ilvl="0">
      <w:lvlJc w:val="left"/>
      <w:lvlText w:val="(%1)"/>
      <w:numFmt w:val="lowerLetter"/>
      <w:start w:val="1"/>
    </w:lvl>
  </w:abstractNum>
  <w:abstractNum w:abstractNumId="47">
    <w:nsid w:val="73D4D3C4"/>
    <w:multiLevelType w:val="hybridMultilevel"/>
    <w:lvl w:ilvl="0">
      <w:lvlJc w:val="left"/>
      <w:lvlText w:val="(%1)"/>
      <w:numFmt w:val="lowerLetter"/>
      <w:start w:val="4"/>
    </w:lvl>
  </w:abstractNum>
  <w:abstractNum w:abstractNumId="48">
    <w:nsid w:val="746F2E30"/>
    <w:multiLevelType w:val="hybridMultilevel"/>
    <w:lvl w:ilvl="0">
      <w:lvlJc w:val="left"/>
      <w:lvlText w:val="(%1)"/>
      <w:numFmt w:val="lowerLetter"/>
      <w:start w:val="1"/>
    </w:lvl>
  </w:abstractNum>
  <w:abstractNum w:abstractNumId="49">
    <w:nsid w:val="6FDE8AF6"/>
    <w:multiLevelType w:val="hybridMultilevel"/>
    <w:lvl w:ilvl="0">
      <w:lvlJc w:val="left"/>
      <w:lvlText w:val="(%1)"/>
      <w:numFmt w:val="lowerLetter"/>
      <w:start w:val="1"/>
    </w:lvl>
  </w:abstractNum>
  <w:abstractNum w:abstractNumId="50">
    <w:nsid w:val="3FC32E20"/>
    <w:multiLevelType w:val="hybridMultilevel"/>
    <w:lvl w:ilvl="0">
      <w:lvlJc w:val="left"/>
      <w:lvlText w:val="(%1)"/>
      <w:numFmt w:val="lowerLetter"/>
      <w:start w:val="1"/>
    </w:lvl>
  </w:abstractNum>
  <w:abstractNum w:abstractNumId="51">
    <w:nsid w:val="49C0E823"/>
    <w:multiLevelType w:val="hybridMultilevel"/>
    <w:lvl w:ilvl="0">
      <w:lvlJc w:val="left"/>
      <w:lvlText w:val="(%1)"/>
      <w:numFmt w:val="lowerLetter"/>
      <w:start w:val="1"/>
    </w:lvl>
    <w:lvl w:ilvl="1">
      <w:lvlJc w:val="left"/>
      <w:lvlText w:val="(%2)"/>
      <w:numFmt w:val="lowerRoman"/>
      <w:start w:val="1"/>
    </w:lvl>
  </w:abstractNum>
  <w:abstractNum w:abstractNumId="52">
    <w:nsid w:val="14D53685"/>
    <w:multiLevelType w:val="hybridMultilevel"/>
    <w:lvl w:ilvl="0">
      <w:lvlJc w:val="left"/>
      <w:lvlText w:val="(%1)"/>
      <w:numFmt w:val="lowerLetter"/>
      <w:start w:val="1"/>
    </w:lvl>
  </w:abstractNum>
  <w:abstractNum w:abstractNumId="53">
    <w:nsid w:val="230F856C"/>
    <w:multiLevelType w:val="hybridMultilevel"/>
    <w:lvl w:ilvl="0">
      <w:lvlJc w:val="left"/>
      <w:lvlText w:val="(%1)"/>
      <w:numFmt w:val="lowerLetter"/>
      <w:start w:val="1"/>
    </w:lvl>
  </w:abstractNum>
  <w:abstractNum w:abstractNumId="54">
    <w:nsid w:val="6EAA85FB"/>
    <w:multiLevelType w:val="hybridMultilevel"/>
    <w:lvl w:ilvl="0">
      <w:lvlJc w:val="left"/>
      <w:lvlText w:val="(%1)"/>
      <w:numFmt w:val="lowerLetter"/>
      <w:start w:val="2"/>
    </w:lvl>
  </w:abstractNum>
  <w:abstractNum w:abstractNumId="55">
    <w:nsid w:val="3F06ECB2"/>
    <w:multiLevelType w:val="hybridMultilevel"/>
    <w:lvl w:ilvl="0">
      <w:lvlJc w:val="left"/>
      <w:lvlText w:val="(%1)"/>
      <w:numFmt w:val="lowerLetter"/>
      <w:start w:val="1"/>
    </w:lvl>
  </w:abstractNum>
  <w:abstractNum w:abstractNumId="56">
    <w:nsid w:val="3B594807"/>
    <w:multiLevelType w:val="hybridMultilevel"/>
    <w:lvl w:ilvl="0">
      <w:lvlJc w:val="left"/>
      <w:lvlText w:val="(%1)"/>
      <w:numFmt w:val="lowerLetter"/>
      <w:start w:val="2"/>
    </w:lvl>
  </w:abstractNum>
  <w:abstractNum w:abstractNumId="57">
    <w:nsid w:val="6CAA2304"/>
    <w:multiLevelType w:val="hybridMultilevel"/>
    <w:lvl w:ilvl="0">
      <w:lvlJc w:val="left"/>
      <w:lvlText w:val="(%1)"/>
      <w:numFmt w:val="lowerLetter"/>
      <w:start w:val="1"/>
    </w:lvl>
  </w:abstractNum>
  <w:abstractNum w:abstractNumId="58">
    <w:nsid w:val="3F7C2FF4"/>
    <w:multiLevelType w:val="hybridMultilevel"/>
    <w:lvl w:ilvl="0">
      <w:lvlJc w:val="left"/>
      <w:lvlText w:val="%1"/>
      <w:numFmt w:val="lowerLetter"/>
      <w:start w:val="1"/>
    </w:lvl>
    <w:lvl w:ilvl="1">
      <w:lvlJc w:val="left"/>
      <w:lvlText w:val="(%2)"/>
      <w:numFmt w:val="lowerLetter"/>
      <w:start w:val="1"/>
    </w:lvl>
  </w:abstractNum>
  <w:abstractNum w:abstractNumId="59">
    <w:nsid w:val="25413BEC"/>
    <w:multiLevelType w:val="hybridMultilevel"/>
    <w:lvl w:ilvl="0">
      <w:lvlJc w:val="left"/>
      <w:lvlText w:val="(%1)"/>
      <w:numFmt w:val="lowerLetter"/>
      <w:start w:val="9"/>
    </w:lvl>
    <w:lvl w:ilvl="1">
      <w:lvlJc w:val="left"/>
      <w:lvlText w:val="(%2)"/>
      <w:numFmt w:val="lowerLetter"/>
      <w:start w:val="4"/>
    </w:lvl>
  </w:abstractNum>
  <w:abstractNum w:abstractNumId="60">
    <w:nsid w:val="17180B0B"/>
    <w:multiLevelType w:val="hybridMultilevel"/>
    <w:lvl w:ilvl="0">
      <w:lvlJc w:val="left"/>
      <w:lvlText w:val="(%1)"/>
      <w:numFmt w:val="lowerLetter"/>
      <w:start w:val="1"/>
    </w:lvl>
  </w:abstractNum>
  <w:abstractNum w:abstractNumId="61">
    <w:nsid w:val="579328B9"/>
    <w:multiLevelType w:val="hybridMultilevel"/>
    <w:lvl w:ilvl="0">
      <w:lvlJc w:val="left"/>
      <w:lvlText w:val="(%1)"/>
      <w:numFmt w:val="lowerLetter"/>
      <w:start w:val="1"/>
    </w:lvl>
  </w:abstractNum>
  <w:abstractNum w:abstractNumId="62">
    <w:nsid w:val="5D205E20"/>
    <w:multiLevelType w:val="hybridMultilevel"/>
    <w:lvl w:ilvl="0">
      <w:lvlJc w:val="left"/>
      <w:lvlText w:val="(%1)"/>
      <w:numFmt w:val="lowerLetter"/>
      <w:start w:val="2"/>
    </w:lvl>
  </w:abstractNum>
  <w:abstractNum w:abstractNumId="63">
    <w:nsid w:val="11CCA8BA"/>
    <w:multiLevelType w:val="hybridMultilevel"/>
    <w:lvl w:ilvl="0">
      <w:lvlJc w:val="left"/>
      <w:lvlText w:val="(%1)"/>
      <w:numFmt w:val="lowerLetter"/>
      <w:start w:val="1"/>
    </w:lvl>
  </w:abstractNum>
  <w:abstractNum w:abstractNumId="64">
    <w:nsid w:val="4D32AB86"/>
    <w:multiLevelType w:val="hybridMultilevel"/>
    <w:lvl w:ilvl="0">
      <w:lvlJc w:val="left"/>
      <w:lvlText w:val="(%1)"/>
      <w:numFmt w:val="lowerLetter"/>
      <w:start w:val="2"/>
    </w:lvl>
  </w:abstractNum>
  <w:abstractNum w:abstractNumId="65">
    <w:nsid w:val="3F07ACC3"/>
    <w:multiLevelType w:val="hybridMultilevel"/>
    <w:lvl w:ilvl="0">
      <w:lvlJc w:val="left"/>
      <w:lvlText w:val="(%1)"/>
      <w:numFmt w:val="lowerLetter"/>
      <w:start w:val="5"/>
    </w:lvl>
  </w:abstractNum>
  <w:abstractNum w:abstractNumId="66">
    <w:nsid w:val="6B47F63E"/>
    <w:multiLevelType w:val="hybridMultilevel"/>
    <w:lvl w:ilvl="0">
      <w:lvlJc w:val="left"/>
      <w:lvlText w:val="(%1)"/>
      <w:numFmt w:val="lowerLetter"/>
      <w:start w:val="1"/>
    </w:lvl>
    <w:lvl w:ilvl="1">
      <w:lvlJc w:val="left"/>
      <w:lvlText w:val="(%2)"/>
      <w:numFmt w:val="lowerLetter"/>
      <w:start w:val="9"/>
    </w:lvl>
  </w:abstractNum>
  <w:abstractNum w:abstractNumId="67">
    <w:nsid w:val="5CB44A05"/>
    <w:multiLevelType w:val="hybridMultilevel"/>
    <w:lvl w:ilvl="0">
      <w:lvlJc w:val="left"/>
      <w:lvlText w:val="(%1)"/>
      <w:numFmt w:val="lowerRoman"/>
      <w:start w:val="2"/>
    </w:lvl>
    <w:lvl w:ilvl="1">
      <w:lvlJc w:val="left"/>
      <w:lvlText w:val="(%2)"/>
      <w:numFmt w:val="upperLetter"/>
      <w:start w:val="1"/>
    </w:lvl>
  </w:abstractNum>
  <w:abstractNum w:abstractNumId="68">
    <w:nsid w:val="16CF80F1"/>
    <w:multiLevelType w:val="hybridMultilevel"/>
    <w:lvl w:ilvl="0">
      <w:lvlJc w:val="left"/>
      <w:lvlText w:val="%1"/>
      <w:numFmt w:val="lowerLetter"/>
      <w:start w:val="1"/>
    </w:lvl>
    <w:lvl w:ilvl="1">
      <w:lvlJc w:val="left"/>
      <w:lvlText w:val="(%2)"/>
      <w:numFmt w:val="lowerRoman"/>
      <w:start w:val="5"/>
    </w:lvl>
  </w:abstractNum>
  <w:abstractNum w:abstractNumId="69">
    <w:nsid w:val="1C695DEC"/>
    <w:multiLevelType w:val="hybridMultilevel"/>
    <w:lvl w:ilvl="0">
      <w:lvlJc w:val="left"/>
      <w:lvlText w:val="(%1)"/>
      <w:numFmt w:val="lowerLetter"/>
      <w:start w:val="2"/>
    </w:lvl>
    <w:lvl w:ilvl="1">
      <w:lvlJc w:val="left"/>
      <w:lvlText w:val="(%2)"/>
      <w:numFmt w:val="lowerRoman"/>
      <w:start w:val="1"/>
    </w:lvl>
  </w:abstractNum>
  <w:abstractNum w:abstractNumId="70">
    <w:nsid w:val="3FCFAED9"/>
    <w:multiLevelType w:val="hybridMultilevel"/>
    <w:lvl w:ilvl="0">
      <w:lvlJc w:val="left"/>
      <w:lvlText w:val="%1"/>
      <w:numFmt w:val="lowerLetter"/>
      <w:start w:val="1"/>
    </w:lvl>
    <w:lvl w:ilvl="1">
      <w:lvlJc w:val="left"/>
      <w:lvlText w:val="(%2)"/>
      <w:numFmt w:val="lowerRoman"/>
      <w:start w:val="3"/>
    </w:lvl>
  </w:abstractNum>
  <w:abstractNum w:abstractNumId="71">
    <w:nsid w:val="F856867"/>
    <w:multiLevelType w:val="hybridMultilevel"/>
    <w:lvl w:ilvl="0">
      <w:lvlJc w:val="left"/>
      <w:lvlText w:val="(%1)"/>
      <w:numFmt w:val="lowerLetter"/>
      <w:start w:val="3"/>
    </w:lvl>
    <w:lvl w:ilvl="1">
      <w:lvlJc w:val="left"/>
      <w:lvlText w:val="(%2)"/>
      <w:numFmt w:val="lowerRoman"/>
      <w:start w:val="1"/>
    </w:lvl>
  </w:abstractNum>
  <w:abstractNum w:abstractNumId="72">
    <w:nsid w:val="11B1CC33"/>
    <w:multiLevelType w:val="hybridMultilevel"/>
    <w:lvl w:ilvl="0">
      <w:lvlJc w:val="left"/>
      <w:lvlText w:val="(%1)"/>
      <w:numFmt w:val="lowerRoman"/>
      <w:start w:val="2"/>
    </w:lvl>
  </w:abstractNum>
  <w:abstractNum w:abstractNumId="73">
    <w:nsid w:val="2E22FBB7"/>
    <w:multiLevelType w:val="hybridMultilevel"/>
    <w:lvl w:ilvl="0">
      <w:lvlJc w:val="left"/>
      <w:lvlText w:val="%1"/>
      <w:numFmt w:val="lowerLetter"/>
      <w:start w:val="1"/>
    </w:lvl>
    <w:lvl w:ilvl="1">
      <w:lvlJc w:val="left"/>
      <w:lvlText w:val="(%2)"/>
      <w:numFmt w:val="lowerRoman"/>
      <w:start w:val="4"/>
    </w:lvl>
  </w:abstractNum>
  <w:abstractNum w:abstractNumId="74">
    <w:nsid w:val="29934699"/>
    <w:multiLevelType w:val="hybridMultilevel"/>
    <w:lvl w:ilvl="0">
      <w:lvlJc w:val="left"/>
      <w:lvlText w:val="(%1)"/>
      <w:numFmt w:val="lowerLetter"/>
      <w:start w:val="4"/>
    </w:lvl>
    <w:lvl w:ilvl="1">
      <w:lvlJc w:val="left"/>
      <w:lvlText w:val="(%2)"/>
      <w:numFmt w:val="lowerRoman"/>
      <w:start w:val="1"/>
    </w:lvl>
  </w:abstractNum>
  <w:abstractNum w:abstractNumId="75">
    <w:nsid w:val="77485850"/>
    <w:multiLevelType w:val="hybridMultilevel"/>
    <w:lvl w:ilvl="0">
      <w:lvlJc w:val="left"/>
      <w:lvlText w:val="%1"/>
      <w:numFmt w:val="lowerLetter"/>
      <w:start w:val="1"/>
    </w:lvl>
    <w:lvl w:ilvl="1">
      <w:lvlJc w:val="left"/>
      <w:lvlText w:val="(%2)"/>
      <w:numFmt w:val="lowerLetter"/>
      <w:start w:val="35"/>
    </w:lvl>
  </w:abstractNum>
  <w:abstractNum w:abstractNumId="76">
    <w:nsid w:val="744939A3"/>
    <w:multiLevelType w:val="hybridMultilevel"/>
    <w:lvl w:ilvl="0">
      <w:lvlJc w:val="left"/>
      <w:lvlText w:val="(%1)"/>
      <w:numFmt w:val="lowerLetter"/>
      <w:start w:val="5"/>
    </w:lvl>
    <w:lvl w:ilvl="1">
      <w:lvlJc w:val="left"/>
      <w:lvlText w:val="(%2)"/>
      <w:numFmt w:val="lowerLetter"/>
      <w:start w:val="9"/>
    </w:lvl>
  </w:abstractNum>
  <w:abstractNum w:abstractNumId="77">
    <w:nsid w:val="4FA0D2E3"/>
    <w:multiLevelType w:val="hybridMultilevel"/>
    <w:lvl w:ilvl="0">
      <w:lvlJc w:val="left"/>
      <w:lvlText w:val="(%1)"/>
      <w:numFmt w:val="lowerRoman"/>
      <w:start w:val="2"/>
    </w:lvl>
  </w:abstractNum>
  <w:abstractNum w:abstractNumId="78">
    <w:nsid w:val="6B1D2C14"/>
    <w:multiLevelType w:val="hybridMultilevel"/>
    <w:lvl w:ilvl="0">
      <w:lvlJc w:val="left"/>
      <w:lvlText w:val="(%1)"/>
      <w:numFmt w:val="lowerRoman"/>
      <w:start w:val="8"/>
    </w:lvl>
  </w:abstractNum>
  <w:abstractNum w:abstractNumId="79">
    <w:nsid w:val="68B867D3"/>
    <w:multiLevelType w:val="hybridMultilevel"/>
    <w:lvl w:ilvl="0">
      <w:lvlJc w:val="left"/>
      <w:lvlText w:val="(%1)"/>
      <w:numFmt w:val="lowerLetter"/>
      <w:start w:val="6"/>
    </w:lvl>
  </w:abstractNum>
  <w:abstractNum w:abstractNumId="80">
    <w:nsid w:val="3F7F5DD9"/>
    <w:multiLevelType w:val="hybridMultilevel"/>
    <w:lvl w:ilvl="0">
      <w:lvlJc w:val="left"/>
      <w:lvlText w:val="%1"/>
      <w:numFmt w:val="lowerLetter"/>
      <w:start w:val="1"/>
    </w:lvl>
    <w:lvl w:ilvl="1">
      <w:lvlJc w:val="left"/>
      <w:lvlText w:val="(%2)"/>
      <w:numFmt w:val="lowerLetter"/>
      <w:start w:val="7"/>
    </w:lvl>
  </w:abstractNum>
  <w:abstractNum w:abstractNumId="81">
    <w:nsid w:val="2AE05A34"/>
    <w:multiLevelType w:val="hybridMultilevel"/>
    <w:lvl w:ilvl="0">
      <w:lvlJc w:val="left"/>
      <w:lvlText w:val="(%1)"/>
      <w:numFmt w:val="lowerLetter"/>
      <w:start w:val="35"/>
    </w:lvl>
    <w:lvl w:ilvl="1">
      <w:lvlJc w:val="left"/>
      <w:lvlText w:val="(%2)"/>
      <w:numFmt w:val="lowerLetter"/>
      <w:start w:val="9"/>
    </w:lvl>
  </w:abstractNum>
  <w:abstractNum w:abstractNumId="82">
    <w:nsid w:val="32794FF7"/>
    <w:multiLevelType w:val="hybridMultilevel"/>
    <w:lvl w:ilvl="0">
      <w:lvlJc w:val="left"/>
      <w:lvlText w:val="(%1)"/>
      <w:numFmt w:val="lowerLetter"/>
      <w:start w:val="10"/>
    </w:lvl>
  </w:abstractNum>
  <w:abstractNum w:abstractNumId="83">
    <w:nsid w:val="5454945E"/>
    <w:multiLevelType w:val="hybridMultilevel"/>
    <w:lvl w:ilvl="0">
      <w:lvlJc w:val="left"/>
      <w:lvlText w:val="(%1)"/>
      <w:numFmt w:val="lowerLetter"/>
      <w:start w:val="1"/>
    </w:lvl>
  </w:abstractNum>
  <w:abstractNum w:abstractNumId="84">
    <w:nsid w:val="4DEFDFA0"/>
    <w:multiLevelType w:val="hybridMultilevel"/>
    <w:lvl w:ilvl="0">
      <w:lvlJc w:val="left"/>
      <w:lvlText w:val="(%1)"/>
      <w:numFmt w:val="lowerLetter"/>
      <w:start w:val="2"/>
    </w:lvl>
    <w:lvl w:ilvl="1">
      <w:lvlJc w:val="left"/>
      <w:lvlText w:val="(%2)"/>
      <w:numFmt w:val="lowerLetter"/>
      <w:start w:val="9"/>
    </w:lvl>
  </w:abstractNum>
  <w:abstractNum w:abstractNumId="85">
    <w:nsid w:val="2123D5F2"/>
    <w:multiLevelType w:val="hybridMultilevel"/>
    <w:lvl w:ilvl="0">
      <w:lvlJc w:val="left"/>
      <w:lvlText w:val="%1"/>
      <w:numFmt w:val="lowerLetter"/>
      <w:start w:val="1"/>
    </w:lvl>
    <w:lvl w:ilvl="1">
      <w:lvlJc w:val="left"/>
      <w:lvlText w:val="(%2)"/>
      <w:numFmt w:val="lowerRoman"/>
      <w:start w:val="2"/>
    </w:lvl>
  </w:abstractNum>
  <w:abstractNum w:abstractNumId="86">
    <w:nsid w:val="135B8110"/>
    <w:multiLevelType w:val="hybridMultilevel"/>
    <w:lvl w:ilvl="0">
      <w:lvlJc w:val="left"/>
      <w:lvlText w:val="(%1)"/>
      <w:numFmt w:val="lowerLetter"/>
      <w:start w:val="4"/>
    </w:lvl>
    <w:lvl w:ilvl="1">
      <w:lvlJc w:val="left"/>
      <w:lvlText w:val="(%2)"/>
      <w:numFmt w:val="lowerRoman"/>
      <w:start w:val="1"/>
    </w:lvl>
  </w:abstractNum>
  <w:abstractNum w:abstractNumId="87">
    <w:nsid w:val="94927A8"/>
    <w:multiLevelType w:val="hybridMultilevel"/>
    <w:lvl w:ilvl="0">
      <w:lvlJc w:val="left"/>
      <w:lvlText w:val="%1"/>
      <w:numFmt w:val="lowerLetter"/>
      <w:start w:val="1"/>
    </w:lvl>
    <w:lvl w:ilvl="1">
      <w:lvlJc w:val="left"/>
      <w:lvlText w:val="(%2)"/>
      <w:numFmt w:val="lowerLetter"/>
      <w:start w:val="35"/>
    </w:lvl>
  </w:abstractNum>
  <w:abstractNum w:abstractNumId="88">
    <w:nsid w:val="DCDF8F6"/>
    <w:multiLevelType w:val="hybridMultilevel"/>
    <w:lvl w:ilvl="0">
      <w:lvlJc w:val="left"/>
      <w:lvlText w:val="(%1)"/>
      <w:numFmt w:val="lowerLetter"/>
      <w:start w:val="5"/>
    </w:lvl>
    <w:lvl w:ilvl="1">
      <w:lvlJc w:val="left"/>
      <w:lvlText w:val="%2"/>
      <w:numFmt w:val="lowerLetter"/>
      <w:start w:val="1"/>
    </w:lvl>
  </w:abstractNum>
  <w:abstractNum w:abstractNumId="89">
    <w:nsid w:val="52D7B105"/>
    <w:multiLevelType w:val="hybridMultilevel"/>
    <w:lvl w:ilvl="0">
      <w:lvlJc w:val="left"/>
      <w:lvlText w:val="(%1)"/>
      <w:numFmt w:val="lowerLetter"/>
      <w:start w:val="1"/>
    </w:lvl>
    <w:lvl w:ilvl="1">
      <w:lvlJc w:val="left"/>
      <w:lvlText w:val="(%2)"/>
      <w:numFmt w:val="lowerLetter"/>
      <w:start w:val="9"/>
    </w:lvl>
  </w:abstractNum>
  <w:abstractNum w:abstractNumId="90">
    <w:nsid w:val="2E8A6394"/>
    <w:multiLevelType w:val="hybridMultilevel"/>
    <w:lvl w:ilvl="0">
      <w:lvlJc w:val="left"/>
      <w:lvlText w:val="%1"/>
      <w:numFmt w:val="lowerLetter"/>
      <w:start w:val="1"/>
    </w:lvl>
    <w:lvl w:ilvl="1">
      <w:lvlJc w:val="left"/>
      <w:lvlText w:val="(%2)"/>
      <w:numFmt w:val="lowerLetter"/>
      <w:start w:val="35"/>
    </w:lvl>
  </w:abstractNum>
  <w:abstractNum w:abstractNumId="91">
    <w:nsid w:val="24E60401"/>
    <w:multiLevelType w:val="hybridMultilevel"/>
    <w:lvl w:ilvl="0">
      <w:lvlJc w:val="left"/>
      <w:lvlText w:val="(%1)"/>
      <w:numFmt w:val="lowerLetter"/>
      <w:start w:val="2"/>
    </w:lvl>
    <w:lvl w:ilvl="1">
      <w:lvlJc w:val="left"/>
      <w:lvlText w:val="(%2)"/>
      <w:numFmt w:val="lowerLetter"/>
      <w:start w:val="9"/>
    </w:lvl>
  </w:abstractNum>
  <w:abstractNum w:abstractNumId="92">
    <w:nsid w:val="2A6AD9BE"/>
    <w:multiLevelType w:val="hybridMultilevel"/>
    <w:lvl w:ilvl="0">
      <w:lvlJc w:val="left"/>
      <w:lvlText w:val="(%1)"/>
      <w:numFmt w:val="lowerRoman"/>
      <w:start w:val="2"/>
    </w:lvl>
  </w:abstractNum>
  <w:abstractNum w:abstractNumId="93">
    <w:nsid w:val="BAAC1B4"/>
    <w:multiLevelType w:val="hybridMultilevel"/>
    <w:lvl w:ilvl="0">
      <w:lvlJc w:val="left"/>
      <w:lvlText w:val="%1"/>
      <w:numFmt w:val="upperLetter"/>
      <w:start w:val="1"/>
    </w:lvl>
    <w:lvl w:ilvl="1">
      <w:lvlJc w:val="left"/>
      <w:lvlText w:val="(%2)"/>
      <w:numFmt w:val="lowerRoman"/>
      <w:start w:val="5"/>
    </w:lvl>
    <w:lvl w:ilvl="2">
      <w:lvlJc w:val="left"/>
      <w:lvlText w:val="(%3)"/>
      <w:numFmt w:val="upperLetter"/>
      <w:start w:val="1"/>
    </w:lvl>
  </w:abstractNum>
  <w:abstractNum w:abstractNumId="94">
    <w:nsid w:val="36B2ACBC"/>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95">
    <w:nsid w:val="779D8544"/>
    <w:multiLevelType w:val="hybridMultilevel"/>
    <w:lvl w:ilvl="0">
      <w:lvlJc w:val="left"/>
      <w:lvlText w:val="(%1)"/>
      <w:numFmt w:val="lowerLetter"/>
      <w:start w:val="1"/>
    </w:lvl>
  </w:abstractNum>
  <w:abstractNum w:abstractNumId="96">
    <w:nsid w:val="4AB26E78"/>
    <w:multiLevelType w:val="hybridMultilevel"/>
    <w:lvl w:ilvl="0">
      <w:lvlJc w:val="left"/>
      <w:lvlText w:val="(%1)"/>
      <w:numFmt w:val="lowerLetter"/>
      <w:start w:val="2"/>
    </w:lvl>
  </w:abstractNum>
  <w:abstractNum w:abstractNumId="97">
    <w:nsid w:val="21FAA2FA"/>
    <w:multiLevelType w:val="hybridMultilevel"/>
    <w:lvl w:ilvl="0">
      <w:lvlJc w:val="left"/>
      <w:lvlText w:val="(%1)"/>
      <w:numFmt w:val="lowerLetter"/>
      <w:start w:val="1"/>
    </w:lvl>
  </w:abstractNum>
  <w:abstractNum w:abstractNumId="98">
    <w:nsid w:val="5451CF49"/>
    <w:multiLevelType w:val="hybridMultilevel"/>
    <w:lvl w:ilvl="0">
      <w:lvlJc w:val="left"/>
      <w:lvlText w:val="(%1)"/>
      <w:numFmt w:val="lowerLetter"/>
      <w:start w:val="2"/>
    </w:lvl>
  </w:abstractNum>
  <w:abstractNum w:abstractNumId="99">
    <w:nsid w:val="6181EF69"/>
    <w:multiLevelType w:val="hybridMultilevel"/>
    <w:lvl w:ilvl="0">
      <w:lvlJc w:val="left"/>
      <w:lvlText w:val="(%1)"/>
      <w:numFmt w:val="lowerLetter"/>
      <w:start w:val="1"/>
    </w:lvl>
    <w:lvl w:ilvl="1">
      <w:lvlJc w:val="left"/>
      <w:lvlText w:val="(%2)"/>
      <w:numFmt w:val="lowerLetter"/>
      <w:start w:val="35"/>
    </w:lvl>
  </w:abstractNum>
  <w:abstractNum w:abstractNumId="100">
    <w:nsid w:val="3E6400E6"/>
    <w:multiLevelType w:val="hybridMultilevel"/>
    <w:lvl w:ilvl="0">
      <w:lvlJc w:val="left"/>
      <w:lvlText w:val="(%1)"/>
      <w:numFmt w:val="lowerRoman"/>
      <w:start w:val="3"/>
    </w:lvl>
  </w:abstractNum>
  <w:abstractNum w:abstractNumId="101">
    <w:nsid w:val="14217E23"/>
    <w:multiLevelType w:val="hybridMultilevel"/>
    <w:lvl w:ilvl="0">
      <w:lvlJc w:val="left"/>
      <w:lvlText w:val="(%1)"/>
      <w:numFmt w:val="lowerLetter"/>
      <w:start w:val="3"/>
    </w:lvl>
  </w:abstractNum>
  <w:abstractNum w:abstractNumId="102">
    <w:nsid w:val="710757D0"/>
    <w:multiLevelType w:val="hybridMultilevel"/>
    <w:lvl w:ilvl="0">
      <w:lvlJc w:val="left"/>
      <w:lvlText w:val="(%1)"/>
      <w:numFmt w:val="lowerLetter"/>
      <w:start w:val="1"/>
    </w:lvl>
    <w:lvl w:ilvl="1">
      <w:lvlJc w:val="left"/>
      <w:lvlText w:val="(%2)"/>
      <w:numFmt w:val="lowerLetter"/>
      <w:start w:val="35"/>
    </w:lvl>
  </w:abstractNum>
  <w:abstractNum w:abstractNumId="103">
    <w:nsid w:val="5015CD1A"/>
    <w:multiLevelType w:val="hybridMultilevel"/>
    <w:lvl w:ilvl="0">
      <w:lvlJc w:val="left"/>
      <w:lvlText w:val="(%1)"/>
      <w:numFmt w:val="lowerLetter"/>
      <w:start w:val="1"/>
    </w:lvl>
  </w:abstractNum>
  <w:abstractNum w:abstractNumId="104">
    <w:nsid w:val="424479DA"/>
    <w:multiLevelType w:val="hybridMultilevel"/>
    <w:lvl w:ilvl="0">
      <w:lvlJc w:val="left"/>
      <w:lvlText w:val="(%1)"/>
      <w:numFmt w:val="lowerLetter"/>
      <w:start w:val="1"/>
    </w:lvl>
  </w:abstractNum>
  <w:abstractNum w:abstractNumId="105">
    <w:nsid w:val="1A9A9E69"/>
    <w:multiLevelType w:val="hybridMultilevel"/>
    <w:lvl w:ilvl="0">
      <w:lvlJc w:val="left"/>
      <w:lvlText w:val="(%1)"/>
      <w:numFmt w:val="lowerLetter"/>
      <w:start w:val="2"/>
    </w:lvl>
  </w:abstractNum>
  <w:abstractNum w:abstractNumId="106">
    <w:nsid w:val="475E256A"/>
    <w:multiLevelType w:val="hybridMultilevel"/>
    <w:lvl w:ilvl="0">
      <w:lvlJc w:val="left"/>
      <w:lvlText w:val="(%1)"/>
      <w:numFmt w:val="lowerLetter"/>
      <w:start w:val="2"/>
    </w:lvl>
  </w:abstractNum>
  <w:abstractNum w:abstractNumId="107">
    <w:nsid w:val="368DB37E"/>
    <w:multiLevelType w:val="hybridMultilevel"/>
    <w:lvl w:ilvl="0">
      <w:lvlJc w:val="left"/>
      <w:lvlText w:val="(%1)"/>
      <w:numFmt w:val="lowerRoman"/>
      <w:start w:val="2"/>
    </w:lvl>
  </w:abstractNum>
  <w:abstractNum w:abstractNumId="108">
    <w:nsid w:val="6A3B714C"/>
    <w:multiLevelType w:val="hybridMultilevel"/>
    <w:lvl w:ilvl="0">
      <w:lvlJc w:val="left"/>
      <w:lvlText w:val="(%1)"/>
      <w:numFmt w:val="decimal"/>
      <w:start w:val="1"/>
    </w:lvl>
  </w:abstractNum>
  <w:abstractNum w:abstractNumId="109">
    <w:nsid w:val="327B517E"/>
    <w:multiLevelType w:val="hybridMultilevel"/>
    <w:lvl w:ilvl="0">
      <w:lvlJc w:val="left"/>
      <w:lvlText w:val="(%1)"/>
      <w:numFmt w:val="lowerLetter"/>
      <w:start w:val="3"/>
    </w:lvl>
  </w:abstractNum>
  <w:abstractNum w:abstractNumId="110">
    <w:nsid w:val="1F461B51"/>
    <w:multiLevelType w:val="hybridMultilevel"/>
    <w:lvl w:ilvl="0">
      <w:lvlJc w:val="left"/>
      <w:lvlText w:val="(%1)"/>
      <w:numFmt w:val="lowerLetter"/>
      <w:start w:val="5"/>
    </w:lvl>
  </w:abstractNum>
  <w:abstractNum w:abstractNumId="111">
    <w:nsid w:val="29BACF25"/>
    <w:multiLevelType w:val="hybridMultilevel"/>
    <w:lvl w:ilvl="0">
      <w:lvlJc w:val="left"/>
      <w:lvlText w:val="(%1)"/>
      <w:numFmt w:val="lowerRoman"/>
      <w:start w:val="1"/>
    </w:lvl>
  </w:abstractNum>
  <w:abstractNum w:abstractNumId="112">
    <w:nsid w:val="5D5BABB3"/>
    <w:multiLevelType w:val="hybridMultilevel"/>
    <w:lvl w:ilvl="0">
      <w:lvlJc w:val="left"/>
      <w:lvlText w:val="(%1)"/>
      <w:numFmt w:val="lowerLetter"/>
      <w:start w:val="1"/>
    </w:lvl>
  </w:abstractNum>
  <w:abstractNum w:abstractNumId="113">
    <w:nsid w:val="51BF6B48"/>
    <w:multiLevelType w:val="hybridMultilevel"/>
    <w:lvl w:ilvl="0">
      <w:lvlJc w:val="left"/>
      <w:lvlText w:val="(%1)"/>
      <w:numFmt w:val="lowerRoman"/>
      <w:start w:val="1"/>
    </w:lvl>
  </w:abstractNum>
  <w:abstractNum w:abstractNumId="114">
    <w:nsid w:val="7E0F6384"/>
    <w:multiLevelType w:val="hybridMultilevel"/>
    <w:lvl w:ilvl="0">
      <w:lvlJc w:val="left"/>
      <w:lvlText w:val="(%1)"/>
      <w:numFmt w:val="lowerRoman"/>
      <w:start w:val="3"/>
    </w:lvl>
  </w:abstractNum>
  <w:abstractNum w:abstractNumId="115">
    <w:nsid w:val="2B4B8B53"/>
    <w:multiLevelType w:val="hybridMultilevel"/>
    <w:lvl w:ilvl="0">
      <w:lvlJc w:val="left"/>
      <w:lvlText w:val="(%1)"/>
      <w:numFmt w:val="lowerLetter"/>
      <w:start w:val="2"/>
    </w:lvl>
  </w:abstractNum>
  <w:abstractNum w:abstractNumId="116">
    <w:nsid w:val="72E3413A"/>
    <w:multiLevelType w:val="hybridMultilevel"/>
    <w:lvl w:ilvl="0">
      <w:lvlJc w:val="left"/>
      <w:lvlText w:val="(%1)"/>
      <w:numFmt w:val="lowerLetter"/>
      <w:start w:val="1"/>
    </w:lvl>
  </w:abstractNum>
  <w:abstractNum w:abstractNumId="117">
    <w:nsid w:val="116AE494"/>
    <w:multiLevelType w:val="hybridMultilevel"/>
    <w:lvl w:ilvl="0">
      <w:lvlJc w:val="left"/>
      <w:lvlText w:val="(%1)"/>
      <w:numFmt w:val="lowerLetter"/>
      <w:start w:val="2"/>
    </w:lvl>
    <w:lvl w:ilvl="1">
      <w:lvlJc w:val="left"/>
      <w:lvlText w:val="(%2)"/>
      <w:numFmt w:val="lowerRoman"/>
      <w:start w:val="1"/>
    </w:lvl>
  </w:abstractNum>
  <w:abstractNum w:abstractNumId="118">
    <w:nsid w:val="3494B2FB"/>
    <w:multiLevelType w:val="hybridMultilevel"/>
    <w:lvl w:ilvl="0">
      <w:lvlJc w:val="left"/>
      <w:lvlText w:val="(%1)"/>
      <w:numFmt w:val="lowerLetter"/>
      <w:start w:val="4"/>
    </w:lvl>
    <w:lvl w:ilvl="1">
      <w:lvlJc w:val="left"/>
      <w:lvlText w:val="(%2)"/>
      <w:numFmt w:val="lowerLetter"/>
      <w:start w:val="9"/>
    </w:lvl>
  </w:abstractNum>
  <w:abstractNum w:abstractNumId="119">
    <w:nsid w:val="B13A31"/>
    <w:multiLevelType w:val="hybridMultilevel"/>
    <w:lvl w:ilvl="0">
      <w:lvlJc w:val="left"/>
      <w:lvlText w:val="%1"/>
      <w:numFmt w:val="lowerLetter"/>
      <w:start w:val="1"/>
    </w:lvl>
    <w:lvl w:ilvl="1">
      <w:lvlJc w:val="left"/>
      <w:lvlText w:val="(%2)"/>
      <w:numFmt w:val="lowerRoman"/>
      <w:start w:val="2"/>
    </w:lvl>
  </w:abstractNum>
  <w:abstractNum w:abstractNumId="120">
    <w:nsid w:val="64429599"/>
    <w:multiLevelType w:val="hybridMultilevel"/>
    <w:lvl w:ilvl="0">
      <w:lvlJc w:val="left"/>
      <w:lvlText w:val="(%1)"/>
      <w:numFmt w:val="lowerLetter"/>
      <w:start w:val="7"/>
    </w:lvl>
    <w:lvl w:ilvl="1">
      <w:lvlJc w:val="left"/>
      <w:lvlText w:val="%2"/>
      <w:numFmt w:val="lowerRoman"/>
      <w:start w:val="1"/>
    </w:lvl>
  </w:abstractNum>
  <w:abstractNum w:abstractNumId="121">
    <w:nsid w:val="631F1690"/>
    <w:multiLevelType w:val="hybridMultilevel"/>
    <w:lvl w:ilvl="0">
      <w:lvlJc w:val="left"/>
      <w:lvlText w:val="%1"/>
      <w:numFmt w:val="lowerRoman"/>
      <w:start w:val="1"/>
    </w:lvl>
    <w:lvl w:ilvl="1">
      <w:lvlJc w:val="left"/>
      <w:lvlText w:val="(%2)"/>
      <w:numFmt w:val="lowerLetter"/>
      <w:start w:val="1"/>
    </w:lvl>
  </w:abstractNum>
  <w:abstractNum w:abstractNumId="122">
    <w:nsid w:val="25973E32"/>
    <w:multiLevelType w:val="hybridMultilevel"/>
    <w:lvl w:ilvl="0">
      <w:lvlJc w:val="left"/>
      <w:lvlText w:val="(%1)"/>
      <w:numFmt w:val="lowerRoman"/>
      <w:start w:val="4"/>
    </w:lvl>
    <w:lvl w:ilvl="1">
      <w:lvlJc w:val="left"/>
      <w:lvlText w:val="(%2)"/>
      <w:numFmt w:val="lowerLetter"/>
      <w:start w:val="2"/>
    </w:lvl>
  </w:abstractNum>
  <w:abstractNum w:abstractNumId="123">
    <w:nsid w:val="EAD6F57"/>
    <w:multiLevelType w:val="hybridMultilevel"/>
    <w:lvl w:ilvl="0">
      <w:lvlJc w:val="left"/>
      <w:lvlText w:val="(%1)"/>
      <w:numFmt w:val="lowerLetter"/>
      <w:start w:val="4"/>
    </w:lvl>
  </w:abstractNum>
  <w:abstractNum w:abstractNumId="124">
    <w:nsid w:val="6EC9D844"/>
    <w:multiLevelType w:val="hybridMultilevel"/>
    <w:lvl w:ilvl="0">
      <w:lvlJc w:val="left"/>
      <w:lvlText w:val="(%1)"/>
      <w:numFmt w:val="lowerLetter"/>
      <w:start w:val="1"/>
    </w:lvl>
    <w:lvl w:ilvl="1">
      <w:lvlJc w:val="left"/>
      <w:lvlText w:val="(%2)"/>
      <w:numFmt w:val="lowerRoman"/>
      <w:start w:val="1"/>
    </w:lvl>
  </w:abstractNum>
  <w:abstractNum w:abstractNumId="125">
    <w:nsid w:val="5C49EAEE"/>
    <w:multiLevelType w:val="hybridMultilevel"/>
    <w:lvl w:ilvl="0">
      <w:lvlJc w:val="left"/>
      <w:lvlText w:val="(%1)"/>
      <w:numFmt w:val="lowerRoman"/>
      <w:start w:val="3"/>
    </w:lvl>
    <w:lvl w:ilvl="1">
      <w:lvlJc w:val="left"/>
      <w:lvlText w:val="(%2)"/>
      <w:numFmt w:val="upperLetter"/>
      <w:start w:val="1"/>
    </w:lvl>
  </w:abstractNum>
  <w:abstractNum w:abstractNumId="126">
    <w:nsid w:val="64AF49B"/>
    <w:multiLevelType w:val="hybridMultilevel"/>
    <w:lvl w:ilvl="0">
      <w:lvlJc w:val="left"/>
      <w:lvlText w:val="(%1)"/>
      <w:numFmt w:val="lowerLetter"/>
      <w:start w:val="2"/>
    </w:lvl>
  </w:abstractNum>
  <w:abstractNum w:abstractNumId="127">
    <w:nsid w:val="397C46BC"/>
    <w:multiLevelType w:val="hybridMultilevel"/>
    <w:lvl w:ilvl="0">
      <w:lvlJc w:val="left"/>
      <w:lvlText w:val="(%1)"/>
      <w:numFmt w:val="lowerLetter"/>
      <w:start w:val="1"/>
    </w:lvl>
  </w:abstractNum>
  <w:abstractNum w:abstractNumId="128">
    <w:nsid w:val="7E448DE9"/>
    <w:multiLevelType w:val="hybridMultilevel"/>
    <w:lvl w:ilvl="0">
      <w:lvlJc w:val="left"/>
      <w:lvlText w:val="(%1)"/>
      <w:numFmt w:val="lowerLetter"/>
      <w:start w:val="2"/>
    </w:lvl>
  </w:abstractNum>
  <w:abstractNum w:abstractNumId="129">
    <w:nsid w:val="5A9CC3E5"/>
    <w:multiLevelType w:val="hybridMultilevel"/>
    <w:lvl w:ilvl="0">
      <w:lvlJc w:val="left"/>
      <w:lvlText w:val="%1"/>
      <w:numFmt w:val="lowerLetter"/>
      <w:start w:val="1"/>
    </w:lvl>
    <w:lvl w:ilvl="1">
      <w:lvlJc w:val="left"/>
      <w:lvlText w:val="(%2)"/>
      <w:numFmt w:val="lowerLetter"/>
      <w:start w:val="1"/>
    </w:lvl>
  </w:abstractNum>
  <w:abstractNum w:abstractNumId="130">
    <w:nsid w:val="1AFE3625"/>
    <w:multiLevelType w:val="hybridMultilevel"/>
    <w:lvl w:ilvl="0">
      <w:lvlJc w:val="left"/>
      <w:lvlText w:val="(%1)"/>
      <w:numFmt w:val="lowerLetter"/>
      <w:start w:val="35"/>
    </w:lvl>
    <w:lvl w:ilvl="1">
      <w:lvlJc w:val="left"/>
      <w:lvlText w:val="%2"/>
      <w:numFmt w:val="lowerLetter"/>
      <w:start w:val="1"/>
    </w:lvl>
  </w:abstractNum>
  <w:abstractNum w:abstractNumId="131">
    <w:nsid w:val="3CA88ECF"/>
    <w:multiLevelType w:val="hybridMultilevel"/>
    <w:lvl w:ilvl="0">
      <w:lvlJc w:val="left"/>
      <w:lvlText w:val="%1"/>
      <w:numFmt w:val="upperLetter"/>
      <w:start w:val="1"/>
    </w:lvl>
    <w:lvl w:ilvl="1">
      <w:lvlJc w:val="left"/>
      <w:lvlText w:val="(%2)"/>
      <w:numFmt w:val="lowerLetter"/>
      <w:start w:val="2"/>
    </w:lvl>
  </w:abstractNum>
  <w:abstractNum w:abstractNumId="132">
    <w:nsid w:val="6EBE4208"/>
    <w:multiLevelType w:val="hybridMultilevel"/>
    <w:lvl w:ilvl="0">
      <w:lvlJc w:val="left"/>
      <w:lvlText w:val="(%1)"/>
      <w:numFmt w:val="upperLetter"/>
      <w:start w:val="2"/>
    </w:lvl>
    <w:lvl w:ilvl="1">
      <w:lvlJc w:val="left"/>
      <w:lvlText w:val="%2"/>
      <w:numFmt w:val="lowerLetter"/>
      <w:start w:val="1"/>
    </w:lvl>
  </w:abstractNum>
  <w:abstractNum w:abstractNumId="133">
    <w:nsid w:val="C058DF5"/>
    <w:multiLevelType w:val="hybridMultilevel"/>
    <w:lvl w:ilvl="0">
      <w:lvlJc w:val="left"/>
      <w:lvlText w:val="(%1)"/>
      <w:numFmt w:val="lowerLetter"/>
      <w:start w:val="4"/>
    </w:lvl>
  </w:abstractNum>
  <w:abstractNum w:abstractNumId="134">
    <w:nsid w:val="CBE5BE9"/>
    <w:multiLevelType w:val="hybridMultilevel"/>
    <w:lvl w:ilvl="0">
      <w:lvlJc w:val="left"/>
      <w:lvlText w:val="(%1)"/>
      <w:numFmt w:val="lowerLetter"/>
      <w:start w:val="1"/>
    </w:lvl>
  </w:abstractNum>
  <w:abstractNum w:abstractNumId="135">
    <w:nsid w:val="3102BBE2"/>
    <w:multiLevelType w:val="hybridMultilevel"/>
    <w:lvl w:ilvl="0">
      <w:lvlJc w:val="left"/>
      <w:lvlText w:val="%1"/>
      <w:numFmt w:val="decimal"/>
      <w:start w:val="1"/>
    </w:lvl>
    <w:lvl w:ilvl="1">
      <w:lvlJc w:val="left"/>
      <w:lvlText w:val="(%2)"/>
      <w:numFmt w:val="lowerLetter"/>
      <w:start w:val="2"/>
    </w:lvl>
  </w:abstractNum>
  <w:abstractNum w:abstractNumId="136">
    <w:nsid w:val="26A02C5E"/>
    <w:multiLevelType w:val="hybridMultilevel"/>
    <w:lvl w:ilvl="0">
      <w:lvlJc w:val="left"/>
      <w:lvlText w:val="(%1)"/>
      <w:numFmt w:val="decimal"/>
      <w:start w:val="2"/>
    </w:lvl>
    <w:lvl w:ilvl="1">
      <w:lvlJc w:val="left"/>
      <w:lvlText w:val="(%2)"/>
      <w:numFmt w:val="lowerLetter"/>
      <w:start w:val="3"/>
    </w:lvl>
  </w:abstractNum>
  <w:abstractNum w:abstractNumId="137">
    <w:nsid w:val="541C8153"/>
    <w:multiLevelType w:val="hybridMultilevel"/>
    <w:lvl w:ilvl="0">
      <w:lvlJc w:val="left"/>
      <w:lvlText w:val="(%1)"/>
      <w:numFmt w:val="lowerLetter"/>
      <w:start w:val="4"/>
    </w:lvl>
    <w:lvl w:ilvl="1">
      <w:lvlJc w:val="left"/>
      <w:lvlText w:val="(%2)"/>
      <w:numFmt w:val="lowerLetter"/>
      <w:start w:val="9"/>
    </w:lvl>
  </w:abstractNum>
  <w:abstractNum w:abstractNumId="138">
    <w:nsid w:val="67906F60"/>
    <w:multiLevelType w:val="hybridMultilevel"/>
    <w:lvl w:ilvl="0">
      <w:lvlJc w:val="left"/>
      <w:lvlText w:val="(%1)"/>
      <w:numFmt w:val="lowerRoman"/>
      <w:start w:val="2"/>
    </w:lvl>
  </w:abstractNum>
  <w:abstractNum w:abstractNumId="139">
    <w:nsid w:val="10DB9DAA"/>
    <w:multiLevelType w:val="hybridMultilevel"/>
    <w:lvl w:ilvl="0">
      <w:lvlJc w:val="left"/>
      <w:lvlText w:val="(%1)"/>
      <w:numFmt w:val="lowerLetter"/>
      <w:start w:val="1"/>
    </w:lvl>
    <w:lvl w:ilvl="1">
      <w:lvlJc w:val="left"/>
      <w:lvlText w:val="(%2)"/>
      <w:numFmt w:val="lowerLetter"/>
      <w:start w:val="9"/>
    </w:lvl>
  </w:abstractNum>
  <w:abstractNum w:abstractNumId="140">
    <w:nsid w:val="697D2D2"/>
    <w:multiLevelType w:val="hybridMultilevel"/>
    <w:lvl w:ilvl="0">
      <w:lvlJc w:val="left"/>
      <w:lvlText w:val="%1"/>
      <w:numFmt w:val="lowerLetter"/>
      <w:start w:val="1"/>
    </w:lvl>
    <w:lvl w:ilvl="1">
      <w:lvlJc w:val="left"/>
      <w:lvlText w:val="(%2)"/>
      <w:numFmt w:val="lowerRoman"/>
      <w:start w:val="2"/>
    </w:lvl>
  </w:abstractNum>
  <w:abstractNum w:abstractNumId="141">
    <w:nsid w:val="6D68AB2"/>
    <w:multiLevelType w:val="hybridMultilevel"/>
    <w:lvl w:ilvl="0">
      <w:lvlJc w:val="left"/>
      <w:lvlText w:val="(%1)"/>
      <w:numFmt w:val="lowerLetter"/>
      <w:start w:val="2"/>
    </w:lvl>
    <w:lvl w:ilvl="1">
      <w:lvlJc w:val="left"/>
      <w:lvlText w:val="(%2)"/>
      <w:numFmt w:val="lowerRoman"/>
      <w:start w:val="1"/>
    </w:lvl>
  </w:abstractNum>
  <w:abstractNum w:abstractNumId="142">
    <w:nsid w:val="3A966CD0"/>
    <w:multiLevelType w:val="hybridMultilevel"/>
    <w:lvl w:ilvl="0">
      <w:lvlJc w:val="left"/>
      <w:lvlText w:val="%1"/>
      <w:numFmt w:val="lowerLetter"/>
      <w:start w:val="1"/>
    </w:lvl>
    <w:lvl w:ilvl="1">
      <w:lvlJc w:val="left"/>
      <w:lvlText w:val="(%2)"/>
      <w:numFmt w:val="lowerLetter"/>
      <w:start w:val="35"/>
    </w:lvl>
  </w:abstractNum>
  <w:abstractNum w:abstractNumId="143">
    <w:nsid w:val="63F37E85"/>
    <w:multiLevelType w:val="hybridMultilevel"/>
    <w:lvl w:ilvl="0">
      <w:lvlJc w:val="left"/>
      <w:lvlText w:val="(%1)"/>
      <w:numFmt w:val="lowerLetter"/>
      <w:start w:val="4"/>
    </w:lvl>
    <w:lvl w:ilvl="1">
      <w:lvlJc w:val="left"/>
      <w:lvlText w:val="(%2)"/>
      <w:numFmt w:val="lowerLetter"/>
      <w:start w:val="9"/>
    </w:lvl>
  </w:abstractNum>
  <w:abstractNum w:abstractNumId="144">
    <w:nsid w:val="5895F5FA"/>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35"/>
    </w:lvl>
  </w:abstractNum>
  <w:abstractNum w:abstractNumId="145">
    <w:nsid w:val="38A5D054"/>
    <w:multiLevelType w:val="hybridMultilevel"/>
    <w:lvl w:ilvl="0">
      <w:lvlJc w:val="left"/>
      <w:lvlText w:val="(%1)"/>
      <w:numFmt w:val="upperLetter"/>
      <w:start w:val="22"/>
    </w:lvl>
  </w:abstractNum>
  <w:abstractNum w:abstractNumId="146">
    <w:nsid w:val="F3F09D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47">
    <w:nsid w:val="4B79373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48">
    <w:nsid w:val="4A10B4E8"/>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49">
    <w:nsid w:val="43D3BCD4"/>
    <w:multiLevelType w:val="hybridMultilevel"/>
    <w:lvl w:ilvl="0">
      <w:lvlJc w:val="left"/>
      <w:lvlText w:val="(%1)"/>
      <w:numFmt w:val="lowerLetter"/>
      <w:start w:val="7"/>
    </w:lvl>
  </w:abstractNum>
  <w:abstractNum w:abstractNumId="150">
    <w:nsid w:val="4C2A7166"/>
    <w:multiLevelType w:val="hybridMultilevel"/>
    <w:lvl w:ilvl="0">
      <w:lvlJc w:val="left"/>
      <w:lvlText w:val="(%1)"/>
      <w:numFmt w:val="lowerLetter"/>
      <w:start w:val="1"/>
    </w:lvl>
  </w:abstractNum>
  <w:abstractNum w:abstractNumId="151">
    <w:nsid w:val="2E534A82"/>
    <w:multiLevelType w:val="hybridMultilevel"/>
    <w:lvl w:ilvl="0">
      <w:lvlJc w:val="left"/>
      <w:lvlText w:val="(%1)"/>
      <w:numFmt w:val="lowerLetter"/>
      <w:start w:val="24"/>
    </w:lvl>
    <w:lvl w:ilvl="1">
      <w:lvlJc w:val="left"/>
      <w:lvlText w:val="(%2)"/>
      <w:numFmt w:val="lowerLetter"/>
      <w:start w:val="2"/>
    </w:lvl>
    <w:lvl w:ilvl="2">
      <w:lvlJc w:val="left"/>
      <w:lvlText w:val="(%3)"/>
      <w:numFmt w:val="lowerLetter"/>
      <w:start w:val="9"/>
    </w:lvl>
  </w:abstractNum>
  <w:abstractNum w:abstractNumId="152">
    <w:nsid w:val="26F2D364"/>
    <w:multiLevelType w:val="hybridMultilevel"/>
    <w:lvl w:ilvl="0">
      <w:lvlJc w:val="left"/>
      <w:lvlText w:val="(%1)"/>
      <w:numFmt w:val="lowerRoman"/>
      <w:start w:val="2"/>
    </w:lvl>
  </w:abstractNum>
  <w:abstractNum w:abstractNumId="153">
    <w:nsid w:val="71C1AF98"/>
    <w:multiLevelType w:val="hybridMultilevel"/>
    <w:lvl w:ilvl="0">
      <w:lvlJc w:val="left"/>
      <w:lvlText w:val="(%1)"/>
      <w:numFmt w:val="lowerLetter"/>
      <w:start w:val="3"/>
    </w:lvl>
    <w:lvl w:ilvl="1">
      <w:lvlJc w:val="left"/>
      <w:lvlText w:val="(%2)"/>
      <w:numFmt w:val="lowerRoman"/>
      <w:start w:val="1"/>
    </w:lvl>
  </w:abstractNum>
  <w:abstractNum w:abstractNumId="154">
    <w:nsid w:val="3D00B9D9"/>
    <w:multiLevelType w:val="hybridMultilevel"/>
    <w:lvl w:ilvl="0">
      <w:lvlJc w:val="left"/>
      <w:lvlText w:val="(%1)"/>
      <w:numFmt w:val="lowerLetter"/>
      <w:start w:val="4"/>
    </w:lvl>
  </w:abstractNum>
  <w:abstractNum w:abstractNumId="155">
    <w:nsid w:val="15BCABA8"/>
    <w:multiLevelType w:val="hybridMultilevel"/>
    <w:lvl w:ilvl="0">
      <w:lvlJc w:val="left"/>
      <w:lvlText w:val="(%1)"/>
      <w:numFmt w:val="lowerLetter"/>
      <w:start w:val="5"/>
    </w:lvl>
  </w:abstractNum>
  <w:abstractNum w:abstractNumId="156">
    <w:nsid w:val="4E0B9A87"/>
    <w:multiLevelType w:val="hybridMultilevel"/>
    <w:lvl w:ilvl="0">
      <w:lvlJc w:val="left"/>
      <w:lvlText w:val="(%1)"/>
      <w:numFmt w:val="lowerLetter"/>
      <w:start w:val="1"/>
    </w:lvl>
    <w:lvl w:ilvl="1">
      <w:lvlJc w:val="left"/>
      <w:lvlText w:val="(%2)"/>
      <w:numFmt w:val="lowerLetter"/>
      <w:start w:val="9"/>
    </w:lvl>
  </w:abstractNum>
  <w:abstractNum w:abstractNumId="157">
    <w:nsid w:val="434BAE75"/>
    <w:multiLevelType w:val="hybridMultilevel"/>
    <w:lvl w:ilvl="0">
      <w:lvlJc w:val="left"/>
      <w:lvlText w:val="(%1)"/>
      <w:numFmt w:val="lowerRoman"/>
      <w:start w:val="2"/>
    </w:lvl>
  </w:abstractNum>
  <w:abstractNum w:abstractNumId="158">
    <w:nsid w:val="4F38F265"/>
    <w:multiLevelType w:val="hybridMultilevel"/>
    <w:lvl w:ilvl="0">
      <w:lvlJc w:val="left"/>
      <w:lvlText w:val="%1"/>
      <w:numFmt w:val="lowerLetter"/>
      <w:start w:val="1"/>
    </w:lvl>
    <w:lvl w:ilvl="1">
      <w:lvlJc w:val="left"/>
      <w:lvlText w:val="(%2)"/>
      <w:numFmt w:val="lowerLetter"/>
      <w:start w:val="2"/>
    </w:lvl>
  </w:abstractNum>
  <w:abstractNum w:abstractNumId="159">
    <w:nsid w:val="4C502870"/>
    <w:multiLevelType w:val="hybridMultilevel"/>
    <w:lvl w:ilvl="0">
      <w:lvlJc w:val="left"/>
      <w:lvlText w:val="(%1)"/>
      <w:numFmt w:val="lowerLetter"/>
      <w:start w:val="1"/>
    </w:lvl>
    <w:lvl w:ilvl="1">
      <w:lvlJc w:val="left"/>
      <w:lvlText w:val="(%2)"/>
      <w:numFmt w:val="lowerLetter"/>
      <w:start w:val="4"/>
    </w:lvl>
  </w:abstractNum>
  <w:abstractNum w:abstractNumId="160">
    <w:nsid w:val="1DE8725A"/>
    <w:multiLevelType w:val="hybridMultilevel"/>
    <w:lvl w:ilvl="0">
      <w:lvlJc w:val="left"/>
      <w:lvlText w:val="(%1)"/>
      <w:numFmt w:val="lowerLetter"/>
      <w:start w:val="1"/>
    </w:lvl>
  </w:abstractNum>
  <w:abstractNum w:abstractNumId="161">
    <w:nsid w:val="6A37288A"/>
    <w:multiLevelType w:val="hybridMultilevel"/>
    <w:lvl w:ilvl="0">
      <w:lvlJc w:val="left"/>
      <w:lvlText w:val="(%1)"/>
      <w:numFmt w:val="lowerLetter"/>
      <w:start w:val="1"/>
    </w:lvl>
  </w:abstractNum>
  <w:abstractNum w:abstractNumId="162">
    <w:nsid w:val="8F8B73F"/>
    <w:multiLevelType w:val="hybridMultilevel"/>
    <w:lvl w:ilvl="0">
      <w:lvlJc w:val="left"/>
      <w:lvlText w:val="(%1)"/>
      <w:numFmt w:val="lowerLetter"/>
      <w:start w:val="2"/>
    </w:lvl>
  </w:abstractNum>
  <w:abstractNum w:abstractNumId="163">
    <w:nsid w:val="CA6B462"/>
    <w:multiLevelType w:val="hybridMultilevel"/>
    <w:lvl w:ilvl="0">
      <w:lvlJc w:val="left"/>
      <w:lvlText w:val="(%1)"/>
      <w:numFmt w:val="lowerLetter"/>
      <w:start w:val="1"/>
    </w:lvl>
    <w:lvl w:ilvl="1">
      <w:lvlJc w:val="left"/>
      <w:lvlText w:val="(%2)"/>
      <w:numFmt w:val="lowerRoman"/>
      <w:start w:val="1"/>
    </w:lvl>
  </w:abstractNum>
  <w:abstractNum w:abstractNumId="164">
    <w:nsid w:val="763CB680"/>
    <w:multiLevelType w:val="hybridMultilevel"/>
    <w:lvl w:ilvl="0">
      <w:lvlJc w:val="left"/>
      <w:lvlText w:val="%1"/>
      <w:numFmt w:val="lowerLetter"/>
      <w:start w:val="1"/>
    </w:lvl>
    <w:lvl w:ilvl="1">
      <w:lvlJc w:val="left"/>
      <w:lvlText w:val="(%2)"/>
      <w:numFmt w:val="lowerRoman"/>
      <w:start w:val="7"/>
    </w:lvl>
  </w:abstractNum>
  <w:abstractNum w:abstractNumId="165">
    <w:nsid w:val="15B71329"/>
    <w:multiLevelType w:val="hybridMultilevel"/>
    <w:lvl w:ilvl="0">
      <w:lvlJc w:val="left"/>
      <w:lvlText w:val="(%1)"/>
      <w:numFmt w:val="lowerLetter"/>
      <w:start w:val="2"/>
    </w:lvl>
    <w:lvl w:ilvl="1">
      <w:lvlJc w:val="left"/>
      <w:lvlText w:val="%2"/>
      <w:numFmt w:val="lowerRoman"/>
      <w:start w:val="1"/>
    </w:lvl>
  </w:abstractNum>
  <w:abstractNum w:abstractNumId="166">
    <w:nsid w:val="3DA97044"/>
    <w:multiLevelType w:val="hybridMultilevel"/>
    <w:lvl w:ilvl="0">
      <w:lvlJc w:val="left"/>
      <w:lvlText w:val="(%1)"/>
      <w:numFmt w:val="lowerLetter"/>
      <w:start w:val="5"/>
    </w:lvl>
  </w:abstractNum>
  <w:abstractNum w:abstractNumId="167">
    <w:nsid w:val="1CDCE2DE"/>
    <w:multiLevelType w:val="hybridMultilevel"/>
    <w:lvl w:ilvl="0">
      <w:lvlJc w:val="left"/>
      <w:lvlText w:val="(%1)"/>
      <w:numFmt w:val="lowerLetter"/>
      <w:start w:val="1"/>
    </w:lvl>
  </w:abstractNum>
  <w:abstractNum w:abstractNumId="168">
    <w:nsid w:val="69D3947C"/>
    <w:multiLevelType w:val="hybridMultilevel"/>
    <w:lvl w:ilvl="0">
      <w:lvlJc w:val="left"/>
      <w:lvlText w:val="(%1)"/>
      <w:numFmt w:val="lowerLetter"/>
      <w:start w:val="2"/>
    </w:lvl>
  </w:abstractNum>
  <w:abstractNum w:abstractNumId="169">
    <w:nsid w:val="2539DFA5"/>
    <w:multiLevelType w:val="hybridMultilevel"/>
    <w:lvl w:ilvl="0">
      <w:lvlJc w:val="left"/>
      <w:lvlText w:val="(%1)"/>
      <w:numFmt w:val="lowerLetter"/>
      <w:start w:val="1"/>
    </w:lvl>
    <w:lvl w:ilvl="1">
      <w:lvlJc w:val="left"/>
      <w:lvlText w:val="(%2)"/>
      <w:numFmt w:val="lowerRoman"/>
      <w:start w:val="1"/>
    </w:lvl>
  </w:abstractNum>
  <w:abstractNum w:abstractNumId="170">
    <w:nsid w:val="2DB88089"/>
    <w:multiLevelType w:val="hybridMultilevel"/>
    <w:lvl w:ilvl="0">
      <w:lvlJc w:val="left"/>
      <w:lvlText w:val="(%1)"/>
      <w:numFmt w:val="lowerLetter"/>
      <w:start w:val="2"/>
    </w:lvl>
    <w:lvl w:ilvl="1">
      <w:lvlJc w:val="left"/>
      <w:lvlText w:val="(%2)"/>
      <w:numFmt w:val="lowerLetter"/>
      <w:start w:val="9"/>
    </w:lvl>
  </w:abstractNum>
  <w:abstractNum w:abstractNumId="171">
    <w:nsid w:val="706B674E"/>
    <w:multiLevelType w:val="hybridMultilevel"/>
    <w:lvl w:ilvl="0">
      <w:lvlJc w:val="left"/>
      <w:lvlText w:val="%1"/>
      <w:numFmt w:val="lowerLetter"/>
      <w:start w:val="1"/>
    </w:lvl>
    <w:lvl w:ilvl="1">
      <w:lvlJc w:val="left"/>
      <w:lvlText w:val="(%2)"/>
      <w:numFmt w:val="lowerRoman"/>
      <w:start w:val="2"/>
    </w:lvl>
  </w:abstractNum>
  <w:abstractNum w:abstractNumId="172">
    <w:nsid w:val="2C106A57"/>
    <w:multiLevelType w:val="hybridMultilevel"/>
    <w:lvl w:ilvl="0">
      <w:lvlJc w:val="left"/>
      <w:lvlText w:val="(%1)"/>
      <w:numFmt w:val="lowerLetter"/>
      <w:start w:val="5"/>
    </w:lvl>
    <w:lvl w:ilvl="1">
      <w:lvlJc w:val="left"/>
      <w:lvlText w:val="%2"/>
      <w:numFmt w:val="lowerRoman"/>
      <w:start w:val="1"/>
    </w:lvl>
  </w:abstractNum>
  <w:abstractNum w:abstractNumId="173">
    <w:nsid w:val="684EED59"/>
    <w:multiLevelType w:val="hybridMultilevel"/>
    <w:lvl w:ilvl="0">
      <w:lvlJc w:val="left"/>
      <w:lvlText w:val="(%1)"/>
      <w:numFmt w:val="lowerLetter"/>
      <w:start w:val="8"/>
    </w:lvl>
  </w:abstractNum>
  <w:abstractNum w:abstractNumId="174">
    <w:nsid w:val="545EE5D3"/>
    <w:multiLevelType w:val="hybridMultilevel"/>
    <w:lvl w:ilvl="0">
      <w:lvlJc w:val="left"/>
      <w:lvlText w:val="(%1)"/>
      <w:numFmt w:val="lowerLetter"/>
      <w:start w:val="1"/>
    </w:lvl>
  </w:abstractNum>
  <w:abstractNum w:abstractNumId="175">
    <w:nsid w:val="4A66051"/>
    <w:multiLevelType w:val="hybridMultilevel"/>
    <w:lvl w:ilvl="0">
      <w:lvlJc w:val="left"/>
      <w:lvlText w:val="(%1)"/>
      <w:numFmt w:val="lowerLetter"/>
      <w:start w:val="1"/>
    </w:lvl>
  </w:abstractNum>
  <w:abstractNum w:abstractNumId="176">
    <w:nsid w:val="20F4BDAD"/>
    <w:multiLevelType w:val="hybridMultilevel"/>
    <w:lvl w:ilvl="0">
      <w:lvlJc w:val="left"/>
      <w:lvlText w:val="(%1)"/>
      <w:numFmt w:val="lowerRoman"/>
      <w:start w:val="1"/>
    </w:lvl>
  </w:abstractNum>
  <w:abstractNum w:abstractNumId="177">
    <w:nsid w:val="639DEFAC"/>
    <w:multiLevelType w:val="hybridMultilevel"/>
    <w:lvl w:ilvl="0">
      <w:lvlJc w:val="left"/>
      <w:lvlText w:val="(%1)"/>
      <w:numFmt w:val="lowerLetter"/>
      <w:start w:val="1"/>
    </w:lvl>
  </w:abstractNum>
  <w:abstractNum w:abstractNumId="178">
    <w:nsid w:val="501F9786"/>
    <w:multiLevelType w:val="hybridMultilevel"/>
    <w:lvl w:ilvl="0">
      <w:lvlJc w:val="left"/>
      <w:lvlText w:val="(%1)"/>
      <w:numFmt w:val="lowerLetter"/>
      <w:start w:val="1"/>
    </w:lvl>
  </w:abstractNum>
  <w:abstractNum w:abstractNumId="179">
    <w:nsid w:val="6B057295"/>
    <w:multiLevelType w:val="hybridMultilevel"/>
    <w:lvl w:ilvl="0">
      <w:lvlJc w:val="left"/>
      <w:lvlText w:val="(%1)"/>
      <w:numFmt w:val="lowerLetter"/>
      <w:start w:val="2"/>
    </w:lvl>
  </w:abstractNum>
  <w:abstractNum w:abstractNumId="180">
    <w:nsid w:val="2771AC80"/>
    <w:multiLevelType w:val="hybridMultilevel"/>
    <w:lvl w:ilvl="0">
      <w:lvlJc w:val="left"/>
      <w:lvlText w:val="(%1)"/>
      <w:numFmt w:val="lowerLetter"/>
      <w:start w:val="1"/>
    </w:lvl>
  </w:abstractNum>
  <w:abstractNum w:abstractNumId="181">
    <w:nsid w:val="1C4A08EC"/>
    <w:multiLevelType w:val="hybridMultilevel"/>
    <w:lvl w:ilvl="0">
      <w:lvlJc w:val="left"/>
      <w:lvlText w:val="(%1)"/>
      <w:numFmt w:val="lowerLetter"/>
      <w:start w:val="3"/>
    </w:lvl>
  </w:abstractNum>
  <w:abstractNum w:abstractNumId="182">
    <w:nsid w:val="1958BD17"/>
    <w:multiLevelType w:val="hybridMultilevel"/>
    <w:lvl w:ilvl="0">
      <w:lvlJc w:val="left"/>
      <w:lvlText w:val="(%1)"/>
      <w:numFmt w:val="lowerLetter"/>
      <w:start w:val="1"/>
    </w:lvl>
  </w:abstractNum>
  <w:abstractNum w:abstractNumId="183">
    <w:nsid w:val="4E647FE4"/>
    <w:multiLevelType w:val="hybridMultilevel"/>
    <w:lvl w:ilvl="0">
      <w:lvlJc w:val="left"/>
      <w:lvlText w:val="(%1)"/>
      <w:numFmt w:val="lowerLetter"/>
      <w:start w:val="2"/>
    </w:lvl>
  </w:abstractNum>
  <w:abstractNum w:abstractNumId="184">
    <w:nsid w:val="E0BB885"/>
    <w:multiLevelType w:val="hybridMultilevel"/>
    <w:lvl w:ilvl="0">
      <w:lvlJc w:val="left"/>
      <w:lvlText w:val="(%1)"/>
      <w:numFmt w:val="lowerLetter"/>
      <w:start w:val="1"/>
    </w:lvl>
  </w:abstractNum>
  <w:abstractNum w:abstractNumId="185">
    <w:nsid w:val="565976F1"/>
    <w:multiLevelType w:val="hybridMultilevel"/>
    <w:lvl w:ilvl="0">
      <w:lvlJc w:val="left"/>
      <w:lvlText w:val="(%1)"/>
      <w:numFmt w:val="lowerLetter"/>
      <w:start w:val="4"/>
    </w:lvl>
  </w:abstractNum>
  <w:abstractNum w:abstractNumId="186">
    <w:nsid w:val="64212B8C"/>
    <w:multiLevelType w:val="hybridMultilevel"/>
    <w:lvl w:ilvl="0">
      <w:lvlJc w:val="left"/>
      <w:lvlText w:val="(%1)"/>
      <w:numFmt w:val="lowerLetter"/>
      <w:start w:val="1"/>
    </w:lvl>
  </w:abstractNum>
  <w:abstractNum w:abstractNumId="187">
    <w:nsid w:val="5C17530C"/>
    <w:multiLevelType w:val="hybridMultilevel"/>
    <w:lvl w:ilvl="0">
      <w:lvlJc w:val="left"/>
      <w:lvlText w:val="(%1)"/>
      <w:numFmt w:val="lowerLetter"/>
      <w:start w:val="1"/>
    </w:lvl>
    <w:lvl w:ilvl="1">
      <w:lvlJc w:val="left"/>
      <w:lvlText w:val="(%2)"/>
      <w:numFmt w:val="lowerRoman"/>
      <w:start w:val="1"/>
    </w:lvl>
  </w:abstractNum>
  <w:abstractNum w:abstractNumId="188">
    <w:nsid w:val="19A52566"/>
    <w:multiLevelType w:val="hybridMultilevel"/>
    <w:lvl w:ilvl="0">
      <w:lvlJc w:val="left"/>
      <w:lvlText w:val="(%1)"/>
      <w:numFmt w:val="lowerLetter"/>
      <w:start w:val="2"/>
    </w:lvl>
    <w:lvl w:ilvl="1">
      <w:lvlJc w:val="left"/>
      <w:lvlText w:val="(%2)"/>
      <w:numFmt w:val="lowerRoman"/>
      <w:start w:val="1"/>
    </w:lvl>
  </w:abstractNum>
  <w:abstractNum w:abstractNumId="189">
    <w:nsid w:val="335A1DF1"/>
    <w:multiLevelType w:val="hybridMultilevel"/>
    <w:lvl w:ilvl="0">
      <w:lvlJc w:val="left"/>
      <w:lvlText w:val="%1"/>
      <w:numFmt w:val="lowerLetter"/>
      <w:start w:val="1"/>
    </w:lvl>
    <w:lvl w:ilvl="1">
      <w:lvlJc w:val="left"/>
      <w:lvlText w:val="(%2)"/>
      <w:numFmt w:val="lowerLetter"/>
      <w:start w:val="3"/>
    </w:lvl>
  </w:abstractNum>
  <w:abstractNum w:abstractNumId="190">
    <w:nsid w:val="28677B7C"/>
    <w:multiLevelType w:val="hybridMultilevel"/>
    <w:lvl w:ilvl="0">
      <w:lvlJc w:val="left"/>
      <w:lvlText w:val="(%1)"/>
      <w:numFmt w:val="lowerLetter"/>
      <w:start w:val="35"/>
    </w:lvl>
    <w:lvl w:ilvl="1">
      <w:lvlJc w:val="left"/>
      <w:lvlText w:val="%2"/>
      <w:numFmt w:val="lowerLetter"/>
      <w:start w:val="1"/>
    </w:lvl>
  </w:abstractNum>
  <w:abstractNum w:abstractNumId="191">
    <w:nsid w:val="378D97C0"/>
    <w:multiLevelType w:val="hybridMultilevel"/>
    <w:lvl w:ilvl="0">
      <w:lvlJc w:val="left"/>
      <w:lvlText w:val="(%1)"/>
      <w:numFmt w:val="lowerLetter"/>
      <w:start w:val="1"/>
    </w:lvl>
  </w:abstractNum>
  <w:abstractNum w:abstractNumId="192">
    <w:nsid w:val="1D91467C"/>
    <w:multiLevelType w:val="hybridMultilevel"/>
    <w:lvl w:ilvl="0">
      <w:lvlJc w:val="left"/>
      <w:lvlText w:val="(%1)"/>
      <w:numFmt w:val="lowerLetter"/>
      <w:start w:val="1"/>
    </w:lvl>
  </w:abstractNum>
  <w:abstractNum w:abstractNumId="193">
    <w:nsid w:val="316032BB"/>
    <w:multiLevelType w:val="hybridMultilevel"/>
    <w:lvl w:ilvl="0">
      <w:lvlJc w:val="left"/>
      <w:lvlText w:val="(%1)"/>
      <w:numFmt w:val="lowerLetter"/>
      <w:start w:val="10"/>
    </w:lvl>
  </w:abstractNum>
  <w:abstractNum w:abstractNumId="194">
    <w:nsid w:val="44344C22"/>
    <w:multiLevelType w:val="hybridMultilevel"/>
    <w:lvl w:ilvl="0">
      <w:lvlJc w:val="left"/>
      <w:lvlText w:val="(%1)"/>
      <w:numFmt w:val="lowerLetter"/>
      <w:start w:val="1"/>
    </w:lvl>
  </w:abstractNum>
  <w:abstractNum w:abstractNumId="195">
    <w:nsid w:val="13CDFCFC"/>
    <w:multiLevelType w:val="hybridMultilevel"/>
    <w:lvl w:ilvl="0">
      <w:lvlJc w:val="left"/>
      <w:lvlText w:val="(%1)"/>
      <w:numFmt w:val="lowerLetter"/>
      <w:start w:val="4"/>
    </w:lvl>
    <w:lvl w:ilvl="1">
      <w:lvlJc w:val="left"/>
      <w:lvlText w:val="(%2)"/>
      <w:numFmt w:val="lowerRoman"/>
      <w:start w:val="1"/>
    </w:lvl>
  </w:abstractNum>
  <w:abstractNum w:abstractNumId="196">
    <w:nsid w:val="471745E4"/>
    <w:multiLevelType w:val="hybridMultilevel"/>
    <w:lvl w:ilvl="0">
      <w:lvlJc w:val="left"/>
      <w:lvlText w:val="(%1)"/>
      <w:numFmt w:val="lowerLetter"/>
      <w:start w:val="35"/>
    </w:lvl>
    <w:lvl w:ilvl="1">
      <w:lvlJc w:val="left"/>
      <w:lvlText w:val="(%2)"/>
      <w:numFmt w:val="lowerLetter"/>
      <w:start w:val="12"/>
    </w:lvl>
  </w:abstractNum>
  <w:abstractNum w:abstractNumId="197">
    <w:nsid w:val="1DDBC66"/>
    <w:multiLevelType w:val="hybridMultilevel"/>
    <w:lvl w:ilvl="0">
      <w:lvlJc w:val="left"/>
      <w:lvlText w:val="(%1)"/>
      <w:numFmt w:val="lowerLetter"/>
      <w:start w:val="1"/>
    </w:lvl>
  </w:abstractNum>
  <w:abstractNum w:abstractNumId="198">
    <w:nsid w:val="30AADFDA"/>
    <w:multiLevelType w:val="hybridMultilevel"/>
    <w:lvl w:ilvl="0">
      <w:lvlJc w:val="left"/>
      <w:lvlText w:val="(%1)"/>
      <w:numFmt w:val="lowerLetter"/>
      <w:start w:val="4"/>
    </w:lvl>
  </w:abstractNum>
  <w:abstractNum w:abstractNumId="199">
    <w:nsid w:val="30EADA61"/>
    <w:multiLevelType w:val="hybridMultilevel"/>
    <w:lvl w:ilvl="0">
      <w:lvlJc w:val="left"/>
      <w:lvlText w:val="%1"/>
      <w:numFmt w:val="lowerLetter"/>
      <w:start w:val="1"/>
    </w:lvl>
    <w:lvl w:ilvl="1">
      <w:lvlJc w:val="left"/>
      <w:lvlText w:val="(%2)"/>
      <w:numFmt w:val="lowerLetter"/>
      <w:start w:val="14"/>
    </w:lvl>
  </w:abstractNum>
  <w:abstractNum w:abstractNumId="200">
    <w:nsid w:val="27179C0B"/>
    <w:multiLevelType w:val="hybridMultilevel"/>
    <w:lvl w:ilvl="0">
      <w:lvlJc w:val="left"/>
      <w:lvlText w:val="(%1)"/>
      <w:numFmt w:val="lowerLetter"/>
      <w:start w:val="9"/>
    </w:lvl>
    <w:lvl w:ilvl="1">
      <w:lvlJc w:val="left"/>
      <w:lvlText w:val="%2"/>
      <w:numFmt w:val="lowerLetter"/>
      <w:start w:val="1"/>
    </w:lvl>
  </w:abstractNum>
  <w:abstractNum w:abstractNumId="201">
    <w:nsid w:val="5E636063"/>
    <w:multiLevelType w:val="hybridMultilevel"/>
    <w:lvl w:ilvl="0">
      <w:lvlJc w:val="left"/>
      <w:lvlText w:val="(%1)"/>
      <w:numFmt w:val="lowerLetter"/>
      <w:start w:val="1"/>
    </w:lvl>
  </w:abstractNum>
  <w:abstractNum w:abstractNumId="202">
    <w:nsid w:val="215641AF"/>
    <w:multiLevelType w:val="hybridMultilevel"/>
    <w:lvl w:ilvl="0">
      <w:lvlJc w:val="left"/>
      <w:lvlText w:val="%1"/>
      <w:numFmt w:val="lowerLetter"/>
      <w:start w:val="1"/>
    </w:lvl>
    <w:lvl w:ilvl="1">
      <w:lvlJc w:val="left"/>
      <w:lvlText w:val="(%2)"/>
      <w:numFmt w:val="lowerLetter"/>
      <w:start w:val="1"/>
    </w:lvl>
  </w:abstractNum>
  <w:abstractNum w:abstractNumId="203">
    <w:nsid w:val="53280662"/>
    <w:multiLevelType w:val="hybridMultilevel"/>
    <w:lvl w:ilvl="0">
      <w:lvlJc w:val="left"/>
      <w:lvlText w:val="(%1)"/>
      <w:numFmt w:val="lowerLetter"/>
      <w:start w:val="35"/>
    </w:lvl>
    <w:lvl w:ilvl="1">
      <w:lvlJc w:val="left"/>
      <w:lvlText w:val="(%2)"/>
      <w:numFmt w:val="lowerLetter"/>
      <w:start w:val="5"/>
    </w:lvl>
  </w:abstractNum>
  <w:abstractNum w:abstractNumId="204">
    <w:nsid w:val="46B24DBC"/>
    <w:multiLevelType w:val="hybridMultilevel"/>
    <w:lvl w:ilvl="0">
      <w:lvlJc w:val="left"/>
      <w:lvlText w:val="(%1)"/>
      <w:numFmt w:val="lowerLetter"/>
      <w:start w:val="10"/>
    </w:lvl>
  </w:abstractNum>
  <w:abstractNum w:abstractNumId="205">
    <w:nsid w:val="75B52783"/>
    <w:multiLevelType w:val="hybridMultilevel"/>
    <w:lvl w:ilvl="0">
      <w:lvlJc w:val="left"/>
      <w:lvlText w:val="(%1)"/>
      <w:numFmt w:val="lowerLetter"/>
      <w:start w:val="1"/>
    </w:lvl>
  </w:abstractNum>
  <w:abstractNum w:abstractNumId="206">
    <w:nsid w:val="57CE66B4"/>
    <w:multiLevelType w:val="hybridMultilevel"/>
    <w:lvl w:ilvl="0">
      <w:lvlJc w:val="left"/>
      <w:lvlText w:val="(%1)"/>
      <w:numFmt w:val="lowerLetter"/>
      <w:start w:val="5"/>
    </w:lvl>
  </w:abstractNum>
  <w:abstractNum w:abstractNumId="207">
    <w:nsid w:val="67A70B69"/>
    <w:multiLevelType w:val="hybridMultilevel"/>
    <w:lvl w:ilvl="0">
      <w:lvlJc w:val="left"/>
      <w:lvlText w:val="(%1)"/>
      <w:numFmt w:val="lowerLetter"/>
      <w:start w:val="1"/>
    </w:lvl>
  </w:abstractNum>
  <w:abstractNum w:abstractNumId="208">
    <w:nsid w:val="5953172F"/>
    <w:multiLevelType w:val="hybridMultilevel"/>
    <w:lvl w:ilvl="0">
      <w:lvlJc w:val="left"/>
      <w:lvlText w:val="(%1)"/>
      <w:numFmt w:val="lowerLetter"/>
      <w:start w:val="2"/>
    </w:lvl>
  </w:abstractNum>
  <w:abstractNum w:abstractNumId="209">
    <w:nsid w:val="27EDFE3A"/>
    <w:multiLevelType w:val="hybridMultilevel"/>
    <w:lvl w:ilvl="0">
      <w:lvlJc w:val="left"/>
      <w:lvlText w:val="(%1)"/>
      <w:numFmt w:val="lowerLetter"/>
      <w:start w:val="1"/>
    </w:lvl>
  </w:abstractNum>
  <w:abstractNum w:abstractNumId="210">
    <w:nsid w:val="52AC7DFF"/>
    <w:multiLevelType w:val="hybridMultilevel"/>
    <w:lvl w:ilvl="0">
      <w:lvlJc w:val="left"/>
      <w:lvlText w:val="(%1)"/>
      <w:numFmt w:val="lowerLetter"/>
      <w:start w:val="1"/>
    </w:lvl>
    <w:lvl w:ilvl="1">
      <w:lvlJc w:val="left"/>
      <w:lvlText w:val="(%2)"/>
      <w:numFmt w:val="lowerRoman"/>
      <w:start w:val="1"/>
    </w:lvl>
  </w:abstractNum>
  <w:abstractNum w:abstractNumId="211">
    <w:nsid w:val="C4C3AF"/>
    <w:multiLevelType w:val="hybridMultilevel"/>
    <w:lvl w:ilvl="0">
      <w:lvlJc w:val="left"/>
      <w:lvlText w:val="(%1)"/>
      <w:numFmt w:val="lowerLetter"/>
      <w:start w:val="3"/>
    </w:lvl>
  </w:abstractNum>
  <w:abstractNum w:abstractNumId="212">
    <w:nsid w:val="44380727"/>
    <w:multiLevelType w:val="hybridMultilevel"/>
    <w:lvl w:ilvl="0">
      <w:lvlJc w:val="left"/>
      <w:lvlText w:val="(%1)"/>
      <w:numFmt w:val="lowerLetter"/>
      <w:start w:val="4"/>
    </w:lvl>
  </w:abstractNum>
  <w:abstractNum w:abstractNumId="213">
    <w:nsid w:val="6C053B16"/>
    <w:multiLevelType w:val="hybridMultilevel"/>
    <w:lvl w:ilvl="0">
      <w:lvlJc w:val="left"/>
      <w:lvlText w:val="(%1)"/>
      <w:numFmt w:val="lowerLetter"/>
      <w:start w:val="1"/>
    </w:lvl>
    <w:lvl w:ilvl="1">
      <w:lvlJc w:val="left"/>
      <w:lvlText w:val="(%2)"/>
      <w:numFmt w:val="lowerRoman"/>
      <w:start w:val="1"/>
    </w:lvl>
  </w:abstractNum>
  <w:abstractNum w:abstractNumId="214">
    <w:nsid w:val="4F294393"/>
    <w:multiLevelType w:val="hybridMultilevel"/>
    <w:lvl w:ilvl="0">
      <w:lvlJc w:val="left"/>
      <w:lvlText w:val="%1"/>
      <w:numFmt w:val="decimal"/>
      <w:start w:val="1"/>
    </w:lvl>
    <w:lvl w:ilvl="1">
      <w:lvlJc w:val="left"/>
      <w:lvlText w:val="(%2)"/>
      <w:numFmt w:val="lowerRoman"/>
      <w:start w:val="5"/>
    </w:lvl>
  </w:abstractNum>
  <w:abstractNum w:abstractNumId="215">
    <w:nsid w:val="5243BFAC"/>
    <w:multiLevelType w:val="hybridMultilevel"/>
    <w:lvl w:ilvl="0">
      <w:lvlJc w:val="left"/>
      <w:lvlText w:val="(%1)"/>
      <w:numFmt w:val="decimal"/>
      <w:start w:val="2"/>
    </w:lvl>
    <w:lvl w:ilvl="1">
      <w:lvlJc w:val="left"/>
      <w:lvlText w:val="%2"/>
      <w:numFmt w:val="lowerRoman"/>
      <w:start w:val="1"/>
    </w:lvl>
  </w:abstractNum>
  <w:abstractNum w:abstractNumId="216">
    <w:nsid w:val="425EB207"/>
    <w:multiLevelType w:val="hybridMultilevel"/>
    <w:lvl w:ilvl="0">
      <w:lvlJc w:val="left"/>
      <w:lvlText w:val="%1"/>
      <w:numFmt w:val="lowerLetter"/>
      <w:start w:val="1"/>
    </w:lvl>
    <w:lvl w:ilvl="1">
      <w:lvlJc w:val="left"/>
      <w:lvlText w:val="(%2)"/>
      <w:numFmt w:val="lowerLetter"/>
      <w:start w:val="1"/>
    </w:lvl>
  </w:abstractNum>
  <w:abstractNum w:abstractNumId="217">
    <w:nsid w:val="334A6F1F"/>
    <w:multiLevelType w:val="hybridMultilevel"/>
    <w:lvl w:ilvl="0">
      <w:lvlJc w:val="left"/>
      <w:lvlText w:val="(%1)"/>
      <w:numFmt w:val="lowerLetter"/>
      <w:start w:val="1"/>
    </w:lvl>
    <w:lvl w:ilvl="1">
      <w:lvlJc w:val="left"/>
      <w:lvlText w:val="(%2)"/>
      <w:numFmt w:val="lowerLetter"/>
      <w:start w:val="4"/>
    </w:lvl>
  </w:abstractNum>
  <w:abstractNum w:abstractNumId="218">
    <w:nsid w:val="2E5B12B8"/>
    <w:multiLevelType w:val="hybridMultilevel"/>
    <w:lvl w:ilvl="0">
      <w:lvlJc w:val="left"/>
      <w:lvlText w:val="(%1)"/>
      <w:numFmt w:val="lowerLetter"/>
      <w:start w:val="6"/>
    </w:lvl>
  </w:abstractNum>
  <w:abstractNum w:abstractNumId="219">
    <w:nsid w:val="5C03D76D"/>
    <w:multiLevelType w:val="hybridMultilevel"/>
    <w:lvl w:ilvl="0">
      <w:lvlJc w:val="left"/>
      <w:lvlText w:val="(%1)"/>
      <w:numFmt w:val="lowerLetter"/>
      <w:start w:val="9"/>
    </w:lvl>
  </w:abstractNum>
  <w:abstractNum w:abstractNumId="220">
    <w:nsid w:val="66A48D11"/>
    <w:multiLevelType w:val="hybridMultilevel"/>
    <w:lvl w:ilvl="0">
      <w:lvlJc w:val="left"/>
      <w:lvlText w:val="(%1)"/>
      <w:numFmt w:val="lowerLetter"/>
      <w:start w:val="1"/>
    </w:lvl>
  </w:abstractNum>
  <w:abstractNum w:abstractNumId="221">
    <w:nsid w:val="56C28E34"/>
    <w:multiLevelType w:val="hybridMultilevel"/>
    <w:lvl w:ilvl="0">
      <w:lvlJc w:val="left"/>
      <w:lvlText w:val="(%1)"/>
      <w:numFmt w:val="lowerLetter"/>
      <w:start w:val="1"/>
    </w:lvl>
  </w:abstractNum>
  <w:abstractNum w:abstractNumId="222">
    <w:nsid w:val="13916F2D"/>
    <w:multiLevelType w:val="hybridMultilevel"/>
    <w:lvl w:ilvl="0">
      <w:lvlJc w:val="left"/>
      <w:lvlText w:val="(%1)"/>
      <w:numFmt w:val="lowerLetter"/>
      <w:start w:val="1"/>
    </w:lvl>
  </w:abstractNum>
  <w:abstractNum w:abstractNumId="223">
    <w:nsid w:val="435D38D"/>
    <w:multiLevelType w:val="hybridMultilevel"/>
    <w:lvl w:ilvl="0">
      <w:lvlJc w:val="left"/>
      <w:lvlText w:val="(%1)"/>
      <w:numFmt w:val="lowerLetter"/>
      <w:start w:val="1"/>
    </w:lvl>
  </w:abstractNum>
  <w:abstractNum w:abstractNumId="224">
    <w:nsid w:val="822C0EF"/>
    <w:multiLevelType w:val="hybridMultilevel"/>
    <w:lvl w:ilvl="0">
      <w:lvlJc w:val="left"/>
      <w:lvlText w:val="(%1)"/>
      <w:numFmt w:val="lowerLetter"/>
      <w:start w:val="1"/>
    </w:lvl>
  </w:abstractNum>
  <w:abstractNum w:abstractNumId="225">
    <w:nsid w:val="57C5BB4F"/>
    <w:multiLevelType w:val="hybridMultilevel"/>
    <w:lvl w:ilvl="0">
      <w:lvlJc w:val="left"/>
      <w:lvlText w:val="(%1)"/>
      <w:numFmt w:val="lowerLetter"/>
      <w:start w:val="2"/>
    </w:lvl>
  </w:abstractNum>
  <w:abstractNum w:abstractNumId="226">
    <w:nsid w:val="1803D089"/>
    <w:multiLevelType w:val="hybridMultilevel"/>
    <w:lvl w:ilvl="0">
      <w:lvlJc w:val="left"/>
      <w:lvlText w:val="(%1)"/>
      <w:numFmt w:val="lowerLetter"/>
      <w:start w:val="1"/>
    </w:lvl>
    <w:lvl w:ilvl="1">
      <w:lvlJc w:val="left"/>
      <w:lvlText w:val="(%2)"/>
      <w:numFmt w:val="lowerLetter"/>
      <w:start w:val="9"/>
    </w:lvl>
  </w:abstractNum>
  <w:abstractNum w:abstractNumId="227">
    <w:nsid w:val="4F3A06D4"/>
    <w:multiLevelType w:val="hybridMultilevel"/>
    <w:lvl w:ilvl="0">
      <w:lvlJc w:val="left"/>
      <w:lvlText w:val="%1"/>
      <w:numFmt w:val="lowerLetter"/>
      <w:start w:val="1"/>
    </w:lvl>
    <w:lvl w:ilvl="1">
      <w:lvlJc w:val="left"/>
      <w:lvlText w:val="(%2)"/>
      <w:numFmt w:val="lowerRoman"/>
      <w:start w:val="2"/>
    </w:lvl>
  </w:abstractNum>
  <w:abstractNum w:abstractNumId="228">
    <w:nsid w:val="59A377B6"/>
    <w:multiLevelType w:val="hybridMultilevel"/>
    <w:lvl w:ilvl="0">
      <w:lvlJc w:val="left"/>
      <w:lvlText w:val="(%1)"/>
      <w:numFmt w:val="lowerLetter"/>
      <w:start w:val="2"/>
    </w:lvl>
    <w:lvl w:ilvl="1">
      <w:lvlJc w:val="left"/>
      <w:lvlText w:val="%2"/>
      <w:numFmt w:val="lowerRoman"/>
      <w:start w:val="1"/>
    </w:lvl>
  </w:abstractNum>
  <w:abstractNum w:abstractNumId="229">
    <w:nsid w:val="48AEB063"/>
    <w:multiLevelType w:val="hybridMultilevel"/>
    <w:lvl w:ilvl="0">
      <w:lvlJc w:val="left"/>
      <w:lvlText w:val="(%1)"/>
      <w:numFmt w:val="lowerLetter"/>
      <w:start w:val="1"/>
    </w:lvl>
  </w:abstractNum>
  <w:abstractNum w:abstractNumId="230">
    <w:nsid w:val="24E135"/>
    <w:multiLevelType w:val="hybridMultilevel"/>
    <w:lvl w:ilvl="0">
      <w:lvlJc w:val="left"/>
      <w:lvlText w:val="(%1)"/>
      <w:numFmt w:val="lowerLetter"/>
      <w:start w:val="9"/>
    </w:lvl>
  </w:abstractNum>
  <w:abstractNum w:abstractNumId="231">
    <w:nsid w:val="BB13C1"/>
    <w:multiLevelType w:val="hybridMultilevel"/>
    <w:lvl w:ilvl="0">
      <w:lvlJc w:val="left"/>
      <w:lvlText w:val="(%1)"/>
      <w:numFmt w:val="lowerLetter"/>
      <w:start w:val="1"/>
    </w:lvl>
    <w:lvl w:ilvl="1">
      <w:lvlJc w:val="left"/>
      <w:lvlText w:val="(%2)"/>
      <w:numFmt w:val="lowerRoman"/>
      <w:start w:val="1"/>
    </w:lvl>
  </w:abstractNum>
  <w:abstractNum w:abstractNumId="232">
    <w:nsid w:val="271210C7"/>
    <w:multiLevelType w:val="hybridMultilevel"/>
    <w:lvl w:ilvl="0">
      <w:lvlJc w:val="left"/>
      <w:lvlText w:val="(%1)"/>
      <w:numFmt w:val="lowerLetter"/>
      <w:start w:val="2"/>
    </w:lvl>
  </w:abstractNum>
  <w:abstractNum w:abstractNumId="233">
    <w:nsid w:val="217B22E4"/>
    <w:multiLevelType w:val="hybridMultilevel"/>
    <w:lvl w:ilvl="0">
      <w:lvlJc w:val="left"/>
      <w:lvlText w:val="(%1)"/>
      <w:numFmt w:val="lowerLetter"/>
      <w:start w:val="9"/>
    </w:lvl>
    <w:lvl w:ilvl="1">
      <w:lvlJc w:val="left"/>
      <w:lvlText w:val="%2"/>
      <w:numFmt w:val="lowerLetter"/>
      <w:start w:val="1"/>
    </w:lvl>
  </w:abstractNum>
  <w:abstractNum w:abstractNumId="234">
    <w:nsid w:val="53E31A24"/>
    <w:multiLevelType w:val="hybridMultilevel"/>
    <w:lvl w:ilvl="0">
      <w:lvlJc w:val="left"/>
      <w:lvlText w:val="(%1)"/>
      <w:numFmt w:val="lowerLetter"/>
      <w:start w:val="9"/>
    </w:lvl>
    <w:lvl w:ilvl="1">
      <w:lvlJc w:val="left"/>
      <w:lvlText w:val="(%2)"/>
      <w:numFmt w:val="lowerLetter"/>
      <w:start w:val="3"/>
    </w:lvl>
  </w:abstractNum>
  <w:abstractNum w:abstractNumId="235">
    <w:nsid w:val="6DC45E83"/>
    <w:multiLevelType w:val="hybridMultilevel"/>
    <w:lvl w:ilvl="0">
      <w:lvlJc w:val="left"/>
      <w:lvlText w:val="(%1)"/>
      <w:numFmt w:val="lowerLetter"/>
      <w:start w:val="5"/>
    </w:lvl>
  </w:abstractNum>
  <w:abstractNum w:abstractNumId="236">
    <w:nsid w:val="17304A67"/>
    <w:multiLevelType w:val="hybridMultilevel"/>
    <w:lvl w:ilvl="0">
      <w:lvlJc w:val="left"/>
      <w:lvlText w:val="%1"/>
      <w:numFmt w:val="upperLetter"/>
      <w:start w:val="1"/>
    </w:lvl>
    <w:lvl w:ilvl="1">
      <w:lvlJc w:val="left"/>
      <w:lvlText w:val="(%2)"/>
      <w:numFmt w:val="lowerLetter"/>
      <w:start w:val="1"/>
    </w:lvl>
  </w:abstractNum>
  <w:abstractNum w:abstractNumId="237">
    <w:nsid w:val="2BB180D8"/>
    <w:multiLevelType w:val="hybridMultilevel"/>
    <w:lvl w:ilvl="0">
      <w:lvlJc w:val="left"/>
      <w:lvlText w:val="(%1)"/>
      <w:numFmt w:val="upperLetter"/>
      <w:start w:val="2"/>
    </w:lvl>
    <w:lvl w:ilvl="1">
      <w:lvlJc w:val="left"/>
      <w:lvlText w:val="(%2)"/>
      <w:numFmt w:val="lowerLetter"/>
      <w:start w:val="2"/>
    </w:lvl>
  </w:abstractNum>
  <w:abstractNum w:abstractNumId="238">
    <w:nsid w:val="556B69ED"/>
    <w:multiLevelType w:val="hybridMultilevel"/>
    <w:lvl w:ilvl="0">
      <w:lvlJc w:val="left"/>
      <w:lvlText w:val="%1"/>
      <w:numFmt w:val="lowerLetter"/>
      <w:start w:val="1"/>
    </w:lvl>
    <w:lvl w:ilvl="1">
      <w:lvlJc w:val="left"/>
      <w:lvlText w:val="(%2)"/>
      <w:numFmt w:val="lowerLetter"/>
      <w:start w:val="3"/>
    </w:lvl>
  </w:abstractNum>
  <w:abstractNum w:abstractNumId="239">
    <w:nsid w:val="70836196"/>
    <w:multiLevelType w:val="hybridMultilevel"/>
    <w:lvl w:ilvl="0">
      <w:lvlJc w:val="left"/>
      <w:lvlText w:val="(%1)"/>
      <w:numFmt w:val="lowerLetter"/>
      <w:start w:val="2"/>
    </w:lvl>
    <w:lvl w:ilvl="1">
      <w:lvlJc w:val="left"/>
      <w:lvlText w:val="(%2)"/>
      <w:numFmt w:val="lowerLetter"/>
      <w:start w:val="5"/>
    </w:lvl>
  </w:abstractNum>
  <w:abstractNum w:abstractNumId="240">
    <w:nsid w:val="539F7F1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1">
    <w:nsid w:val="2817E7EC"/>
    <w:multiLevelType w:val="hybridMultilevel"/>
    <w:lvl w:ilvl="0">
      <w:lvlJc w:val="left"/>
      <w:lvlText w:val="(%1)"/>
      <w:numFmt w:val="lowerRoman"/>
      <w:start w:val="2"/>
    </w:lvl>
    <w:lvl w:ilvl="1">
      <w:lvlJc w:val="left"/>
      <w:lvlText w:val="(%2)"/>
      <w:numFmt w:val="upperLetter"/>
      <w:start w:val="1"/>
    </w:lvl>
  </w:abstractNum>
  <w:abstractNum w:abstractNumId="242">
    <w:nsid w:val="71482545"/>
    <w:multiLevelType w:val="hybridMultilevel"/>
    <w:lvl w:ilvl="0">
      <w:lvlJc w:val="left"/>
      <w:lvlText w:val="(%1)"/>
      <w:numFmt w:val="lowerRoman"/>
      <w:start w:val="6"/>
    </w:lvl>
  </w:abstractNum>
  <w:abstractNum w:abstractNumId="243">
    <w:nsid w:val="17D78639"/>
    <w:multiLevelType w:val="hybridMultilevel"/>
    <w:lvl w:ilvl="0">
      <w:lvlJc w:val="left"/>
      <w:lvlText w:val="(%1)"/>
      <w:numFmt w:val="lowerLetter"/>
      <w:start w:val="3"/>
    </w:lvl>
  </w:abstractNum>
  <w:abstractNum w:abstractNumId="244">
    <w:nsid w:val="141D2302"/>
    <w:multiLevelType w:val="hybridMultilevel"/>
    <w:lvl w:ilvl="0">
      <w:lvlJc w:val="left"/>
      <w:lvlText w:val="(%1)"/>
      <w:numFmt w:val="lowerLetter"/>
      <w:start w:val="4"/>
    </w:lvl>
  </w:abstractNum>
  <w:abstractNum w:abstractNumId="245">
    <w:nsid w:val="407168D8"/>
    <w:multiLevelType w:val="hybridMultilevel"/>
    <w:lvl w:ilvl="0">
      <w:lvlJc w:val="left"/>
      <w:lvlText w:val="%1"/>
      <w:numFmt w:val="upperLetter"/>
      <w:start w:val="1"/>
    </w:lvl>
    <w:lvl w:ilvl="1">
      <w:lvlJc w:val="left"/>
      <w:lvlText w:val="(%2)"/>
      <w:numFmt w:val="lowerLetter"/>
      <w:start w:val="5"/>
    </w:lvl>
  </w:abstractNum>
  <w:abstractNum w:abstractNumId="246">
    <w:nsid w:val="6A1B45E5"/>
    <w:multiLevelType w:val="hybridMultilevel"/>
    <w:lvl w:ilvl="0">
      <w:lvlJc w:val="left"/>
      <w:lvlText w:val="(%1)"/>
      <w:numFmt w:val="upperLetter"/>
      <w:start w:val="2"/>
    </w:lvl>
    <w:lvl w:ilvl="1">
      <w:lvlJc w:val="left"/>
      <w:lvlText w:val="%2"/>
      <w:numFmt w:val="lowerLetter"/>
      <w:start w:val="1"/>
    </w:lvl>
  </w:abstractNum>
  <w:abstractNum w:abstractNumId="247">
    <w:nsid w:val="567BD50A"/>
    <w:multiLevelType w:val="hybridMultilevel"/>
    <w:lvl w:ilvl="0">
      <w:lvlJc w:val="left"/>
      <w:lvlText w:val="(%1)"/>
      <w:numFmt w:val="lowerLetter"/>
      <w:start w:val="1"/>
    </w:lvl>
  </w:abstractNum>
  <w:abstractNum w:abstractNumId="248">
    <w:nsid w:val="73BBD7F8"/>
    <w:multiLevelType w:val="hybridMultilevel"/>
    <w:lvl w:ilvl="0">
      <w:lvlJc w:val="left"/>
      <w:lvlText w:val="(%1)"/>
      <w:numFmt w:val="lowerLetter"/>
      <w:start w:val="1"/>
    </w:lvl>
  </w:abstractNum>
  <w:abstractNum w:abstractNumId="249">
    <w:nsid w:val="1876589D"/>
    <w:multiLevelType w:val="hybridMultilevel"/>
    <w:lvl w:ilvl="0">
      <w:lvlJc w:val="left"/>
      <w:lvlText w:val="(%1)"/>
      <w:numFmt w:val="lowerLetter"/>
      <w:start w:val="3"/>
    </w:lvl>
  </w:abstractNum>
  <w:abstractNum w:abstractNumId="250">
    <w:nsid w:val="327FAC77"/>
    <w:multiLevelType w:val="hybridMultilevel"/>
    <w:lvl w:ilvl="0">
      <w:lvlJc w:val="left"/>
      <w:lvlText w:val="(%1)"/>
      <w:numFmt w:val="lowerLetter"/>
      <w:start w:val="1"/>
    </w:lvl>
    <w:lvl w:ilvl="1">
      <w:lvlJc w:val="left"/>
      <w:lvlText w:val="(%2)"/>
      <w:numFmt w:val="lowerRoman"/>
      <w:start w:val="1"/>
    </w:lvl>
  </w:abstractNum>
  <w:abstractNum w:abstractNumId="251">
    <w:nsid w:val="5A606509"/>
    <w:multiLevelType w:val="hybridMultilevel"/>
    <w:lvl w:ilvl="0">
      <w:lvlJc w:val="left"/>
      <w:lvlText w:val="(%1)"/>
      <w:numFmt w:val="lowerLetter"/>
      <w:start w:val="1"/>
    </w:lvl>
  </w:abstractNum>
  <w:abstractNum w:abstractNumId="252">
    <w:nsid w:val="6F38E6D1"/>
    <w:multiLevelType w:val="hybridMultilevel"/>
    <w:lvl w:ilvl="0">
      <w:lvlJc w:val="left"/>
      <w:lvlText w:val="(%1)"/>
      <w:numFmt w:val="lowerLetter"/>
      <w:start w:val="1"/>
    </w:lvl>
    <w:lvl w:ilvl="1">
      <w:lvlJc w:val="left"/>
      <w:lvlText w:val="(%2)"/>
      <w:numFmt w:val="lowerRoman"/>
      <w:start w:val="1"/>
    </w:lvl>
  </w:abstractNum>
  <w:abstractNum w:abstractNumId="253">
    <w:nsid w:val="46111BA5"/>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2026-04-02T14:20:03Z</dcterms:created>
  <dcterms:modified xsi:type="dcterms:W3CDTF">2026-04-02T14:20:03Z</dcterms:modified>
</cp:coreProperties>
</file>