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4"/>
          <w:szCs w:val="24"/>
          <w:color w:val="auto"/>
        </w:rPr>
      </w:pPr>
    </w:p>
    <w:p>
      <w:pPr>
        <w:ind w:left="1060"/>
        <w:spacing w:after="0"/>
        <w:rPr>
          <w:sz w:val="20"/>
          <w:szCs w:val="20"/>
          <w:color w:val="auto"/>
        </w:rPr>
      </w:pPr>
      <w:r>
        <w:rPr>
          <w:rFonts w:ascii="Arial" w:cs="Arial" w:eastAsia="Arial" w:hAnsi="Arial"/>
          <w:sz w:val="18"/>
          <w:szCs w:val="18"/>
          <w:color w:val="auto"/>
        </w:rPr>
        <w:t>Trigran Investments,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Illinois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2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tcPr>
          <w:p>
            <w:pPr>
              <w:spacing w:after="0"/>
              <w:rPr>
                <w:sz w:val="18"/>
                <w:szCs w:val="18"/>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900" w:type="dxa"/>
            <w:vAlign w:val="bottom"/>
          </w:tcPr>
          <w:p>
            <w:pPr>
              <w:spacing w:after="0"/>
              <w:rPr>
                <w:sz w:val="18"/>
                <w:szCs w:val="18"/>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3,839,974 shares of common stock</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0" w:gutter="0" w:footer="0" w:header="0"/>
        </w:sectPr>
      </w:pPr>
    </w:p>
    <w:bookmarkStart w:id="1" w:name="page2"/>
    <w:bookmarkEnd w:id="1"/>
    <w:p>
      <w:pPr>
        <w:spacing w:after="0" w:line="50" w:lineRule="exact"/>
        <w:rPr>
          <w:sz w:val="20"/>
          <w:szCs w:val="20"/>
          <w:color w:val="auto"/>
        </w:rPr>
      </w:pPr>
    </w:p>
    <w:p>
      <w:pPr>
        <w:ind w:left="2200" w:hanging="591"/>
        <w:spacing w:after="0"/>
        <w:tabs>
          <w:tab w:leader="none" w:pos="2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3,839,974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38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3,839,974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8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11.1% as of December 31, 2017 (based on 34,707,649 shares of common stock issued and outstanding per CECO Environmental Corp. Form 10-Q dated November 8, 2017).</w:t>
      </w:r>
    </w:p>
    <w:p>
      <w:pPr>
        <w:spacing w:after="0" w:line="399" w:lineRule="exact"/>
        <w:rPr>
          <w:rFonts w:ascii="Arial" w:cs="Arial" w:eastAsia="Arial" w:hAnsi="Arial"/>
          <w:sz w:val="18"/>
          <w:szCs w:val="18"/>
          <w:color w:val="auto"/>
        </w:rPr>
      </w:pPr>
    </w:p>
    <w:p>
      <w:pPr>
        <w:ind w:left="1000" w:right="832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600" w:type="dxa"/>
            <w:vAlign w:val="bottom"/>
          </w:tcPr>
          <w:p>
            <w:pPr>
              <w:ind w:left="1860"/>
              <w:spacing w:after="0"/>
              <w:rPr>
                <w:sz w:val="20"/>
                <w:szCs w:val="20"/>
                <w:color w:val="auto"/>
              </w:rPr>
            </w:pPr>
            <w:r>
              <w:rPr>
                <w:rFonts w:ascii="Arial" w:cs="Arial" w:eastAsia="Arial" w:hAnsi="Arial"/>
                <w:sz w:val="18"/>
                <w:szCs w:val="18"/>
                <w:b w:val="1"/>
                <w:bCs w:val="1"/>
                <w:color w:val="auto"/>
              </w:rPr>
              <w:t>13G</w:t>
            </w:r>
          </w:p>
        </w:tc>
      </w:tr>
      <w:tr>
        <w:trPr>
          <w:trHeight w:val="54"/>
        </w:trPr>
        <w:tc>
          <w:tcPr>
            <w:tcW w:w="358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40" w:hanging="6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48895</wp:posOffset>
            </wp:positionV>
            <wp:extent cx="64744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0" w:hanging="6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40" w:hanging="598"/>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598"/>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6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right="7520" w:hanging="6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14605</wp:posOffset>
            </wp:positionV>
            <wp:extent cx="64744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-534035</wp:posOffset>
            </wp:positionV>
            <wp:extent cx="64744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-945515</wp:posOffset>
            </wp:positionV>
            <wp:extent cx="6097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-1159510</wp:posOffset>
            </wp:positionV>
            <wp:extent cx="6097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9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20" w:type="dxa"/>
            <w:vAlign w:val="bottom"/>
            <w:vMerge w:val="continue"/>
          </w:tcPr>
          <w:p>
            <w:pPr>
              <w:spacing w:after="0"/>
              <w:rPr>
                <w:sz w:val="24"/>
                <w:szCs w:val="2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6.</w:t>
            </w:r>
          </w:p>
        </w:tc>
        <w:tc>
          <w:tcPr>
            <w:tcW w:w="90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20" w:type="dxa"/>
            <w:vAlign w:val="bottom"/>
            <w:vMerge w:val="continue"/>
          </w:tcPr>
          <w:p>
            <w:pPr>
              <w:spacing w:after="0"/>
              <w:rPr>
                <w:sz w:val="9"/>
                <w:szCs w:val="9"/>
                <w:color w:val="auto"/>
              </w:rPr>
            </w:pPr>
          </w:p>
        </w:tc>
        <w:tc>
          <w:tcPr>
            <w:tcW w:w="9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9080" w:type="dxa"/>
            <w:vAlign w:val="bottom"/>
            <w:vMerge w:val="restart"/>
          </w:tcPr>
          <w:p>
            <w:pPr>
              <w:ind w:left="60"/>
              <w:spacing w:after="0"/>
              <w:rPr>
                <w:sz w:val="20"/>
                <w:szCs w:val="20"/>
                <w:color w:val="auto"/>
              </w:rPr>
            </w:pPr>
            <w:r>
              <w:rPr>
                <w:rFonts w:ascii="Arial" w:cs="Arial" w:eastAsia="Arial" w:hAnsi="Arial"/>
                <w:sz w:val="18"/>
                <w:szCs w:val="18"/>
                <w:color w:val="auto"/>
              </w:rPr>
              <w:t>3,839,974 shares of common stock</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0"/>
                <w:szCs w:val="10"/>
                <w:color w:val="auto"/>
              </w:rPr>
            </w:pPr>
          </w:p>
        </w:tc>
        <w:tc>
          <w:tcPr>
            <w:tcW w:w="9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9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2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820" w:type="dxa"/>
            <w:vAlign w:val="bottom"/>
            <w:vMerge w:val="continue"/>
          </w:tcPr>
          <w:p>
            <w:pPr>
              <w:spacing w:after="0"/>
              <w:rPr>
                <w:sz w:val="10"/>
                <w:szCs w:val="10"/>
                <w:color w:val="auto"/>
              </w:rPr>
            </w:pPr>
          </w:p>
        </w:tc>
        <w:tc>
          <w:tcPr>
            <w:tcW w:w="9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080" w:type="dxa"/>
            <w:vAlign w:val="bottom"/>
          </w:tcPr>
          <w:p>
            <w:pPr>
              <w:jc w:val="right"/>
              <w:ind w:right="88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040" w:type="dxa"/>
            <w:vAlign w:val="bottom"/>
            <w:vMerge w:val="continue"/>
          </w:tcPr>
          <w:p>
            <w:pPr>
              <w:spacing w:after="0"/>
              <w:rPr>
                <w:sz w:val="3"/>
                <w:szCs w:val="3"/>
                <w:color w:val="auto"/>
              </w:rPr>
            </w:pPr>
          </w:p>
        </w:tc>
        <w:tc>
          <w:tcPr>
            <w:tcW w:w="9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60" w:hanging="537"/>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3,839,974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40" w:right="5340" w:hanging="6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3,839,974 shares of common stock</w:t>
      </w:r>
    </w:p>
    <w:p>
      <w:pPr>
        <w:spacing w:after="0" w:line="386" w:lineRule="exact"/>
        <w:rPr>
          <w:rFonts w:ascii="Arial" w:cs="Arial" w:eastAsia="Arial" w:hAnsi="Arial"/>
          <w:sz w:val="18"/>
          <w:szCs w:val="18"/>
          <w:color w:val="auto"/>
        </w:rPr>
      </w:pPr>
    </w:p>
    <w:p>
      <w:pPr>
        <w:ind w:left="1040" w:hanging="6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6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40" w:right="820"/>
        <w:spacing w:after="0" w:line="261" w:lineRule="auto"/>
        <w:rPr>
          <w:rFonts w:ascii="Arial" w:cs="Arial" w:eastAsia="Arial" w:hAnsi="Arial"/>
          <w:sz w:val="18"/>
          <w:szCs w:val="18"/>
          <w:color w:val="auto"/>
        </w:rPr>
      </w:pPr>
      <w:r>
        <w:rPr>
          <w:rFonts w:ascii="Arial" w:cs="Arial" w:eastAsia="Arial" w:hAnsi="Arial"/>
          <w:sz w:val="18"/>
          <w:szCs w:val="18"/>
          <w:color w:val="auto"/>
        </w:rPr>
        <w:t>Approximately 11.1% as of December 31, 2017 (based on 34,707,649 shares of common stock issued and outstanding per CECO Environmental Corp. Form 10-Q dated November 8, 2017).</w:t>
      </w:r>
    </w:p>
    <w:p>
      <w:pPr>
        <w:spacing w:after="0" w:line="399" w:lineRule="exact"/>
        <w:rPr>
          <w:rFonts w:ascii="Arial" w:cs="Arial" w:eastAsia="Arial" w:hAnsi="Arial"/>
          <w:sz w:val="18"/>
          <w:szCs w:val="18"/>
          <w:color w:val="auto"/>
        </w:rPr>
      </w:pPr>
    </w:p>
    <w:p>
      <w:pPr>
        <w:ind w:left="1040" w:right="8280" w:hanging="6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-534035</wp:posOffset>
            </wp:positionV>
            <wp:extent cx="6474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-1219835</wp:posOffset>
            </wp:positionV>
            <wp:extent cx="6474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-1631315</wp:posOffset>
            </wp:positionV>
            <wp:extent cx="64744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-2180590</wp:posOffset>
            </wp:positionV>
            <wp:extent cx="57632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ectPr>
          <w:pgSz w:w="11900" w:h="16888" w:orient="portrait"/>
          <w:cols w:equalWidth="0" w:num="1">
            <w:col w:w="11180"/>
          </w:cols>
          <w:pgMar w:left="300" w:top="179" w:right="41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817880</wp:posOffset>
            </wp:positionH>
            <wp:positionV relativeFrom="page">
              <wp:posOffset>88900</wp:posOffset>
            </wp:positionV>
            <wp:extent cx="6474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74460" cy="8890"/>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2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3,839,974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60" w:hanging="591"/>
        <w:spacing w:after="0"/>
        <w:tabs>
          <w:tab w:leader="none" w:pos="2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3,839,974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3,839,974 shares of common stock</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040"/>
        <w:spacing w:after="0" w:line="261" w:lineRule="auto"/>
        <w:rPr>
          <w:rFonts w:ascii="Arial" w:cs="Arial" w:eastAsia="Arial" w:hAnsi="Arial"/>
          <w:sz w:val="18"/>
          <w:szCs w:val="18"/>
          <w:color w:val="auto"/>
        </w:rPr>
      </w:pPr>
      <w:r>
        <w:rPr>
          <w:rFonts w:ascii="Arial" w:cs="Arial" w:eastAsia="Arial" w:hAnsi="Arial"/>
          <w:sz w:val="18"/>
          <w:szCs w:val="18"/>
          <w:color w:val="auto"/>
        </w:rPr>
        <w:t>Approximately 11.1% as of December 31, 2017 (based on 34,707,649 shares of common stock issued and outstanding per CECO Environmental Corp. Form 10-Q dated November 8, 2017).</w:t>
      </w:r>
    </w:p>
    <w:p>
      <w:pPr>
        <w:spacing w:after="0" w:line="399" w:lineRule="exact"/>
        <w:rPr>
          <w:rFonts w:ascii="Arial" w:cs="Arial" w:eastAsia="Arial" w:hAnsi="Arial"/>
          <w:sz w:val="18"/>
          <w:szCs w:val="18"/>
          <w:color w:val="auto"/>
        </w:rPr>
      </w:pPr>
    </w:p>
    <w:p>
      <w:pPr>
        <w:ind w:left="1060" w:right="850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-1219835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-1631315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-2180590</wp:posOffset>
            </wp:positionV>
            <wp:extent cx="5857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bookmarkStart w:id="3" w:name="page4"/>
    <w:bookmarkEnd w:id="3"/>
    <w:p>
      <w:pPr>
        <w:ind w:left="1700" w:hanging="63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60" w:right="7820" w:hanging="591"/>
        <w:spacing w:after="0" w:line="277" w:lineRule="auto"/>
        <w:tabs>
          <w:tab w:leader="none" w:pos="22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5857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-1090930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-1503045</wp:posOffset>
            </wp:positionV>
            <wp:extent cx="6209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3,839,974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900" w:type="dxa"/>
            <w:vAlign w:val="bottom"/>
            <w:vMerge w:val="continue"/>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220" w:type="dxa"/>
            <w:vAlign w:val="bottom"/>
          </w:tcPr>
          <w:p>
            <w:pPr>
              <w:jc w:val="right"/>
              <w:ind w:right="89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140" w:type="dxa"/>
            <w:vAlign w:val="bottom"/>
            <w:vMerge w:val="continue"/>
          </w:tcPr>
          <w:p>
            <w:pPr>
              <w:spacing w:after="0"/>
              <w:rPr>
                <w:sz w:val="3"/>
                <w:szCs w:val="3"/>
                <w:color w:val="auto"/>
              </w:rPr>
            </w:pPr>
          </w:p>
        </w:tc>
        <w:tc>
          <w:tcPr>
            <w:tcW w:w="9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60" w:hanging="591"/>
        <w:spacing w:after="0"/>
        <w:tabs>
          <w:tab w:leader="none" w:pos="2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3,839,974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3,839,974 shares of common stock</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040"/>
        <w:spacing w:after="0" w:line="261" w:lineRule="auto"/>
        <w:rPr>
          <w:rFonts w:ascii="Arial" w:cs="Arial" w:eastAsia="Arial" w:hAnsi="Arial"/>
          <w:sz w:val="18"/>
          <w:szCs w:val="18"/>
          <w:color w:val="auto"/>
        </w:rPr>
      </w:pPr>
      <w:r>
        <w:rPr>
          <w:rFonts w:ascii="Arial" w:cs="Arial" w:eastAsia="Arial" w:hAnsi="Arial"/>
          <w:sz w:val="18"/>
          <w:szCs w:val="18"/>
          <w:color w:val="auto"/>
        </w:rPr>
        <w:t>Approximately 11.1% as of December 31, 2017 (based on 34,707,649 shares of common stock issued and outstanding per CECO Environmental Corp. Form 10-Q dated November 8, 2017).</w:t>
      </w:r>
    </w:p>
    <w:p>
      <w:pPr>
        <w:spacing w:after="0" w:line="399" w:lineRule="exact"/>
        <w:rPr>
          <w:rFonts w:ascii="Arial" w:cs="Arial" w:eastAsia="Arial" w:hAnsi="Arial"/>
          <w:sz w:val="18"/>
          <w:szCs w:val="18"/>
          <w:color w:val="auto"/>
        </w:rPr>
      </w:pPr>
    </w:p>
    <w:p>
      <w:pPr>
        <w:ind w:left="1060" w:right="8500" w:hanging="620"/>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-1219835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-1631315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-2180590</wp:posOffset>
            </wp:positionV>
            <wp:extent cx="5857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2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tcPr>
          <w:p>
            <w:pPr>
              <w:spacing w:after="0"/>
              <w:rPr>
                <w:sz w:val="18"/>
                <w:szCs w:val="18"/>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900" w:type="dxa"/>
            <w:vAlign w:val="bottom"/>
          </w:tcPr>
          <w:p>
            <w:pPr>
              <w:spacing w:after="0"/>
              <w:rPr>
                <w:sz w:val="18"/>
                <w:szCs w:val="18"/>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3,839,974 shares of common stock</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9" w:lineRule="exact"/>
        <w:rPr>
          <w:sz w:val="20"/>
          <w:szCs w:val="20"/>
          <w:color w:val="auto"/>
        </w:rPr>
      </w:pPr>
    </w:p>
    <w:p>
      <w:pPr>
        <w:ind w:left="2260" w:right="7480" w:hanging="591"/>
        <w:spacing w:after="0" w:line="277" w:lineRule="auto"/>
        <w:tabs>
          <w:tab w:leader="none" w:pos="2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386" w:lineRule="exact"/>
        <w:rPr>
          <w:rFonts w:ascii="Arial" w:cs="Arial" w:eastAsia="Arial" w:hAnsi="Arial"/>
          <w:sz w:val="18"/>
          <w:szCs w:val="18"/>
          <w:color w:val="auto"/>
        </w:rPr>
      </w:pPr>
    </w:p>
    <w:p>
      <w:pPr>
        <w:ind w:left="2260" w:hanging="591"/>
        <w:spacing w:after="0"/>
        <w:tabs>
          <w:tab w:leader="none" w:pos="2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3,839,974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3,839,974 shares of common stock</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040"/>
        <w:spacing w:after="0" w:line="261" w:lineRule="auto"/>
        <w:rPr>
          <w:rFonts w:ascii="Arial" w:cs="Arial" w:eastAsia="Arial" w:hAnsi="Arial"/>
          <w:sz w:val="18"/>
          <w:szCs w:val="18"/>
          <w:color w:val="auto"/>
        </w:rPr>
      </w:pPr>
      <w:r>
        <w:rPr>
          <w:rFonts w:ascii="Arial" w:cs="Arial" w:eastAsia="Arial" w:hAnsi="Arial"/>
          <w:sz w:val="18"/>
          <w:szCs w:val="18"/>
          <w:color w:val="auto"/>
        </w:rPr>
        <w:t>Approximately 11.1% as of December 31, 2017 (based on 34,707,649 shares of common stock issued and outstanding per CECO Environmental Corp. Form 10-Q dated November 8, 2017).</w:t>
      </w:r>
    </w:p>
    <w:p>
      <w:pPr>
        <w:spacing w:after="0" w:line="399" w:lineRule="exact"/>
        <w:rPr>
          <w:rFonts w:ascii="Arial" w:cs="Arial" w:eastAsia="Arial" w:hAnsi="Arial"/>
          <w:sz w:val="18"/>
          <w:szCs w:val="18"/>
          <w:color w:val="auto"/>
        </w:rPr>
      </w:pPr>
    </w:p>
    <w:p>
      <w:pPr>
        <w:ind w:left="1060" w:right="8500" w:hanging="620"/>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-1219835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-1631315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-2180590</wp:posOffset>
            </wp:positionV>
            <wp:extent cx="5857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-2729230</wp:posOffset>
            </wp:positionV>
            <wp:extent cx="5857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2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3,839,974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900" w:type="dxa"/>
            <w:vAlign w:val="bottom"/>
            <w:vMerge w:val="continue"/>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220" w:type="dxa"/>
            <w:vAlign w:val="bottom"/>
          </w:tcPr>
          <w:p>
            <w:pPr>
              <w:jc w:val="right"/>
              <w:ind w:right="89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140" w:type="dxa"/>
            <w:vAlign w:val="bottom"/>
            <w:vMerge w:val="continue"/>
          </w:tcPr>
          <w:p>
            <w:pPr>
              <w:spacing w:after="0"/>
              <w:rPr>
                <w:sz w:val="3"/>
                <w:szCs w:val="3"/>
                <w:color w:val="auto"/>
              </w:rPr>
            </w:pPr>
          </w:p>
        </w:tc>
        <w:tc>
          <w:tcPr>
            <w:tcW w:w="9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60" w:hanging="591"/>
        <w:spacing w:after="0"/>
        <w:tabs>
          <w:tab w:leader="none" w:pos="2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3,839,974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3,839,974 shares of common stock</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040"/>
        <w:spacing w:after="0" w:line="261" w:lineRule="auto"/>
        <w:rPr>
          <w:rFonts w:ascii="Arial" w:cs="Arial" w:eastAsia="Arial" w:hAnsi="Arial"/>
          <w:sz w:val="18"/>
          <w:szCs w:val="18"/>
          <w:color w:val="auto"/>
        </w:rPr>
      </w:pPr>
      <w:r>
        <w:rPr>
          <w:rFonts w:ascii="Arial" w:cs="Arial" w:eastAsia="Arial" w:hAnsi="Arial"/>
          <w:sz w:val="18"/>
          <w:szCs w:val="18"/>
          <w:color w:val="auto"/>
        </w:rPr>
        <w:t>Approximately 11.1% as of December 31, 2017 (based on 34,707,649 shares of common stock issued and outstanding per CECO Environmental Corp. Form 10-Q dated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22860</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-662305</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-1074420</wp:posOffset>
            </wp:positionV>
            <wp:extent cx="6612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-1623060</wp:posOffset>
            </wp:positionV>
            <wp:extent cx="58572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48" w:orient="portrait"/>
          <w:cols w:equalWidth="0" w:num="1">
            <w:col w:w="11420"/>
          </w:cols>
          <w:pgMar w:left="240" w:top="179" w:right="239" w:bottom="0" w:gutter="0" w:footer="0" w:header="0"/>
        </w:sectPr>
      </w:pPr>
    </w:p>
    <w:bookmarkStart w:id="5" w:name="page6"/>
    <w:bookmarkEnd w:id="5"/>
    <w:p>
      <w:pPr>
        <w:ind w:left="1060" w:right="8500" w:hanging="620"/>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ind w:left="60"/>
              <w:spacing w:after="0"/>
              <w:rPr>
                <w:sz w:val="20"/>
                <w:szCs w:val="20"/>
                <w:color w:val="auto"/>
              </w:rPr>
            </w:pPr>
            <w:r>
              <w:rPr>
                <w:rFonts w:ascii="Arial" w:cs="Arial" w:eastAsia="Arial" w:hAnsi="Arial"/>
                <w:sz w:val="18"/>
                <w:szCs w:val="18"/>
                <w:color w:val="auto"/>
              </w:rPr>
              <w:t>CUSIP No. 125141101</w:t>
            </w:r>
          </w:p>
        </w:tc>
        <w:tc>
          <w:tcPr>
            <w:tcW w:w="6160" w:type="dxa"/>
            <w:vAlign w:val="bottom"/>
          </w:tcPr>
          <w:p>
            <w:pPr>
              <w:ind w:left="300"/>
              <w:spacing w:after="0"/>
              <w:rPr>
                <w:sz w:val="20"/>
                <w:szCs w:val="20"/>
                <w:color w:val="auto"/>
              </w:rPr>
            </w:pPr>
            <w:r>
              <w:rPr>
                <w:rFonts w:ascii="Arial" w:cs="Arial" w:eastAsia="Arial" w:hAnsi="Arial"/>
                <w:sz w:val="18"/>
                <w:szCs w:val="18"/>
                <w:b w:val="1"/>
                <w:bCs w:val="1"/>
                <w:color w:val="auto"/>
              </w:rPr>
              <w:t>13G</w:t>
            </w: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3"/>
        </w:trPr>
        <w:tc>
          <w:tcPr>
            <w:tcW w:w="1380" w:type="dxa"/>
            <w:vAlign w:val="bottom"/>
          </w:tcPr>
          <w:p>
            <w:pPr>
              <w:ind w:left="120"/>
              <w:spacing w:after="0"/>
              <w:rPr>
                <w:sz w:val="20"/>
                <w:szCs w:val="20"/>
                <w:color w:val="auto"/>
              </w:rPr>
            </w:pPr>
            <w:r>
              <w:rPr>
                <w:rFonts w:ascii="Arial" w:cs="Arial" w:eastAsia="Arial" w:hAnsi="Arial"/>
                <w:sz w:val="18"/>
                <w:szCs w:val="18"/>
                <w:b w:val="1"/>
                <w:bCs w:val="1"/>
                <w:color w:val="auto"/>
              </w:rPr>
              <w:t>Item 1(a)</w:t>
            </w: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CECO Environmental Corp.</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1(b)</w:t>
            </w:r>
          </w:p>
        </w:tc>
        <w:tc>
          <w:tcPr>
            <w:tcW w:w="4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3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Address of Issuer’s Principal Executive Offices:</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14651 North Dallas Parkway</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Dallas, Texas 75254</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2(a)</w:t>
            </w:r>
          </w:p>
        </w:tc>
        <w:tc>
          <w:tcPr>
            <w:tcW w:w="4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3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Name of Person Filing</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2(b)</w:t>
            </w:r>
          </w:p>
        </w:tc>
        <w:tc>
          <w:tcPr>
            <w:tcW w:w="4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Address of Principal Business Office</w:t>
            </w:r>
          </w:p>
        </w:tc>
        <w:tc>
          <w:tcPr>
            <w:tcW w:w="6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2(c)</w:t>
            </w:r>
          </w:p>
        </w:tc>
        <w:tc>
          <w:tcPr>
            <w:tcW w:w="4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3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Citizenship</w:t>
            </w: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Trigran Investments, Inc.</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630 Dundee Road, Suite 230</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Northbrook, IL 60062</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Illinois company</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Douglas Granat</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630 Dundee Road, Suite 230</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Northbrook, IL 60062</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U.S. Citizen</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Lawrence A. Oberman</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630 Dundee Road, Suite 230</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Northbrook, IL 60062</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U.S. Citizen</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Steven G. Simon</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630 Dundee Road, Suite 230</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Northbrook, IL 60062</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U.S. Citizen</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Bradley F. Simon</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630 Dundee Road, Suite 230</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Northbrook, Illinois 60062</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U.S. Citizen</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Steven R. Monieson</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630 Dundee Road, Suite 230</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Northbrook, Illinois 60062</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U.S. Citizen</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380" w:type="dxa"/>
            <w:vAlign w:val="bottom"/>
          </w:tcPr>
          <w:p>
            <w:pPr>
              <w:ind w:left="840"/>
              <w:spacing w:after="0"/>
              <w:rPr>
                <w:sz w:val="20"/>
                <w:szCs w:val="20"/>
                <w:color w:val="auto"/>
              </w:rPr>
            </w:pPr>
            <w:r>
              <w:rPr>
                <w:rFonts w:ascii="Arial" w:cs="Arial" w:eastAsia="Arial" w:hAnsi="Arial"/>
                <w:sz w:val="18"/>
                <w:szCs w:val="18"/>
                <w:color w:val="auto"/>
              </w:rPr>
              <w:t>2(d)</w:t>
            </w:r>
          </w:p>
        </w:tc>
        <w:tc>
          <w:tcPr>
            <w:tcW w:w="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80" w:type="dxa"/>
            <w:vAlign w:val="bottom"/>
            <w:vMerge w:val="restart"/>
          </w:tcPr>
          <w:p>
            <w:pPr>
              <w:ind w:left="840"/>
              <w:spacing w:after="0"/>
              <w:rPr>
                <w:sz w:val="20"/>
                <w:szCs w:val="20"/>
                <w:color w:val="auto"/>
              </w:rPr>
            </w:pPr>
            <w:r>
              <w:rPr>
                <w:rFonts w:ascii="Arial" w:cs="Arial" w:eastAsia="Arial" w:hAnsi="Arial"/>
                <w:sz w:val="18"/>
                <w:szCs w:val="18"/>
                <w:color w:val="auto"/>
              </w:rPr>
              <w:t>2(e)</w:t>
            </w:r>
          </w:p>
        </w:tc>
        <w:tc>
          <w:tcPr>
            <w:tcW w:w="4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3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CUSIP Number:</w:t>
            </w: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125141101</w:t>
            </w: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75" w:lineRule="exact"/>
        <w:rPr>
          <w:sz w:val="20"/>
          <w:szCs w:val="20"/>
          <w:color w:val="auto"/>
        </w:rPr>
      </w:pPr>
    </w:p>
    <w:p>
      <w:pPr>
        <w:ind w:left="1420" w:hanging="480"/>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420" w:hanging="480"/>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420" w:hanging="480"/>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420" w:hanging="480"/>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420" w:hanging="480"/>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420" w:hanging="480"/>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ectPr>
          <w:pgSz w:w="11900" w:h="16838" w:orient="portrait"/>
          <w:cols w:equalWidth="0" w:num="1">
            <w:col w:w="11420"/>
          </w:cols>
          <w:pgMar w:left="240" w:top="476" w:right="239" w:bottom="0" w:gutter="0" w:footer="0" w:header="0"/>
        </w:sectPr>
      </w:pPr>
    </w:p>
    <w:bookmarkStart w:id="6" w:name="page7"/>
    <w:bookmarkEnd w:id="6"/>
    <w:p>
      <w:pPr>
        <w:ind w:left="1420" w:hanging="480"/>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420" w:hanging="480"/>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040" w:right="140" w:hanging="1100"/>
        <w:spacing w:after="0" w:line="277" w:lineRule="auto"/>
        <w:tabs>
          <w:tab w:leader="none" w:pos="14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420" w:hanging="480"/>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p>
      <w:pPr>
        <w:ind w:left="940"/>
        <w:spacing w:after="0" w:line="187" w:lineRule="auto"/>
        <w:tabs>
          <w:tab w:leader="none" w:pos="140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Rule 13d–1(b)(1)(ii)(J), please specify the type of institution:____________________________</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this statement is filed pursuant to Rule 13d-1(c), check this box. 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460" w:type="dxa"/>
            <w:vAlign w:val="bottom"/>
          </w:tcPr>
          <w:p>
            <w:pPr>
              <w:ind w:left="1600"/>
              <w:spacing w:after="0"/>
              <w:rPr>
                <w:sz w:val="20"/>
                <w:szCs w:val="20"/>
                <w:color w:val="auto"/>
              </w:rPr>
            </w:pPr>
            <w:r>
              <w:rPr>
                <w:rFonts w:ascii="Arial" w:cs="Arial" w:eastAsia="Arial" w:hAnsi="Arial"/>
                <w:sz w:val="18"/>
                <w:szCs w:val="18"/>
                <w:b w:val="1"/>
                <w:bCs w:val="1"/>
                <w:color w:val="auto"/>
              </w:rPr>
              <w:t>13G</w:t>
            </w:r>
          </w:p>
        </w:tc>
      </w:tr>
      <w:tr>
        <w:trPr>
          <w:trHeight w:val="54"/>
        </w:trPr>
        <w:tc>
          <w:tcPr>
            <w:tcW w:w="8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7460" w:type="dxa"/>
            <w:vAlign w:val="bottom"/>
            <w:tcBorders>
              <w:bottom w:val="single" w:sz="8" w:color="auto"/>
            </w:tcBorders>
          </w:tcPr>
          <w:p>
            <w:pPr>
              <w:spacing w:after="0"/>
              <w:rPr>
                <w:sz w:val="4"/>
                <w:szCs w:val="4"/>
                <w:color w:val="auto"/>
              </w:rPr>
            </w:pPr>
          </w:p>
        </w:tc>
      </w:tr>
      <w:tr>
        <w:trPr>
          <w:trHeight w:val="48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3100" w:type="dxa"/>
            <w:vAlign w:val="bottom"/>
          </w:tcPr>
          <w:p>
            <w:pPr>
              <w:ind w:left="320"/>
              <w:spacing w:after="0"/>
              <w:rPr>
                <w:sz w:val="20"/>
                <w:szCs w:val="20"/>
                <w:color w:val="auto"/>
              </w:rPr>
            </w:pPr>
            <w:r>
              <w:rPr>
                <w:rFonts w:ascii="Arial" w:cs="Arial" w:eastAsia="Arial" w:hAnsi="Arial"/>
                <w:sz w:val="18"/>
                <w:szCs w:val="18"/>
                <w:b w:val="1"/>
                <w:bCs w:val="1"/>
                <w:color w:val="auto"/>
              </w:rPr>
              <w:t>Ownership: (1)</w:t>
            </w:r>
          </w:p>
        </w:tc>
        <w:tc>
          <w:tcPr>
            <w:tcW w:w="7460" w:type="dxa"/>
            <w:vAlign w:val="bottom"/>
          </w:tcPr>
          <w:p>
            <w:pPr>
              <w:spacing w:after="0"/>
              <w:rPr>
                <w:sz w:val="24"/>
                <w:szCs w:val="24"/>
                <w:color w:val="auto"/>
              </w:rPr>
            </w:pPr>
          </w:p>
        </w:tc>
      </w:tr>
    </w:tbl>
    <w:p>
      <w:pPr>
        <w:spacing w:after="0" w:line="148" w:lineRule="exact"/>
        <w:rPr>
          <w:sz w:val="20"/>
          <w:szCs w:val="20"/>
          <w:color w:val="auto"/>
        </w:rPr>
      </w:pPr>
    </w:p>
    <w:p>
      <w:pPr>
        <w:ind w:left="1660" w:hanging="394"/>
        <w:spacing w:after="0"/>
        <w:tabs>
          <w:tab w:leader="none" w:pos="1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38" w:lineRule="exact"/>
        <w:rPr>
          <w:rFonts w:ascii="Arial" w:cs="Arial" w:eastAsia="Arial" w:hAnsi="Arial"/>
          <w:sz w:val="18"/>
          <w:szCs w:val="18"/>
          <w:color w:val="auto"/>
        </w:rPr>
      </w:pPr>
    </w:p>
    <w:p>
      <w:pPr>
        <w:ind w:left="1660" w:hanging="400"/>
        <w:spacing w:after="0"/>
        <w:tabs>
          <w:tab w:leader="none" w:pos="1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53"/>
        <w:spacing w:after="0"/>
        <w:tabs>
          <w:tab w:leader="none" w:pos="2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478"/>
        <w:spacing w:after="0"/>
        <w:tabs>
          <w:tab w:leader="none" w:pos="2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503"/>
        <w:spacing w:after="0"/>
        <w:tabs>
          <w:tab w:leader="none" w:pos="2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38" w:lineRule="exact"/>
        <w:rPr>
          <w:rFonts w:ascii="Arial" w:cs="Arial" w:eastAsia="Arial" w:hAnsi="Arial"/>
          <w:sz w:val="18"/>
          <w:szCs w:val="18"/>
          <w:color w:val="auto"/>
        </w:rPr>
      </w:pPr>
    </w:p>
    <w:p>
      <w:pPr>
        <w:ind w:left="2280" w:hanging="498"/>
        <w:spacing w:after="0"/>
        <w:tabs>
          <w:tab w:leader="none" w:pos="2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right="600" w:firstLine="8"/>
        <w:spacing w:after="0" w:line="342" w:lineRule="auto"/>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Douglas Granat, Lawrence A. Oberman, Steven G. Simon, Bradley F. Simon and Steven R. Monieson are the controlling shareholders and/or sole directors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-614680</wp:posOffset>
            </wp:positionV>
            <wp:extent cx="58400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-1069340</wp:posOffset>
            </wp:positionV>
            <wp:extent cx="58400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93" w:right="239" w:bottom="0" w:gutter="0" w:footer="0" w:header="0"/>
        </w:sectPr>
      </w:pP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60" w:space="620"/>
            <w:col w:w="10240"/>
          </w:cols>
          <w:pgMar w:left="240" w:top="193"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193" w:right="239"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60" w:space="620"/>
            <w:col w:w="10240"/>
          </w:cols>
          <w:pgMar w:left="240" w:top="193" w:right="239" w:bottom="0" w:gutter="0" w:footer="0" w:header="0"/>
          <w:type w:val="continuous"/>
        </w:sectPr>
      </w:pPr>
    </w:p>
    <w:p>
      <w:pPr>
        <w:jc w:val="both"/>
        <w:ind w:left="60" w:right="140"/>
        <w:spacing w:after="0" w:line="264"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ectPr>
          <w:pgSz w:w="11900" w:h="16838" w:orient="portrait"/>
          <w:cols w:equalWidth="0" w:num="1">
            <w:col w:w="11420"/>
          </w:cols>
          <w:pgMar w:left="240" w:top="193" w:right="239" w:bottom="0" w:gutter="0" w:footer="0" w:header="0"/>
          <w:type w:val="continuous"/>
        </w:sect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ectPr>
          <w:pgSz w:w="11900" w:h="16838" w:orient="portrait"/>
          <w:cols w:equalWidth="0" w:num="2">
            <w:col w:w="560" w:space="620"/>
            <w:col w:w="10240"/>
          </w:cols>
          <w:pgMar w:left="240" w:top="193"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193" w:right="239"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60" w:space="620"/>
            <w:col w:w="10240"/>
          </w:cols>
          <w:pgMar w:left="240" w:top="193"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193" w:right="239"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60" w:space="620"/>
            <w:col w:w="10240"/>
          </w:cols>
          <w:pgMar w:left="240" w:top="193"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193" w:right="239" w:bottom="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520" w:type="dxa"/>
            <w:vAlign w:val="bottom"/>
          </w:tcPr>
          <w:p>
            <w:pPr>
              <w:ind w:left="1660"/>
              <w:spacing w:after="0"/>
              <w:rPr>
                <w:sz w:val="20"/>
                <w:szCs w:val="20"/>
                <w:color w:val="auto"/>
              </w:rPr>
            </w:pPr>
            <w:r>
              <w:rPr>
                <w:rFonts w:ascii="Arial" w:cs="Arial" w:eastAsia="Arial" w:hAnsi="Arial"/>
                <w:sz w:val="18"/>
                <w:szCs w:val="18"/>
                <w:b w:val="1"/>
                <w:bCs w:val="1"/>
                <w:color w:val="auto"/>
              </w:rPr>
              <w:t>13G</w:t>
            </w:r>
          </w:p>
        </w:tc>
      </w:tr>
      <w:tr>
        <w:trPr>
          <w:trHeight w:val="54"/>
        </w:trPr>
        <w:tc>
          <w:tcPr>
            <w:tcW w:w="9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r>
      <w:tr>
        <w:trPr>
          <w:trHeight w:val="480"/>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98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c>
          <w:tcPr>
            <w:tcW w:w="7520" w:type="dxa"/>
            <w:vAlign w:val="bottom"/>
          </w:tcPr>
          <w:p>
            <w:pPr>
              <w:spacing w:after="0"/>
              <w:rPr>
                <w:sz w:val="24"/>
                <w:szCs w:val="24"/>
                <w:color w:val="auto"/>
              </w:rPr>
            </w:pPr>
          </w:p>
        </w:tc>
      </w:tr>
    </w:tbl>
    <w:p>
      <w:pPr>
        <w:spacing w:after="0" w:line="94" w:lineRule="exact"/>
        <w:rPr>
          <w:sz w:val="20"/>
          <w:szCs w:val="20"/>
          <w:color w:val="auto"/>
        </w:rPr>
      </w:pPr>
    </w:p>
    <w:p>
      <w:pPr>
        <w:jc w:val="both"/>
        <w:ind w:left="60" w:right="24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14th day February,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74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6880" w:type="dxa"/>
            <w:vAlign w:val="bottom"/>
            <w:gridSpan w:val="4"/>
          </w:tcPr>
          <w:p>
            <w:pPr>
              <w:jc w:val="center"/>
              <w:ind w:right="4600"/>
              <w:spacing w:after="0"/>
              <w:rPr>
                <w:sz w:val="20"/>
                <w:szCs w:val="20"/>
                <w:color w:val="auto"/>
              </w:rPr>
            </w:pPr>
            <w:r>
              <w:rPr>
                <w:rFonts w:ascii="Arial" w:cs="Arial" w:eastAsia="Arial" w:hAnsi="Arial"/>
                <w:sz w:val="18"/>
                <w:szCs w:val="18"/>
                <w:b w:val="1"/>
                <w:bCs w:val="1"/>
                <w:color w:val="auto"/>
                <w:w w:val="93"/>
              </w:rPr>
              <w:t>13G</w:t>
            </w:r>
          </w:p>
        </w:tc>
      </w:tr>
      <w:tr>
        <w:trPr>
          <w:trHeight w:val="54"/>
        </w:trPr>
        <w:tc>
          <w:tcPr>
            <w:tcW w:w="458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58"/>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 TO EXHIBITS</w:t>
            </w:r>
          </w:p>
        </w:tc>
        <w:tc>
          <w:tcPr>
            <w:tcW w:w="5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58"/>
        </w:trPr>
        <w:tc>
          <w:tcPr>
            <w:tcW w:w="4580" w:type="dxa"/>
            <w:vAlign w:val="bottom"/>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688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4580" w:type="dxa"/>
            <w:vAlign w:val="bottom"/>
          </w:tcPr>
          <w:p>
            <w:pPr>
              <w:spacing w:after="0"/>
              <w:rPr>
                <w:sz w:val="24"/>
                <w:szCs w:val="24"/>
                <w:color w:val="auto"/>
              </w:rPr>
            </w:pPr>
          </w:p>
        </w:tc>
        <w:tc>
          <w:tcPr>
            <w:tcW w:w="5240" w:type="dxa"/>
            <w:vAlign w:val="bottom"/>
          </w:tcPr>
          <w:p>
            <w:pPr>
              <w:jc w:val="right"/>
              <w:ind w:right="393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58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78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14, 2018</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INC.</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Lawrence A. Oberman</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06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06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0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06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06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abstractNum>
  <w:abstractNum w:abstractNumId="3">
    <w:nsid w:val="257130A3"/>
    <w:multiLevelType w:val="hybridMultilevel"/>
    <w:lvl w:ilvl="0">
      <w:lvlJc w:val="left"/>
      <w:lvlText w:val="%1"/>
      <w:numFmt w:val="decimal"/>
      <w:start w:val="1"/>
    </w:lvl>
    <w:lvl w:ilvl="1">
      <w:lvlJc w:val="left"/>
      <w:lvlText w:val="%2."/>
      <w:numFmt w:val="decimal"/>
      <w:start w:val="8"/>
    </w:lvl>
  </w:abstractNum>
  <w:abstractNum w:abstractNumId="4">
    <w:nsid w:val="62BBD95A"/>
    <w:multiLevelType w:val="hybridMultilevel"/>
    <w:lvl w:ilvl="0">
      <w:lvlJc w:val="left"/>
      <w:lvlText w:val="%1."/>
      <w:numFmt w:val="decimal"/>
      <w:start w:val="9"/>
    </w:lvl>
    <w:lvl w:ilvl="1">
      <w:lvlJc w:val="left"/>
      <w:lvlText w:val="%2"/>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2"/>
    </w:lvl>
    <w:lvl w:ilvl="1">
      <w:lvlJc w:val="left"/>
      <w:lvlText w:val="(%2)"/>
      <w:numFmt w:val="lowerLetter"/>
      <w:start w:val="1"/>
    </w:lvl>
  </w:abstractNum>
  <w:abstractNum w:abstractNumId="7">
    <w:nsid w:val="333AB105"/>
    <w:multiLevelType w:val="hybridMultilevel"/>
    <w:lvl w:ilvl="0">
      <w:lvlJc w:val="left"/>
      <w:lvlText w:val="%1"/>
      <w:numFmt w:val="decimal"/>
      <w:start w:val="1"/>
    </w:lvl>
    <w:lvl w:ilvl="1">
      <w:lvlJc w:val="left"/>
      <w:lvlText w:val="%2."/>
      <w:numFmt w:val="decimal"/>
      <w:start w:val="8"/>
    </w:lvl>
  </w:abstractNum>
  <w:abstractNum w:abstractNumId="8">
    <w:nsid w:val="721DA317"/>
    <w:multiLevelType w:val="hybridMultilevel"/>
    <w:lvl w:ilvl="0">
      <w:lvlJc w:val="left"/>
      <w:lvlText w:val="%1."/>
      <w:numFmt w:val="decimal"/>
      <w:start w:val="9"/>
    </w:lvl>
    <w:lvl w:ilvl="1">
      <w:lvlJc w:val="left"/>
      <w:lvlText w:val="%2"/>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2"/>
    </w:lvl>
    <w:lvl w:ilvl="1">
      <w:lvlJc w:val="left"/>
      <w:lvlText w:val="(%2)"/>
      <w:numFmt w:val="lowerLetter"/>
      <w:start w:val="1"/>
    </w:lvl>
  </w:abstractNum>
  <w:abstractNum w:abstractNumId="11">
    <w:nsid w:val="6763845E"/>
    <w:multiLevelType w:val="hybridMultilevel"/>
    <w:lvl w:ilvl="0">
      <w:lvlJc w:val="left"/>
      <w:lvlText w:val="%1"/>
      <w:numFmt w:val="decimal"/>
      <w:start w:val="1"/>
    </w:lvl>
    <w:lvl w:ilvl="1">
      <w:lvlJc w:val="left"/>
      <w:lvlText w:val="%2."/>
      <w:numFmt w:val="decimal"/>
      <w:start w:val="8"/>
    </w:lvl>
  </w:abstractNum>
  <w:abstractNum w:abstractNumId="12">
    <w:nsid w:val="75A2A8D4"/>
    <w:multiLevelType w:val="hybridMultilevel"/>
    <w:lvl w:ilvl="0">
      <w:lvlJc w:val="left"/>
      <w:lvlText w:val="%1."/>
      <w:numFmt w:val="decimal"/>
      <w:start w:val="9"/>
    </w:lvl>
    <w:lvl w:ilvl="1">
      <w:lvlJc w:val="left"/>
      <w:lvlText w:val="%2"/>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lvl w:ilvl="1">
      <w:lvlJc w:val="left"/>
      <w:lvlText w:val="(%2)"/>
      <w:numFmt w:val="lowerLetter"/>
      <w:start w:val="1"/>
    </w:lvl>
  </w:abstractNum>
  <w:abstractNum w:abstractNumId="15">
    <w:nsid w:val="4353D0C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6">
    <w:nsid w:val="B03E0C6"/>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7">
    <w:nsid w:val="189A769B"/>
    <w:multiLevelType w:val="hybridMultilevel"/>
    <w:lvl w:ilvl="0">
      <w:lvlJc w:val="left"/>
      <w:lvlText w:val="%1"/>
      <w:numFmt w:val="decimal"/>
      <w:start w:val="1"/>
    </w:lvl>
    <w:lvl w:ilvl="1">
      <w:lvlJc w:val="left"/>
      <w:lvlText w:val="%2."/>
      <w:numFmt w:val="decimal"/>
      <w:start w:val="8"/>
    </w:lvl>
  </w:abstractNum>
  <w:abstractNum w:abstractNumId="18">
    <w:nsid w:val="54E49EB4"/>
    <w:multiLevelType w:val="hybridMultilevel"/>
    <w:lvl w:ilvl="0">
      <w:lvlJc w:val="left"/>
      <w:lvlText w:val="%1."/>
      <w:numFmt w:val="decimal"/>
      <w:start w:val="9"/>
    </w:lvl>
    <w:lvl w:ilvl="1">
      <w:lvlJc w:val="left"/>
      <w:lvlText w:val="%2"/>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lvl w:ilvl="1">
      <w:lvlJc w:val="left"/>
      <w:lvlText w:val="(%2)"/>
      <w:numFmt w:val="lowerLetter"/>
      <w:start w:val="1"/>
    </w:lvl>
  </w:abstractNum>
  <w:abstractNum w:abstractNumId="21">
    <w:nsid w:val="836C40E"/>
    <w:multiLevelType w:val="hybridMultilevel"/>
    <w:lvl w:ilvl="0">
      <w:lvlJc w:val="left"/>
      <w:lvlText w:val="%1"/>
      <w:numFmt w:val="decimal"/>
      <w:start w:val="1"/>
    </w:lvl>
    <w:lvl w:ilvl="1">
      <w:lvlJc w:val="left"/>
      <w:lvlText w:val="%2."/>
      <w:numFmt w:val="decimal"/>
      <w:start w:val="7"/>
    </w:lvl>
  </w:abstractNum>
  <w:abstractNum w:abstractNumId="22">
    <w:nsid w:val="2901D82"/>
    <w:multiLevelType w:val="hybridMultilevel"/>
    <w:lvl w:ilvl="0">
      <w:lvlJc w:val="left"/>
      <w:lvlText w:val="%1."/>
      <w:numFmt w:val="decimal"/>
      <w:start w:val="9"/>
    </w:lvl>
    <w:lvl w:ilvl="1">
      <w:lvlJc w:val="left"/>
      <w:lvlText w:val="%2"/>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2"/>
    </w:lvl>
    <w:lvl w:ilvl="1">
      <w:lvlJc w:val="left"/>
      <w:lvlText w:val="(%2)"/>
      <w:numFmt w:val="lowerLetter"/>
      <w:start w:val="1"/>
    </w:lvl>
  </w:abstractNum>
  <w:abstractNum w:abstractNumId="25">
    <w:nsid w:val="1E7FF521"/>
    <w:multiLevelType w:val="hybridMultilevel"/>
    <w:lvl w:ilvl="0">
      <w:lvlJc w:val="left"/>
      <w:lvlText w:val="%1"/>
      <w:numFmt w:val="decimal"/>
      <w:start w:val="1"/>
    </w:lvl>
    <w:lvl w:ilvl="1">
      <w:lvlJc w:val="left"/>
      <w:lvlText w:val="%2."/>
      <w:numFmt w:val="decimal"/>
      <w:start w:val="8"/>
    </w:lvl>
  </w:abstractNum>
  <w:abstractNum w:abstractNumId="26">
    <w:nsid w:val="7C3DBD3D"/>
    <w:multiLevelType w:val="hybridMultilevel"/>
    <w:lvl w:ilvl="0">
      <w:lvlJc w:val="left"/>
      <w:lvlText w:val="%1."/>
      <w:numFmt w:val="decimal"/>
      <w:start w:val="9"/>
    </w:lvl>
    <w:lvl w:ilvl="1">
      <w:lvlJc w:val="left"/>
      <w:lvlText w:val="%2"/>
      <w:numFmt w:val="decimal"/>
      <w:start w:val="1"/>
    </w:lvl>
  </w:abstractNum>
  <w:abstractNum w:abstractNumId="27">
    <w:nsid w:val="737B8DDC"/>
    <w:multiLevelType w:val="hybridMultilevel"/>
    <w:lvl w:ilvl="0">
      <w:lvlJc w:val="left"/>
      <w:lvlText w:val="%1."/>
      <w:numFmt w:val="decimal"/>
      <w:start w:val="12"/>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7"/>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lowerRoman"/>
      <w:start w:val="2"/>
    </w:lvl>
  </w:abstractNum>
  <w:abstractNum w:abstractNumId="33">
    <w:nsid w:val="419AC241"/>
    <w:multiLevelType w:val="hybridMultilevel"/>
    <w:lvl w:ilvl="0">
      <w:lvlJc w:val="left"/>
      <w:lvlText w:val="%1"/>
      <w:numFmt w:val="decimal"/>
      <w:start w:val="1"/>
    </w:lvl>
    <w:lvl w:ilvl="1">
      <w:lvlJc w:val="left"/>
      <w:lvlText w:val="(%2)"/>
      <w:numFmt w:val="lowerRoman"/>
      <w:start w:val="3"/>
    </w:lvl>
  </w:abstractNum>
  <w:abstractNum w:abstractNumId="34">
    <w:nsid w:val="5577F8E1"/>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2020-01-14T08:51:37Z</dcterms:created>
  <dcterms:modified xsi:type="dcterms:W3CDTF">2020-01-14T08:51:37Z</dcterms:modified>
</cp:coreProperties>
</file>