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7"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323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180340</wp:posOffset>
            </wp:positionV>
            <wp:extent cx="685800" cy="316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316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CECO ENVIRONMENTAL CORP.</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790" w:type="dxa"/>
        <w:tblCellMar>
          <w:top w:w="0" w:type="dxa"/>
          <w:left w:w="0" w:type="dxa"/>
          <w:bottom w:w="0" w:type="dxa"/>
          <w:right w:w="0" w:type="dxa"/>
        </w:tblCellMar>
      </w:tblPr>
      <w:tr>
        <w:trPr>
          <w:trHeight w:val="212"/>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Delaware</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1800"/>
              <w:spacing w:after="0"/>
              <w:rPr>
                <w:sz w:val="20"/>
                <w:szCs w:val="20"/>
                <w:color w:val="auto"/>
              </w:rPr>
            </w:pPr>
            <w:r>
              <w:rPr>
                <w:rFonts w:ascii="Arial" w:cs="Arial" w:eastAsia="Arial" w:hAnsi="Arial"/>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640" w:type="dxa"/>
            <w:vAlign w:val="bottom"/>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00" w:type="dxa"/>
            <w:vAlign w:val="bottom"/>
          </w:tcPr>
          <w:p>
            <w:pPr>
              <w:jc w:val="center"/>
              <w:ind w:left="677"/>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14651 North Dallas Parkway</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91"/>
              </w:rPr>
              <w:t>Suite 500</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2"/>
        </w:trPr>
        <w:tc>
          <w:tcPr>
            <w:tcW w:w="3200" w:type="dxa"/>
            <w:vAlign w:val="bottom"/>
          </w:tcPr>
          <w:p>
            <w:pPr>
              <w:jc w:val="center"/>
              <w:ind w:left="677"/>
              <w:spacing w:after="0"/>
              <w:rPr>
                <w:sz w:val="20"/>
                <w:szCs w:val="20"/>
                <w:color w:val="auto"/>
              </w:rPr>
            </w:pPr>
            <w:r>
              <w:rPr>
                <w:rFonts w:ascii="Arial" w:cs="Arial" w:eastAsia="Arial" w:hAnsi="Arial"/>
                <w:sz w:val="18"/>
                <w:szCs w:val="18"/>
                <w:b w:val="1"/>
                <w:bCs w:val="1"/>
                <w:color w:val="auto"/>
                <w:w w:val="87"/>
              </w:rPr>
              <w:t>Dallas, Texas</w:t>
            </w:r>
          </w:p>
        </w:tc>
        <w:tc>
          <w:tcPr>
            <w:tcW w:w="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640" w:type="dxa"/>
            <w:vAlign w:val="bottom"/>
          </w:tcPr>
          <w:p>
            <w:pPr>
              <w:jc w:val="right"/>
              <w:ind w:right="2000"/>
              <w:spacing w:after="0"/>
              <w:rPr>
                <w:sz w:val="20"/>
                <w:szCs w:val="20"/>
                <w:color w:val="auto"/>
              </w:rPr>
            </w:pPr>
            <w:r>
              <w:rPr>
                <w:rFonts w:ascii="Arial" w:cs="Arial" w:eastAsia="Arial" w:hAnsi="Arial"/>
                <w:sz w:val="18"/>
                <w:szCs w:val="18"/>
                <w:b w:val="1"/>
                <w:bCs w:val="1"/>
                <w:color w:val="auto"/>
              </w:rPr>
              <w:t>75254</w:t>
            </w:r>
          </w:p>
        </w:tc>
      </w:tr>
      <w:tr>
        <w:trPr>
          <w:trHeight w:val="186"/>
        </w:trPr>
        <w:tc>
          <w:tcPr>
            <w:tcW w:w="3200" w:type="dxa"/>
            <w:vAlign w:val="bottom"/>
          </w:tcPr>
          <w:p>
            <w:pPr>
              <w:jc w:val="center"/>
              <w:ind w:left="69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640" w:type="dxa"/>
            <w:vAlign w:val="bottom"/>
          </w:tcPr>
          <w:p>
            <w:pPr>
              <w:jc w:val="center"/>
              <w:ind w:right="900"/>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10020" w:type="dxa"/>
            <w:vAlign w:val="bottom"/>
            <w:gridSpan w:val="4"/>
          </w:tcPr>
          <w:p>
            <w:pPr>
              <w:ind w:left="226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08"/>
        </w:trPr>
        <w:tc>
          <w:tcPr>
            <w:tcW w:w="32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03"/>
        </w:trPr>
        <w:tc>
          <w:tcPr>
            <w:tcW w:w="3200" w:type="dxa"/>
            <w:vAlign w:val="bottom"/>
            <w:tcBorders>
              <w:left w:val="single" w:sz="8" w:color="auto"/>
            </w:tcBorders>
          </w:tcPr>
          <w:p>
            <w:pPr>
              <w:jc w:val="center"/>
              <w:ind w:left="277"/>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r>
        <w:trPr>
          <w:trHeight w:val="200"/>
        </w:trPr>
        <w:tc>
          <w:tcPr>
            <w:tcW w:w="3200" w:type="dxa"/>
            <w:vAlign w:val="bottom"/>
            <w:tcBorders>
              <w:left w:val="single" w:sz="8" w:color="auto"/>
            </w:tcBorders>
          </w:tcPr>
          <w:p>
            <w:pPr>
              <w:jc w:val="center"/>
              <w:ind w:left="277"/>
              <w:spacing w:after="0"/>
              <w:rPr>
                <w:sz w:val="20"/>
                <w:szCs w:val="20"/>
                <w:color w:val="auto"/>
              </w:rPr>
            </w:pPr>
            <w:r>
              <w:rPr>
                <w:rFonts w:ascii="Arial" w:cs="Arial" w:eastAsia="Arial" w:hAnsi="Arial"/>
                <w:sz w:val="16"/>
                <w:szCs w:val="16"/>
                <w:color w:val="auto"/>
                <w:w w:val="90"/>
              </w:rPr>
              <w:t>Common Stock, par value $0.01 per share</w:t>
            </w:r>
          </w:p>
        </w:tc>
        <w:tc>
          <w:tcPr>
            <w:tcW w:w="36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37"/>
        </w:trPr>
        <w:tc>
          <w:tcPr>
            <w:tcW w:w="320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r>
    </w:tbl>
    <w:p>
      <w:pPr>
        <w:spacing w:after="0" w:line="94" w:lineRule="exact"/>
        <w:rPr>
          <w:sz w:val="24"/>
          <w:szCs w:val="24"/>
          <w:color w:val="auto"/>
        </w:rPr>
      </w:pPr>
    </w:p>
    <w:p>
      <w:pPr>
        <w:ind w:firstLine="26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269"/>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spacing w:after="0" w:line="207" w:lineRule="exact"/>
        <w:tabs>
          <w:tab w:leader="none" w:pos="580" w:val="left"/>
          <w:tab w:leader="none" w:pos="126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right="100" w:firstLine="26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4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0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82" w:lineRule="exact"/>
        <w:rPr>
          <w:sz w:val="24"/>
          <w:szCs w:val="24"/>
          <w:color w:val="auto"/>
        </w:rPr>
      </w:pPr>
    </w:p>
    <w:p>
      <w:pPr>
        <w:ind w:right="180" w:firstLine="26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80"/>
        <w:spacing w:after="0" w:line="207" w:lineRule="exact"/>
        <w:tabs>
          <w:tab w:leader="none" w:pos="9080" w:val="left"/>
          <w:tab w:leader="none" w:pos="9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60" w:firstLine="269"/>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35,493,761 shares of common stock, par value $0.01 per share,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Part I –</w:t>
            </w:r>
          </w:p>
        </w:tc>
        <w:tc>
          <w:tcPr>
            <w:tcW w:w="9540" w:type="dxa"/>
            <w:vAlign w:val="bottom"/>
            <w:gridSpan w:val="6"/>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gridSpan w:val="5"/>
          </w:tcPr>
          <w:p>
            <w:pPr>
              <w:spacing w:after="0"/>
              <w:rPr>
                <w:rFonts w:ascii="Arial" w:cs="Arial" w:eastAsia="Arial" w:hAnsi="Arial"/>
                <w:sz w:val="18"/>
                <w:szCs w:val="18"/>
                <w:u w:val="single" w:color="auto"/>
                <w:color w:val="0000EE"/>
                <w:w w:val="92"/>
              </w:rPr>
            </w:pPr>
            <w:hyperlink w:anchor="page4">
              <w:r>
                <w:rPr>
                  <w:rFonts w:ascii="Arial" w:cs="Arial" w:eastAsia="Arial" w:hAnsi="Arial"/>
                  <w:sz w:val="18"/>
                  <w:szCs w:val="18"/>
                  <w:u w:val="single" w:color="auto"/>
                  <w:color w:val="0000EE"/>
                  <w:w w:val="92"/>
                </w:rPr>
                <w:t>Condensed Consolidated Statements of Income for the three-month and six-month periods ended June 30, 2020 and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three-month and six-month periods ended June 30,</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2019</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gridSpan w:val="5"/>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Shareholders’ Equity for the three-month and six-month periods ended June 30,</w:t>
              </w:r>
            </w:hyperlink>
          </w:p>
        </w:tc>
        <w:tc>
          <w:tcPr>
            <w:tcW w:w="4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3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and 2019</w:t>
              </w:r>
            </w:hyperlink>
          </w:p>
        </w:tc>
        <w:tc>
          <w:tcPr>
            <w:tcW w:w="4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85"/>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six-month periods ended June 30, 2020 and 2019</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64"/>
        </w:trPr>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2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4"/>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 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4"/>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Part II –</w:t>
            </w: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4"/>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 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1A. 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Unregistered Sales of Equity Securities and Use of Proceeds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Defaults Upon Senior Securities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4"/>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Mine Safety Disclosures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5. 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840" w:type="dxa"/>
            <w:vAlign w:val="bottom"/>
          </w:tcPr>
          <w:p>
            <w:pPr>
              <w:spacing w:after="0"/>
              <w:rPr>
                <w:sz w:val="24"/>
                <w:szCs w:val="24"/>
                <w:color w:val="auto"/>
              </w:rPr>
            </w:pPr>
          </w:p>
        </w:tc>
        <w:tc>
          <w:tcPr>
            <w:tcW w:w="9540" w:type="dxa"/>
            <w:vAlign w:val="bottom"/>
            <w:gridSpan w:val="6"/>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 Exhibits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65"/>
        </w:trPr>
        <w:tc>
          <w:tcPr>
            <w:tcW w:w="840" w:type="dxa"/>
            <w:vAlign w:val="bottom"/>
          </w:tcPr>
          <w:p>
            <w:pPr>
              <w:spacing w:after="0"/>
              <w:rPr>
                <w:rFonts w:ascii="Arial" w:cs="Arial" w:eastAsia="Arial" w:hAnsi="Arial"/>
                <w:sz w:val="18"/>
                <w:szCs w:val="18"/>
                <w:u w:val="single" w:color="auto"/>
                <w:color w:val="0000EE"/>
                <w:w w:val="95"/>
              </w:rPr>
            </w:pPr>
            <w:hyperlink w:anchor="page31">
              <w:r>
                <w:rPr>
                  <w:rFonts w:ascii="Arial" w:cs="Arial" w:eastAsia="Arial" w:hAnsi="Arial"/>
                  <w:sz w:val="18"/>
                  <w:szCs w:val="18"/>
                  <w:u w:val="single" w:color="auto"/>
                  <w:color w:val="0000EE"/>
                  <w:w w:val="95"/>
                </w:rPr>
                <w:t>Signatures</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540" w:top="12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6"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1"/>
        </w:trPr>
        <w:tc>
          <w:tcPr>
            <w:tcW w:w="65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ind w:left="3300"/>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41,513</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38,178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Assets held for sale</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159,107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418,392</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1680"/>
              <w:spacing w:after="0"/>
              <w:rPr>
                <w:sz w:val="20"/>
                <w:szCs w:val="20"/>
                <w:color w:val="auto"/>
              </w:rPr>
            </w:pPr>
            <w:r>
              <w:rPr>
                <w:rFonts w:ascii="Arial" w:cs="Arial" w:eastAsia="Arial" w:hAnsi="Arial"/>
                <w:sz w:val="18"/>
                <w:szCs w:val="18"/>
                <w:b w:val="1"/>
                <w:bCs w:val="1"/>
                <w:color w:val="auto"/>
              </w:rPr>
              <w:t>LIABILITIES AND SHAREHOLDERS’ EQUITY</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debt</w:t>
            </w:r>
          </w:p>
        </w:tc>
        <w:tc>
          <w:tcPr>
            <w:tcW w:w="10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75,567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106,099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75,460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60"/>
              <w:spacing w:after="0"/>
              <w:rPr>
                <w:sz w:val="20"/>
                <w:szCs w:val="20"/>
                <w:color w:val="auto"/>
              </w:rPr>
            </w:pPr>
            <w:r>
              <w:rPr>
                <w:rFonts w:ascii="Arial" w:cs="Arial" w:eastAsia="Arial" w:hAnsi="Arial"/>
                <w:sz w:val="18"/>
                <w:szCs w:val="18"/>
                <w:color w:val="auto"/>
              </w:rPr>
              <w:t>Preferred stock, $.01 par value; 10,000 shares authorized, none issued</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100,000,000 shares authorized, 35,493,617</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and 35,275,465 shares issued and outstanding at June 30, 2020 and</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December 31, 2019, respectively</w:t>
            </w: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Capital in excess of par value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254,323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loss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(39,682)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(46,344)</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(15,598)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(14,505)</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199,398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193,373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580" w:type="dxa"/>
            <w:vAlign w:val="bottom"/>
          </w:tcPr>
          <w:p>
            <w:pPr>
              <w:ind w:left="260"/>
              <w:spacing w:after="0"/>
              <w:rPr>
                <w:sz w:val="20"/>
                <w:szCs w:val="20"/>
                <w:color w:val="auto"/>
              </w:rPr>
            </w:pPr>
            <w:r>
              <w:rPr>
                <w:rFonts w:ascii="Arial" w:cs="Arial" w:eastAsia="Arial" w:hAnsi="Arial"/>
                <w:sz w:val="18"/>
                <w:szCs w:val="18"/>
                <w:color w:val="auto"/>
              </w:rPr>
              <w:t>Less treasury stock, at cost, 137,920 shares at June 30, 2020 and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440"/>
              <w:spacing w:after="0"/>
              <w:rPr>
                <w:sz w:val="20"/>
                <w:szCs w:val="20"/>
                <w:color w:val="auto"/>
              </w:rPr>
            </w:pPr>
            <w:r>
              <w:rPr>
                <w:rFonts w:ascii="Arial" w:cs="Arial" w:eastAsia="Arial" w:hAnsi="Arial"/>
                <w:sz w:val="18"/>
                <w:szCs w:val="18"/>
                <w:color w:val="auto"/>
              </w:rPr>
              <w:t>December 31, 2019</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6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8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199,042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8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418,392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260" w:type="dxa"/>
            <w:vAlign w:val="bottom"/>
          </w:tcPr>
          <w:p>
            <w:pPr>
              <w:spacing w:after="0"/>
              <w:rPr>
                <w:sz w:val="14"/>
                <w:szCs w:val="14"/>
                <w:color w:val="auto"/>
              </w:rPr>
            </w:pPr>
          </w:p>
        </w:tc>
        <w:tc>
          <w:tcPr>
            <w:tcW w:w="26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101,561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25,816</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18,407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40,383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(944)</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(1,967)</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35,275,729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34,923,587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35,215,553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34,879,811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35,410,182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35,582,727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35,402,524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35,471,628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7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9"/>
              </w:rPr>
              <w:t>Three months ended June 30,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20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loss</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(1,093)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tcPr>
          <w:p>
            <w:pPr>
              <w:ind w:left="20"/>
              <w:spacing w:after="0"/>
              <w:rPr>
                <w:sz w:val="20"/>
                <w:szCs w:val="20"/>
                <w:color w:val="auto"/>
              </w:rPr>
            </w:pPr>
            <w:r>
              <w:rPr>
                <w:rFonts w:ascii="Arial" w:cs="Arial" w:eastAsia="Arial" w:hAnsi="Arial"/>
                <w:sz w:val="13"/>
                <w:szCs w:val="13"/>
                <w:b w:val="1"/>
                <w:bCs w:val="1"/>
                <w:color w:val="auto"/>
              </w:rPr>
              <w:t>Capital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5"/>
          </w:tcPr>
          <w:p>
            <w:pPr>
              <w:jc w:val="center"/>
              <w:ind w:right="4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excess of</w:t>
            </w:r>
          </w:p>
        </w:tc>
        <w:tc>
          <w:tcPr>
            <w:tcW w:w="1080" w:type="dxa"/>
            <w:vAlign w:val="bottom"/>
            <w:gridSpan w:val="7"/>
          </w:tcPr>
          <w:p>
            <w:pPr>
              <w:ind w:left="60"/>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6"/>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w w:val="95"/>
              </w:rPr>
              <w:t>Treasury Stock</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74"/>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6"/>
          </w:tcPr>
          <w:p>
            <w:pPr>
              <w:spacing w:after="0" w:line="142" w:lineRule="exact"/>
              <w:rPr>
                <w:sz w:val="20"/>
                <w:szCs w:val="20"/>
                <w:color w:val="auto"/>
              </w:rPr>
            </w:pPr>
            <w:r>
              <w:rPr>
                <w:rFonts w:ascii="Arial" w:cs="Arial" w:eastAsia="Arial" w:hAnsi="Arial"/>
                <w:sz w:val="13"/>
                <w:szCs w:val="13"/>
                <w:b w:val="1"/>
                <w:bCs w:val="1"/>
                <w:color w:val="auto"/>
              </w:rPr>
              <w:t>Amount</w:t>
            </w:r>
          </w:p>
        </w:tc>
        <w:tc>
          <w:tcPr>
            <w:tcW w:w="780" w:type="dxa"/>
            <w:vAlign w:val="bottom"/>
            <w:gridSpan w:val="4"/>
          </w:tcPr>
          <w:p>
            <w:pPr>
              <w:ind w:left="40"/>
              <w:spacing w:after="0" w:line="142" w:lineRule="exact"/>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5"/>
          </w:tcPr>
          <w:p>
            <w:pPr>
              <w:jc w:val="right"/>
              <w:ind w:right="500"/>
              <w:spacing w:after="0" w:line="142" w:lineRule="exact"/>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2"/>
                <w:szCs w:val="12"/>
                <w:color w:val="auto"/>
              </w:rPr>
            </w:pPr>
          </w:p>
        </w:tc>
        <w:tc>
          <w:tcPr>
            <w:tcW w:w="960" w:type="dxa"/>
            <w:vAlign w:val="bottom"/>
            <w:gridSpan w:val="5"/>
          </w:tcPr>
          <w:p>
            <w:pPr>
              <w:jc w:val="center"/>
              <w:ind w:right="440"/>
              <w:spacing w:after="0" w:line="142" w:lineRule="exact"/>
              <w:rPr>
                <w:sz w:val="20"/>
                <w:szCs w:val="20"/>
                <w:color w:val="auto"/>
              </w:rPr>
            </w:pPr>
            <w:r>
              <w:rPr>
                <w:rFonts w:ascii="Arial" w:cs="Arial" w:eastAsia="Arial" w:hAnsi="Arial"/>
                <w:sz w:val="13"/>
                <w:szCs w:val="13"/>
                <w:b w:val="1"/>
                <w:bCs w:val="1"/>
                <w:color w:val="auto"/>
                <w:w w:val="92"/>
              </w:rPr>
              <w:t>Loss</w:t>
            </w:r>
          </w:p>
        </w:tc>
        <w:tc>
          <w:tcPr>
            <w:tcW w:w="100" w:type="dxa"/>
            <w:vAlign w:val="bottom"/>
          </w:tcPr>
          <w:p>
            <w:pPr>
              <w:spacing w:after="0"/>
              <w:rPr>
                <w:sz w:val="12"/>
                <w:szCs w:val="12"/>
                <w:color w:val="auto"/>
              </w:rPr>
            </w:pPr>
          </w:p>
        </w:tc>
        <w:tc>
          <w:tcPr>
            <w:tcW w:w="640" w:type="dxa"/>
            <w:vAlign w:val="bottom"/>
            <w:gridSpan w:val="3"/>
          </w:tcPr>
          <w:p>
            <w:pPr>
              <w:jc w:val="right"/>
              <w:ind w:right="260"/>
              <w:spacing w:after="0" w:line="142"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2"/>
                <w:szCs w:val="12"/>
                <w:color w:val="auto"/>
              </w:rPr>
            </w:pPr>
          </w:p>
        </w:tc>
        <w:tc>
          <w:tcPr>
            <w:tcW w:w="760" w:type="dxa"/>
            <w:vAlign w:val="bottom"/>
            <w:gridSpan w:val="4"/>
          </w:tcPr>
          <w:p>
            <w:pPr>
              <w:jc w:val="right"/>
              <w:ind w:right="300"/>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72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2018</w:t>
            </w:r>
          </w:p>
        </w:tc>
        <w:tc>
          <w:tcPr>
            <w:tcW w:w="160" w:type="dxa"/>
            <w:vAlign w:val="bottom"/>
            <w:tcBorders>
              <w:right w:val="single" w:sz="8" w:color="CFF0FC"/>
            </w:tcBorders>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34,954</w:t>
            </w: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92"/>
              </w:rPr>
              <w:t>349</w:t>
            </w: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251,409</w:t>
            </w:r>
          </w:p>
        </w:tc>
        <w:tc>
          <w:tcPr>
            <w:tcW w:w="8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5"/>
            <w:shd w:val="clear" w:color="auto" w:fill="CFF0FC"/>
          </w:tcPr>
          <w:p>
            <w:pPr>
              <w:jc w:val="right"/>
              <w:ind w:right="200"/>
              <w:spacing w:after="0"/>
              <w:rPr>
                <w:sz w:val="20"/>
                <w:szCs w:val="20"/>
                <w:color w:val="auto"/>
              </w:rPr>
            </w:pPr>
            <w:r>
              <w:rPr>
                <w:rFonts w:ascii="Arial" w:cs="Arial" w:eastAsia="Arial" w:hAnsi="Arial"/>
                <w:sz w:val="13"/>
                <w:szCs w:val="13"/>
                <w:color w:val="auto"/>
              </w:rPr>
              <w:t>(59,427)</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5"/>
            <w:shd w:val="clear" w:color="auto" w:fill="CFF0FC"/>
          </w:tcPr>
          <w:p>
            <w:pPr>
              <w:jc w:val="right"/>
              <w:ind w:right="200"/>
              <w:spacing w:after="0"/>
              <w:rPr>
                <w:sz w:val="20"/>
                <w:szCs w:val="20"/>
                <w:color w:val="auto"/>
              </w:rPr>
            </w:pPr>
            <w:r>
              <w:rPr>
                <w:rFonts w:ascii="Arial" w:cs="Arial" w:eastAsia="Arial" w:hAnsi="Arial"/>
                <w:sz w:val="13"/>
                <w:szCs w:val="13"/>
                <w:color w:val="auto"/>
              </w:rPr>
              <w:t>(13,415)</w:t>
            </w:r>
          </w:p>
        </w:tc>
        <w:tc>
          <w:tcPr>
            <w:tcW w:w="740" w:type="dxa"/>
            <w:vAlign w:val="bottom"/>
            <w:gridSpan w:val="4"/>
            <w:shd w:val="clear" w:color="auto" w:fill="CFF0FC"/>
          </w:tcPr>
          <w:p>
            <w:pPr>
              <w:jc w:val="right"/>
              <w:ind w:right="100"/>
              <w:spacing w:after="0"/>
              <w:rPr>
                <w:sz w:val="20"/>
                <w:szCs w:val="20"/>
                <w:color w:val="auto"/>
              </w:rPr>
            </w:pPr>
            <w:r>
              <w:rPr>
                <w:rFonts w:ascii="Arial" w:cs="Arial" w:eastAsia="Arial" w:hAnsi="Arial"/>
                <w:sz w:val="13"/>
                <w:szCs w:val="13"/>
                <w:color w:val="auto"/>
              </w:rPr>
              <w:t>(138)</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8"/>
              </w:rPr>
              <w:t>(356)</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178,560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Net income for the three-months ended March 31, 2019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1,864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1,864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Cumulative effect adjustment upon adoption of new accounting</w:t>
            </w:r>
          </w:p>
        </w:tc>
        <w:tc>
          <w:tcPr>
            <w:tcW w:w="16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lef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tcBorders>
              <w:left w:val="single" w:sz="8" w:color="CFF0FC"/>
            </w:tcBorders>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standards (ASU 2017-12) and (ASU 2016-02)</w:t>
            </w:r>
          </w:p>
        </w:tc>
        <w:tc>
          <w:tcPr>
            <w:tcW w:w="160" w:type="dxa"/>
            <w:vAlign w:val="bottom"/>
            <w:tcBorders>
              <w:right w:val="single" w:sz="8" w:color="CFF0FC"/>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tcBorders>
              <w:left w:val="single" w:sz="8" w:color="CFF0FC"/>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5"/>
            <w:shd w:val="clear" w:color="auto" w:fill="CFF0FC"/>
          </w:tcPr>
          <w:p>
            <w:pPr>
              <w:jc w:val="right"/>
              <w:ind w:right="200"/>
              <w:spacing w:after="0"/>
              <w:rPr>
                <w:sz w:val="20"/>
                <w:szCs w:val="20"/>
                <w:color w:val="auto"/>
              </w:rPr>
            </w:pPr>
            <w:r>
              <w:rPr>
                <w:rFonts w:ascii="Arial" w:cs="Arial" w:eastAsia="Arial" w:hAnsi="Arial"/>
                <w:sz w:val="13"/>
                <w:szCs w:val="13"/>
                <w:color w:val="auto"/>
              </w:rPr>
              <w:t>(4,602)</w:t>
            </w:r>
          </w:p>
        </w:tc>
        <w:tc>
          <w:tcPr>
            <w:tcW w:w="16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12</w:t>
            </w:r>
          </w:p>
        </w:tc>
        <w:tc>
          <w:tcPr>
            <w:tcW w:w="20" w:type="dxa"/>
            <w:vAlign w:val="bottom"/>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(4,590)</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w:t>
            </w:r>
          </w:p>
        </w:tc>
        <w:tc>
          <w:tcPr>
            <w:tcW w:w="8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tcBorders>
              <w:left w:val="single" w:sz="8" w:color="CFF0FC"/>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Adjustment for interest rate swap</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jc w:val="right"/>
              <w:ind w:right="200"/>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Translation gain</w:t>
            </w:r>
          </w:p>
        </w:tc>
        <w:tc>
          <w:tcPr>
            <w:tcW w:w="160" w:type="dxa"/>
            <w:vAlign w:val="bottom"/>
            <w:tcBorders>
              <w:bottom w:val="single" w:sz="8" w:color="auto"/>
              <w:right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left w:val="single" w:sz="8" w:color="CFF0FC"/>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bottom w:val="single" w:sz="8" w:color="auto"/>
              <w:right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0" w:type="dxa"/>
            <w:vAlign w:val="bottom"/>
            <w:tcBorders>
              <w:left w:val="single" w:sz="8" w:color="CFF0FC"/>
              <w:bottom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bottom w:val="single" w:sz="8" w:color="auto"/>
              <w:right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right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left w:val="single" w:sz="8" w:color="CFF0FC"/>
              <w:bottom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978</w:t>
            </w: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bottom w:val="single" w:sz="8" w:color="auto"/>
              <w:right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20" w:type="dxa"/>
            <w:vAlign w:val="bottom"/>
            <w:tcBorders>
              <w:left w:val="single" w:sz="8" w:color="CFF0FC"/>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3"/>
                <w:szCs w:val="13"/>
                <w:color w:val="auto"/>
              </w:rPr>
              <w:t>Balance March 31, 2019</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34,980</w:t>
            </w:r>
          </w:p>
        </w:tc>
        <w:tc>
          <w:tcPr>
            <w:tcW w:w="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349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7"/>
              </w:rPr>
              <w:t>252,199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40" w:type="dxa"/>
            <w:vAlign w:val="bottom"/>
            <w:gridSpan w:val="5"/>
          </w:tcPr>
          <w:p>
            <w:pPr>
              <w:jc w:val="right"/>
              <w:ind w:right="200"/>
              <w:spacing w:after="0"/>
              <w:rPr>
                <w:sz w:val="20"/>
                <w:szCs w:val="20"/>
                <w:color w:val="auto"/>
              </w:rPr>
            </w:pPr>
            <w:r>
              <w:rPr>
                <w:rFonts w:ascii="Arial" w:cs="Arial" w:eastAsia="Arial" w:hAnsi="Arial"/>
                <w:sz w:val="13"/>
                <w:szCs w:val="13"/>
                <w:color w:val="auto"/>
              </w:rPr>
              <w:t>(62,165)</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5"/>
          </w:tcPr>
          <w:p>
            <w:pPr>
              <w:jc w:val="right"/>
              <w:ind w:right="200"/>
              <w:spacing w:after="0"/>
              <w:rPr>
                <w:sz w:val="20"/>
                <w:szCs w:val="20"/>
                <w:color w:val="auto"/>
              </w:rPr>
            </w:pPr>
            <w:r>
              <w:rPr>
                <w:rFonts w:ascii="Arial" w:cs="Arial" w:eastAsia="Arial" w:hAnsi="Arial"/>
                <w:sz w:val="13"/>
                <w:szCs w:val="13"/>
                <w:color w:val="auto"/>
              </w:rPr>
              <w:t>(12,638)</w:t>
            </w: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(138)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w w:val="98"/>
              </w:rPr>
              <w:t>(356)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177,389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Net income for the three-months ended June 30, 2019</w:t>
            </w:r>
          </w:p>
        </w:tc>
        <w:tc>
          <w:tcPr>
            <w:tcW w:w="160" w:type="dxa"/>
            <w:vAlign w:val="bottom"/>
            <w:tcBorders>
              <w:top w:val="single" w:sz="8" w:color="auto"/>
              <w:right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right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left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left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rPr>
              <w:t>5,515</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left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left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5,515</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200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5"/>
          </w:tcPr>
          <w:p>
            <w:pPr>
              <w:jc w:val="right"/>
              <w:ind w:right="200"/>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160" w:type="dxa"/>
            <w:vAlign w:val="bottom"/>
            <w:tcBorders>
              <w:right w:val="single" w:sz="8" w:color="CFF0FC"/>
            </w:tcBorders>
            <w:shd w:val="clear" w:color="auto" w:fill="CFF0FC"/>
          </w:tcPr>
          <w:p>
            <w:pPr>
              <w:spacing w:after="0"/>
              <w:rPr>
                <w:sz w:val="14"/>
                <w:szCs w:val="14"/>
                <w:color w:val="auto"/>
              </w:rPr>
            </w:pPr>
          </w:p>
        </w:tc>
        <w:tc>
          <w:tcPr>
            <w:tcW w:w="50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1,031</w:t>
            </w:r>
          </w:p>
        </w:tc>
        <w:tc>
          <w:tcPr>
            <w:tcW w:w="8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Adjustment for interest rate swap</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5"/>
          </w:tcPr>
          <w:p>
            <w:pPr>
              <w:jc w:val="right"/>
              <w:ind w:right="200"/>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Translation loss</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5"/>
            <w:shd w:val="clear" w:color="auto" w:fill="CFF0FC"/>
          </w:tcPr>
          <w:p>
            <w:pPr>
              <w:jc w:val="right"/>
              <w:ind w:right="200"/>
              <w:spacing w:after="0"/>
              <w:rPr>
                <w:sz w:val="20"/>
                <w:szCs w:val="20"/>
                <w:color w:val="auto"/>
              </w:rPr>
            </w:pPr>
            <w:r>
              <w:rPr>
                <w:rFonts w:ascii="Arial" w:cs="Arial" w:eastAsia="Arial" w:hAnsi="Arial"/>
                <w:sz w:val="13"/>
                <w:szCs w:val="13"/>
                <w:color w:val="auto"/>
              </w:rPr>
              <w:t>(744)</w:t>
            </w:r>
          </w:p>
        </w:tc>
        <w:tc>
          <w:tcPr>
            <w:tcW w:w="10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color w:val="auto"/>
              </w:rPr>
              <w:t>Balance June 30, 2019</w:t>
            </w: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35,180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352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7"/>
              </w:rPr>
              <w:t>252,916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40" w:type="dxa"/>
            <w:vAlign w:val="bottom"/>
            <w:gridSpan w:val="5"/>
          </w:tcPr>
          <w:p>
            <w:pPr>
              <w:jc w:val="right"/>
              <w:ind w:right="200"/>
              <w:spacing w:after="0"/>
              <w:rPr>
                <w:sz w:val="20"/>
                <w:szCs w:val="20"/>
                <w:color w:val="auto"/>
              </w:rPr>
            </w:pPr>
            <w:r>
              <w:rPr>
                <w:rFonts w:ascii="Arial" w:cs="Arial" w:eastAsia="Arial" w:hAnsi="Arial"/>
                <w:sz w:val="13"/>
                <w:szCs w:val="13"/>
                <w:color w:val="auto"/>
              </w:rPr>
              <w:t>(56,668)</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5"/>
          </w:tcPr>
          <w:p>
            <w:pPr>
              <w:jc w:val="right"/>
              <w:ind w:right="200"/>
              <w:spacing w:after="0"/>
              <w:rPr>
                <w:sz w:val="20"/>
                <w:szCs w:val="20"/>
                <w:color w:val="auto"/>
              </w:rPr>
            </w:pPr>
            <w:r>
              <w:rPr>
                <w:rFonts w:ascii="Arial" w:cs="Arial" w:eastAsia="Arial" w:hAnsi="Arial"/>
                <w:sz w:val="13"/>
                <w:szCs w:val="13"/>
                <w:color w:val="auto"/>
              </w:rPr>
              <w:t>(13,675)</w:t>
            </w:r>
          </w:p>
        </w:tc>
        <w:tc>
          <w:tcPr>
            <w:tcW w:w="740" w:type="dxa"/>
            <w:vAlign w:val="bottom"/>
            <w:gridSpan w:val="4"/>
          </w:tcPr>
          <w:p>
            <w:pPr>
              <w:jc w:val="right"/>
              <w:ind w:right="100"/>
              <w:spacing w:after="0"/>
              <w:rPr>
                <w:sz w:val="20"/>
                <w:szCs w:val="20"/>
                <w:color w:val="auto"/>
              </w:rPr>
            </w:pPr>
            <w:r>
              <w:rPr>
                <w:rFonts w:ascii="Arial" w:cs="Arial" w:eastAsia="Arial" w:hAnsi="Arial"/>
                <w:sz w:val="13"/>
                <w:szCs w:val="13"/>
                <w:color w:val="auto"/>
              </w:rPr>
              <w:t>(138)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w w:val="98"/>
              </w:rPr>
              <w:t>(356)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182,569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Capital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74"/>
              </w:rPr>
              <w:t>excess of</w:t>
            </w:r>
          </w:p>
        </w:tc>
        <w:tc>
          <w:tcPr>
            <w:tcW w:w="100" w:type="dxa"/>
            <w:vAlign w:val="bottom"/>
          </w:tcPr>
          <w:p>
            <w:pPr>
              <w:spacing w:after="0"/>
              <w:rPr>
                <w:sz w:val="14"/>
                <w:szCs w:val="14"/>
                <w:color w:val="auto"/>
              </w:rPr>
            </w:pPr>
          </w:p>
        </w:tc>
        <w:tc>
          <w:tcPr>
            <w:tcW w:w="980" w:type="dxa"/>
            <w:vAlign w:val="bottom"/>
            <w:gridSpan w:val="6"/>
          </w:tcPr>
          <w:p>
            <w:pPr>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6"/>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w w:val="93"/>
              </w:rPr>
              <w:t>Treasury Stock</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jc w:val="right"/>
              <w:ind w:right="480"/>
              <w:spacing w:after="0" w:line="142" w:lineRule="exact"/>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4"/>
          </w:tcPr>
          <w:p>
            <w:pPr>
              <w:jc w:val="center"/>
              <w:ind w:right="540"/>
              <w:spacing w:after="0" w:line="142"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2"/>
                <w:szCs w:val="12"/>
                <w:color w:val="auto"/>
              </w:rPr>
            </w:pPr>
          </w:p>
        </w:tc>
        <w:tc>
          <w:tcPr>
            <w:tcW w:w="640" w:type="dxa"/>
            <w:vAlign w:val="bottom"/>
            <w:gridSpan w:val="3"/>
          </w:tcPr>
          <w:p>
            <w:pPr>
              <w:jc w:val="right"/>
              <w:ind w:right="240"/>
              <w:spacing w:after="0" w:line="142"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760" w:type="dxa"/>
            <w:vAlign w:val="bottom"/>
            <w:gridSpan w:val="4"/>
          </w:tcPr>
          <w:p>
            <w:pPr>
              <w:jc w:val="right"/>
              <w:ind w:right="300"/>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72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Balance December 31, 2019</w:t>
            </w:r>
          </w:p>
        </w:tc>
        <w:tc>
          <w:tcPr>
            <w:tcW w:w="160" w:type="dxa"/>
            <w:vAlign w:val="bottom"/>
            <w:tcBorders>
              <w:right w:val="single" w:sz="8" w:color="CFF0FC"/>
            </w:tcBorders>
            <w:shd w:val="clear" w:color="auto" w:fill="CFF0FC"/>
          </w:tcPr>
          <w:p>
            <w:pPr>
              <w:spacing w:after="0"/>
              <w:rPr>
                <w:sz w:val="13"/>
                <w:szCs w:val="13"/>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35,275</w:t>
            </w:r>
          </w:p>
        </w:tc>
        <w:tc>
          <w:tcPr>
            <w:tcW w:w="560" w:type="dxa"/>
            <w:vAlign w:val="bottom"/>
            <w:gridSpan w:val="4"/>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353</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253,869</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(46,344)</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(14,505)</w:t>
            </w:r>
          </w:p>
        </w:tc>
        <w:tc>
          <w:tcPr>
            <w:tcW w:w="74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(138)</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8"/>
              </w:rPr>
              <w:t>(356)</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193,017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Net income for the three-months ended March 31, 2020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3,412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Restricted stock units issued</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6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(153)</w:t>
            </w: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tcBorders>
              <w:left w:val="single" w:sz="8" w:color="CFF0FC"/>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Share based compensation earned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4"/>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597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Translation loss</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tcBorders>
              <w:right w:val="single" w:sz="8" w:color="CFF0FC"/>
            </w:tcBorders>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(2,268)</w:t>
            </w:r>
          </w:p>
        </w:tc>
        <w:tc>
          <w:tcPr>
            <w:tcW w:w="10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(2,268)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color w:val="auto"/>
              </w:rPr>
              <w:t>Balance March 31, 2020</w:t>
            </w:r>
          </w:p>
        </w:tc>
        <w:tc>
          <w:tcPr>
            <w:tcW w:w="1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35,338</w:t>
            </w:r>
          </w:p>
        </w:tc>
        <w:tc>
          <w:tcPr>
            <w:tcW w:w="240" w:type="dxa"/>
            <w:vAlign w:val="bottom"/>
            <w:gridSpan w:val="2"/>
          </w:tcPr>
          <w:p>
            <w:pPr>
              <w:spacing w:after="0"/>
              <w:rPr>
                <w:sz w:val="17"/>
                <w:szCs w:val="17"/>
                <w:color w:val="auto"/>
              </w:rPr>
            </w:pPr>
          </w:p>
        </w:tc>
        <w:tc>
          <w:tcPr>
            <w:tcW w:w="320" w:type="dxa"/>
            <w:vAlign w:val="bottom"/>
            <w:gridSpan w:val="2"/>
          </w:tcPr>
          <w:p>
            <w:pPr>
              <w:jc w:val="right"/>
              <w:ind w:right="213"/>
              <w:spacing w:after="0"/>
              <w:rPr>
                <w:sz w:val="20"/>
                <w:szCs w:val="20"/>
                <w:color w:val="auto"/>
              </w:rPr>
            </w:pPr>
            <w:r>
              <w:rPr>
                <w:rFonts w:ascii="Arial" w:cs="Arial" w:eastAsia="Arial" w:hAnsi="Arial"/>
                <w:sz w:val="4"/>
                <w:szCs w:val="4"/>
                <w:color w:val="auto"/>
                <w:w w:val="87"/>
              </w:rPr>
              <w:t>$</w:t>
            </w: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354</w:t>
            </w:r>
          </w:p>
        </w:tc>
        <w:tc>
          <w:tcPr>
            <w:tcW w:w="18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254,313</w:t>
            </w:r>
          </w:p>
        </w:tc>
        <w:tc>
          <w:tcPr>
            <w:tcW w:w="12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40" w:type="dxa"/>
            <w:vAlign w:val="bottom"/>
            <w:gridSpan w:val="5"/>
          </w:tcPr>
          <w:p>
            <w:pPr>
              <w:jc w:val="right"/>
              <w:ind w:right="160"/>
              <w:spacing w:after="0"/>
              <w:rPr>
                <w:sz w:val="20"/>
                <w:szCs w:val="20"/>
                <w:color w:val="auto"/>
              </w:rPr>
            </w:pPr>
            <w:r>
              <w:rPr>
                <w:rFonts w:ascii="Arial" w:cs="Arial" w:eastAsia="Arial" w:hAnsi="Arial"/>
                <w:sz w:val="13"/>
                <w:szCs w:val="13"/>
                <w:color w:val="auto"/>
              </w:rPr>
              <w:t>(42,932)</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5"/>
          </w:tcPr>
          <w:p>
            <w:pPr>
              <w:jc w:val="right"/>
              <w:ind w:right="160"/>
              <w:spacing w:after="0"/>
              <w:rPr>
                <w:sz w:val="20"/>
                <w:szCs w:val="20"/>
                <w:color w:val="auto"/>
              </w:rPr>
            </w:pPr>
            <w:r>
              <w:rPr>
                <w:rFonts w:ascii="Arial" w:cs="Arial" w:eastAsia="Arial" w:hAnsi="Arial"/>
                <w:sz w:val="13"/>
                <w:szCs w:val="13"/>
                <w:color w:val="auto"/>
              </w:rPr>
              <w:t>(16,773)</w:t>
            </w:r>
          </w:p>
        </w:tc>
        <w:tc>
          <w:tcPr>
            <w:tcW w:w="740" w:type="dxa"/>
            <w:vAlign w:val="bottom"/>
            <w:gridSpan w:val="4"/>
          </w:tcPr>
          <w:p>
            <w:pPr>
              <w:jc w:val="right"/>
              <w:ind w:right="80"/>
              <w:spacing w:after="0"/>
              <w:rPr>
                <w:sz w:val="20"/>
                <w:szCs w:val="20"/>
                <w:color w:val="auto"/>
              </w:rPr>
            </w:pPr>
            <w:r>
              <w:rPr>
                <w:rFonts w:ascii="Arial" w:cs="Arial" w:eastAsia="Arial" w:hAnsi="Arial"/>
                <w:sz w:val="13"/>
                <w:szCs w:val="13"/>
                <w:color w:val="auto"/>
              </w:rPr>
              <w:t>(138)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w w:val="98"/>
              </w:rPr>
              <w:t>(356)</w:t>
            </w: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194,606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0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color w:val="auto"/>
              </w:rPr>
              <w:t>Net income for the three-months ended June 30, 2020</w:t>
            </w: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right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left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right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left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gridSpan w:val="4"/>
            <w:shd w:val="clear" w:color="auto" w:fill="CFF0FC"/>
          </w:tcPr>
          <w:p>
            <w:pPr>
              <w:jc w:val="right"/>
              <w:spacing w:after="0" w:line="143" w:lineRule="exact"/>
              <w:rPr>
                <w:sz w:val="20"/>
                <w:szCs w:val="20"/>
                <w:color w:val="auto"/>
              </w:rPr>
            </w:pPr>
            <w:r>
              <w:rPr>
                <w:rFonts w:ascii="Arial" w:cs="Arial" w:eastAsia="Arial" w:hAnsi="Arial"/>
                <w:sz w:val="13"/>
                <w:szCs w:val="13"/>
                <w:color w:val="auto"/>
              </w:rPr>
              <w:t>3,258</w:t>
            </w: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left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auto"/>
              <w:right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left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3,258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Restricted stock units issued</w:t>
            </w:r>
          </w:p>
        </w:tc>
        <w:tc>
          <w:tcPr>
            <w:tcW w:w="660" w:type="dxa"/>
            <w:vAlign w:val="bottom"/>
            <w:gridSpan w:val="4"/>
          </w:tcPr>
          <w:p>
            <w:pPr>
              <w:jc w:val="right"/>
              <w:spacing w:after="0"/>
              <w:rPr>
                <w:sz w:val="20"/>
                <w:szCs w:val="20"/>
                <w:color w:val="auto"/>
              </w:rPr>
            </w:pPr>
            <w:r>
              <w:rPr>
                <w:rFonts w:ascii="Arial" w:cs="Arial" w:eastAsia="Arial" w:hAnsi="Arial"/>
                <w:sz w:val="13"/>
                <w:szCs w:val="13"/>
                <w:color w:val="auto"/>
              </w:rPr>
              <w:t>155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5"/>
          </w:tcPr>
          <w:p>
            <w:pPr>
              <w:jc w:val="right"/>
              <w:ind w:right="160"/>
              <w:spacing w:after="0"/>
              <w:rPr>
                <w:sz w:val="20"/>
                <w:szCs w:val="20"/>
                <w:color w:val="auto"/>
              </w:rPr>
            </w:pPr>
            <w:r>
              <w:rPr>
                <w:rFonts w:ascii="Arial" w:cs="Arial" w:eastAsia="Arial" w:hAnsi="Arial"/>
                <w:sz w:val="13"/>
                <w:szCs w:val="13"/>
                <w:color w:val="auto"/>
              </w:rPr>
              <w:t>(8)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Share based compensation earned</w:t>
            </w:r>
          </w:p>
        </w:tc>
        <w:tc>
          <w:tcPr>
            <w:tcW w:w="16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gridSpan w:val="4"/>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tcBorders>
              <w:left w:val="single" w:sz="8" w:color="CFF0FC"/>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Translation gain</w:t>
            </w: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1,175</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1,175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Balance June 30, 2020</w:t>
            </w:r>
          </w:p>
        </w:tc>
        <w:tc>
          <w:tcPr>
            <w:tcW w:w="6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35,493</w:t>
            </w:r>
          </w:p>
        </w:tc>
        <w:tc>
          <w:tcPr>
            <w:tcW w:w="560" w:type="dxa"/>
            <w:vAlign w:val="bottom"/>
            <w:gridSpan w:val="4"/>
            <w:shd w:val="clear" w:color="auto" w:fill="CFF0FC"/>
          </w:tcPr>
          <w:p>
            <w:pPr>
              <w:jc w:val="right"/>
              <w:ind w:right="213"/>
              <w:spacing w:after="0"/>
              <w:rPr>
                <w:sz w:val="20"/>
                <w:szCs w:val="20"/>
                <w:color w:val="auto"/>
              </w:rPr>
            </w:pPr>
            <w:r>
              <w:rPr>
                <w:rFonts w:ascii="Arial" w:cs="Arial" w:eastAsia="Arial" w:hAnsi="Arial"/>
                <w:sz w:val="13"/>
                <w:szCs w:val="13"/>
                <w:color w:val="auto"/>
              </w:rPr>
              <w:t>$</w:t>
            </w: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355</w:t>
            </w:r>
          </w:p>
        </w:tc>
        <w:tc>
          <w:tcPr>
            <w:tcW w:w="18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254,323</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840" w:type="dxa"/>
            <w:vAlign w:val="bottom"/>
            <w:tcBorders>
              <w:right w:val="single" w:sz="8" w:color="CFF0FC"/>
            </w:tcBorders>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(39,682)</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5"/>
            <w:shd w:val="clear" w:color="auto" w:fill="CFF0FC"/>
          </w:tcPr>
          <w:p>
            <w:pPr>
              <w:jc w:val="right"/>
              <w:ind w:right="160"/>
              <w:spacing w:after="0"/>
              <w:rPr>
                <w:sz w:val="20"/>
                <w:szCs w:val="20"/>
                <w:color w:val="auto"/>
              </w:rPr>
            </w:pPr>
            <w:r>
              <w:rPr>
                <w:rFonts w:ascii="Arial" w:cs="Arial" w:eastAsia="Arial" w:hAnsi="Arial"/>
                <w:sz w:val="13"/>
                <w:szCs w:val="13"/>
                <w:color w:val="auto"/>
              </w:rPr>
              <w:t>(15,598)</w:t>
            </w:r>
          </w:p>
        </w:tc>
        <w:tc>
          <w:tcPr>
            <w:tcW w:w="74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(138)</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w w:val="98"/>
              </w:rPr>
              <w:t>(356)</w:t>
            </w: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199,042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6,670</w:t>
            </w:r>
          </w:p>
        </w:tc>
        <w:tc>
          <w:tcPr>
            <w:tcW w:w="260" w:type="dxa"/>
            <w:vAlign w:val="bottom"/>
          </w:tcPr>
          <w:p>
            <w:pPr>
              <w:spacing w:after="0"/>
              <w:rPr>
                <w:sz w:val="18"/>
                <w:szCs w:val="18"/>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to net cash provided by (used in) operating activities: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4,648</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divestitures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Debt discount amortization</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208</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Share-based compensation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751</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Bad debt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457</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 reserve expense</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500"/>
              <w:spacing w:after="0"/>
              <w:rPr>
                <w:sz w:val="20"/>
                <w:szCs w:val="20"/>
                <w:color w:val="auto"/>
              </w:rPr>
            </w:pPr>
            <w:r>
              <w:rPr>
                <w:rFonts w:ascii="Arial" w:cs="Arial" w:eastAsia="Arial" w:hAnsi="Arial"/>
                <w:sz w:val="16"/>
                <w:szCs w:val="16"/>
                <w:color w:val="auto"/>
              </w:rPr>
              <w:t>Deferred income tax benefit</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8,623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(7,046)</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(3,446)</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1,694</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(1,068)</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(1,553)</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(1,703)</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(5,229)</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(8,291)</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(10,057)</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(11,297)</w:t>
            </w: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(1,992)</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Net cash paid for acquisition</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(6,124)</w:t>
            </w:r>
          </w:p>
        </w:tc>
        <w:tc>
          <w:tcPr>
            <w:tcW w:w="7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used in by investing activities</w:t>
            </w: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32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(8,116)</w:t>
            </w:r>
          </w:p>
        </w:tc>
        <w:tc>
          <w:tcPr>
            <w:tcW w:w="7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revolving credit lines</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72,500</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Repayments on revolving credit lines</w:t>
            </w:r>
          </w:p>
        </w:tc>
        <w:tc>
          <w:tcPr>
            <w:tcW w:w="42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(59,000)</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(35,447)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of long-term debt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(1,250)</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3"/>
        </w:trPr>
        <w:tc>
          <w:tcPr>
            <w:tcW w:w="7320" w:type="dxa"/>
            <w:vAlign w:val="bottom"/>
          </w:tcPr>
          <w:p>
            <w:pPr>
              <w:ind w:left="260"/>
              <w:spacing w:after="0"/>
              <w:rPr>
                <w:sz w:val="20"/>
                <w:szCs w:val="20"/>
                <w:color w:val="auto"/>
              </w:rPr>
            </w:pPr>
            <w:r>
              <w:rPr>
                <w:rFonts w:ascii="Arial" w:cs="Arial" w:eastAsia="Arial" w:hAnsi="Arial"/>
                <w:sz w:val="16"/>
                <w:szCs w:val="16"/>
                <w:color w:val="auto"/>
              </w:rPr>
              <w:t>Deferred financing fees paid</w:t>
            </w:r>
          </w:p>
        </w:tc>
        <w:tc>
          <w:tcPr>
            <w:tcW w:w="4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finance leases and financing liability</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(203)</w:t>
            </w:r>
          </w:p>
        </w:tc>
        <w:tc>
          <w:tcPr>
            <w:tcW w:w="7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12,047</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06"/>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Borders>
              <w:bottom w:val="single" w:sz="8" w:color="CFF0FC"/>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6,180</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(14,483)</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36,958</w:t>
            </w:r>
          </w:p>
        </w:tc>
        <w:tc>
          <w:tcPr>
            <w:tcW w:w="26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43,138</w:t>
            </w:r>
          </w:p>
        </w:tc>
        <w:tc>
          <w:tcPr>
            <w:tcW w:w="2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29,955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color w:val="auto"/>
              </w:rPr>
              <w:t>Cash paid (received) during the period for:</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Borders>
              <w:bottom w:val="single" w:sz="8" w:color="CFF0FC"/>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1,850</w:t>
            </w:r>
          </w:p>
        </w:tc>
        <w:tc>
          <w:tcPr>
            <w:tcW w:w="2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260"/>
              <w:spacing w:after="0"/>
              <w:rPr>
                <w:sz w:val="20"/>
                <w:szCs w:val="20"/>
                <w:color w:val="auto"/>
              </w:rPr>
            </w:pPr>
            <w:r>
              <w:rPr>
                <w:rFonts w:ascii="Arial" w:cs="Arial" w:eastAsia="Arial" w:hAnsi="Arial"/>
                <w:sz w:val="16"/>
                <w:szCs w:val="16"/>
                <w:color w:val="auto"/>
              </w:rPr>
              <w:t>Income taxes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(658)</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3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left="360" w:right="2780"/>
        <w:spacing w:after="0" w:line="263" w:lineRule="auto"/>
        <w:rPr>
          <w:sz w:val="20"/>
          <w:szCs w:val="20"/>
          <w:color w:val="auto"/>
        </w:rPr>
      </w:pPr>
      <w:r>
        <w:rPr>
          <w:rFonts w:ascii="Arial" w:cs="Arial" w:eastAsia="Arial" w:hAnsi="Arial"/>
          <w:sz w:val="18"/>
          <w:szCs w:val="18"/>
          <w:u w:val="single" w:color="auto"/>
          <w:color w:val="auto"/>
        </w:rPr>
        <w:t>CECO ENVIRONMENTAL CORP. AND SUBSIDIARIES NOTES TO CONDENSED CONSOLIDATED FINANCIAL STATEMENTS (unaudited)</w:t>
      </w:r>
    </w:p>
    <w:p>
      <w:pPr>
        <w:spacing w:after="0" w:line="207" w:lineRule="exact"/>
        <w:rPr>
          <w:sz w:val="20"/>
          <w:szCs w:val="20"/>
          <w:color w:val="auto"/>
        </w:rPr>
      </w:pPr>
    </w:p>
    <w:p>
      <w:pPr>
        <w:ind w:left="492" w:hanging="492"/>
        <w:spacing w:after="0"/>
        <w:tabs>
          <w:tab w:leader="none" w:pos="4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1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2020 and the results of operations, cash flows and shareholders’ equity for the three-month and six-month periods ended June 30, 2020 and 2019. The results of operations for the three-month and six-month periods ended June 30, 2020 are not necessarily indicative of the results to be expected for the full year. The balance sheet as of December 31, 2019 has been derived from the audited consolidated financial statements included in the Company’s Annual Report on Form 10-K for the year ended December 31, 2019 (the “2019 Form 10-K”) as filed with the SEC.</w:t>
      </w:r>
    </w:p>
    <w:p>
      <w:pPr>
        <w:spacing w:after="0" w:line="166" w:lineRule="exact"/>
        <w:rPr>
          <w:rFonts w:ascii="Arial" w:cs="Arial" w:eastAsia="Arial" w:hAnsi="Arial"/>
          <w:sz w:val="18"/>
          <w:szCs w:val="18"/>
          <w:b w:val="1"/>
          <w:bCs w:val="1"/>
          <w:color w:val="auto"/>
        </w:rPr>
      </w:pPr>
    </w:p>
    <w:p>
      <w:pPr>
        <w:ind w:left="512"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12"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2019 Form 10-K filed with the SEC.</w:t>
      </w:r>
    </w:p>
    <w:p>
      <w:pPr>
        <w:spacing w:after="0" w:line="170" w:lineRule="exact"/>
        <w:rPr>
          <w:rFonts w:ascii="Arial" w:cs="Arial" w:eastAsia="Arial" w:hAnsi="Arial"/>
          <w:sz w:val="18"/>
          <w:szCs w:val="18"/>
          <w:b w:val="1"/>
          <w:bCs w:val="1"/>
          <w:color w:val="auto"/>
        </w:rPr>
      </w:pPr>
    </w:p>
    <w:p>
      <w:pPr>
        <w:ind w:left="512" w:right="366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 xml:space="preserve">Unless otherwise indicated, all balances within tables are in thousands, except per share amounts. </w:t>
      </w:r>
      <w:r>
        <w:rPr>
          <w:rFonts w:ascii="Arial" w:cs="Arial" w:eastAsia="Arial" w:hAnsi="Arial"/>
          <w:sz w:val="18"/>
          <w:szCs w:val="18"/>
          <w:i w:val="1"/>
          <w:iCs w:val="1"/>
          <w:color w:val="auto"/>
        </w:rPr>
        <w:t>COVID-19</w:t>
      </w:r>
    </w:p>
    <w:p>
      <w:pPr>
        <w:spacing w:after="0" w:line="1" w:lineRule="exact"/>
        <w:rPr>
          <w:rFonts w:ascii="Arial" w:cs="Arial" w:eastAsia="Arial" w:hAnsi="Arial"/>
          <w:sz w:val="18"/>
          <w:szCs w:val="18"/>
          <w:b w:val="1"/>
          <w:bCs w:val="1"/>
          <w:color w:val="auto"/>
        </w:rPr>
      </w:pPr>
    </w:p>
    <w:p>
      <w:pPr>
        <w:ind w:left="51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 As of June 30, 2020, the virus continues to spread and has had a significant impact on worldwide economic activity and on macroeconomic conditions and the end markets of our business. No vaccine is currently available. The Company has instituted some and may take additional temporary precautionary measures to comply with government directives and guidelines and minimize business disruption.</w:t>
      </w:r>
    </w:p>
    <w:p>
      <w:pPr>
        <w:spacing w:after="0" w:line="177"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On March 27, 2020, President Trump signed into law the Coronavirus Aid, Relief and Economic Security Act (the “CARES</w:t>
      </w:r>
    </w:p>
    <w:p>
      <w:pPr>
        <w:spacing w:after="0" w:line="23" w:lineRule="exact"/>
        <w:rPr>
          <w:rFonts w:ascii="Arial" w:cs="Arial" w:eastAsia="Arial" w:hAnsi="Arial"/>
          <w:sz w:val="18"/>
          <w:szCs w:val="18"/>
          <w:b w:val="1"/>
          <w:bCs w:val="1"/>
          <w:color w:val="auto"/>
        </w:rPr>
      </w:pPr>
    </w:p>
    <w:p>
      <w:pPr>
        <w:ind w:left="512"/>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It is currently unclear if and how the Company will benefit from the CARES Act in the future, but we continue to examine the impacts the CARES Act may have on our business, results of operations, financial condition or liquidity.</w:t>
      </w:r>
    </w:p>
    <w:p>
      <w:pPr>
        <w:spacing w:after="0" w:line="190" w:lineRule="exact"/>
        <w:rPr>
          <w:rFonts w:ascii="Arial" w:cs="Arial" w:eastAsia="Arial" w:hAnsi="Arial"/>
          <w:sz w:val="18"/>
          <w:szCs w:val="18"/>
          <w:b w:val="1"/>
          <w:bCs w:val="1"/>
          <w:color w:val="auto"/>
        </w:rPr>
      </w:pPr>
    </w:p>
    <w:p>
      <w:pPr>
        <w:ind w:left="512"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full impact of the COVID-19 pandemic continues to evolve as of the date of this filing. As such, it is uncertain as to the full magnitude that the pandemic will have on the Company’s financial condition, liquidity, and future results of operations. Management is actively monitoring the impact of the pandemic on its financial condition, liquidity, operations, suppliers, industry, and workforce. Given the daily evolution of the COVID-19 pandemic and the global responses to curb its spread, the Company is not able to estimate the effects of the COVID-19 pandemic on its results of operations, financial condition, or liquidity for fiscal year 2020.</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8" w:name="page9"/>
    <w:bookmarkEnd w:id="8"/>
    <w:p>
      <w:pPr>
        <w:ind w:left="520" w:right="7380" w:hanging="512"/>
        <w:spacing w:after="0" w:line="566" w:lineRule="auto"/>
        <w:tabs>
          <w:tab w:leader="none" w:pos="51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Yet to be Adopted</w:t>
      </w:r>
    </w:p>
    <w:p>
      <w:pPr>
        <w:ind w:left="520" w:right="1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spacing w:after="0" w:line="377" w:lineRule="exact"/>
        <w:rPr>
          <w:rFonts w:ascii="Arial" w:cs="Arial" w:eastAsia="Arial" w:hAnsi="Arial"/>
          <w:sz w:val="16"/>
          <w:szCs w:val="16"/>
          <w:b w:val="1"/>
          <w:bCs w:val="1"/>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Trade receivables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12,135</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(2,582)</w:t>
            </w:r>
          </w:p>
        </w:tc>
      </w:tr>
      <w:tr>
        <w:trPr>
          <w:trHeight w:val="223"/>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right="180"/>
        <w:spacing w:after="0" w:line="263"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$1.3 million and $0.9 million at June 30, 2020 and December 31, 2019, respectively. Retainage receivables on contracts in progress are generally collected within a year after contract completion.</w:t>
      </w:r>
    </w:p>
    <w:p>
      <w:pPr>
        <w:spacing w:after="0" w:line="184"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Bad debt expense was approximately $0.4 million and $0.3 million for the three-month periods ended June 30, 2020 and 2019, respectively, and $0.5 million and $0.4 million for the six-month periods ended June 30, 2020 and 2019, respectively.</w:t>
      </w:r>
    </w:p>
    <w:p>
      <w:pPr>
        <w:spacing w:after="0" w:line="15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0" w:lineRule="exact"/>
        <w:rPr>
          <w:sz w:val="20"/>
          <w:szCs w:val="20"/>
          <w:color w:val="auto"/>
        </w:rPr>
      </w:pP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Obsolescence allowance</w:t>
            </w:r>
          </w:p>
        </w:tc>
        <w:tc>
          <w:tcPr>
            <w:tcW w:w="2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(2,622)</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right="200"/>
        <w:spacing w:after="0" w:line="308" w:lineRule="auto"/>
        <w:rPr>
          <w:sz w:val="20"/>
          <w:szCs w:val="20"/>
          <w:color w:val="auto"/>
        </w:rPr>
      </w:pPr>
      <w:r>
        <w:rPr>
          <w:rFonts w:ascii="Arial" w:cs="Arial" w:eastAsia="Arial" w:hAnsi="Arial"/>
          <w:sz w:val="17"/>
          <w:szCs w:val="17"/>
          <w:color w:val="auto"/>
        </w:rPr>
        <w:t>Amounts credited to the allowance for obsolete inventory and charged to cost of sales amounted to $0.2 million for the three-month periods ended June 30, 2020 and 2019, and $0.3 million and $0.4 million for the six-month periods ended June 30, 2020 and 2019,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320" w:type="dxa"/>
            <w:vAlign w:val="bottom"/>
          </w:tcPr>
          <w:p>
            <w:pPr>
              <w:spacing w:after="0"/>
              <w:rPr>
                <w:sz w:val="24"/>
                <w:szCs w:val="24"/>
                <w:color w:val="auto"/>
              </w:rPr>
            </w:pPr>
          </w:p>
        </w:tc>
        <w:tc>
          <w:tcPr>
            <w:tcW w:w="398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4"/>
              </w:rPr>
              <w:t>Six months ended June 30,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Year ended December 31, 2019</w:t>
            </w:r>
          </w:p>
        </w:tc>
        <w:tc>
          <w:tcPr>
            <w:tcW w:w="56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39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Goodwill / Tradename</w:t>
            </w:r>
          </w:p>
        </w:tc>
        <w:tc>
          <w:tcPr>
            <w:tcW w:w="1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9"/>
              </w:rPr>
              <w:t>Tradename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Goodwill</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Tradename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Transfers to finite life classification</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(3,904)</w:t>
            </w: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related adjustments</w:t>
            </w: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159,107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398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As of June 30,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 2019</w:t>
            </w:r>
          </w:p>
        </w:tc>
        <w:tc>
          <w:tcPr>
            <w:tcW w:w="560" w:type="dxa"/>
            <w:vAlign w:val="bottom"/>
          </w:tcPr>
          <w:p>
            <w:pPr>
              <w:spacing w:after="0"/>
              <w:rPr>
                <w:sz w:val="24"/>
                <w:szCs w:val="24"/>
                <w:color w:val="auto"/>
              </w:rPr>
            </w:pPr>
          </w:p>
        </w:tc>
      </w:tr>
      <w:tr>
        <w:trPr>
          <w:trHeight w:val="155"/>
        </w:trPr>
        <w:tc>
          <w:tcPr>
            <w:tcW w:w="320" w:type="dxa"/>
            <w:vAlign w:val="bottom"/>
          </w:tcPr>
          <w:p>
            <w:pPr>
              <w:spacing w:after="0"/>
              <w:rPr>
                <w:sz w:val="13"/>
                <w:szCs w:val="13"/>
                <w:color w:val="auto"/>
              </w:rPr>
            </w:pPr>
          </w:p>
        </w:tc>
        <w:tc>
          <w:tcPr>
            <w:tcW w:w="39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Intangible assets – finite life</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jc w:val="right"/>
              <w:ind w:right="560"/>
              <w:spacing w:after="0" w:line="155" w:lineRule="exact"/>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Accum. Amort.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2"/>
              </w:rPr>
              <w:t>Accum. Amort.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320" w:type="dxa"/>
            <w:vAlign w:val="bottom"/>
          </w:tcPr>
          <w:p>
            <w:pPr>
              <w:spacing w:after="0"/>
              <w:rPr>
                <w:sz w:val="19"/>
                <w:szCs w:val="19"/>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Technology</w:t>
            </w:r>
          </w:p>
        </w:tc>
        <w:tc>
          <w:tcPr>
            <w:tcW w:w="112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73,199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Tradename</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adjustments</w:t>
            </w: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(2,079)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(782)</w:t>
            </w:r>
          </w:p>
        </w:tc>
        <w:tc>
          <w:tcPr>
            <w:tcW w:w="56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91,455</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775"/>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Activity for the six-months ended June 30, 2020 and 2019 is as follows: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360" w:type="dxa"/>
            <w:vAlign w:val="bottom"/>
          </w:tcPr>
          <w:p>
            <w:pPr>
              <w:spacing w:after="0"/>
              <w:rPr>
                <w:sz w:val="14"/>
                <w:szCs w:val="14"/>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beginning of period</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(3,498)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(4,320)</w:t>
            </w:r>
          </w:p>
        </w:tc>
      </w:tr>
      <w:tr>
        <w:trPr>
          <w:trHeight w:val="230"/>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Transfers from indefinite life classification</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Arial" w:cs="Arial" w:eastAsia="Arial" w:hAnsi="Arial"/>
                <w:sz w:val="18"/>
                <w:szCs w:val="18"/>
                <w:color w:val="auto"/>
              </w:rPr>
              <w:t>Acquisition and related adjustments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adjustments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Intangible assets – finite life, net at end of period</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520" w:right="60"/>
        <w:spacing w:after="0" w:line="254" w:lineRule="auto"/>
        <w:rPr>
          <w:sz w:val="20"/>
          <w:szCs w:val="20"/>
          <w:color w:val="auto"/>
        </w:rPr>
      </w:pPr>
      <w:r>
        <w:rPr>
          <w:rFonts w:ascii="Arial" w:cs="Arial" w:eastAsia="Arial" w:hAnsi="Arial"/>
          <w:sz w:val="18"/>
          <w:szCs w:val="18"/>
          <w:color w:val="auto"/>
        </w:rPr>
        <w:t>Amortization expense of finite life intangible assets was $1.8 million and $2.2 million for the three-month periods ended June 30, 2020 and 2019, respectively and $3.5 million and $4.3 million for the six-month periods ended June 30, 2020 and 2019, respectively. Amortization over the next five years for finite life intangibles is expected to be $3.8 million for the remainder of 2020, $6.3 million in 2021, $5.4 million in 2022, $4.6 million in 2023, and $3.9 million in 2024.</w:t>
      </w:r>
    </w:p>
    <w:p>
      <w:pPr>
        <w:spacing w:after="0" w:line="2" w:lineRule="exact"/>
        <w:rPr>
          <w:sz w:val="20"/>
          <w:szCs w:val="20"/>
          <w:color w:val="auto"/>
        </w:rPr>
      </w:pPr>
    </w:p>
    <w:p>
      <w:pPr>
        <w:ind w:left="520" w:right="160"/>
        <w:spacing w:after="0" w:line="250" w:lineRule="auto"/>
        <w:rPr>
          <w:sz w:val="20"/>
          <w:szCs w:val="20"/>
          <w:color w:val="auto"/>
        </w:rPr>
      </w:pPr>
      <w:r>
        <w:rPr>
          <w:rFonts w:ascii="Arial" w:cs="Arial" w:eastAsia="Arial" w:hAnsi="Arial"/>
          <w:sz w:val="18"/>
          <w:szCs w:val="18"/>
          <w:color w:val="auto"/>
        </w:rPr>
        <w:t>During the six-month period ended June 30, 2019, the Company reassessed the useful lives of certain tradenames and determined that $3.9 million of their tradenames would have useful lives of 10 years now versus indefinite.</w:t>
      </w:r>
    </w:p>
    <w:p>
      <w:pPr>
        <w:spacing w:after="0" w:line="1" w:lineRule="exact"/>
        <w:rPr>
          <w:sz w:val="20"/>
          <w:szCs w:val="20"/>
          <w:color w:val="auto"/>
        </w:rPr>
      </w:pPr>
    </w:p>
    <w:p>
      <w:pPr>
        <w:ind w:left="520" w:right="40"/>
        <w:spacing w:after="0" w:line="252" w:lineRule="auto"/>
        <w:rPr>
          <w:sz w:val="20"/>
          <w:szCs w:val="20"/>
          <w:color w:val="auto"/>
        </w:rPr>
      </w:pPr>
      <w:r>
        <w:rPr>
          <w:rFonts w:ascii="Arial" w:cs="Arial" w:eastAsia="Arial" w:hAnsi="Arial"/>
          <w:sz w:val="18"/>
          <w:szCs w:val="18"/>
          <w:color w:val="auto"/>
        </w:rPr>
        <w:t>The Company completes an annual (or more often if circumstances require) goodwill and indefinite life intangible asset impairment assessment on October 1.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carrying value, the Company does not need to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92" w:lineRule="exact"/>
        <w:rPr>
          <w:sz w:val="20"/>
          <w:szCs w:val="20"/>
          <w:color w:val="auto"/>
        </w:rPr>
      </w:pPr>
    </w:p>
    <w:p>
      <w:pPr>
        <w:ind w:left="520" w:right="40"/>
        <w:spacing w:after="0" w:line="254" w:lineRule="auto"/>
        <w:rPr>
          <w:sz w:val="20"/>
          <w:szCs w:val="20"/>
          <w:color w:val="auto"/>
        </w:rPr>
      </w:pPr>
      <w:r>
        <w:rPr>
          <w:rFonts w:ascii="Arial" w:cs="Arial" w:eastAsia="Arial" w:hAnsi="Arial"/>
          <w:sz w:val="18"/>
          <w:szCs w:val="18"/>
          <w:color w:val="auto"/>
        </w:rPr>
        <w:t>In 2019, we performed a quantitative assessment and concluded each of our reporting units and indefinite life intangible assets had excess fair value over their carrying value. We determined negative macroeconomic factors resulting from the COVID-19 pandemic constituted a triggering event as of March 31, 2020 and based on a qualitative assessment determined that our goodwill and indefinite life intangible assets were not impaired. The Company did not identify any triggering events during the three month period ended June 30, 2020 that would require an interim impairment assessment of goodwill or intangible assets. The Company’s assumptions about future conditions important to its assessment of potential impairment of its goodwill and indefinite life intangible assets, including the impacts of the COVID-19 pandemic, are subject to uncertainty, and the Company will continue to monitor these conditions in future periods as new information becomes available, and will update its analyses accordingly</w:t>
      </w:r>
      <w:r>
        <w:rPr>
          <w:rFonts w:ascii="Arial" w:cs="Arial" w:eastAsia="Arial" w:hAnsi="Arial"/>
          <w:sz w:val="21"/>
          <w:szCs w:val="21"/>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6.</w:t>
            </w:r>
          </w:p>
        </w:tc>
        <w:tc>
          <w:tcPr>
            <w:tcW w:w="51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510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Trade accounts payable, including amounts due to subcontractors</w:t>
            </w:r>
          </w:p>
        </w:tc>
        <w:tc>
          <w:tcPr>
            <w:tcW w:w="1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49,444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48,762</w:t>
            </w: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Accrued warranty</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Contract liabilities</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5,666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liability</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6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78,319</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vMerge w:val="restart"/>
          </w:tcPr>
          <w:p>
            <w:pPr>
              <w:jc w:val="right"/>
              <w:ind w:right="133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7.</w:t>
            </w:r>
          </w:p>
        </w:tc>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Senior Debt</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320" w:type="dxa"/>
            <w:vAlign w:val="bottom"/>
          </w:tcPr>
          <w:p>
            <w:pPr>
              <w:spacing w:after="0"/>
              <w:rPr>
                <w:sz w:val="24"/>
                <w:szCs w:val="24"/>
                <w:color w:val="auto"/>
              </w:rPr>
            </w:pPr>
          </w:p>
        </w:tc>
        <w:tc>
          <w:tcPr>
            <w:tcW w:w="6100" w:type="dxa"/>
            <w:vAlign w:val="bottom"/>
            <w:gridSpan w:val="2"/>
          </w:tcPr>
          <w:p>
            <w:pPr>
              <w:ind w:left="200"/>
              <w:spacing w:after="0"/>
              <w:rPr>
                <w:sz w:val="20"/>
                <w:szCs w:val="20"/>
                <w:color w:val="auto"/>
              </w:rPr>
            </w:pPr>
            <w:r>
              <w:rPr>
                <w:rFonts w:ascii="Arial" w:cs="Arial" w:eastAsia="Arial" w:hAnsi="Arial"/>
                <w:sz w:val="18"/>
                <w:szCs w:val="18"/>
                <w:color w:val="auto"/>
              </w:rPr>
              <w:t>Debt consisted of the following:</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320" w:type="dxa"/>
            <w:vAlign w:val="bottom"/>
          </w:tcPr>
          <w:p>
            <w:pPr>
              <w:spacing w:after="0"/>
              <w:rPr>
                <w:sz w:val="24"/>
                <w:szCs w:val="24"/>
                <w:color w:val="auto"/>
              </w:rPr>
            </w:pPr>
          </w:p>
        </w:tc>
        <w:tc>
          <w:tcPr>
            <w:tcW w:w="6100" w:type="dxa"/>
            <w:vAlign w:val="bottom"/>
            <w:gridSpan w:val="2"/>
          </w:tcPr>
          <w:p>
            <w:pPr>
              <w:ind w:left="240"/>
              <w:spacing w:after="0"/>
              <w:rPr>
                <w:sz w:val="20"/>
                <w:szCs w:val="20"/>
                <w:color w:val="auto"/>
              </w:rPr>
            </w:pPr>
            <w:r>
              <w:rPr>
                <w:rFonts w:ascii="Arial" w:cs="Arial" w:eastAsia="Arial" w:hAnsi="Arial"/>
                <w:sz w:val="14"/>
                <w:szCs w:val="14"/>
                <w:b w:val="1"/>
                <w:bCs w:val="1"/>
                <w:color w:val="auto"/>
              </w:rPr>
              <w:t>(table only in thousands)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2019</w:t>
            </w:r>
          </w:p>
        </w:tc>
      </w:tr>
      <w:tr>
        <w:trPr>
          <w:trHeight w:val="209"/>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through June 2021, $0.9 million through June 2023, and $1.3 million</w:t>
            </w: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thereafter with balance due upon maturity in June 2024.</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47,500</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48,750</w:t>
            </w: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Revolving Credit Loan</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w:t>
            </w:r>
          </w:p>
        </w:tc>
        <w:tc>
          <w:tcPr>
            <w:tcW w:w="100" w:type="dxa"/>
            <w:vAlign w:val="bottom"/>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4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(1,749)</w:t>
            </w:r>
          </w:p>
        </w:tc>
      </w:tr>
      <w:tr>
        <w:trPr>
          <w:trHeight w:val="223"/>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the Credit Facility</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77,960</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current portion</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(2,500)</w:t>
            </w:r>
          </w:p>
        </w:tc>
      </w:tr>
      <w:tr>
        <w:trPr>
          <w:trHeight w:val="223"/>
        </w:trPr>
        <w:tc>
          <w:tcPr>
            <w:tcW w:w="320" w:type="dxa"/>
            <w:vAlign w:val="bottom"/>
          </w:tcPr>
          <w:p>
            <w:pPr>
              <w:spacing w:after="0"/>
              <w:rPr>
                <w:sz w:val="19"/>
                <w:szCs w:val="19"/>
                <w:color w:val="auto"/>
              </w:rPr>
            </w:pPr>
          </w:p>
        </w:tc>
        <w:tc>
          <w:tcPr>
            <w:tcW w:w="6100" w:type="dxa"/>
            <w:vAlign w:val="bottom"/>
            <w:gridSpan w:val="2"/>
          </w:tcPr>
          <w:p>
            <w:pPr>
              <w:ind w:left="240"/>
              <w:spacing w:after="0"/>
              <w:rPr>
                <w:sz w:val="20"/>
                <w:szCs w:val="20"/>
                <w:color w:val="auto"/>
              </w:rPr>
            </w:pPr>
            <w:r>
              <w:rPr>
                <w:rFonts w:ascii="Arial" w:cs="Arial" w:eastAsia="Arial" w:hAnsi="Arial"/>
                <w:sz w:val="18"/>
                <w:szCs w:val="18"/>
                <w:color w:val="auto"/>
              </w:rPr>
              <w:t>Total debt, less current portion</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1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Scheduled principal payments under our Credit Facility are $1.3 million remaining in 2020, $3.1 million in 2021, $3.7 million in 2022, $4.4 million in 2023, and $67.0 million in 2024.</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As of June 30, 2020 and December 31, 2019, $7.8 million and $11.0 million of letters of credit were outstanding, respectively. Total unused credit availability under the Company’s senior secured term loan and senior secured revolver loan with sub-facilities for letters of credit, swing-line loans and senior secured multi-currency loans (collectively, the “Credit Facility”) was $88.5 million and $82.3 million at June 30, 2020 and December 31, 2019, respectively. Revolving loans may be borrowed, repaid and reborrowed until June 11, 2024, at which time all outstanding balances of the Credit Facility must be repaid.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stated interest rate on outstanding borrowings was 2.36% and 3.80% at June 30, 2020 and December 31, 2019, respectively.</w:t>
      </w:r>
    </w:p>
    <w:p>
      <w:pPr>
        <w:spacing w:after="0" w:line="248" w:lineRule="exact"/>
        <w:rPr>
          <w:sz w:val="20"/>
          <w:szCs w:val="20"/>
          <w:color w:val="auto"/>
        </w:rPr>
      </w:pPr>
    </w:p>
    <w:p>
      <w:pPr>
        <w:jc w:val="both"/>
        <w:ind w:left="520"/>
        <w:spacing w:after="0" w:line="311" w:lineRule="auto"/>
        <w:rPr>
          <w:sz w:val="20"/>
          <w:szCs w:val="20"/>
          <w:color w:val="auto"/>
        </w:rPr>
      </w:pPr>
      <w:r>
        <w:rPr>
          <w:rFonts w:ascii="Arial" w:cs="Arial" w:eastAsia="Arial" w:hAnsi="Arial"/>
          <w:sz w:val="16"/>
          <w:szCs w:val="16"/>
          <w:color w:val="auto"/>
        </w:rPr>
        <w:t>Under the terms of the Credit Facility, the Company is required to maintain certain financial covenants, including the maintenance of a Consolidated Net Leverage Ratio. Through September 30, 2020, the maximum Consolidated Net Leverage Ratio is 3.75, after which time it will decrease to 3.50 through September 30, 2021. The Consolidated Net Leverage Ratio will then decrease to 3.25 until the end of the term of the Credit Facility.</w:t>
      </w:r>
    </w:p>
    <w:p>
      <w:pPr>
        <w:spacing w:after="0" w:line="149"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As of June 30, 2020 and December 31, 2019, the Company was in compliance with all related financial and other restrictive covenants under the Credit Facility.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420"/>
        <w:spacing w:after="0" w:line="293" w:lineRule="auto"/>
        <w:rPr>
          <w:sz w:val="20"/>
          <w:szCs w:val="20"/>
          <w:color w:val="auto"/>
        </w:rPr>
      </w:pPr>
      <w:r>
        <w:rPr>
          <w:rFonts w:ascii="Arial" w:cs="Arial" w:eastAsia="Arial" w:hAnsi="Arial"/>
          <w:sz w:val="16"/>
          <w:szCs w:val="16"/>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June 30, 2020, $18.3 million in bank guarantees were outstanding. In addition, a subsidiary of the Company located in the Netherlands has a Euro-denominated bank guarantee agreement secured by local assets under which $3.7 million in bank guarantees were outstanding as of June 30, 2020. As of June 30, 2020, the borrowers of these facilities and agreements were in compliance with all related financial and other restrictive covenants.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92" w:hanging="492"/>
        <w:spacing w:after="0"/>
        <w:tabs>
          <w:tab w:leader="none" w:pos="4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computational components of basic and diluted earnings per share for the three-month periods ended June 30, are below.</w:t>
      </w:r>
    </w:p>
    <w:p>
      <w:pPr>
        <w:spacing w:after="0" w:line="203"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C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3,258</w:t>
            </w:r>
          </w:p>
        </w:tc>
        <w:tc>
          <w:tcPr>
            <w:tcW w:w="6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5,515</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35,276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7"/>
                <w:szCs w:val="17"/>
                <w:color w:val="auto"/>
              </w:rPr>
              <w:t>Common stock equivalents arising from stock options and restricted stock awards</w:t>
            </w:r>
          </w:p>
        </w:tc>
        <w:tc>
          <w:tcPr>
            <w:tcW w:w="160" w:type="dxa"/>
            <w:vAlign w:val="bottom"/>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35,410</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12"/>
        <w:spacing w:after="0"/>
        <w:rPr>
          <w:sz w:val="20"/>
          <w:szCs w:val="20"/>
          <w:color w:val="auto"/>
        </w:rPr>
      </w:pPr>
      <w:r>
        <w:rPr>
          <w:rFonts w:ascii="Arial" w:cs="Arial" w:eastAsia="Arial" w:hAnsi="Arial"/>
          <w:sz w:val="18"/>
          <w:szCs w:val="18"/>
          <w:color w:val="auto"/>
        </w:rPr>
        <w:t>The computational components of basic and diluted earnings per share for the six-month periods ended June 30,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220345</wp:posOffset>
            </wp:positionV>
            <wp:extent cx="21774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86"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C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6,670</w:t>
            </w:r>
          </w:p>
        </w:tc>
        <w:tc>
          <w:tcPr>
            <w:tcW w:w="6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7,379</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5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12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35,216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0" w:type="dxa"/>
            <w:vAlign w:val="bottom"/>
            <w:shd w:val="clear" w:color="auto" w:fill="CCECFF"/>
          </w:tcPr>
          <w:p>
            <w:pPr>
              <w:spacing w:after="0"/>
              <w:rPr>
                <w:sz w:val="20"/>
                <w:szCs w:val="20"/>
                <w:color w:val="auto"/>
              </w:rPr>
            </w:pPr>
            <w:r>
              <w:rPr>
                <w:rFonts w:ascii="Arial" w:cs="Arial" w:eastAsia="Arial" w:hAnsi="Arial"/>
                <w:sz w:val="18"/>
                <w:szCs w:val="18"/>
                <w:color w:val="auto"/>
                <w:w w:val="98"/>
              </w:rPr>
              <w:t>Common stock equivalents arising from stock options and restricted stock awards</w:t>
            </w:r>
          </w:p>
        </w:tc>
        <w:tc>
          <w:tcPr>
            <w:tcW w:w="160" w:type="dxa"/>
            <w:vAlign w:val="bottom"/>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spacing w:after="0"/>
              <w:rPr>
                <w:sz w:val="19"/>
                <w:szCs w:val="19"/>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CFF"/>
          </w:tcPr>
          <w:p>
            <w:pPr>
              <w:spacing w:after="0"/>
              <w:rPr>
                <w:sz w:val="19"/>
                <w:szCs w:val="19"/>
                <w:color w:val="auto"/>
              </w:rPr>
            </w:pPr>
          </w:p>
        </w:tc>
        <w:tc>
          <w:tcPr>
            <w:tcW w:w="360" w:type="dxa"/>
            <w:vAlign w:val="bottom"/>
            <w:tcBorders>
              <w:bottom w:val="single" w:sz="8" w:color="auto"/>
            </w:tcBorders>
            <w:shd w:val="clear" w:color="auto" w:fill="CCECFF"/>
          </w:tcPr>
          <w:p>
            <w:pPr>
              <w:spacing w:after="0"/>
              <w:rPr>
                <w:sz w:val="19"/>
                <w:szCs w:val="19"/>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Diluted weighted-average shares outstanding</w:t>
            </w:r>
          </w:p>
        </w:tc>
        <w:tc>
          <w:tcPr>
            <w:tcW w:w="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35,403</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12" w:right="100"/>
        <w:spacing w:after="0" w:line="259"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three-month periods ended June 30, 2020 and 2019, 0.6 million and 0.4 million, respectively, and during each of the six-month periods ended June 30, 2020 and 2019, 0.5 million of outstanding options and restricted stock units were excluded from the computation of diluted earnings per share due to their having an anti-dilutive effect.</w:t>
      </w:r>
    </w:p>
    <w:p>
      <w:pPr>
        <w:spacing w:after="0" w:line="187" w:lineRule="exact"/>
        <w:rPr>
          <w:sz w:val="20"/>
          <w:szCs w:val="20"/>
          <w:color w:val="auto"/>
        </w:rPr>
      </w:pPr>
    </w:p>
    <w:p>
      <w:pPr>
        <w:ind w:left="512" w:right="62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492" w:hanging="492"/>
        <w:spacing w:after="0"/>
        <w:tabs>
          <w:tab w:leader="none" w:pos="49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1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$0.2 million and $1.0 million of share-based compensation related expense during the three-month periods ended June 30, 2020 and 2019, respectively, and $0.8 million and $1.8 million during the six-month periods ended June 30, 2020 and 2019, respectively.</w:t>
      </w:r>
    </w:p>
    <w:p>
      <w:pPr>
        <w:spacing w:after="0" w:line="187" w:lineRule="exact"/>
        <w:rPr>
          <w:rFonts w:ascii="Arial" w:cs="Arial" w:eastAsia="Arial" w:hAnsi="Arial"/>
          <w:sz w:val="18"/>
          <w:szCs w:val="18"/>
          <w:b w:val="1"/>
          <w:bCs w:val="1"/>
          <w:color w:val="auto"/>
        </w:rPr>
      </w:pPr>
    </w:p>
    <w:p>
      <w:pPr>
        <w:ind w:left="51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granted approximately 503,000 and 64,000 restricted stock units during the three-month periods ended June 30, 2020 and 2019, respectively, and approximately 503,000 and 464,000 restricted stock units during the six-month periods ended June 30, 2020 and 2019, respectively. The weighted-average fair value of restricted stock units granted was estimated at $5.44 and $7.49 per unit during the six-months ended June 30, 2020 and 2019, respectively. The fair value of time-based and 2019 performance-based restricted stock units was determined by using the value of stock in the open market on the date of grant. The fair value of 2020 performance-based restricted stock units was determined by using the Monte Carlo valuation model.</w:t>
      </w:r>
    </w:p>
    <w:p>
      <w:pPr>
        <w:spacing w:after="0" w:line="192" w:lineRule="exact"/>
        <w:rPr>
          <w:rFonts w:ascii="Arial" w:cs="Arial" w:eastAsia="Arial" w:hAnsi="Arial"/>
          <w:sz w:val="18"/>
          <w:szCs w:val="18"/>
          <w:b w:val="1"/>
          <w:bCs w:val="1"/>
          <w:color w:val="auto"/>
        </w:rPr>
      </w:pPr>
    </w:p>
    <w:p>
      <w:pPr>
        <w:ind w:left="51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stock-based awards granted is recorded as compensation expense on a straight-line basis over the vesting periods of the awards.</w:t>
      </w:r>
    </w:p>
    <w:p>
      <w:pPr>
        <w:spacing w:after="0" w:line="170" w:lineRule="exact"/>
        <w:rPr>
          <w:rFonts w:ascii="Arial" w:cs="Arial" w:eastAsia="Arial" w:hAnsi="Arial"/>
          <w:sz w:val="18"/>
          <w:szCs w:val="18"/>
          <w:b w:val="1"/>
          <w:bCs w:val="1"/>
          <w:color w:val="auto"/>
        </w:rPr>
      </w:pPr>
    </w:p>
    <w:p>
      <w:pPr>
        <w:ind w:left="512" w:righ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were zero and approximately 1,000 options exercised during the six-months ended June 30, 2020 and 2019, respectively. The Company received approximately $7,000 from employees exercising options during the six-months ended June 30, 2019. The intrinsic value of options exercised during the six-months ended June 30, 2019 was approximately $1,000.</w:t>
      </w:r>
    </w:p>
    <w:p>
      <w:pPr>
        <w:spacing w:after="0" w:line="3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24" w:right="379" w:bottom="1440" w:gutter="0" w:footer="0" w:header="0"/>
        </w:sectPr>
      </w:pPr>
    </w:p>
    <w:bookmarkStart w:id="12" w:name="page13"/>
    <w:bookmarkEnd w:id="12"/>
    <w:p>
      <w:pPr>
        <w:ind w:left="492" w:hanging="492"/>
        <w:spacing w:after="0"/>
        <w:tabs>
          <w:tab w:leader="none" w:pos="49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12"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12"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7"/>
          <w:szCs w:val="17"/>
          <w:color w:val="auto"/>
        </w:rPr>
        <w:t>We present the components of net periodic benefit cost (gain) within “Other income” on the Condensed Consolidated Statements of Income.</w:t>
      </w:r>
    </w:p>
    <w:p>
      <w:pPr>
        <w:spacing w:after="0" w:line="236" w:lineRule="exact"/>
        <w:rPr>
          <w:rFonts w:ascii="Arial" w:cs="Arial" w:eastAsia="Arial" w:hAnsi="Arial"/>
          <w:sz w:val="18"/>
          <w:szCs w:val="18"/>
          <w:b w:val="1"/>
          <w:bCs w:val="1"/>
          <w:color w:val="auto"/>
        </w:rPr>
      </w:pPr>
    </w:p>
    <w:p>
      <w:pPr>
        <w:ind w:left="512"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243"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5"/>
        </w:trPr>
        <w:tc>
          <w:tcPr>
            <w:tcW w:w="362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Pension plan:</w:t>
            </w:r>
          </w:p>
        </w:tc>
        <w:tc>
          <w:tcPr>
            <w:tcW w:w="1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cost</w:t>
            </w:r>
          </w:p>
        </w:tc>
        <w:tc>
          <w:tcPr>
            <w:tcW w:w="1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actuarial loss</w:t>
            </w:r>
          </w:p>
        </w:tc>
        <w:tc>
          <w:tcPr>
            <w:tcW w:w="1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(gain) cost</w:t>
            </w:r>
          </w:p>
        </w:tc>
        <w:tc>
          <w:tcPr>
            <w:tcW w:w="1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Health care plan:</w:t>
            </w: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loss</w:t>
            </w:r>
          </w:p>
        </w:tc>
        <w:tc>
          <w:tcPr>
            <w:tcW w:w="1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12" w:right="60"/>
        <w:spacing w:after="0" w:line="259" w:lineRule="auto"/>
        <w:rPr>
          <w:sz w:val="20"/>
          <w:szCs w:val="20"/>
          <w:color w:val="auto"/>
        </w:rPr>
      </w:pPr>
      <w:r>
        <w:rPr>
          <w:rFonts w:ascii="Arial" w:cs="Arial" w:eastAsia="Arial" w:hAnsi="Arial"/>
          <w:sz w:val="18"/>
          <w:szCs w:val="18"/>
          <w:color w:val="auto"/>
        </w:rPr>
        <w:t>We made contributions to our defined benefit plans of approximately $0.1 million and $0.2 during the six-months ended June 30, 2020 and 2019, respectively. For the remainder of 2020, we have elected to defer further contributions to fund the pension plan and the retiree health care plan until January 2021. The unfunded liability of the plans of $8.7 million and $8.9 million as of June 30, 2020 and December 31, 2019, respectively, is included in “Other liabilities” on our Condensed Consolidated Balance Sheets.</w:t>
      </w:r>
    </w:p>
    <w:p>
      <w:pPr>
        <w:spacing w:after="0" w:line="372" w:lineRule="exact"/>
        <w:rPr>
          <w:sz w:val="20"/>
          <w:szCs w:val="20"/>
          <w:color w:val="auto"/>
        </w:rPr>
      </w:pPr>
    </w:p>
    <w:p>
      <w:pPr>
        <w:ind w:left="492" w:hanging="492"/>
        <w:spacing w:after="0"/>
        <w:tabs>
          <w:tab w:leader="none" w:pos="49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1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2016 forward remain open for examination by Federal authorities. Tax years from 2014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June 30, 2020 and December 31, 2019, the liability for uncertain tax positions totaled approximately $0.2 million and $0.3 million, respectively, which is included in “Other liabilities” on our Condensed Consolidated Balance Sheets. We recognize accrued interest related to uncertain tax positions and penalties, if any, in income tax expense within the Condensed Consolidated Statements of Income.</w:t>
      </w:r>
    </w:p>
    <w:p>
      <w:pPr>
        <w:spacing w:after="0" w:line="186" w:lineRule="exact"/>
        <w:rPr>
          <w:rFonts w:ascii="Arial" w:cs="Arial" w:eastAsia="Arial" w:hAnsi="Arial"/>
          <w:sz w:val="18"/>
          <w:szCs w:val="18"/>
          <w:b w:val="1"/>
          <w:bCs w:val="1"/>
          <w:color w:val="auto"/>
        </w:rPr>
      </w:pPr>
    </w:p>
    <w:p>
      <w:pPr>
        <w:ind w:left="51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United States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June 30, 2020, and December 31, 2019, we have recorded deferred income taxes of approximately $0.6 million and $0.7 million, respectively, on the undistributed earnings of our foreign subsidiaries. A significant portion of the previously undistributed earnings to which the deferred income taxes were attributable were repatriated in 2019.</w:t>
      </w:r>
    </w:p>
    <w:p>
      <w:pPr>
        <w:spacing w:after="0" w:line="177" w:lineRule="exact"/>
        <w:rPr>
          <w:rFonts w:ascii="Arial" w:cs="Arial" w:eastAsia="Arial" w:hAnsi="Arial"/>
          <w:sz w:val="18"/>
          <w:szCs w:val="18"/>
          <w:b w:val="1"/>
          <w:bCs w:val="1"/>
          <w:color w:val="auto"/>
        </w:rPr>
      </w:pPr>
    </w:p>
    <w:p>
      <w:pPr>
        <w:ind w:left="51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Income tax expense was $0.6 million for the second quarter of 2020 and $1.3 million for the first six months of 2020 compared with income tax benefit of $4.2 million for the second quarter of 2019 and $3.3 million for the first six months of 2019. The effective income tax rate for the second quarter of 2020 was 14.8% compared with (303.7%) for the second quarter of 2019. The effective income tax rate for the first six months of 2020 was 16.8% compared with (81.3%) for the first six months of 2019. The effective income tax rate for the three and six months ended June 30, 2020 is lower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 The effective income tax rates for the three and six months ended June 30, 2019 were negative (i.e. income tax benefits), despite pre-tax income, due</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1" w:right="379" w:bottom="1440" w:gutter="0" w:footer="0" w:header="0"/>
        </w:sectPr>
      </w:pPr>
    </w:p>
    <w:bookmarkStart w:id="13" w:name="page14"/>
    <w:bookmarkEnd w:id="13"/>
    <w:p>
      <w:pPr>
        <w:ind w:left="512"/>
        <w:spacing w:after="0"/>
        <w:rPr>
          <w:sz w:val="20"/>
          <w:szCs w:val="20"/>
          <w:color w:val="auto"/>
        </w:rPr>
      </w:pPr>
      <w:r>
        <w:rPr>
          <w:rFonts w:ascii="Arial" w:cs="Arial" w:eastAsia="Arial" w:hAnsi="Arial"/>
          <w:sz w:val="17"/>
          <w:szCs w:val="17"/>
          <w:color w:val="auto"/>
        </w:rPr>
        <w:t>primarily to a tax benefit of $4.4 million from a tax position related to the 2018 divesture of Jiangyin Zhongli Industrial Technology Co. Ltd.</w:t>
      </w:r>
    </w:p>
    <w:p>
      <w:pPr>
        <w:spacing w:after="0" w:line="219" w:lineRule="exact"/>
        <w:rPr>
          <w:sz w:val="20"/>
          <w:szCs w:val="20"/>
          <w:color w:val="auto"/>
        </w:rPr>
      </w:pPr>
    </w:p>
    <w:p>
      <w:pPr>
        <w:ind w:left="492" w:hanging="492"/>
        <w:spacing w:after="0"/>
        <w:tabs>
          <w:tab w:leader="none" w:pos="4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12"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June 30, 2020 and December 31, 2019, due to their short-term nature or variable, market-driven interest rates.</w:t>
      </w:r>
    </w:p>
    <w:p>
      <w:pPr>
        <w:spacing w:after="0" w:line="183" w:lineRule="exact"/>
        <w:rPr>
          <w:rFonts w:ascii="Arial" w:cs="Arial" w:eastAsia="Arial" w:hAnsi="Arial"/>
          <w:sz w:val="18"/>
          <w:szCs w:val="18"/>
          <w:b w:val="1"/>
          <w:bCs w:val="1"/>
          <w:color w:val="auto"/>
        </w:rPr>
      </w:pPr>
    </w:p>
    <w:p>
      <w:pPr>
        <w:ind w:left="512"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debt issued under the Credit Facility was $79.5 million and $67.3 million at June 30, 2020 and December 31, 2019, respectively.</w:t>
      </w:r>
    </w:p>
    <w:p>
      <w:pPr>
        <w:spacing w:after="0" w:line="170" w:lineRule="exact"/>
        <w:rPr>
          <w:rFonts w:ascii="Arial" w:cs="Arial" w:eastAsia="Arial" w:hAnsi="Arial"/>
          <w:sz w:val="18"/>
          <w:szCs w:val="18"/>
          <w:b w:val="1"/>
          <w:bCs w:val="1"/>
          <w:color w:val="auto"/>
        </w:rPr>
      </w:pPr>
    </w:p>
    <w:p>
      <w:pPr>
        <w:jc w:val="both"/>
        <w:ind w:left="512"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At June 30, 2020 and December 31, 2019, the Company had cash and cash equivalents of $41.5 million and $35.6 million, respectively, of which $33.2 million and $27.0 million, respectively, was held outside of the United States, principally in the Netherlands, United Kingdom, China, and Canada.</w:t>
      </w:r>
    </w:p>
    <w:p>
      <w:pPr>
        <w:spacing w:after="0" w:line="179" w:lineRule="exact"/>
        <w:rPr>
          <w:rFonts w:ascii="Arial" w:cs="Arial" w:eastAsia="Arial" w:hAnsi="Arial"/>
          <w:sz w:val="18"/>
          <w:szCs w:val="18"/>
          <w:b w:val="1"/>
          <w:bCs w:val="1"/>
          <w:color w:val="auto"/>
        </w:rPr>
      </w:pPr>
    </w:p>
    <w:p>
      <w:pPr>
        <w:ind w:left="512" w:right="6920" w:hanging="512"/>
        <w:spacing w:after="0" w:line="378" w:lineRule="auto"/>
        <w:tabs>
          <w:tab w:leader="none" w:pos="50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1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2020 for cases involving asbestos-related claims were $3.1 million, of which, together with all legal fees other than corporate counsel expenses, $2.9 million has been paid by the Company’s insurers. The average cost per settled claim, excluding legal fees, was approximately $34,000.</w:t>
      </w:r>
    </w:p>
    <w:p>
      <w:pPr>
        <w:spacing w:after="0" w:line="171" w:lineRule="exact"/>
        <w:rPr>
          <w:rFonts w:ascii="Arial" w:cs="Arial" w:eastAsia="Arial" w:hAnsi="Arial"/>
          <w:sz w:val="18"/>
          <w:szCs w:val="18"/>
          <w:b w:val="1"/>
          <w:bCs w:val="1"/>
          <w:color w:val="auto"/>
        </w:rPr>
      </w:pPr>
    </w:p>
    <w:p>
      <w:pPr>
        <w:ind w:left="512" w:right="1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Based upon the most recent information available to the Company regarding such claims, there were a total of 194 cases pending against the Company as of June 30, 2020 (with Illinois, New York, Pennsylvania and West Virginia having the largest number of cases), as compared with 209 cases that were pending as of December 31, 2019. During the six-months ended June 30, 2020, 38 new cases were filed against the Company, and the Company was dismissed from 49 cases and settled four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66"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Other</w:t>
      </w:r>
    </w:p>
    <w:p>
      <w:pPr>
        <w:spacing w:after="0" w:line="225" w:lineRule="exact"/>
        <w:rPr>
          <w:rFonts w:ascii="Arial" w:cs="Arial" w:eastAsia="Arial" w:hAnsi="Arial"/>
          <w:sz w:val="18"/>
          <w:szCs w:val="18"/>
          <w:b w:val="1"/>
          <w:bCs w:val="1"/>
          <w:color w:val="auto"/>
        </w:rPr>
      </w:pPr>
    </w:p>
    <w:p>
      <w:pPr>
        <w:ind w:left="51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rFonts w:ascii="Arial" w:cs="Arial" w:eastAsia="Arial" w:hAnsi="Arial"/>
          <w:sz w:val="18"/>
          <w:szCs w:val="18"/>
          <w:b w:val="1"/>
          <w:bCs w:val="1"/>
          <w:color w:val="auto"/>
        </w:rPr>
      </w:pPr>
    </w:p>
    <w:p>
      <w:pPr>
        <w:ind w:left="51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6" w:lineRule="exact"/>
        <w:rPr>
          <w:rFonts w:ascii="Arial" w:cs="Arial" w:eastAsia="Arial" w:hAnsi="Arial"/>
          <w:sz w:val="18"/>
          <w:szCs w:val="18"/>
          <w:b w:val="1"/>
          <w:bCs w:val="1"/>
          <w:color w:val="auto"/>
        </w:rPr>
      </w:pPr>
    </w:p>
    <w:p>
      <w:pPr>
        <w:ind w:left="512"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4" w:name="page15"/>
    <w:bookmarkEnd w:id="14"/>
    <w:p>
      <w:pPr>
        <w:ind w:left="452" w:hanging="452"/>
        <w:spacing w:after="0"/>
        <w:tabs>
          <w:tab w:leader="none" w:pos="4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329"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Environmental Integrated Solutions</w:t>
      </w:r>
    </w:p>
    <w:p>
      <w:pPr>
        <w:spacing w:after="0" w:line="117" w:lineRule="exact"/>
        <w:rPr>
          <w:sz w:val="20"/>
          <w:szCs w:val="20"/>
          <w:color w:val="auto"/>
        </w:rPr>
      </w:pPr>
    </w:p>
    <w:p>
      <w:pPr>
        <w:ind w:left="512"/>
        <w:spacing w:after="0" w:line="257" w:lineRule="auto"/>
        <w:rPr>
          <w:sz w:val="20"/>
          <w:szCs w:val="20"/>
          <w:color w:val="auto"/>
        </w:rPr>
      </w:pPr>
      <w:r>
        <w:rPr>
          <w:rFonts w:ascii="Arial" w:cs="Arial" w:eastAsia="Arial" w:hAnsi="Arial"/>
          <w:sz w:val="18"/>
          <w:szCs w:val="18"/>
          <w:color w:val="auto"/>
        </w:rPr>
        <w:t>On June 4, 2020, the Company acquired 100% of the equity interests of Environmental Integrated Solutions (“EIS”) for $10.3 million in cash, which was financed with an additional draw on our revolving credit facility. As additional consideration, the former owners are entitled to earn-out payments based upon a multiple of specified financial results through December 31, 2021. Based on projections at the acquisition date, the Company estimated the fair value of the earn-out to be $0.6 million; the earn-out liability is recorded in “Accounts payable and accrued expenses” on the Condensed Consolidated Balance Sheets.</w:t>
      </w:r>
    </w:p>
    <w:p>
      <w:pPr>
        <w:spacing w:after="0" w:line="80" w:lineRule="exact"/>
        <w:rPr>
          <w:sz w:val="20"/>
          <w:szCs w:val="20"/>
          <w:color w:val="auto"/>
        </w:rPr>
      </w:pPr>
    </w:p>
    <w:p>
      <w:pPr>
        <w:ind w:left="512" w:right="80"/>
        <w:spacing w:after="0" w:line="263" w:lineRule="auto"/>
        <w:rPr>
          <w:sz w:val="20"/>
          <w:szCs w:val="20"/>
          <w:color w:val="auto"/>
        </w:rPr>
      </w:pPr>
      <w:r>
        <w:rPr>
          <w:rFonts w:ascii="Arial" w:cs="Arial" w:eastAsia="Arial" w:hAnsi="Arial"/>
          <w:sz w:val="18"/>
          <w:szCs w:val="18"/>
          <w:color w:val="auto"/>
        </w:rPr>
        <w:t>EIS engineers products that clean air through a variety of technologies including volatile organic compounds (“VOC”) abatement, odor control, and other air pollution control solutions, which complements our Industrial Solutions Segment businesses. The following table summarizes the approximate fair values of the assets acquired and liabilities assumed at the date of closing.</w:t>
      </w:r>
    </w:p>
    <w:p>
      <w:pPr>
        <w:spacing w:after="0" w:line="364" w:lineRule="exact"/>
        <w:rPr>
          <w:sz w:val="20"/>
          <w:szCs w:val="20"/>
          <w:color w:val="auto"/>
        </w:rPr>
      </w:pPr>
    </w:p>
    <w:tbl>
      <w:tblPr>
        <w:tblLayout w:type="fixed"/>
        <w:tblInd w:w="552" w:type="dxa"/>
        <w:tblCellMar>
          <w:top w:w="0" w:type="dxa"/>
          <w:left w:w="0" w:type="dxa"/>
          <w:bottom w:w="0" w:type="dxa"/>
          <w:right w:w="0" w:type="dxa"/>
        </w:tblCellMar>
      </w:tblPr>
      <w:tr>
        <w:trPr>
          <w:trHeight w:val="170"/>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(table only in thousands)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Current assets (including cash of $4,212)</w:t>
            </w:r>
          </w:p>
        </w:tc>
        <w:tc>
          <w:tcPr>
            <w:tcW w:w="680" w:type="dxa"/>
            <w:vAlign w:val="bottom"/>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 finite life</w:t>
            </w: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18,348</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(6,514)</w:t>
            </w:r>
          </w:p>
        </w:tc>
      </w:tr>
      <w:tr>
        <w:trPr>
          <w:trHeight w:val="229"/>
        </w:trPr>
        <w:tc>
          <w:tcPr>
            <w:tcW w:w="20" w:type="dxa"/>
            <w:vAlign w:val="bottom"/>
          </w:tcPr>
          <w:p>
            <w:pPr>
              <w:spacing w:after="0"/>
              <w:rPr>
                <w:sz w:val="19"/>
                <w:szCs w:val="19"/>
                <w:color w:val="auto"/>
              </w:rPr>
            </w:pPr>
          </w:p>
        </w:tc>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(920)</w:t>
            </w: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512" w:right="20"/>
        <w:spacing w:after="0" w:line="301" w:lineRule="auto"/>
        <w:rPr>
          <w:sz w:val="20"/>
          <w:szCs w:val="20"/>
          <w:color w:val="auto"/>
        </w:rPr>
      </w:pPr>
      <w:r>
        <w:rPr>
          <w:rFonts w:ascii="Arial" w:cs="Arial" w:eastAsia="Arial" w:hAnsi="Arial"/>
          <w:sz w:val="16"/>
          <w:szCs w:val="16"/>
          <w:color w:val="auto"/>
        </w:rPr>
        <w:t>The approximate fair values of the assets acquired and liabilities assumed related to the above acquisition are based on preliminary estimates and assumptions. These preliminary estimates and assumptions could change significantly during the purchase price measurement period as we finalize the valuations of the assets acquired and liabilities assumed. Such changes could result in material variances between the Company’s future financial results, including variances in the estimated purchase price, fair values recorded and expenses associated with these items.</w:t>
      </w:r>
    </w:p>
    <w:p>
      <w:pPr>
        <w:spacing w:after="0" w:line="49" w:lineRule="exact"/>
        <w:rPr>
          <w:sz w:val="20"/>
          <w:szCs w:val="20"/>
          <w:color w:val="auto"/>
        </w:rPr>
      </w:pPr>
    </w:p>
    <w:p>
      <w:pPr>
        <w:ind w:left="512" w:right="120"/>
        <w:spacing w:after="0" w:line="263"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76" w:lineRule="exact"/>
        <w:rPr>
          <w:sz w:val="20"/>
          <w:szCs w:val="20"/>
          <w:color w:val="auto"/>
        </w:rPr>
      </w:pPr>
    </w:p>
    <w:p>
      <w:pPr>
        <w:ind w:left="512" w:right="480"/>
        <w:spacing w:after="0" w:line="277" w:lineRule="auto"/>
        <w:rPr>
          <w:sz w:val="20"/>
          <w:szCs w:val="20"/>
          <w:color w:val="auto"/>
        </w:rPr>
      </w:pPr>
      <w:r>
        <w:rPr>
          <w:rFonts w:ascii="Arial" w:cs="Arial" w:eastAsia="Arial" w:hAnsi="Arial"/>
          <w:sz w:val="18"/>
          <w:szCs w:val="18"/>
          <w:color w:val="auto"/>
        </w:rPr>
        <w:t>The Company acquired customer lists and tradename intangible assets valued at $4.2 million and $0.6 million, respectively. These assets were determined to have useful lives of 10 years.</w:t>
      </w:r>
    </w:p>
    <w:p>
      <w:pPr>
        <w:spacing w:after="0" w:line="62" w:lineRule="exact"/>
        <w:rPr>
          <w:sz w:val="20"/>
          <w:szCs w:val="20"/>
          <w:color w:val="auto"/>
        </w:rPr>
      </w:pPr>
    </w:p>
    <w:p>
      <w:pPr>
        <w:ind w:left="512" w:right="120"/>
        <w:spacing w:after="0" w:line="263" w:lineRule="auto"/>
        <w:rPr>
          <w:sz w:val="20"/>
          <w:szCs w:val="20"/>
          <w:color w:val="auto"/>
        </w:rPr>
      </w:pPr>
      <w:r>
        <w:rPr>
          <w:rFonts w:ascii="Arial" w:cs="Arial" w:eastAsia="Arial" w:hAnsi="Arial"/>
          <w:sz w:val="18"/>
          <w:szCs w:val="18"/>
          <w:color w:val="auto"/>
        </w:rPr>
        <w:t>Acquisition and integration expenses on the Condensed Consolidated Statements of Income are related to acquisition activities, which include retention, legal, accounting, banking, and other expenses. For the three months ended June 30, 2020, EIS accounted for $0.5 million in revenue and $0.2 million of net income included in the Company’s results.</w:t>
      </w:r>
    </w:p>
    <w:p>
      <w:pPr>
        <w:spacing w:after="0" w:line="184" w:lineRule="exact"/>
        <w:rPr>
          <w:sz w:val="20"/>
          <w:szCs w:val="20"/>
          <w:color w:val="auto"/>
        </w:rPr>
      </w:pPr>
    </w:p>
    <w:p>
      <w:pPr>
        <w:ind w:left="512"/>
        <w:spacing w:after="0"/>
        <w:rPr>
          <w:sz w:val="20"/>
          <w:szCs w:val="20"/>
          <w:color w:val="auto"/>
        </w:rPr>
      </w:pPr>
      <w:r>
        <w:rPr>
          <w:rFonts w:ascii="Arial" w:cs="Arial" w:eastAsia="Arial" w:hAnsi="Arial"/>
          <w:sz w:val="16"/>
          <w:szCs w:val="16"/>
          <w:color w:val="auto"/>
        </w:rPr>
        <w:t>The following unaudited pro forma financial information represents the Company’s results of operations as if the EIS acquisition had occurred on</w:t>
      </w:r>
    </w:p>
    <w:p>
      <w:pPr>
        <w:spacing w:after="0" w:line="46" w:lineRule="exact"/>
        <w:rPr>
          <w:sz w:val="20"/>
          <w:szCs w:val="20"/>
          <w:color w:val="auto"/>
        </w:rPr>
      </w:pPr>
    </w:p>
    <w:p>
      <w:pPr>
        <w:ind w:left="512"/>
        <w:spacing w:after="0"/>
        <w:rPr>
          <w:sz w:val="20"/>
          <w:szCs w:val="20"/>
          <w:color w:val="auto"/>
        </w:rPr>
      </w:pPr>
      <w:r>
        <w:rPr>
          <w:rFonts w:ascii="Arial" w:cs="Arial" w:eastAsia="Arial" w:hAnsi="Arial"/>
          <w:sz w:val="18"/>
          <w:szCs w:val="18"/>
          <w:color w:val="auto"/>
        </w:rPr>
        <w:t>January 1, 2019:</w:t>
      </w:r>
    </w:p>
    <w:p>
      <w:pPr>
        <w:spacing w:after="0" w:line="283"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(table in thousands, except per share data)</w:t>
            </w:r>
          </w:p>
        </w:tc>
        <w:tc>
          <w:tcPr>
            <w:tcW w:w="1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1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78,256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86,086</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8,150</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tcPr>
          <w:p>
            <w:pPr>
              <w:ind w:left="48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left="512" w:right="20"/>
        <w:spacing w:after="0" w:line="263" w:lineRule="auto"/>
        <w:rPr>
          <w:sz w:val="20"/>
          <w:szCs w:val="20"/>
          <w:color w:val="auto"/>
        </w:rPr>
      </w:pPr>
      <w:r>
        <w:rPr>
          <w:rFonts w:ascii="Arial" w:cs="Arial" w:eastAsia="Arial" w:hAnsi="Arial"/>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15" w:name="page16"/>
    <w:bookmarkEnd w:id="15"/>
    <w:p>
      <w:pPr>
        <w:ind w:left="512" w:right="20"/>
        <w:spacing w:after="0" w:line="277" w:lineRule="auto"/>
        <w:rPr>
          <w:sz w:val="20"/>
          <w:szCs w:val="20"/>
          <w:color w:val="auto"/>
        </w:rPr>
      </w:pPr>
      <w:r>
        <w:rPr>
          <w:rFonts w:ascii="Arial" w:cs="Arial" w:eastAsia="Arial" w:hAnsi="Arial"/>
          <w:sz w:val="18"/>
          <w:szCs w:val="18"/>
          <w:color w:val="auto"/>
        </w:rPr>
        <w:t>operations that would have occurred had the purchase been made as of the beginning of the periods presented or of the results of operations that may occur in the future.</w:t>
      </w:r>
    </w:p>
    <w:p>
      <w:pPr>
        <w:spacing w:after="0" w:line="274" w:lineRule="exact"/>
        <w:rPr>
          <w:sz w:val="20"/>
          <w:szCs w:val="20"/>
          <w:color w:val="auto"/>
        </w:rPr>
      </w:pPr>
    </w:p>
    <w:p>
      <w:pPr>
        <w:ind w:left="492" w:hanging="492"/>
        <w:spacing w:after="0"/>
        <w:tabs>
          <w:tab w:leader="none" w:pos="49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12" w:right="4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the “Income from operations” line on the Condensed Consolidated Statements of Income.</w:t>
      </w:r>
    </w:p>
    <w:p>
      <w:pPr>
        <w:spacing w:after="0" w:line="7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1" w:lineRule="exact"/>
        <w:rPr>
          <w:rFonts w:ascii="Arial" w:cs="Arial" w:eastAsia="Arial" w:hAnsi="Arial"/>
          <w:sz w:val="18"/>
          <w:szCs w:val="18"/>
          <w:b w:val="1"/>
          <w:bCs w:val="1"/>
          <w:color w:val="auto"/>
        </w:rPr>
      </w:pPr>
    </w:p>
    <w:p>
      <w:pPr>
        <w:jc w:val="both"/>
        <w:ind w:left="512" w:right="1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w:t>
      </w:r>
      <w:r>
        <w:rPr>
          <w:rFonts w:ascii="Arial" w:cs="Arial" w:eastAsia="Arial" w:hAnsi="Arial"/>
          <w:sz w:val="18"/>
          <w:szCs w:val="18"/>
          <w:b w:val="1"/>
          <w:bCs w:val="1"/>
          <w:color w:val="auto"/>
        </w:rPr>
        <w:t xml:space="preserve"> </w:t>
      </w:r>
      <w:r>
        <w:rPr>
          <w:rFonts w:ascii="Arial" w:cs="Arial" w:eastAsia="Arial" w:hAnsi="Arial"/>
          <w:sz w:val="18"/>
          <w:szCs w:val="18"/>
          <w:color w:val="auto"/>
        </w:rPr>
        <w:t>for Clean Energy through our highly engineered and tailored emissions management, silencers and separation solutions and services. Our offerings improve air quality and solves fluid handling needs with market leading technologies, efficiently designed, and customized solutions for the power generation, oil &amp; gas, and petrochemical industries.</w:t>
      </w:r>
    </w:p>
    <w:p>
      <w:pPr>
        <w:spacing w:after="0" w:line="179" w:lineRule="exact"/>
        <w:rPr>
          <w:rFonts w:ascii="Arial" w:cs="Arial" w:eastAsia="Arial" w:hAnsi="Arial"/>
          <w:sz w:val="18"/>
          <w:szCs w:val="18"/>
          <w:b w:val="1"/>
          <w:bCs w:val="1"/>
          <w:color w:val="auto"/>
        </w:rPr>
      </w:pPr>
    </w:p>
    <w:p>
      <w:pPr>
        <w:ind w:left="512" w:right="2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Industrial Solutions segment: </w:t>
      </w:r>
      <w:r>
        <w:rPr>
          <w:rFonts w:ascii="Arial" w:cs="Arial" w:eastAsia="Arial" w:hAnsi="Arial"/>
          <w:sz w:val="18"/>
          <w:szCs w:val="18"/>
          <w:color w:val="auto"/>
        </w:rPr>
        <w:t>Our Industrial Solutions segment serves the Air Pollution Control market where our aim is to address the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protect the air we breathe and help our customers’ desires for sustainability upgrades beyond carbon footprint issues. Our clean air pollution control, collection and ventilation technologies improve air quality with a compelling solution that enable our customers to reduce their carbon footprint, lower energy consumption, minimize waste and meet compliance targets for toxic emissions, fumes, volatile organic compounds, and industrial odors.</w:t>
      </w:r>
    </w:p>
    <w:p>
      <w:pPr>
        <w:spacing w:after="0" w:line="183" w:lineRule="exact"/>
        <w:rPr>
          <w:rFonts w:ascii="Arial" w:cs="Arial" w:eastAsia="Arial" w:hAnsi="Arial"/>
          <w:sz w:val="18"/>
          <w:szCs w:val="18"/>
          <w:b w:val="1"/>
          <w:bCs w:val="1"/>
          <w:color w:val="auto"/>
        </w:rPr>
      </w:pPr>
    </w:p>
    <w:p>
      <w:pPr>
        <w:ind w:left="512"/>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 clean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3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financial segment information is presented in the following tables:</w:t>
      </w:r>
    </w:p>
    <w:p>
      <w:pPr>
        <w:spacing w:after="0" w:line="298" w:lineRule="exact"/>
        <w:rPr>
          <w:sz w:val="20"/>
          <w:szCs w:val="20"/>
          <w:color w:val="auto"/>
        </w:rPr>
      </w:pPr>
    </w:p>
    <w:tbl>
      <w:tblPr>
        <w:tblLayout w:type="fixed"/>
        <w:tblInd w:w="552" w:type="dxa"/>
        <w:tblCellMar>
          <w:top w:w="0" w:type="dxa"/>
          <w:left w:w="0" w:type="dxa"/>
          <w:bottom w:w="0" w:type="dxa"/>
          <w:right w:w="0" w:type="dxa"/>
        </w:tblCellMar>
      </w:tblPr>
      <w:tr>
        <w:trPr>
          <w:trHeight w:val="17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6"/>
        </w:trPr>
        <w:tc>
          <w:tcPr>
            <w:tcW w:w="400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49,074</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50,572</w:t>
            </w:r>
          </w:p>
        </w:tc>
        <w:tc>
          <w:tcPr>
            <w:tcW w:w="1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99,720</w:t>
            </w:r>
          </w:p>
        </w:tc>
        <w:tc>
          <w:tcPr>
            <w:tcW w:w="2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Fluid Handling Solutions Segment</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sales</w:t>
            </w:r>
          </w:p>
        </w:tc>
        <w:tc>
          <w:tcPr>
            <w:tcW w:w="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Three months ended June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0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8,646</w:t>
            </w:r>
          </w:p>
        </w:tc>
        <w:tc>
          <w:tcPr>
            <w:tcW w:w="14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6,351</w:t>
            </w:r>
          </w:p>
        </w:tc>
        <w:tc>
          <w:tcPr>
            <w:tcW w:w="1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17,203</w:t>
            </w:r>
          </w:p>
        </w:tc>
        <w:tc>
          <w:tcPr>
            <w:tcW w:w="2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(6,329)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(13,502)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40"/>
              <w:spacing w:after="0"/>
              <w:rPr>
                <w:sz w:val="20"/>
                <w:szCs w:val="20"/>
                <w:color w:val="auto"/>
              </w:rPr>
            </w:pPr>
            <w:r>
              <w:rPr>
                <w:rFonts w:ascii="Arial" w:cs="Arial" w:eastAsia="Arial" w:hAnsi="Arial"/>
                <w:sz w:val="18"/>
                <w:szCs w:val="18"/>
                <w:color w:val="auto"/>
              </w:rPr>
              <w:t>Income from operations</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752" w:hanging="752"/>
        <w:spacing w:after="0"/>
        <w:tabs>
          <w:tab w:leader="none" w:pos="752" w:val="left"/>
        </w:tabs>
        <w:numPr>
          <w:ilvl w:val="0"/>
          <w:numId w:val="13"/>
        </w:numPr>
        <w:rPr>
          <w:rFonts w:ascii="Arial" w:cs="Arial" w:eastAsia="Arial" w:hAnsi="Arial"/>
          <w:sz w:val="14"/>
          <w:szCs w:val="14"/>
          <w:color w:val="auto"/>
        </w:rPr>
      </w:pPr>
      <w:r>
        <w:rPr>
          <w:rFonts w:ascii="Arial" w:cs="Arial" w:eastAsia="Arial" w:hAnsi="Arial"/>
          <w:sz w:val="17"/>
          <w:szCs w:val="17"/>
          <w:color w:val="auto"/>
        </w:rPr>
        <w:t>Includes corporate compensation, professional services, information technology, and other general and administrative corporate expenses.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49" w:lineRule="exact"/>
        <w:rPr>
          <w:rFonts w:ascii="Arial" w:cs="Arial" w:eastAsia="Arial" w:hAnsi="Arial"/>
          <w:sz w:val="14"/>
          <w:szCs w:val="14"/>
          <w:color w:val="auto"/>
        </w:rPr>
      </w:pPr>
    </w:p>
    <w:p>
      <w:pPr>
        <w:ind w:left="5532"/>
        <w:spacing w:after="0"/>
        <w:rPr>
          <w:rFonts w:ascii="Arial" w:cs="Arial" w:eastAsia="Arial" w:hAnsi="Arial"/>
          <w:sz w:val="14"/>
          <w:szCs w:val="14"/>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6" w:name="page17"/>
    <w:bookmarkEnd w:id="16"/>
    <w:tbl>
      <w:tblPr>
        <w:tblLayout w:type="fixed"/>
        <w:tblInd w:w="560" w:type="dxa"/>
        <w:tblCellMar>
          <w:top w:w="0" w:type="dxa"/>
          <w:left w:w="0" w:type="dxa"/>
          <w:bottom w:w="0" w:type="dxa"/>
          <w:right w:w="0" w:type="dxa"/>
        </w:tblCellMar>
      </w:tblPr>
      <w:tr>
        <w:trPr>
          <w:trHeight w:val="17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right"/>
              <w:ind w:right="287"/>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Pr>
          <w:p>
            <w:pPr>
              <w:spacing w:after="0"/>
              <w:rPr>
                <w:sz w:val="14"/>
                <w:szCs w:val="14"/>
                <w:color w:val="auto"/>
              </w:rPr>
            </w:pPr>
          </w:p>
        </w:tc>
        <w:tc>
          <w:tcPr>
            <w:tcW w:w="2600" w:type="dxa"/>
            <w:vAlign w:val="bottom"/>
            <w:gridSpan w:val="11"/>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6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72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Property and equipment additions</w:t>
            </w:r>
          </w:p>
        </w:tc>
        <w:tc>
          <w:tcPr>
            <w:tcW w:w="10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1,992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287"/>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Pr>
          <w:p>
            <w:pPr>
              <w:spacing w:after="0"/>
              <w:rPr>
                <w:sz w:val="24"/>
                <w:szCs w:val="24"/>
                <w:color w:val="auto"/>
              </w:rPr>
            </w:pPr>
          </w:p>
        </w:tc>
        <w:tc>
          <w:tcPr>
            <w:tcW w:w="2600" w:type="dxa"/>
            <w:vAlign w:val="bottom"/>
            <w:gridSpan w:val="11"/>
          </w:tcPr>
          <w:p>
            <w:pPr>
              <w:ind w:lef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78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36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72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2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1,224</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8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4"/>
              </w:rPr>
              <w:t>2,445</w:t>
            </w:r>
          </w:p>
        </w:tc>
        <w:tc>
          <w:tcPr>
            <w:tcW w:w="200" w:type="dxa"/>
            <w:vAlign w:val="bottom"/>
          </w:tcPr>
          <w:p>
            <w:pPr>
              <w:spacing w:after="0"/>
              <w:rPr>
                <w:sz w:val="19"/>
                <w:szCs w:val="19"/>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4"/>
              </w:rPr>
              <w:t>1,263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4,648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260,184</w:t>
            </w:r>
          </w:p>
        </w:tc>
        <w:tc>
          <w:tcPr>
            <w:tcW w:w="80" w:type="dxa"/>
            <w:vAlign w:val="bottom"/>
          </w:tcPr>
          <w:p>
            <w:pPr>
              <w:spacing w:after="0"/>
              <w:rPr>
                <w:sz w:val="19"/>
                <w:szCs w:val="19"/>
                <w:color w:val="auto"/>
              </w:rPr>
            </w:pPr>
          </w:p>
        </w:tc>
        <w:tc>
          <w:tcPr>
            <w:tcW w:w="42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254,752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74,303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68,653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15,252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Identifiable assets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418,392</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Corporate and Other assets consist primarily of cash and income tax related assets.</w:t>
      </w: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2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1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97,072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97,007</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1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Goodwill</w:t>
            </w:r>
          </w:p>
        </w:tc>
        <w:tc>
          <w:tcPr>
            <w:tcW w:w="1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159,107</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20" w:right="32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2"/>
              </w:rPr>
              <w:t>Three months ended June 30, 2020</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181"/>
              <w:spacing w:after="0"/>
              <w:rPr>
                <w:sz w:val="20"/>
                <w:szCs w:val="20"/>
                <w:color w:val="auto"/>
              </w:rPr>
            </w:pPr>
            <w:r>
              <w:rPr>
                <w:rFonts w:ascii="Arial" w:cs="Arial" w:eastAsia="Arial" w:hAnsi="Arial"/>
                <w:sz w:val="14"/>
                <w:szCs w:val="14"/>
                <w:b w:val="1"/>
                <w:bCs w:val="1"/>
                <w:color w:val="auto"/>
              </w:rPr>
              <w:t>Intra-</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spacing w:after="0" w:line="155" w:lineRule="exact"/>
              <w:rPr>
                <w:sz w:val="20"/>
                <w:szCs w:val="20"/>
                <w:color w:val="auto"/>
              </w:rPr>
            </w:pPr>
            <w:r>
              <w:rPr>
                <w:rFonts w:ascii="Arial" w:cs="Arial" w:eastAsia="Arial" w:hAnsi="Arial"/>
                <w:sz w:val="14"/>
                <w:szCs w:val="14"/>
                <w:b w:val="1"/>
                <w:bCs w:val="1"/>
                <w:color w:val="auto"/>
                <w:w w:val="90"/>
              </w:rPr>
              <w:t>Less Inter-Segment Sales</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Net Sales to</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Segment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w w:val="98"/>
              </w:rPr>
              <w:t>Industrial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Fluid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Outside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Sales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1"/>
              </w:rPr>
              <w:t>Sales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Customers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6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52,369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
              <w:spacing w:after="0"/>
              <w:rPr>
                <w:sz w:val="20"/>
                <w:szCs w:val="20"/>
                <w:color w:val="auto"/>
              </w:rPr>
            </w:pPr>
            <w:r>
              <w:rPr>
                <w:rFonts w:ascii="Arial" w:cs="Arial" w:eastAsia="Arial" w:hAnsi="Arial"/>
                <w:sz w:val="18"/>
                <w:szCs w:val="18"/>
                <w:color w:val="auto"/>
              </w:rPr>
              <w:t>(106)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49,074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16,664</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9,629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8"/>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7" w:name="page18"/>
    <w:bookmarkEnd w:id="17"/>
    <w:tbl>
      <w:tblPr>
        <w:tblLayout w:type="fixed"/>
        <w:tblInd w:w="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5"/>
          </w:tcPr>
          <w:p>
            <w:pPr>
              <w:jc w:val="right"/>
              <w:ind w:right="121"/>
              <w:spacing w:after="0"/>
              <w:rPr>
                <w:sz w:val="20"/>
                <w:szCs w:val="20"/>
                <w:color w:val="auto"/>
              </w:rPr>
            </w:pPr>
            <w:r>
              <w:rPr>
                <w:rFonts w:ascii="Arial" w:cs="Arial" w:eastAsia="Arial" w:hAnsi="Arial"/>
                <w:sz w:val="14"/>
                <w:szCs w:val="14"/>
                <w:b w:val="1"/>
                <w:bCs w:val="1"/>
                <w:color w:val="auto"/>
                <w:w w:val="91"/>
              </w:rPr>
              <w:t>Three months ended June 30, 2019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restart"/>
          </w:tcPr>
          <w:p>
            <w:pPr>
              <w:jc w:val="center"/>
              <w:ind w:right="221"/>
              <w:spacing w:after="0"/>
              <w:rPr>
                <w:sz w:val="20"/>
                <w:szCs w:val="20"/>
                <w:color w:val="auto"/>
              </w:rPr>
            </w:pPr>
            <w:r>
              <w:rPr>
                <w:rFonts w:ascii="Arial" w:cs="Arial" w:eastAsia="Arial" w:hAnsi="Arial"/>
                <w:sz w:val="14"/>
                <w:szCs w:val="14"/>
                <w:b w:val="1"/>
                <w:bCs w:val="1"/>
                <w:color w:val="auto"/>
              </w:rPr>
              <w:t>Intra-</w:t>
            </w: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12"/>
          </w:tcPr>
          <w:p>
            <w:pPr>
              <w:jc w:val="right"/>
              <w:ind w:right="7"/>
              <w:spacing w:after="0" w:line="155" w:lineRule="exact"/>
              <w:rPr>
                <w:sz w:val="20"/>
                <w:szCs w:val="20"/>
                <w:color w:val="auto"/>
              </w:rPr>
            </w:pPr>
            <w:r>
              <w:rPr>
                <w:rFonts w:ascii="Arial" w:cs="Arial" w:eastAsia="Arial" w:hAnsi="Arial"/>
                <w:sz w:val="14"/>
                <w:szCs w:val="14"/>
                <w:b w:val="1"/>
                <w:bCs w:val="1"/>
                <w:color w:val="auto"/>
                <w:w w:val="89"/>
              </w:rPr>
              <w:t>Less Inter-Segment Sales</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221"/>
              <w:spacing w:after="0" w:line="149" w:lineRule="exact"/>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Industrial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jc w:val="right"/>
              <w:ind w:right="321"/>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Fluid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Sales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221"/>
              <w:spacing w:after="0"/>
              <w:rPr>
                <w:sz w:val="20"/>
                <w:szCs w:val="20"/>
                <w:color w:val="auto"/>
              </w:rPr>
            </w:pPr>
            <w:r>
              <w:rPr>
                <w:rFonts w:ascii="Arial" w:cs="Arial" w:eastAsia="Arial" w:hAnsi="Arial"/>
                <w:sz w:val="14"/>
                <w:szCs w:val="14"/>
                <w:b w:val="1"/>
                <w:bCs w:val="1"/>
                <w:color w:val="auto"/>
                <w:w w:val="87"/>
              </w:rPr>
              <w:t>Sales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51,656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
              <w:spacing w:after="0"/>
              <w:rPr>
                <w:sz w:val="20"/>
                <w:szCs w:val="20"/>
                <w:color w:val="auto"/>
              </w:rPr>
            </w:pPr>
            <w:r>
              <w:rPr>
                <w:rFonts w:ascii="Arial" w:cs="Arial" w:eastAsia="Arial" w:hAnsi="Arial"/>
                <w:sz w:val="18"/>
                <w:szCs w:val="18"/>
                <w:color w:val="auto"/>
              </w:rPr>
              <w:t>(973)</w:t>
            </w:r>
          </w:p>
        </w:tc>
        <w:tc>
          <w:tcPr>
            <w:tcW w:w="280" w:type="dxa"/>
            <w:vAlign w:val="bottom"/>
            <w:gridSpan w:val="4"/>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48"/>
              <w:spacing w:after="0"/>
              <w:rPr>
                <w:sz w:val="20"/>
                <w:szCs w:val="20"/>
                <w:color w:val="auto"/>
              </w:rPr>
            </w:pPr>
            <w:r>
              <w:rPr>
                <w:rFonts w:ascii="Arial" w:cs="Arial" w:eastAsia="Arial" w:hAnsi="Arial"/>
                <w:sz w:val="18"/>
                <w:szCs w:val="18"/>
                <w:color w:val="auto"/>
              </w:rPr>
              <w:t>(111)</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22,702</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48"/>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85,308</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0"/>
              </w:rPr>
              <w:t>(3,113</w:t>
            </w:r>
          </w:p>
        </w:tc>
        <w:tc>
          <w:tcPr>
            <w:tcW w:w="140" w:type="dxa"/>
            <w:vAlign w:val="bottom"/>
            <w:tcBorders>
              <w:top w:val="single" w:sz="8" w:color="CFF0FC"/>
              <w:bottom w:val="single" w:sz="8" w:color="CFF0FC"/>
            </w:tcBorders>
            <w:gridSpan w:val="3"/>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3"/>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5"/>
          </w:tcPr>
          <w:p>
            <w:pPr>
              <w:ind w:left="140"/>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restart"/>
          </w:tcPr>
          <w:p>
            <w:pPr>
              <w:jc w:val="center"/>
              <w:ind w:right="141"/>
              <w:spacing w:after="0"/>
              <w:rPr>
                <w:sz w:val="20"/>
                <w:szCs w:val="20"/>
                <w:color w:val="auto"/>
              </w:rPr>
            </w:pPr>
            <w:r>
              <w:rPr>
                <w:rFonts w:ascii="Arial" w:cs="Arial" w:eastAsia="Arial" w:hAnsi="Arial"/>
                <w:sz w:val="14"/>
                <w:szCs w:val="14"/>
                <w:b w:val="1"/>
                <w:bCs w:val="1"/>
                <w:color w:val="auto"/>
              </w:rPr>
              <w:t>Intra-</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11"/>
          </w:tcPr>
          <w:p>
            <w:pPr>
              <w:jc w:val="right"/>
              <w:spacing w:after="0" w:line="155" w:lineRule="exact"/>
              <w:rPr>
                <w:sz w:val="20"/>
                <w:szCs w:val="20"/>
                <w:color w:val="auto"/>
              </w:rPr>
            </w:pPr>
            <w:r>
              <w:rPr>
                <w:rFonts w:ascii="Arial" w:cs="Arial" w:eastAsia="Arial" w:hAnsi="Arial"/>
                <w:sz w:val="14"/>
                <w:szCs w:val="14"/>
                <w:b w:val="1"/>
                <w:bCs w:val="1"/>
                <w:color w:val="auto"/>
                <w:w w:val="89"/>
              </w:rPr>
              <w:t>Less Inter-Segment Sales</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141"/>
              <w:spacing w:after="0" w:line="149" w:lineRule="exact"/>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w w:val="98"/>
              </w:rPr>
              <w:t>Industrial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Fluid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141"/>
              <w:spacing w:after="0"/>
              <w:rPr>
                <w:sz w:val="20"/>
                <w:szCs w:val="20"/>
                <w:color w:val="auto"/>
              </w:rPr>
            </w:pPr>
            <w:r>
              <w:rPr>
                <w:rFonts w:ascii="Arial" w:cs="Arial" w:eastAsia="Arial" w:hAnsi="Arial"/>
                <w:sz w:val="14"/>
                <w:szCs w:val="14"/>
                <w:b w:val="1"/>
                <w:bCs w:val="1"/>
                <w:color w:val="auto"/>
                <w:w w:val="87"/>
              </w:rPr>
              <w:t>Sales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107,978</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(7,790)</w:t>
            </w:r>
          </w:p>
        </w:tc>
        <w:tc>
          <w:tcPr>
            <w:tcW w:w="280" w:type="dxa"/>
            <w:vAlign w:val="bottom"/>
            <w:gridSpan w:val="4"/>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4"/>
          </w:tcPr>
          <w:p>
            <w:pPr>
              <w:jc w:val="right"/>
              <w:ind w:right="28"/>
              <w:spacing w:after="0"/>
              <w:rPr>
                <w:sz w:val="20"/>
                <w:szCs w:val="20"/>
                <w:color w:val="auto"/>
              </w:rPr>
            </w:pPr>
            <w:r>
              <w:rPr>
                <w:rFonts w:ascii="Arial" w:cs="Arial" w:eastAsia="Arial" w:hAnsi="Arial"/>
                <w:sz w:val="18"/>
                <w:szCs w:val="18"/>
                <w:color w:val="auto"/>
              </w:rPr>
              <w:t>(229)</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(239)</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44,950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(7,124)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19,378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2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Net Sales</w:t>
            </w:r>
          </w:p>
        </w:tc>
        <w:tc>
          <w:tcPr>
            <w:tcW w:w="4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172,306</w:t>
            </w:r>
          </w:p>
        </w:tc>
        <w:tc>
          <w:tcPr>
            <w:tcW w:w="2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(15,362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5"/>
          </w:tcPr>
          <w:p>
            <w:pPr>
              <w:ind w:left="120"/>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restart"/>
          </w:tcPr>
          <w:p>
            <w:pPr>
              <w:jc w:val="center"/>
              <w:ind w:right="201"/>
              <w:spacing w:after="0"/>
              <w:rPr>
                <w:sz w:val="20"/>
                <w:szCs w:val="20"/>
                <w:color w:val="auto"/>
              </w:rPr>
            </w:pPr>
            <w:r>
              <w:rPr>
                <w:rFonts w:ascii="Arial" w:cs="Arial" w:eastAsia="Arial" w:hAnsi="Arial"/>
                <w:sz w:val="14"/>
                <w:szCs w:val="14"/>
                <w:b w:val="1"/>
                <w:bCs w:val="1"/>
                <w:color w:val="auto"/>
              </w:rPr>
              <w:t>Intra-</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11"/>
          </w:tcPr>
          <w:p>
            <w:pPr>
              <w:jc w:val="right"/>
              <w:spacing w:after="0" w:line="155" w:lineRule="exact"/>
              <w:rPr>
                <w:sz w:val="20"/>
                <w:szCs w:val="20"/>
                <w:color w:val="auto"/>
              </w:rPr>
            </w:pPr>
            <w:r>
              <w:rPr>
                <w:rFonts w:ascii="Arial" w:cs="Arial" w:eastAsia="Arial" w:hAnsi="Arial"/>
                <w:sz w:val="14"/>
                <w:szCs w:val="14"/>
                <w:b w:val="1"/>
                <w:bCs w:val="1"/>
                <w:color w:val="auto"/>
                <w:w w:val="89"/>
              </w:rPr>
              <w:t>Less Inter-Segment Sales</w:t>
            </w: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201"/>
              <w:spacing w:after="0" w:line="149" w:lineRule="exact"/>
              <w:rPr>
                <w:sz w:val="20"/>
                <w:szCs w:val="20"/>
                <w:color w:val="auto"/>
              </w:rPr>
            </w:pPr>
            <w:r>
              <w:rPr>
                <w:rFonts w:ascii="Arial" w:cs="Arial" w:eastAsia="Arial" w:hAnsi="Arial"/>
                <w:sz w:val="14"/>
                <w:szCs w:val="14"/>
                <w:b w:val="1"/>
                <w:bCs w:val="1"/>
                <w:color w:val="auto"/>
                <w:w w:val="91"/>
              </w:rPr>
              <w:t>Segment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5"/>
              </w:rPr>
              <w:t>Industrial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Fluid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201"/>
              <w:spacing w:after="0"/>
              <w:rPr>
                <w:sz w:val="20"/>
                <w:szCs w:val="20"/>
                <w:color w:val="auto"/>
              </w:rPr>
            </w:pPr>
            <w:r>
              <w:rPr>
                <w:rFonts w:ascii="Arial" w:cs="Arial" w:eastAsia="Arial" w:hAnsi="Arial"/>
                <w:sz w:val="14"/>
                <w:szCs w:val="14"/>
                <w:b w:val="1"/>
                <w:bCs w:val="1"/>
                <w:color w:val="auto"/>
                <w:w w:val="81"/>
              </w:rPr>
              <w:t>Sales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107,806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ind w:left="260"/>
              <w:spacing w:after="0"/>
              <w:rPr>
                <w:sz w:val="20"/>
                <w:szCs w:val="20"/>
                <w:color w:val="auto"/>
              </w:rPr>
            </w:pPr>
            <w:r>
              <w:rPr>
                <w:rFonts w:ascii="Arial" w:cs="Arial" w:eastAsia="Arial" w:hAnsi="Arial"/>
                <w:sz w:val="18"/>
                <w:szCs w:val="18"/>
                <w:color w:val="auto"/>
              </w:rPr>
              <w:t>(1,864)</w:t>
            </w:r>
          </w:p>
        </w:tc>
        <w:tc>
          <w:tcPr>
            <w:tcW w:w="280" w:type="dxa"/>
            <w:vAlign w:val="bottom"/>
            <w:gridSpan w:val="4"/>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gridSpan w:val="4"/>
          </w:tcPr>
          <w:p>
            <w:pPr>
              <w:jc w:val="right"/>
              <w:ind w:right="28"/>
              <w:spacing w:after="0"/>
              <w:rPr>
                <w:sz w:val="20"/>
                <w:szCs w:val="20"/>
                <w:color w:val="auto"/>
              </w:rPr>
            </w:pPr>
            <w:r>
              <w:rPr>
                <w:rFonts w:ascii="Arial" w:cs="Arial" w:eastAsia="Arial" w:hAnsi="Arial"/>
                <w:sz w:val="18"/>
                <w:szCs w:val="18"/>
                <w:color w:val="auto"/>
              </w:rPr>
              <w:t>(170)</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44,524</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(3,977)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4"/>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1"/>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ind w:right="28"/>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Net Sales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175,696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ind w:left="260"/>
              <w:spacing w:after="0"/>
              <w:rPr>
                <w:sz w:val="20"/>
                <w:szCs w:val="20"/>
                <w:color w:val="auto"/>
              </w:rPr>
            </w:pPr>
            <w:r>
              <w:rPr>
                <w:rFonts w:ascii="Arial" w:cs="Arial" w:eastAsia="Arial" w:hAnsi="Arial"/>
                <w:sz w:val="18"/>
                <w:szCs w:val="18"/>
                <w:color w:val="auto"/>
                <w:w w:val="90"/>
              </w:rPr>
              <w:t>(6,575</w:t>
            </w:r>
          </w:p>
        </w:tc>
        <w:tc>
          <w:tcPr>
            <w:tcW w:w="1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60" w:hanging="454"/>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97"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On July 31, 2020, the Company entered into a joint venture agreement (“JV Agreement”) with Mader Machine Co. (“Mader”) in which CECO contributed the net assets of its Effox-Flextor damper business and Mader contributed the net assets of their damper business. Under the terms of the JV Agreement, CECO will hold 70% of the equity in the joint venture, and 50% voting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bookmarkStart w:id="18" w:name="page19"/>
    <w:bookmarkEnd w:id="18"/>
    <w:p>
      <w:pPr>
        <w:jc w:val="center"/>
        <w:spacing w:after="0" w:line="263"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Condensed Consolidated Statements of Income for the three-month and six-month periods ended June 30, 2020 and 2019 reflect the consolidated operations of the Company and its subsidiaries.</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CECO serves diverse industries globally by working to improve air quality, optimize the energy value chain, and provide customized engineered solutions in our customer’s mission critical applications. The secular growth industries CECO serves include oil &amp; gas, power generation, water and wastewater, battery production, poly silicon fabrication, and chemical and petrochemical processing, along with a wide range of other industries.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January 30, 2020, the WHO announced a global health emergency because of a new strain of coronavirus (“COVID-19”) originating in Wuhan, China and the risks to the international community as the virus spreads globally beyond its point of origin. On March 11, 2020, the WHO characterized COVID-19 as a pandemic. As of June 30, 2020, the virus continues to spread and has had a significant impact on worldwide economic activity and on macroeconomic conditions and the end markets of our business. No vaccine is currently available. Several countries, including the United States, have taken steps to restrict travel, temporarily close businesses and issue quarantine orders, and it remains unclear how long such measures will remain in place or whether efforts to contain the spread of COVID-19 will continue to intensify.</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It is currently unclear if and how the Company will benefit from the CARES Act in the future, but we continue to examine the impacts the CARES Act may have on our business, results of operations, financial condition or liquidity.</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Within the United States, certain portions of our business have been designated an essential business, and we continue to operate our business in compliance with applicable state and local laws. This allows us to continue to serve our customers, however, the COVID-19 pandemic has also disrupted our global operations. The COVID-19 pandemic has heightened the risk of work stoppages at our facilities or those of our suppliers. Certain of our facilities and our suppliers have experienced temporary disruptions as a result of the COVID-19 pandemic, and we cannot predict whether our facilities will experience more significant disruptions in the future or the impact on our suppliers.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CECO has undertaken necessary measures in compliance with government directives to remain open across its business and continues to work closely with its global supply chain to proactively support customers during this critical time. As a key supplier to critical infrastructure projects, CECO has worked to maintain ongoing essential operations while observing recommended CDC guidelines to minimize the risk of spreading the COVID-19 virus including implementing, where possible, work-from-home procedures and additional sanitization efforts where facilities remain open to provide necessary services. Additionally, CECO has taken several proactive cost reduction measures in response to the economic pressures brought on by the COVID-19 pandemic. In April 2020, the CECO senior management team agreed to a temporary salary reduction, certain corporate-level costs have been eliminated or reduced, and CECO has instituted a rolling 2-week furlough of United States-based employees during the 6-week period beginning the week of April 6, 2020.</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impact of the COVID-19 pandemic is fluid and continues to evolve, and therefore, we cannot currently predict the extent to which our business, results of operations, financial condition or liquidity will ultimately be impacted.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CEO Succession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Chief Executive Officer</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6, 2020, the Company also announced that, effective July 6, 2020, Mr. Todd Gleason commenced serving as Chief Executive Officer and as a member of the Board of Directors of the Company, succeeding Dennis Sadlowski. Mr. Gleason, age 49,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Gleason’s qualifications to sit on the Board include his financial and business background, as well as his extensive executive and leadership experience. As the Company’s new Chief Executive Officer, Mr. Gleason will provide the Board with insight on the day-to-day operations of the Company and the issues it faces.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Condensed Consolidated Statements of Income for the three-month and six-month periods ended June 30, 2020 and 2019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34.3%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33.1%</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24.5%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expenses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i w:val="1"/>
                <w:iCs w:val="1"/>
                <w:color w:val="auto"/>
              </w:rPr>
              <w:t>Operating margin</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5.9%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431"/>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63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40"/>
        <w:spacing w:after="0" w:line="255" w:lineRule="auto"/>
        <w:rPr>
          <w:sz w:val="20"/>
          <w:szCs w:val="20"/>
          <w:color w:val="auto"/>
        </w:rPr>
      </w:pPr>
      <w:r>
        <w:rPr>
          <w:rFonts w:ascii="Arial" w:cs="Arial" w:eastAsia="Arial" w:hAnsi="Arial"/>
          <w:sz w:val="18"/>
          <w:szCs w:val="18"/>
          <w:color w:val="auto"/>
        </w:rPr>
        <w:t>To compare operating performance between the three-month and six-month periods ended June 30, 2020 and 2019, the Company has adjusted GAAP operating income to exclude (1) amortization expenses for acquisition related intangible assets, (2) restructuring expenses primarily relating to severance, facility exits, and legal expenses, (3) acquisition and integration expenses, which include legal, accounting, and other expenses, and (4) loss on divestitures, net of selling costs necessary to complete the divestiture such as legal, accounting and compliance. See “Note Regarding Use of Non-GAAP Financial Measures” above. The following table presents the reconciliation of GAAP operating income and GAAP operating margin to non-GAAP operating income and non-GAAP operating margin: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4"/>
                <w:szCs w:val="14"/>
                <w:color w:val="auto"/>
              </w:rPr>
            </w:pPr>
          </w:p>
        </w:tc>
        <w:tc>
          <w:tcPr>
            <w:tcW w:w="242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Borders>
              <w:top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as reported in accordance with GAAP</w:t>
            </w:r>
          </w:p>
        </w:tc>
        <w:tc>
          <w:tcPr>
            <w:tcW w:w="5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5.9%</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expenses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Arial" w:cs="Arial" w:eastAsia="Arial" w:hAnsi="Arial"/>
                <w:sz w:val="18"/>
                <w:szCs w:val="18"/>
                <w:color w:val="auto"/>
              </w:rPr>
              <w:t>Restructuring expenses</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Acquisition and integration expenses</w:t>
            </w:r>
          </w:p>
        </w:tc>
        <w:tc>
          <w:tcPr>
            <w:tcW w:w="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operating income</w:t>
            </w:r>
          </w:p>
        </w:tc>
        <w:tc>
          <w:tcPr>
            <w:tcW w:w="5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9.8%</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6.9%</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for the second quarter of 2020 decreased $6.0 million, or 7.4%, to $75.2 million compared with $81.2 million in the second quarter of 2019. The decrease is primarily attributable to decreases of $6.1 million in custom-designed FCC cyclone systems, $1.6 million in Industrial scrubber solutions, and $1.3 million in clean air pollution technologies, partially offset by increases of $2.2 million of our turbine exhaust and silencers systems and $0.5 million in VOC abatement solutions from the Environmental Integrated Solutions (“EIS”) acquisition.</w:t>
      </w:r>
    </w:p>
    <w:p>
      <w:pPr>
        <w:spacing w:after="0" w:line="2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sales for the first six months of 2020 decreased $11.5 million, or 6.9%, to $155.7 million compared with $167.2 million in the first six months of 2019. The decrease is primarily attributable to decreases of $11.2 million in custom-designed FCC cyclone systems, $3.6 million in filtration and pump solutions and $2.2 million in clean air pollution technologies, partially offset by increases of $4.2 million in our custom acoustical technologies and selective catalytic reduction (“SCR”) technologies and $0.5 million in VOC abatement solutions from the EIS acquisition.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decreased $1.0 million, or 3.7%, to $25.8 million in the second quarter of 2020 compared with $26.8 million in the second quarter of 2019. The decrease in gross profit is primarily due to decrease in sales as noted above, partially offset by favorable product mix and cost reduction actions. Gross profit as a percentage of sales increased to 34.3% in the second quarter of 2020 compared with 33.0% in the second quarter of 2019 due to product mix and cost reduction actions.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decreased $1.2 million, or 2.2%, to $54.1 million in the first six months of 2020 compared with $55.3 million in the first six months of 2019. The decrease in gross profit is primarily due to decrease in sales as noted above, partially offset by product mix and cost reduction actions. Gross profit as a percentage of sales increased to 34.7% in the first six months of 2020 compared with 33.1% in the first six months of 2019 due to product mix and cost actions including an employee furlough.</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Orders booked were $60.0 million during the second quarter of 2020 and $135.6 million for the first six months of 2020 as compared with $100.3 million during the second quarter of 2019 and $200.3 million during the first six months of 2019. The decrease is primarily attributable to decreases in the refinery, midstream oil and gas and pollution control end markets, primarily due to the COVID-19 slowdown impacting our customers starting in March 2020.</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and administrative expenses were $18.4 million for the second quarter of 2020 compared with $22.4 million for the second quarter of 2019. The decrease is primarily attributable to proactive cost reduction measures taken in response to the COVID-19 pandemic including: the senior management team’s temporary salary reduction, elimination or reduction of certain corporate-level costs, a 2-week furlough of United States-based employees, and travel restrictions across all segments. Selling and administrative expenses decreased as a percentage of sales to 24.5% in the second quarter of 2020 compared with 27.6% in the second quarter of 2019. The decrease in selling and administrative expenses as a percentage of sales is primarily attributable to cost reduction measures.</w:t>
      </w:r>
    </w:p>
    <w:p>
      <w:pPr>
        <w:spacing w:after="0" w:line="1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Selling and administrative expenses were $40.4 million for the first six months of 2020 compared with $43.8 million for the first six months of 2019. The decrease is primarily attributable to proactive cost reduction measures taken in response to the COVID-19 pandemic including: the senior management team’s temporary salary reduction, elimination or reduction of certain corporate-level costs, a 2-week furlough of United States-based employees, and travel restrictions across all segments. These costs reductions were partially offset by investments in sales personnel and the final settlement of a commercial dispute in the first quarter. Selling and administrative expenses decreased as a percentage of sales to 25.9% in the first six months of 2020 compared with 26.2% in the first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six months of 2019. The decrease in selling and administrative expenses as a percentage of sales is primarily attributable to the items described above.</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Amortization expense was $1.8 million for the second quarter of 2020 compared with $2.2 million for the second quarter of 2019. The decrease in expense is attributable to a $0.4 million decrease in definite lived asset amortization.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Amortization expense was $3.5 million for the first six months of 2020 compared with $4.3 million for the first six months of 2019. The decrease in expense is attributable to a $0.7 million decrease in definite lived asset amortization.</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increased $2.4 million to $4.4 million in the second quarter of 2020 compared with $2.0 million during the second quarter of 2019. Operating income increased $1.7 million to $8.6 million in the first six months of 2020 compared with $6.9 million during the first six months of 2019. The increase is attributable to cost reductions as described above.</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Non-GAAP operating income was $7.4 million for the second quarter of 2020 compared with $4.4 million for the second quarter of 2019. The increase in non-GAAP operating income is primarily attributable to the decrease in selling and administrative expenses, as a result of proactive cost reduction measures taken in response to the COVID-19 pandemic, partially offset by decrease in gross profit. Non-GAAP operating income as a percentage of sales increased to 9.8% for the second quarter of 2020 from 5.4% for the second quarter of 2019.</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Non-GAAP operating income was $13.7 million for the first six months of 2020 compared with $11.5 million for the first six months of 2019. The increase in non-GAAP operating income is primarily attributable to the decrease in selling and administrative expenses, as a result of proactive cost reduction measures taken in response to the COVID-19 pandemic, partially offset by decrease in gross profit. Non-GAAP operating income as a percentage of sales increased to 8.8% for the first six months of 2020 from 6.9% for the first six months of 2019.</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decreased to $0.9 million in the second quarter of 2020 and $2.0 million for the first six months of 2020 compared with $1.5 million in the second quarter of 2019 and $3.0 million for the first six months of 2019. The decrease in interest expense is primarily due to lower interest rates, and a reduced debt balance compared to 2019. During the first six months of 2020 the Company had net borrowings of $13.5 million on it’s revolving credit facility, of which $10.3 million was used to fund the EIS acquisition on June 4, 2020.</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Income tax expense was $0.6 million for the second quarter of 2020 and $1.3 million for the first six months of 2020 compared with income tax benefit of $4.2 million for the second quarter of 2019 and $3.3 million for the first six months of 2019. The effective income tax rate for the second quarter of 2020 was 14.8% compared with (303.7%) for the second quarter of 2019. The effective income tax rate for the first six months of 2020 was 16.8% compared with (81.3%) for the first six months of 2019. The effective income tax rate for the second quarter and first six months of 2020 is lower than the United States federal statutory rate. Our effective tax rate is affected by certain other permanent differences, including state income taxes, non-deductible incentive stock-based compensation, the Global Intangible Low-Taxed Income inclusion and Foreign-Derived Intangible Income deduction, tax credits, and differences in tax rates among the jurisdictions in which we operate. The effective income tax rates for the three and six months ended June 30, 2019 were negative (i.e. income tax benefits), despite pre-tax income, due primarily to a tax benefit of $4.4 million from a tax position related to the 2018 divesture of Jiangyin Zhongli Industrial Technology Co. Ltd.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26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38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and inter-segment sales)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49,074</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50,572</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99,720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Fluid Handling Solutions Segment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18,916</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81,179</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155,656</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167,190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35"/>
              <w:spacing w:after="0"/>
              <w:rPr>
                <w:sz w:val="20"/>
                <w:szCs w:val="20"/>
                <w:color w:val="auto"/>
              </w:rPr>
            </w:pPr>
            <w:r>
              <w:rPr>
                <w:rFonts w:ascii="Arial" w:cs="Arial" w:eastAsia="Arial" w:hAnsi="Arial"/>
                <w:sz w:val="18"/>
                <w:szCs w:val="18"/>
                <w:color w:val="auto"/>
                <w:w w:val="99"/>
              </w:rPr>
              <w:t>21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8,646</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17,203</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(6,087)</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(6,329)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(13,502)</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(13,691)</w:t>
            </w:r>
          </w:p>
        </w:tc>
        <w:tc>
          <w:tcPr>
            <w:tcW w:w="0" w:type="dxa"/>
            <w:vAlign w:val="bottom"/>
          </w:tcPr>
          <w:p>
            <w:pPr>
              <w:spacing w:after="0"/>
              <w:rPr>
                <w:sz w:val="1"/>
                <w:szCs w:val="1"/>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80" w:hanging="872"/>
        <w:spacing w:after="0"/>
        <w:tabs>
          <w:tab w:leader="none" w:pos="880" w:val="left"/>
        </w:tabs>
        <w:numPr>
          <w:ilvl w:val="0"/>
          <w:numId w:val="16"/>
        </w:numPr>
        <w:rPr>
          <w:rFonts w:ascii="Arial" w:cs="Arial" w:eastAsia="Arial" w:hAnsi="Arial"/>
          <w:sz w:val="15"/>
          <w:szCs w:val="15"/>
          <w:color w:val="auto"/>
        </w:rPr>
      </w:pPr>
      <w:r>
        <w:rPr>
          <w:rFonts w:ascii="Arial" w:cs="Arial" w:eastAsia="Arial" w:hAnsi="Arial"/>
          <w:sz w:val="14"/>
          <w:szCs w:val="14"/>
          <w:color w:val="auto"/>
        </w:rPr>
        <w:t>Includes corporate compensation, professional services, information technology and other general and administrative corporate expenses.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Energy Solutions segment net sales decreased $1.5 million to $49.1 million for the second quarter of 2020 compared with $50.6 million in the same period of 2019. The decrease is primarily attributable to decreases of $6.1 million in the Company’s custom-designed FCC cyclone systems that serve the refinery markets period over period and $0.8 million in midstream end markets and custom damper technologies, partially offset by increases of $3.8 million in SCR technologies and $2.3 million increase in custom acoustical technologies that serve the natural gas and power generation markets.</w:t>
      </w:r>
    </w:p>
    <w:p>
      <w:pPr>
        <w:spacing w:after="0" w:line="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Energy Solutions segment net sales decreased $6.1 million to $99.7 million in the first six months of 2020 compared with $105.8 million in the same period of 2019. The decrease is primarily attributable to decreases of $11.2 million in the Company’s custom-designed cyclone systems that serve the refinery markets period over period partially offset by project increases of $4.2 million in the Company’s custom acoustical technologies and SCR technologies that serve the natural gas power generation markets.</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Operating income for the Energy Solutions segment increased $2.2 million to $8.6 million in the second quarter of 2020 compared with $6.4 million in the same period of 2019. The operating income increase is primarily attributable to a decrease of $2.3 million in selling and administrative expenses related to cost reductions as described above.</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Operating income for the Energy Solutions segment increased $1.6 million to $17.2 million in the first six months of 2020 compared with $15.6 million in the same period of 2019. The operating income increase is primarily attributable to the decrease of $1.3 million in selling and administrative expenses related to the cost reductions as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Industrial Solutions segment net sales decreased $3.4 million to $16.7 million in the second quarter of 2020 compared with $20.1 million in the second quarter of 2019. The decrease is primarily attributable to decreases of $1.6 million in scrubber solutions, $1.3 million in clean air pollution control technologies, and $1.1 million in the Company’s fume collection technologies, partially offset by $0.5 million in net sales from the EIS acquisition.</w:t>
      </w:r>
    </w:p>
    <w:p>
      <w:pPr>
        <w:spacing w:after="0" w:line="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Industrial Solutions segment net sales decreased $1.9 million to $37.0 million in the first six months of 2020 compared with $38.9 million in the first six months of 2019. The decrease is primarily attributable to decreases of $2.2 million in clean air pollution control technologies and $1.0 million in fume collection technologies, partially offset by a $0.9 million increase in customed-designed air pollution control solutions and $0.5 million in net sales from the EIS acquisition.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for the Industrial Solutions segment decreased $0.5 million to breakeven in the second quarter of 2020 compared with $0.5 million in the second quarter of 2019. The decrease is primarily attributable to a $0.7 million decrease in gross profit driven by decreased sales and a $0.6 million increase in acquisition and restructuring expenses, partially offset by $0.8 million decrease in selling and administration related to cost reductions described above.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income for the Industrial Solutions segment increased $0.4 million to $1.5 million in the first six months of 2020 compared with $1.1 million in the first six months of 2019. The increase is primarily attributable to a decrease of $1.3 million in selling and administration expenses related to cost reductions described above, partially offset by increases of $0.7 million in acquisition and restructuring expenses and a decrease of $0.3 million in gross profit driven by decreased sales.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Fluid Handling Solutions segment net sales decreased $1.1 million to $9.4 million in the second quarter of 2020 compared with $10.5 million in the second quarter of 2019. Net sales decreased $3.6 million to $18.9 million in the first six months of 2020 compared with $22.5 million in the first six months of 2019. The decrease is primarily attributable to volume decreases in the Company’s filtration and pump solutions sales driven by oil &amp; gas and automotive end market softness.</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Operating income for the Fluid Handling Solutions segment increased $0.3 million to $1.8 million in the second quarter of 2020 compared with $1.5 million in the second quarter of 2019. The increase is primarily attributable to a $0.4 million decrease in selling and administration expenses related to domestic furloughs, headcount reductions, and travel restrictions and $0.1 million decrease in amortization expense, partially offset by a $0.2 million decrease in gross profit due to decrease in sales.</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Operating income for the Fluid Handling Solutions segment decreased $0.4 million to $3.4 million in the first six months of 2020 compared with $3.8 million in the first six months of 2019. The decrease is primarily attributable to a $1.2 million decrease in gross profit due to decrease in sales, partially offset by a $0.8 million decrease in selling and administration expenses primarily related to domestic furloughs, headcount reductions, and travel restrictions.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expense for the Corporate and Other segment decreased $0.2 million to $6.1 million for the second quarter of 2020 compared with $6.3 million for the second quarter of 2019. The decrease is primarily attributable to a $0.4 million decrease in selling and administration expenses related to domestic furloughs, headcount reductions and travel restrictions offset by increases of $0.1 million in restructuring expense and $0.1 million in acquisition and integration expenses.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 for the Corporate and Other segment decreased $0.2 million to $13.5 million for the first six months of 2020 compared with $13.7 million for the first six months of 2019. The decrease is primarily attributable to a $0.6 million decrease in selling and administration expenses related to domestic furloughs, headcount reductions, and travel restrictions offset by increases of $0.3 million in restructuring expense and $0.1 million in acquisition and integration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Backlog decreased to $204.6 million as of June 30, 2020 from $216.6 million as of December 31, 2019, $8.8 million of backlog was acquired from the EIS acquisition.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June 30, 2020, the Company had working capital of $74.0 million, compared with $64.3 million at December 31, 2019. The ratio of current assets to current liabilities was 1.70 to 1.00 on June 30, 2020, as compared with a ratio of 1.56 to 1.00 at December 31, 2019. The increase to the Company’s working capital is primarily attributable to increased cash and cash equivalents balance of $5.9 million and decrease of $6.3 million in billings in excess of costs and estimated earnings on uncompleted contracts.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4" w:name="page25"/>
    <w:bookmarkEnd w:id="24"/>
    <w:p>
      <w:pPr>
        <w:ind w:right="40"/>
        <w:spacing w:after="0" w:line="263" w:lineRule="auto"/>
        <w:rPr>
          <w:sz w:val="20"/>
          <w:szCs w:val="20"/>
          <w:color w:val="auto"/>
        </w:rPr>
      </w:pPr>
      <w:r>
        <w:rPr>
          <w:rFonts w:ascii="Arial" w:cs="Arial" w:eastAsia="Arial" w:hAnsi="Arial"/>
          <w:sz w:val="18"/>
          <w:szCs w:val="18"/>
          <w:color w:val="auto"/>
        </w:rPr>
        <w:t>At June 30, 2020 and December 31, 2019, cash and cash equivalents totaled $41.5 million and $35.6 million, respectively. As of June 30, 2020 and December 31, 2019, $31.2 million and $27.0 million, respectively, of our cash and cash equivalents were held by certain non- United States subsidiaries, as well as being denominated in foreign currencies.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 2019</w:t>
            </w:r>
          </w:p>
        </w:tc>
      </w:tr>
      <w:tr>
        <w:trPr>
          <w:trHeight w:val="209"/>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10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through June 2021, $0.9 million through June 2023, and $1.3 million</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thereafter with balance due upon maturity in June 2024.</w:t>
            </w: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 Term loan</w:t>
            </w:r>
          </w:p>
        </w:tc>
        <w:tc>
          <w:tcPr>
            <w:tcW w:w="1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47,500</w:t>
            </w:r>
          </w:p>
        </w:tc>
        <w:tc>
          <w:tcPr>
            <w:tcW w:w="3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48,750</w:t>
            </w:r>
          </w:p>
        </w:tc>
        <w:tc>
          <w:tcPr>
            <w:tcW w:w="120" w:type="dxa"/>
            <w:vAlign w:val="bottom"/>
          </w:tcPr>
          <w:p>
            <w:pPr>
              <w:spacing w:after="0"/>
              <w:rPr>
                <w:sz w:val="19"/>
                <w:szCs w:val="19"/>
                <w:color w:val="auto"/>
              </w:rPr>
            </w:pPr>
          </w:p>
        </w:tc>
      </w:tr>
      <w:tr>
        <w:trPr>
          <w:trHeight w:val="229"/>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Revolving Credit Loan</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FF0FC"/>
          </w:tcPr>
          <w:p>
            <w:pPr>
              <w:spacing w:after="0"/>
              <w:rPr>
                <w:sz w:val="19"/>
                <w:szCs w:val="19"/>
                <w:color w:val="auto"/>
              </w:rPr>
            </w:pPr>
          </w:p>
        </w:tc>
      </w:tr>
      <w:tr>
        <w:trPr>
          <w:trHeight w:val="230"/>
        </w:trPr>
        <w:tc>
          <w:tcPr>
            <w:tcW w:w="6260" w:type="dxa"/>
            <w:vAlign w:val="bottom"/>
          </w:tcPr>
          <w:p>
            <w:pPr>
              <w:ind w:left="140"/>
              <w:spacing w:after="0"/>
              <w:rPr>
                <w:sz w:val="20"/>
                <w:szCs w:val="20"/>
                <w:color w:val="auto"/>
              </w:rPr>
            </w:pPr>
            <w:r>
              <w:rPr>
                <w:rFonts w:ascii="Arial" w:cs="Arial" w:eastAsia="Arial" w:hAnsi="Arial"/>
                <w:sz w:val="18"/>
                <w:szCs w:val="18"/>
                <w:color w:val="auto"/>
              </w:rPr>
              <w:t>- Unamortized debt discount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(1,540)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(1,749)</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Credit Facility</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77,960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65,501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current portion</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(2,500)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(2,500)</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10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75,460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outstanding borrowings in the United States consist of senior secured term loan and a senior secured revolver loan with sub-facilities for letters of credit, swing-line loans and multi-currency loans (collectively, the “Credit Facility”). As of June 30, 2020 and December 31, 2019, the Company was in compliance with all related financial and other restrictive covenants under the Credit Facility.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7 to the unaudited condensed consolidated financial statements within Item 1 of this Quarterly Report on Form 10-Q for further information on the Company’s debt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revolving loans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Draw down</w:t>
            </w:r>
          </w:p>
        </w:tc>
        <w:tc>
          <w:tcPr>
            <w:tcW w:w="28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Letters of credit open</w:t>
            </w:r>
          </w:p>
        </w:tc>
        <w:tc>
          <w:tcPr>
            <w:tcW w:w="2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unused credit availability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4"/>
                <w:szCs w:val="24"/>
                <w:color w:val="auto"/>
              </w:rPr>
            </w:pPr>
          </w:p>
        </w:tc>
        <w:tc>
          <w:tcPr>
            <w:tcW w:w="36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55"/>
        </w:trPr>
        <w:tc>
          <w:tcPr>
            <w:tcW w:w="732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(8,116)</w:t>
            </w: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six-months ended June 30, 2020, $2.1 million of cash was provided by operating activities compared with $(11.3) million used in operating activities in the prior year period, a $13.4 million increase. Cash flow from operating activities in the first six months of 2020 had a favorable impact year-over-year primarily due to certain decreases in net working capital items such accounts receivable and inventory offset by decreases in billings in excess of costs and estimated earnings on uncompleted contracts as reflected in the Condensed Consolidated Statements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For the six-months ended June 30, 2020, net cash used in investing activities was $8.1 million compared with $1.2 million in the prior year period. The $6.9 million increase in cash used in investing activities, was primarily related to $6.1 million, net of cash acquired, for the EIS acquisition and $2.0 million for the acquisition of property and equipment. In the prior year period, cash flow used in investing activities was the result of $1.2 million for the acquisition of property and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six-months ended June 30, 2020, $12.0 million was provided by financing activities compared with $(2.1) million used in financing activities in the previous year period, an increase of $14.1 million. During the first six months of 2020, the Company had net borrowings of $13.5 million on its revolving credit facility, of which $10.3 million was used to fund the EIS acquisition on June 4, 2020, compared with net borrowings of $0.8 million the previous year period. Additionally, for the first six-months ended June 30, 2020, $(1.3) million was used in financing activities for repayments on the Company’s Term loan compared with $(1.7) million for repayments on the Company’s note payable in the first six-months of 2019. Further, in the first six months of 2019, the company paid financing fees related to the new Credit Facility of $1.1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Management believes there have been no changes during the six-month period ended June 30, 2020,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Quarterly Report on Form 10-Q includes forward-looking statements within the meaning of the Securities Act of 1933 (the “Securities Act”) and the Securities Exchange Act of 1934 (the “Exchange Act”) which are intended to be covered by the safe harbor for “forward-looking statements” provided by the Private Securities Litigation Reform Act of 1995. Any statements other than statements of historical fact, including statements regarding industry prospects or future results of operations or financial position made in this Quarterly Report on Form 10-Q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2019 and “Part II – Item 1.A. Risk Factors” of the Quarterly Report on Form 10-Q for the quarter ended March 31, 2020 and of this Quarterly Report on Form 10-Q for the quarter ended June 30, 2020,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our ability to successfully realize the expected benefits of our restructuring program; our ability to successfully integrate acquired businesses and realize the synergies from acquisitions; unpredictability and severity of catastrophic events, including cyber security threats, acts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right="60"/>
        <w:spacing w:after="0" w:line="272" w:lineRule="auto"/>
        <w:rPr>
          <w:sz w:val="20"/>
          <w:szCs w:val="20"/>
          <w:color w:val="auto"/>
        </w:rPr>
      </w:pPr>
      <w:r>
        <w:rPr>
          <w:rFonts w:ascii="Arial" w:cs="Arial" w:eastAsia="Arial" w:hAnsi="Arial"/>
          <w:sz w:val="17"/>
          <w:szCs w:val="17"/>
          <w:color w:val="auto"/>
        </w:rPr>
        <w:t>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carrying value of the Company’s long-term debt and current maturities of long-term debt was $79.5 million at June 30, 2020. Market risk was estimated as the potential decrease (increase) in future earnings and cash flows resulting from a hypothetical 10% increase (decrease) in the Company’s estimated weighted average borrowing rate at June 30, 2020. Most of the interest on the Company’s debt is indexed to either the LIBOR or EURIBOR market rates. The estimated impact of a hypothetical 10% change in the estimated weighted average borrowing rate at June 30, 2020 is $0.2 million on an annual basis.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Mexico, United Kingdom, Singapore, Shanghai, Pune India, Dubai and Chile. In the past, we have not hedged our foreign currency exposure, and fluctuations in exchange rates have not materially affected our operating results.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2020.</w:t>
      </w:r>
    </w:p>
    <w:p>
      <w:pPr>
        <w:spacing w:after="0" w:line="37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2020.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first six months ended June 30, 2020, that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fraud may occur and not be detected. The Company conducts periodic evaluations of its internal controls to enhance, where necessary, its procedures and controls.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See Note 13 to the unaudited Condensed Consolidated Financial Statements contained in Part I, Item 1 of this Quarterly Report on Form 10-Q for information regarding legal proceedings in which we are involved.</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disclosure supplements and modifies the discussion of certain risks and uncertainties previously disclosed in our Annual Report on Form 10-K for the year ended December 31, 2019 and Quarterly Report on Form 10-Q for the quarterly period ended March 31, 2020. These risks and uncertainties, along with those previously disclosed, could materially adversely affect our business or financial results. Additional risks and uncertainties that are not presently known to us or that we deem immaterial may also impact our business or financial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face risks related to health epidemics and other outbreaks, including the COVID-19 pandemic, which may adversely affect our business, results of operations and financial condition.</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face risks related to health epidemics and other outbreaks, including the COVID-19 pandemic. The continued spread of COVID-19 has reached geographic areas in which we have operations, suppliers, customers and employees. We expect the continued spread of COVID-19 to continue to have a significant impact on our business, affect the demand for our products and disrupt our supply chain and the manufacturing and distribution of our products. It is unknown how long these disruptions could continue and such events may affect our business, results of operations and financial condition.</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continuing spread of COVID-19 has caused volatility, severe market dislocations and liquidity constraints in many markets. Several countries, including the United States, have taken steps to restrict travel, temporarily close businesses and issue quarantine orders, and it remains unclear how long such measures will remain in place or whether efforts to contain the spread of COVID-19 will continue to intensify. The foregoing could lead to a significant economic downturn or recession, increased market volatility, a greater number of market closures, higher default rates and adverse effects on the values and liquidity of securities or other assets. Such impacts may adversely affect the Company and your investment in the Company.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risks described above, COVID-19 and associated economic and other impacts may also have the effect of heightening the other risks described in the risk factors in our Annual Report on Form 10-K for the year ended December 31, 2019, our subsequent quarterly reports on Form 10-Q and in other filings we make with the Securities and Exchange Commission. The ultimate effect that COVID-19 may have on our operating and financial results is not presently known to us or may present unanticipated risks that cannot be determined at this time.</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6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ind w:left="140"/>
              <w:spacing w:after="0"/>
              <w:rPr>
                <w:sz w:val="20"/>
                <w:szCs w:val="20"/>
                <w:color w:val="auto"/>
              </w:rPr>
            </w:pPr>
            <w:r>
              <w:rPr>
                <w:rFonts w:ascii="Arial" w:cs="Arial" w:eastAsia="Arial" w:hAnsi="Arial"/>
                <w:sz w:val="18"/>
                <w:szCs w:val="18"/>
                <w:color w:val="auto"/>
              </w:rPr>
              <w:t>10.1†</w:t>
            </w:r>
          </w:p>
        </w:tc>
        <w:tc>
          <w:tcPr>
            <w:tcW w:w="10160" w:type="dxa"/>
            <w:vAlign w:val="bottom"/>
            <w:tcBorders>
              <w:bottom w:val="single" w:sz="8" w:color="0000EE"/>
            </w:tcBorders>
            <w:gridSpan w:val="2"/>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CECO Environmental Corp. 2020 Employee Stock Purchase Plan (incorporated by reference to Exhibit 10.1 to the Company’s current report</w:t>
              </w:r>
            </w:hyperlink>
          </w:p>
        </w:tc>
      </w:tr>
      <w:tr>
        <w:trPr>
          <w:trHeight w:val="196"/>
        </w:trPr>
        <w:tc>
          <w:tcPr>
            <w:tcW w:w="1040" w:type="dxa"/>
            <w:vAlign w:val="bottom"/>
          </w:tcPr>
          <w:p>
            <w:pPr>
              <w:spacing w:after="0"/>
              <w:rPr>
                <w:sz w:val="17"/>
                <w:szCs w:val="17"/>
                <w:color w:val="auto"/>
              </w:rPr>
            </w:pPr>
          </w:p>
        </w:tc>
        <w:tc>
          <w:tcPr>
            <w:tcW w:w="10160" w:type="dxa"/>
            <w:vAlign w:val="bottom"/>
            <w:gridSpan w:val="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on Form 8-K filed with the SEC on June 16, 2020).</w:t>
              </w:r>
            </w:hyperlink>
          </w:p>
        </w:tc>
      </w:tr>
      <w:tr>
        <w:trPr>
          <w:trHeight w:val="20"/>
        </w:trPr>
        <w:tc>
          <w:tcPr>
            <w:tcW w:w="1040" w:type="dxa"/>
            <w:vAlign w:val="bottom"/>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58"/>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1016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Rule 13(a)/15d-14(a) Certification by Chief Executive Officer</w:t>
              </w:r>
            </w:hyperlink>
          </w:p>
        </w:tc>
      </w:tr>
      <w:tr>
        <w:trPr>
          <w:trHeight w:val="338"/>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10160" w:type="dxa"/>
            <w:vAlign w:val="bottom"/>
            <w:gridSpan w:val="2"/>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Rule 13(a)/15d-14(a) Certification by Chief Financial Officer</w:t>
              </w:r>
            </w:hyperlink>
          </w:p>
        </w:tc>
      </w:tr>
      <w:tr>
        <w:trPr>
          <w:trHeight w:val="338"/>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1016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Certification of Chief Executive Officer (18 U.S. Section 1350)</w:t>
              </w:r>
            </w:hyperlink>
          </w:p>
        </w:tc>
      </w:tr>
      <w:tr>
        <w:trPr>
          <w:trHeight w:val="338"/>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1016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Certification of Chief Financial Officer (18 U.S. Section 1350)</w:t>
              </w:r>
            </w:hyperlink>
          </w:p>
        </w:tc>
      </w:tr>
    </w:tbl>
    <w:p>
      <w:pPr>
        <w:spacing w:after="0" w:line="10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following materials from CECO Environmental Corp.’s Quarterly Report on Form 10-Q for the period ended June 30, 2020, formatted</w:t>
      </w:r>
    </w:p>
    <w:p>
      <w:pPr>
        <w:spacing w:after="0" w:line="46" w:lineRule="exact"/>
        <w:rPr>
          <w:sz w:val="20"/>
          <w:szCs w:val="20"/>
          <w:color w:val="auto"/>
        </w:rPr>
      </w:pPr>
    </w:p>
    <w:p>
      <w:pPr>
        <w:jc w:val="both"/>
        <w:ind w:left="1040" w:hanging="902"/>
        <w:spacing w:after="0" w:line="211" w:lineRule="auto"/>
        <w:tabs>
          <w:tab w:leader="none" w:pos="1040" w:val="left"/>
        </w:tabs>
        <w:numPr>
          <w:ilvl w:val="0"/>
          <w:numId w:val="17"/>
        </w:numPr>
        <w:rPr>
          <w:rFonts w:ascii="Arial" w:cs="Arial" w:eastAsia="Arial" w:hAnsi="Arial"/>
          <w:sz w:val="32"/>
          <w:szCs w:val="32"/>
          <w:color w:val="auto"/>
          <w:vertAlign w:val="subscript"/>
        </w:rPr>
      </w:pPr>
      <w:r>
        <w:rPr>
          <w:rFonts w:ascii="Arial" w:cs="Arial" w:eastAsia="Arial" w:hAnsi="Arial"/>
          <w:sz w:val="16"/>
          <w:szCs w:val="16"/>
          <w:color w:val="auto"/>
        </w:rPr>
        <w:t>in Inline XBRL (eXtensible Business Reporting Language): (i) the Condensed Consolidated Balance Sheet, (ii) the Condensed Consolidated Statements of Comprehensive Income, (iii) the Condensed Consolidated Statement of Shareholders’ Equity, (iv) the Condensed Consolidated Statement of Cash Flows, (v) Notes to Condensed Consolidated Financial Statements and (vi) document and entity information.</w:t>
      </w:r>
    </w:p>
    <w:p>
      <w:pPr>
        <w:spacing w:after="0" w:line="108" w:lineRule="exact"/>
        <w:rPr>
          <w:sz w:val="20"/>
          <w:szCs w:val="20"/>
          <w:color w:val="auto"/>
        </w:rPr>
      </w:pPr>
    </w:p>
    <w:p>
      <w:pPr>
        <w:ind w:left="1040" w:hanging="90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500" w:val="left"/>
          <w:tab w:leader="none" w:pos="1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14605</wp:posOffset>
            </wp:positionV>
            <wp:extent cx="23914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Matthew Eckl</w:t>
      </w:r>
    </w:p>
    <w:p>
      <w:pPr>
        <w:spacing w:after="0" w:line="2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21"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17"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4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4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six-month period ended June 30, 2020 as filed with the Securities and Exchange Commission on the date hereof (the “Report”), I, Todd Gleason, Chief Executive Officer of the Company, certify, pursuant to 18 U.S.C. § 1350, as adopted pursuant to § 906 of the Sarbanes-Oxley Act of 2002, to the best of his knowledge and belief, that:</w:t>
      </w:r>
    </w:p>
    <w:p>
      <w:pPr>
        <w:spacing w:after="0" w:line="41"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Todd Gleason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six-month period ended June 30, 2020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41"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8"/>
    </w:lvl>
  </w:abstractNum>
  <w:abstractNum w:abstractNumId="6">
    <w:nsid w:val="7FDCC233"/>
    <w:multiLevelType w:val="hybridMultilevel"/>
    <w:lvl w:ilvl="0">
      <w:lvlJc w:val="left"/>
      <w:lvlText w:val="%1."/>
      <w:numFmt w:val="decimal"/>
      <w:start w:val="9"/>
    </w:lvl>
  </w:abstractNum>
  <w:abstractNum w:abstractNumId="7">
    <w:nsid w:val="1BEFD79F"/>
    <w:multiLevelType w:val="hybridMultilevel"/>
    <w:lvl w:ilvl="0">
      <w:lvlJc w:val="left"/>
      <w:lvlText w:val="%1."/>
      <w:numFmt w:val="decimal"/>
      <w:start w:val="10"/>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2"/>
    </w:lvl>
  </w:abstractNum>
  <w:abstractNum w:abstractNumId="10">
    <w:nsid w:val="4E6AFB66"/>
    <w:multiLevelType w:val="hybridMultilevel"/>
    <w:lvl w:ilvl="0">
      <w:lvlJc w:val="left"/>
      <w:lvlText w:val="%1."/>
      <w:numFmt w:val="decimal"/>
      <w:start w:val="14"/>
    </w:lvl>
  </w:abstractNum>
  <w:abstractNum w:abstractNumId="11">
    <w:nsid w:val="25E45D32"/>
    <w:multiLevelType w:val="hybridMultilevel"/>
    <w:lvl w:ilvl="0">
      <w:lvlJc w:val="left"/>
      <w:lvlText w:val="%1."/>
      <w:numFmt w:val="decimal"/>
      <w:start w:val="15"/>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decimal"/>
      <w:start w:val="16"/>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7" Type="http://schemas.openxmlformats.org/officeDocument/2006/relationships/hyperlink" Target="http://www.sec.gov/Archives/edgar/data/3197/000156459020029431/cece-ex101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2020-08-05T06:09:41Z</dcterms:created>
  <dcterms:modified xsi:type="dcterms:W3CDTF">2020-08-05T06:09:41Z</dcterms:modified>
</cp:coreProperties>
</file>