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3591560</wp:posOffset>
            </wp:positionH>
            <wp:positionV relativeFrom="paragraph">
              <wp:posOffset>-5080</wp:posOffset>
            </wp:positionV>
            <wp:extent cx="628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191135</wp:posOffset>
            </wp:positionV>
            <wp:extent cx="71120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tbl>
      <w:tblPr>
        <w:tblLayout w:type="fixed"/>
        <w:tblInd w:w="790" w:type="dxa"/>
        <w:tblCellMar>
          <w:top w:w="0" w:type="dxa"/>
          <w:left w:w="0" w:type="dxa"/>
          <w:bottom w:w="0" w:type="dxa"/>
          <w:right w:w="0" w:type="dxa"/>
        </w:tblCellMar>
      </w:tblPr>
      <w:tr>
        <w:trPr>
          <w:trHeight w:val="214"/>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8"/>
        </w:trPr>
        <w:tc>
          <w:tcPr>
            <w:tcW w:w="3200" w:type="dxa"/>
            <w:vAlign w:val="bottom"/>
          </w:tcPr>
          <w:p>
            <w:pPr>
              <w:jc w:val="center"/>
              <w:ind w:left="67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640" w:type="dxa"/>
            <w:vAlign w:val="bottom"/>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5080 Spectrum Drive</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Suite 800E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4"/>
        </w:trPr>
        <w:tc>
          <w:tcPr>
            <w:tcW w:w="3200" w:type="dxa"/>
            <w:vAlign w:val="bottom"/>
          </w:tcPr>
          <w:p>
            <w:pPr>
              <w:jc w:val="center"/>
              <w:ind w:left="737"/>
              <w:spacing w:after="0"/>
              <w:rPr>
                <w:sz w:val="20"/>
                <w:szCs w:val="20"/>
                <w:color w:val="auto"/>
              </w:rPr>
            </w:pPr>
            <w:r>
              <w:rPr>
                <w:rFonts w:ascii="Times New Roman" w:cs="Times New Roman" w:eastAsia="Times New Roman" w:hAnsi="Times New Roman"/>
                <w:sz w:val="18"/>
                <w:szCs w:val="18"/>
                <w:b w:val="1"/>
                <w:bCs w:val="1"/>
                <w:color w:val="auto"/>
                <w:w w:val="99"/>
              </w:rPr>
              <w:t>Addison, Texas</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75001</w:t>
            </w:r>
          </w:p>
        </w:tc>
      </w:tr>
      <w:tr>
        <w:trPr>
          <w:trHeight w:val="190"/>
        </w:trPr>
        <w:tc>
          <w:tcPr>
            <w:tcW w:w="320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10000" w:type="dxa"/>
            <w:vAlign w:val="bottom"/>
            <w:gridSpan w:val="4"/>
          </w:tcPr>
          <w:p>
            <w:pPr>
              <w:ind w:left="22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tc>
      </w:tr>
      <w:tr>
        <w:trPr>
          <w:trHeight w:val="326"/>
        </w:trPr>
        <w:tc>
          <w:tcPr>
            <w:tcW w:w="32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2"/>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Title of each class</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60"/>
        </w:trPr>
        <w:tc>
          <w:tcPr>
            <w:tcW w:w="320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3640" w:type="dxa"/>
            <w:vAlign w:val="bottom"/>
            <w:tcBorders>
              <w:bottom w:val="single" w:sz="8" w:color="auto"/>
              <w:right w:val="single" w:sz="8" w:color="auto"/>
            </w:tcBorders>
          </w:tcPr>
          <w:p>
            <w:pPr>
              <w:spacing w:after="0"/>
              <w:rPr>
                <w:sz w:val="5"/>
                <w:szCs w:val="5"/>
                <w:color w:val="auto"/>
              </w:rPr>
            </w:pPr>
          </w:p>
        </w:tc>
      </w:tr>
      <w:tr>
        <w:trPr>
          <w:trHeight w:val="190"/>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CECO</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9"/>
        </w:trPr>
        <w:tc>
          <w:tcPr>
            <w:tcW w:w="320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6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0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6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97" w:lineRule="exact"/>
        <w:rPr>
          <w:sz w:val="24"/>
          <w:szCs w:val="24"/>
          <w:color w:val="auto"/>
        </w:rPr>
      </w:pPr>
    </w:p>
    <w:p>
      <w:pPr>
        <w:ind w:right="220" w:firstLine="26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80"/>
        <w:spacing w:after="0" w:line="207" w:lineRule="exact"/>
        <w:tabs>
          <w:tab w:leader="none" w:pos="92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0" w:lineRule="exact"/>
        <w:rPr>
          <w:sz w:val="24"/>
          <w:szCs w:val="24"/>
          <w:color w:val="auto"/>
        </w:rPr>
      </w:pPr>
    </w:p>
    <w:p>
      <w:pPr>
        <w:ind w:firstLine="269"/>
        <w:spacing w:after="0" w:line="258"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35,267,942 shares of common stock, par value $0.01 per share, as of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March 31, 2025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 –</w:t>
            </w: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7680" w:type="dxa"/>
            <w:vAlign w:val="bottom"/>
            <w:gridSpan w:val="15"/>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31, 2025 and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2025 and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months ended March 31, 2025 and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26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42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 –</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24"/>
                <w:szCs w:val="24"/>
                <w:color w:val="auto"/>
              </w:rPr>
            </w:pPr>
          </w:p>
        </w:tc>
        <w:tc>
          <w:tcPr>
            <w:tcW w:w="980" w:type="dxa"/>
            <w:vAlign w:val="bottom"/>
            <w:tcBorders>
              <w:top w:val="single" w:sz="8" w:color="0000FF"/>
            </w:tcBorders>
            <w:gridSpan w:val="6"/>
          </w:tcPr>
          <w:p>
            <w:pPr>
              <w:spacing w:after="0"/>
              <w:rPr>
                <w:sz w:val="24"/>
                <w:szCs w:val="24"/>
                <w:color w:val="auto"/>
              </w:rPr>
            </w:pPr>
          </w:p>
        </w:tc>
        <w:tc>
          <w:tcPr>
            <w:tcW w:w="69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38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68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38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0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3"/>
          </w:tcPr>
          <w:p>
            <w:pPr>
              <w:spacing w:after="0"/>
              <w:rPr>
                <w:sz w:val="24"/>
                <w:szCs w:val="24"/>
                <w:color w:val="auto"/>
              </w:rPr>
            </w:pPr>
          </w:p>
        </w:tc>
        <w:tc>
          <w:tcPr>
            <w:tcW w:w="69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60" w:top="981"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5"/>
                <w:szCs w:val="15"/>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146,471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37,832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allowances of $8,663 and $8,863</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152,405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159,572</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83,335</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52,919</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42,624</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36,910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3,856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3,826</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476,101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330,971</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46,063</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33,810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24,419</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25,102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274,769</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269,747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109,250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74,050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9,559</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16,724</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15,587</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957,095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20"/>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1,673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109,504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109,671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59,176</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47,528</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87,870</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81,501</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19,831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r>
      <w:tr>
        <w:trPr>
          <w:trHeight w:val="20"/>
        </w:trPr>
        <w:tc>
          <w:tcPr>
            <w:tcW w:w="7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278,754</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244,662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338,037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217,230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26,481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11,322</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19,458</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20,230</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667,044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507,806</w:t>
            </w: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2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100,000,000 shares authorized, 35,250,489 and</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34,978,009 shares issued and outstanding at March 31, 2025 and December 31, 2024, respectively</w:t>
            </w:r>
          </w:p>
        </w:tc>
        <w:tc>
          <w:tcPr>
            <w:tcW w:w="22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255,807</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255,211</w:t>
            </w: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42,554</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6,570</w:t>
            </w: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(12,922)</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285,791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247,689</w:t>
            </w:r>
          </w:p>
        </w:tc>
      </w:tr>
      <w:tr>
        <w:trPr>
          <w:trHeight w:val="216"/>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4,260</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4,204</w:t>
            </w:r>
          </w:p>
        </w:tc>
      </w:tr>
      <w:tr>
        <w:trPr>
          <w:trHeight w:val="20"/>
        </w:trPr>
        <w:tc>
          <w:tcPr>
            <w:tcW w:w="7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290,051</w:t>
            </w: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251,893</w:t>
            </w:r>
          </w:p>
        </w:tc>
      </w:tr>
      <w:tr>
        <w:trPr>
          <w:trHeight w:val="20"/>
        </w:trPr>
        <w:tc>
          <w:tcPr>
            <w:tcW w:w="7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957,095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759,699</w:t>
            </w:r>
          </w:p>
        </w:tc>
      </w:tr>
      <w:tr>
        <w:trPr>
          <w:trHeight w:val="20"/>
        </w:trPr>
        <w:tc>
          <w:tcPr>
            <w:tcW w:w="74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-4919980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-3813810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-1851025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-599440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-316230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8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9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176,697</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(64,502)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5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980" w:type="dxa"/>
            <w:vAlign w:val="bottom"/>
            <w:gridSpan w:val="2"/>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1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5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5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35,028,301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34,846,163</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36,689,320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36,177,323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-1605280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-1605280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-1322705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-1322705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-1039495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-1039495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-448310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-431165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-448310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-431165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368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09"/>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30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-453390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8"/>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26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140" w:type="dxa"/>
            <w:vAlign w:val="bottom"/>
            <w:tcBorders>
              <w:top w:val="single" w:sz="8" w:color="auto"/>
            </w:tcBorders>
            <w:gridSpan w:val="4"/>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1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6"/>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60" w:type="dxa"/>
            <w:vAlign w:val="bottom"/>
          </w:tcPr>
          <w:p>
            <w:pPr>
              <w:spacing w:after="0"/>
              <w:rPr>
                <w:sz w:val="11"/>
                <w:szCs w:val="11"/>
                <w:color w:val="auto"/>
              </w:rPr>
            </w:pPr>
          </w:p>
        </w:tc>
        <w:tc>
          <w:tcPr>
            <w:tcW w:w="760" w:type="dxa"/>
            <w:vAlign w:val="bottom"/>
            <w:gridSpan w:val="3"/>
          </w:tcPr>
          <w:p>
            <w:pPr>
              <w:jc w:val="center"/>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December 31, 2024</w:t>
            </w:r>
          </w:p>
        </w:tc>
        <w:tc>
          <w:tcPr>
            <w:tcW w:w="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34,978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255,211</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5"/>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(14,441)</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4,204</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251,893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 months ended March 31, 2025</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35,984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36,442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(3,045)</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(3,042)</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(402)</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2025</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35,250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255,807</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5"/>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42,554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(12,922)</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4,260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290,051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2"/>
        </w:trPr>
        <w:tc>
          <w:tcPr>
            <w:tcW w:w="31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3"/>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8"/>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26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0" w:type="dxa"/>
            <w:vAlign w:val="bottom"/>
          </w:tcPr>
          <w:p>
            <w:pPr>
              <w:spacing w:after="0"/>
              <w:rPr>
                <w:sz w:val="13"/>
                <w:szCs w:val="13"/>
                <w:color w:val="auto"/>
              </w:rPr>
            </w:pPr>
          </w:p>
        </w:tc>
        <w:tc>
          <w:tcPr>
            <w:tcW w:w="1120" w:type="dxa"/>
            <w:vAlign w:val="bottom"/>
            <w:gridSpan w:val="7"/>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140" w:type="dxa"/>
            <w:vAlign w:val="bottom"/>
            <w:tcBorders>
              <w:top w:val="single" w:sz="8" w:color="auto"/>
            </w:tcBorders>
            <w:gridSpan w:val="4"/>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1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center"/>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60" w:type="dxa"/>
            <w:vAlign w:val="bottom"/>
          </w:tcPr>
          <w:p>
            <w:pPr>
              <w:spacing w:after="0"/>
              <w:rPr>
                <w:sz w:val="11"/>
                <w:szCs w:val="11"/>
                <w:color w:val="auto"/>
              </w:rPr>
            </w:pPr>
          </w:p>
        </w:tc>
        <w:tc>
          <w:tcPr>
            <w:tcW w:w="760" w:type="dxa"/>
            <w:vAlign w:val="bottom"/>
            <w:gridSpan w:val="3"/>
          </w:tcPr>
          <w:p>
            <w:pPr>
              <w:jc w:val="center"/>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December 31, 2023</w:t>
            </w:r>
          </w:p>
        </w:tc>
        <w:tc>
          <w:tcPr>
            <w:tcW w:w="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34,835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254,956</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6"/>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(6,387)</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(16,274)</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4,848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237,491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 months ended March 31, 2024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(2,204)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(2,202)</w:t>
            </w: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(144)</w:t>
            </w:r>
          </w:p>
        </w:tc>
        <w:tc>
          <w:tcPr>
            <w:tcW w:w="120" w:type="dxa"/>
            <w:vAlign w:val="bottom"/>
          </w:tcPr>
          <w:p>
            <w:pPr>
              <w:spacing w:after="0"/>
              <w:rPr>
                <w:sz w:val="12"/>
                <w:szCs w:val="12"/>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(3,001)</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(804)</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2024</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34,908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251,673</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6"/>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(4,879)</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(15,620)</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4,629</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236,152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-1602105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-1585595</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-1602105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-1585595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-1602105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-1585595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-1602105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-1585595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-1602105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-1585595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-1585595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36,442</w:t>
            </w:r>
          </w:p>
        </w:tc>
        <w:tc>
          <w:tcPr>
            <w:tcW w:w="160" w:type="dxa"/>
            <w:vAlign w:val="bottom"/>
          </w:tcPr>
          <w:p>
            <w:pPr>
              <w:spacing w:after="0"/>
              <w:rPr>
                <w:sz w:val="17"/>
                <w:szCs w:val="17"/>
                <w:color w:val="auto"/>
              </w:rPr>
            </w:pP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(recovery) for credit loss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(384)</w:t>
            </w: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(5,355)</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(12,270)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(4,447)</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(17,652)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(3,633)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(2,442)</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(387)</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(3,524)</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(5,249)</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(11,696)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7"/>
                <w:szCs w:val="17"/>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(3,116)</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105,860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(paid) received for acquisitions, net of cash acquired</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(97,646)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(2,694)</w:t>
            </w:r>
          </w:p>
        </w:tc>
      </w:tr>
      <w:tr>
        <w:trPr>
          <w:trHeight w:val="196"/>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2"/>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148,100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(27,600)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(12,600)</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(2,553)</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(229)</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189"/>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 and exercise of stock options</w:t>
            </w:r>
          </w:p>
        </w:tc>
        <w:tc>
          <w:tcPr>
            <w:tcW w:w="4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r>
      <w:tr>
        <w:trPr>
          <w:trHeight w:val="205"/>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(804)</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115,756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(6,528)</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(422)</w:t>
            </w: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108,475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(8,420)</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7"/>
                <w:szCs w:val="17"/>
                <w:color w:val="auto"/>
              </w:rPr>
            </w:pPr>
          </w:p>
        </w:tc>
      </w:tr>
      <w:tr>
        <w:trPr>
          <w:trHeight w:val="23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146,676</w:t>
            </w: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47,028</w:t>
            </w:r>
          </w:p>
        </w:tc>
        <w:tc>
          <w:tcPr>
            <w:tcW w:w="100" w:type="dxa"/>
            <w:vAlign w:val="bottom"/>
            <w:shd w:val="clear" w:color="auto" w:fill="CFF0FC"/>
          </w:tcPr>
          <w:p>
            <w:pPr>
              <w:spacing w:after="0"/>
              <w:rPr>
                <w:sz w:val="20"/>
                <w:szCs w:val="20"/>
                <w:color w:val="auto"/>
              </w:rPr>
            </w:pPr>
          </w:p>
        </w:tc>
      </w:tr>
      <w:tr>
        <w:trPr>
          <w:trHeight w:val="183"/>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6"/>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60" w:type="dxa"/>
            <w:vAlign w:val="bottom"/>
          </w:tcPr>
          <w:p>
            <w:pPr>
              <w:spacing w:after="0"/>
              <w:rPr>
                <w:sz w:val="15"/>
                <w:szCs w:val="15"/>
                <w:color w:val="auto"/>
              </w:rPr>
            </w:pP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Pr>
          <w:p>
            <w:pPr>
              <w:spacing w:after="0"/>
              <w:rPr>
                <w:sz w:val="15"/>
                <w:szCs w:val="15"/>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-3239770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-2442210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-1010920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-470535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-454025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-179705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-161925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203" w:lineRule="exact"/>
        <w:rPr>
          <w:sz w:val="20"/>
          <w:szCs w:val="20"/>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sz w:val="20"/>
          <w:szCs w:val="20"/>
          <w:color w:val="auto"/>
        </w:rPr>
      </w:pPr>
    </w:p>
    <w:p>
      <w:pPr>
        <w:ind w:left="512" w:right="6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March 31, 2025 and the results of operations, cash flows and shareholders’ equity for the three months ended March 31, 2025 and 2024. The results of operations for the three months ended March 31, 2025 are not necessarily indicative of the results to be expected for the full year. The balance sheet as of December 31, 2024 has been derived from the audited consolidated financial statements included in the Company’s Annual Report on Form 10-K for the year ended December 31, 2024 as filed with the SEC on February 25, 2025 (the “Form 10-K”).</w:t>
      </w:r>
    </w:p>
    <w:p>
      <w:pPr>
        <w:spacing w:after="0" w:line="194" w:lineRule="exact"/>
        <w:rPr>
          <w:sz w:val="20"/>
          <w:szCs w:val="20"/>
          <w:color w:val="auto"/>
        </w:rPr>
      </w:pPr>
    </w:p>
    <w:p>
      <w:pPr>
        <w:jc w:val="both"/>
        <w:ind w:left="512" w:right="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512" w:right="580"/>
        <w:spacing w:after="0" w:line="282"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Form 10-K.</w:t>
      </w:r>
    </w:p>
    <w:p>
      <w:pPr>
        <w:spacing w:after="0" w:line="16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21" w:lineRule="exact"/>
        <w:rPr>
          <w:sz w:val="20"/>
          <w:szCs w:val="20"/>
          <w:color w:val="auto"/>
        </w:rPr>
      </w:pPr>
    </w:p>
    <w:p>
      <w:pPr>
        <w:ind w:left="352" w:hanging="352"/>
        <w:spacing w:after="0"/>
        <w:tabs>
          <w:tab w:leader="none" w:pos="3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Financial Accounting Pronouncements</w:t>
      </w:r>
    </w:p>
    <w:p>
      <w:pPr>
        <w:spacing w:after="0" w:line="229" w:lineRule="exact"/>
        <w:rPr>
          <w:sz w:val="20"/>
          <w:szCs w:val="20"/>
          <w:color w:val="auto"/>
        </w:rPr>
      </w:pPr>
    </w:p>
    <w:p>
      <w:pPr>
        <w:ind w:left="512"/>
        <w:spacing w:after="0" w:line="266" w:lineRule="auto"/>
        <w:rPr>
          <w:sz w:val="20"/>
          <w:szCs w:val="20"/>
          <w:color w:val="auto"/>
        </w:rPr>
      </w:pPr>
      <w:r>
        <w:rPr>
          <w:rFonts w:ascii="Times New Roman" w:cs="Times New Roman" w:eastAsia="Times New Roman" w:hAnsi="Times New Roman"/>
          <w:sz w:val="18"/>
          <w:szCs w:val="18"/>
          <w:color w:val="auto"/>
        </w:rPr>
        <w:t>The Company considered the impact of all Accounting Standards Updates ("ASUs") issued by the Financial Accounting Standards Board ("FASB"). The ASUs issued but not listed below were assessed and determined to be either not applicable or are expected to have minimal impact on the Company's consolidated financial statements.</w:t>
      </w:r>
    </w:p>
    <w:p>
      <w:pPr>
        <w:spacing w:after="0" w:line="17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Adopted in Fiscal 2025</w:t>
      </w:r>
    </w:p>
    <w:p>
      <w:pPr>
        <w:spacing w:after="0" w:line="22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to be Adopted</w:t>
      </w:r>
    </w:p>
    <w:p>
      <w:pPr>
        <w:spacing w:after="0" w:line="229" w:lineRule="exact"/>
        <w:rPr>
          <w:sz w:val="20"/>
          <w:szCs w:val="20"/>
          <w:color w:val="auto"/>
        </w:rPr>
      </w:pPr>
    </w:p>
    <w:p>
      <w:pPr>
        <w:jc w:val="both"/>
        <w:ind w:left="512" w:right="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addresses annual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 and will adopt the new annual disclosures as required for the fiscal year ended December 31, 2025.</w:t>
      </w:r>
    </w:p>
    <w:p>
      <w:pPr>
        <w:spacing w:after="0" w:line="180" w:lineRule="exact"/>
        <w:rPr>
          <w:sz w:val="20"/>
          <w:szCs w:val="20"/>
          <w:color w:val="auto"/>
        </w:rPr>
      </w:pPr>
    </w:p>
    <w:p>
      <w:pPr>
        <w:ind w:left="512" w:right="120"/>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spacing w:after="0" w:line="3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8" w:name="page9"/>
    <w:bookmarkEnd w:id="8"/>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Accounts receivable as of March 31,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161,068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168,435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(8,663)</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(8,863)</w:t>
            </w:r>
          </w:p>
        </w:tc>
      </w:tr>
      <w:tr>
        <w:trPr>
          <w:trHeight w:val="20"/>
        </w:trPr>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152,405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159,572</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2024, were $112.7 million.</w:t>
      </w:r>
    </w:p>
    <w:p>
      <w:pPr>
        <w:spacing w:after="0" w:line="225" w:lineRule="exact"/>
        <w:rPr>
          <w:sz w:val="20"/>
          <w:szCs w:val="20"/>
          <w:color w:val="auto"/>
        </w:rPr>
      </w:pPr>
    </w:p>
    <w:p>
      <w:pPr>
        <w:ind w:left="520" w:right="20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$15.4 million and $13.6 million at March 31, 2025 and December 31, 2024,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80"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Amounts charged to (recovered from) the provision for credit losses were $0.8 million and $(0.4) for the three months ended March 31, 2025 and 2024, respectively.</w:t>
      </w:r>
    </w:p>
    <w:p>
      <w:pPr>
        <w:spacing w:after="0" w:line="15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Contract assets and liabilities as of March 31,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83,335</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69,889</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30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87,870</w:t>
            </w:r>
          </w:p>
        </w:tc>
        <w:tc>
          <w:tcPr>
            <w:tcW w:w="24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81,501</w:t>
            </w:r>
          </w:p>
        </w:tc>
      </w:tr>
    </w:tbl>
    <w:p>
      <w:pPr>
        <w:spacing w:after="0" w:line="179" w:lineRule="exact"/>
        <w:rPr>
          <w:sz w:val="20"/>
          <w:szCs w:val="20"/>
          <w:color w:val="auto"/>
        </w:rPr>
      </w:pPr>
    </w:p>
    <w:p>
      <w:pPr>
        <w:ind w:left="520" w:right="220"/>
        <w:spacing w:after="0" w:line="258"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2024, costs and estimated earnings in excess of billings on uncompleted contracts and billings in excess of costs and estimated earnings on uncompleted contracts were $66.6 million and $56.9 million, respectively. The contract liabilities recorded in “Accrued expenses” on the Condensed Consolidated Balance Sheets were $11.5 million, $9.7 million and $7.9 million as of March 31, 2025, December 31, 2024 and January 1, 2024, respectively. Approximately 30% of the Company's contract liabilities as of December 31, 2024 were recognized as revenue in the three months ended March 31, 2025.</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Inventories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Inventories as of March 31,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21,886</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27,466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12,541</w:t>
            </w:r>
          </w:p>
        </w:tc>
        <w:tc>
          <w:tcPr>
            <w:tcW w:w="2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14,532</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21,634</w:t>
            </w:r>
          </w:p>
        </w:tc>
        <w:tc>
          <w:tcPr>
            <w:tcW w:w="2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4,342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Obsolescence allowance</w:t>
            </w:r>
          </w:p>
        </w:tc>
        <w:tc>
          <w:tcPr>
            <w:tcW w:w="26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(3,142)</w:t>
            </w: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r>
      <w:tr>
        <w:trPr>
          <w:trHeight w:val="20"/>
        </w:trPr>
        <w:tc>
          <w:tcPr>
            <w:tcW w:w="7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52,919</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42,624</w:t>
            </w: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$0.1 million and $0.5 million for the three months ended March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Goodwill and indefinite life intangible asset activity for the three months ended March 31, 2025 and the year ended December 31, 2024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2"/>
        </w:trPr>
        <w:tc>
          <w:tcPr>
            <w:tcW w:w="3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Goodwill / Tradename</w:t>
            </w:r>
          </w:p>
        </w:tc>
        <w:tc>
          <w:tcPr>
            <w:tcW w:w="1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100" w:type="dxa"/>
            <w:vAlign w:val="bottom"/>
          </w:tcPr>
          <w:p>
            <w:pPr>
              <w:spacing w:after="0"/>
              <w:rPr>
                <w:sz w:val="12"/>
                <w:szCs w:val="12"/>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Divestitures</w:t>
            </w: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shd w:val="clear" w:color="auto" w:fill="CFF0FC"/>
          </w:tcPr>
          <w:p>
            <w:pPr>
              <w:spacing w:after="0"/>
              <w:rPr>
                <w:sz w:val="19"/>
                <w:szCs w:val="19"/>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the Company recorded measurement period adjustments related to the acquisitions of WK Germany KG, GmbH and WK Asia-Pacific Pte. Ltd. (collectively, "WK Group") and Verantis Environmental Solutions Group ("Verantis"), as discussed in Note 15, resulting in increases to goodwill of $0.9 million and $4.3 million, respectively. During the first quarter of 2025, the Company also completed its acquisition of Profire Energy, Inc. ("Profire"), as discussed in Note 15, and its divestiture of its Fluid Handling business, also known as its Global Pump Solutions business, as discussed in Note 16.</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Finite life intangible assets as of March 31,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7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22,314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13,291</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20,614</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70,045</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17,660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18,530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intangible assets – finite life</w:t>
            </w: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178,622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69,372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163,728</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89,678</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Finite life intangible asset activity for the three months ended March 31, 2025 and 2024 was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566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166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28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6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(3,096)</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Divestitures</w:t>
            </w:r>
          </w:p>
        </w:tc>
        <w:tc>
          <w:tcPr>
            <w:tcW w:w="16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206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109,250</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Amortization expense of finite life intangible assets was $3.1 million and $2.2 million for the three months ended March 31, 2025 and 2024, respectively. Amortization over the next five years for finite life intangibles is expected to be $13.4 million for the remainder of 2025, $16.4 million in 2026, $15.5 million in 2027, $14.5 million in 2028, $12.9 million in 2029, and $40.1 million thereafter. The weighted average amortization periods for finite life intangible assets was 8.8 years as of March 31, 2025, inclusive of weighted average amortization periods for technology, customer lists, and tradenames of 6.5, 9.1, and 8.1 years, respectively.</w:t>
      </w:r>
    </w:p>
    <w:p>
      <w:pPr>
        <w:spacing w:after="0" w:line="183" w:lineRule="exact"/>
        <w:rPr>
          <w:sz w:val="20"/>
          <w:szCs w:val="20"/>
          <w:color w:val="auto"/>
        </w:rPr>
      </w:pPr>
    </w:p>
    <w:p>
      <w:pPr>
        <w:ind w:left="520" w:right="180"/>
        <w:spacing w:after="0" w:line="254" w:lineRule="auto"/>
        <w:rPr>
          <w:sz w:val="20"/>
          <w:szCs w:val="20"/>
          <w:color w:val="auto"/>
        </w:rPr>
      </w:pPr>
      <w:r>
        <w:rPr>
          <w:rFonts w:ascii="Times New Roman" w:cs="Times New Roman" w:eastAsia="Times New Roman" w:hAnsi="Times New Roman"/>
          <w:sz w:val="18"/>
          <w:szCs w:val="18"/>
          <w:color w:val="auto"/>
        </w:rPr>
        <w:t>The Company completes an impairment assessment annually in the fourth quarter or more often as circumstances require, of its goodwill and indefinite life intangible assets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left="520" w:right="20"/>
        <w:spacing w:after="0" w:line="258" w:lineRule="auto"/>
        <w:rPr>
          <w:sz w:val="20"/>
          <w:szCs w:val="20"/>
          <w:color w:val="auto"/>
        </w:rPr>
      </w:pPr>
      <w:r>
        <w:rPr>
          <w:rFonts w:ascii="Times New Roman" w:cs="Times New Roman" w:eastAsia="Times New Roman" w:hAnsi="Times New Roman"/>
          <w:sz w:val="18"/>
          <w:szCs w:val="18"/>
          <w:color w:val="auto"/>
        </w:rPr>
        <w:t>Additionally, property, plant and equipment and finite life intangible assets are reviewed whenever events or changes in circumstances occur that 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3" w:lineRule="exact"/>
        <w:rPr>
          <w:sz w:val="20"/>
          <w:szCs w:val="20"/>
          <w:color w:val="auto"/>
        </w:rPr>
      </w:pPr>
    </w:p>
    <w:p>
      <w:pPr>
        <w:ind w:left="520" w:right="360"/>
        <w:spacing w:after="0" w:line="312" w:lineRule="auto"/>
        <w:rPr>
          <w:sz w:val="20"/>
          <w:szCs w:val="20"/>
          <w:color w:val="auto"/>
        </w:rPr>
      </w:pPr>
      <w:r>
        <w:rPr>
          <w:rFonts w:ascii="Times New Roman" w:cs="Times New Roman" w:eastAsia="Times New Roman" w:hAnsi="Times New Roman"/>
          <w:sz w:val="17"/>
          <w:szCs w:val="17"/>
          <w:color w:val="auto"/>
        </w:rPr>
        <w:t>The Company did not identify any triggering events that would require an interim impairment assessment, or record an impairment of goodwill, indefinite life intangible assets, finite life intangible assets or property, plant and equipment during the three months ended March 31, 2025.</w:t>
      </w:r>
    </w:p>
    <w:p>
      <w:pPr>
        <w:spacing w:after="0" w:line="140"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are subject to uncertainty, and the Company will continue to monitor these conditions in future periods as new information becomes available, and will update its analysis accordingly.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as of March 31, 2025 and December 31, 2024 consisted of the following: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liability (see Note 15)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tcPr>
          <w:p>
            <w:pPr>
              <w:spacing w:after="0"/>
              <w:rPr>
                <w:sz w:val="18"/>
                <w:szCs w:val="18"/>
                <w:color w:val="auto"/>
              </w:rPr>
            </w:pPr>
          </w:p>
        </w:tc>
      </w:tr>
      <w:tr>
        <w:trPr>
          <w:trHeight w:val="229"/>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59,176</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shd w:val="clear" w:color="auto" w:fill="CFF0FC"/>
          </w:tcPr>
          <w:p>
            <w:pPr>
              <w:spacing w:after="0"/>
              <w:rPr>
                <w:sz w:val="19"/>
                <w:szCs w:val="19"/>
                <w:color w:val="auto"/>
              </w:rPr>
            </w:pP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Senior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as of March 31,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0"/>
        </w:trPr>
        <w:tc>
          <w:tcPr>
            <w:tcW w:w="7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339,710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tcBorders>
              <w:top w:val="single" w:sz="8" w:color="CFF0FC"/>
            </w:tcBorders>
          </w:tcPr>
          <w:p>
            <w:pPr>
              <w:spacing w:after="0"/>
              <w:rPr>
                <w:sz w:val="18"/>
                <w:szCs w:val="18"/>
                <w:color w:val="auto"/>
              </w:rPr>
            </w:pPr>
          </w:p>
        </w:tc>
      </w:tr>
      <w:tr>
        <w:trPr>
          <w:trHeight w:val="216"/>
        </w:trPr>
        <w:tc>
          <w:tcPr>
            <w:tcW w:w="7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r>
      <w:tr>
        <w:trPr>
          <w:trHeight w:val="210"/>
        </w:trPr>
        <w:tc>
          <w:tcPr>
            <w:tcW w:w="7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338,037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tcBorders>
              <w:top w:val="single" w:sz="8" w:color="CFF0FC"/>
            </w:tcBorders>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-1010920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-453390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$1.2 million for the remainder of 2025, $1.9 million in 2026, and $3.7 million in 2027. The remaining $334.7 million will be paid upon maturity in 2029.</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520" w:right="60"/>
        <w:spacing w:after="0" w:line="256"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(the “Credit Agreement”), among the Company, its subsidiaries from time to time party thereto, the lenders from time to time party thereto (the “Lenders”) and Bank of America, N.A., as administrative agent (the “Agent”), which amended and restated in its entirety the Company’s Second Amended and Restated Credit Agreement, dated as of June 11, 2019, among the Company, its subsidiaries from time to time party thereto, the lenders from time to time party thereto and the Agent. The Credit Agreement provides for a senior secured revolving credit facility in an initial aggregate principal amount of up to $400.0 million (the "Credit Facility”).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140"/>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$17.8 million and $18.9 million of letters of credit were outstanding, respectively. Total unused credit availability, in consideration of borrowing limitations, under the Company’s Credit Facility was $24.3 million and $1.0 million at March 31, 2025 and December 31, 2024, respectively. Revolving loans may be borrowed, repaid and reborrowed until October 7, 2029, at which time all outstanding balances of the Credit Facility must be repaid.</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Credit Facility accrues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Credit Agreement, whether the Company has elected for interest on such loans to accrue at a daily rate or a term rate: (a) for term rate loans, if denominated (1) in U.S. Dollars, Term SOFR (as defined in the Credit Agreement inclusive of a 0.10% per annum adjustment),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inclusive of a 0.10% per annum adjustment),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Credit Agreement), but in no event less than once every three months and at maturity. The weighted average stated interest rate on outstanding borrowings was 7.28% and 7.07% at March 31, 2025 and December 31, 2024, respectively. The effective interest rate was 6.90% and 7.82% at March 31, 2025 and December 31, 2024, respectively.</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respect to financial covenants, the Company is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Credit Agreement, following the occurrence of a Permitted Acquisition (as defined in the Credit Agreement) involving aggregate consideration of $15.0 million or more, such maximum Consolidated Net Leverage Ratio and Consolidated Secured Net Leverage Ratio may be increased to 4.50 to 1.00 and 3.50 to 1.00, respectively, for the fiscal quarter in which such Permitted Acquisition is consummated and the subsequent three fiscal quarters of the Company. In the first quarter of 2025, the Company entered into an Elevated Ratio Period resulting in a maximum Consolidated Net Leverage Ratio of 3.50. This Elevated Ratio will be in effect for a maximum of four quarters, after which the Consolidated Net Leverage Ratio will revert to 3.00. The Company is also required to maintain a Consolidated Fixed Charge Coverage Ratio (as defined in the Credit Agreement) as of the last day of each fiscal quarter of the Company of not less than 1.25 to 1.00.</w:t>
      </w:r>
    </w:p>
    <w:p>
      <w:pPr>
        <w:spacing w:after="0" w:line="19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38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01" w:right="359" w:bottom="1440" w:gutter="0" w:footer="0" w:header="0"/>
        </w:sectPr>
      </w:pPr>
    </w:p>
    <w:bookmarkStart w:id="12" w:name="page13"/>
    <w:bookmarkEnd w:id="12"/>
    <w:p>
      <w:pPr>
        <w:ind w:left="520" w:right="18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was in compliance with all related financial and other restrictive covenants under the Credit Facility.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2025, the Company made payments of $98.7 million on its Credit Facility.</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left="520" w:right="60"/>
        <w:spacing w:after="0" w:line="252" w:lineRule="auto"/>
        <w:rPr>
          <w:sz w:val="20"/>
          <w:szCs w:val="20"/>
          <w:color w:val="auto"/>
        </w:rPr>
      </w:pPr>
      <w:r>
        <w:rPr>
          <w:rFonts w:ascii="Times New Roman" w:cs="Times New Roman" w:eastAsia="Times New Roman" w:hAnsi="Times New Roman"/>
          <w:sz w:val="18"/>
          <w:szCs w:val="18"/>
          <w:color w:val="auto"/>
        </w:rPr>
        <w:t>On March 7, 2022, the Effox-Flextor-Mader, Inc. joint venture ("EFM JV"), for which the Company holds 63% of the equity, entered into a loan agreement secured by the assets of the EFM JV in the aggregate principal amount of $11.0 million for the acquisition of General Rubber, LLC. As of March 31, 2025 and December 31, 2024, $6.9 million and $7.3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March 31, 2025 and December 31, 2024 was 7.51% and 7.96%, respectively. As of March 31, 2025 and December 31, 2024, the EFM JV was in compliance with all related financial and other restrictive covenants under this loan agreement. This loan balance does not impact the Company’s borrowing capacity or the financial covenants under the Credit Facility. As of March 31, 2025, there were $18.6 million in current assets (including $4.9 million of cash, $8.3 million of accounts receivable, and $3.7 million of inventories), $43.8 million in long-lived assets (including $24.5 million of goodwill and intangible assets), and $16.4 million in total liabilities (including $6.9 million of debt and $4.6 million of accounts payable and accrued expenses) related to the EFM JV included in the Condensed Consolidated Balance Sheets. As of December 31, 2024, there were $16.2 million in current assets (including $2.9 million of cash, $7.9 million of accounts receivable, and $3.9 million of inventories), $25.4 million in long-lived assets (including $24.8 million of goodwill and intangible assets), and $14.0 million in total liabilities (including $7.3 million of debt and $4.1 million of accounts payable and accrued expenses) related to the EFM JV included in the Consolidated Balance Sheets. For the three months ended March 31, 2025 and 2024, the EFM JV accounted for $11.0 million and $10.7 million in revenue, respectively, and $0.8 million and $1.6 million in net income, respectively, included in the Company's results.</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left="520" w:right="60"/>
        <w:spacing w:after="0" w:line="254"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In March 2023, the Company amended the Credit Facility, allowing letters of credit and bank guarantee issuances of up to $80.0 million from the bilateral lines of credit secured through pledged assets and collateral under the Credit Facility. As of March 31, 2025 and December 31, 2024, $36.9 million and $45.9 million in bank guarantees were outstanding, respectively, inclusive of $1.1 million and $1.1 million in outstanding bank guarantees as of March 31, 2025 and December 31, 2024, respectively, under a Euro-denominated bank guarantee agreement held by a subsidiary of the Company located in the Netherlands and secured by local assets, as well as $1.4 million and $2.1 million in outstanding bank guarantees as of March 31, 2025 and December 31, 2024, respectively, under Yuan-denominated bank guarantee agreements held by a subsidiary of the Company located in China and secured by local assets. Additionally, a subsidiary of the Company located in Germany held a bank loan of $0.5 million as of March 31, 2025.</w:t>
      </w:r>
    </w:p>
    <w:p>
      <w:pPr>
        <w:spacing w:after="0" w:line="184"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three months ended March 31, 2025 and 2024 are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3820" w:type="dxa"/>
            <w:vAlign w:val="bottom"/>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540" w:type="dxa"/>
            <w:vAlign w:val="bottom"/>
            <w:gridSpan w:val="2"/>
            <w:shd w:val="clear" w:color="auto" w:fill="CCEC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280" w:type="dxa"/>
            <w:vAlign w:val="bottom"/>
            <w:shd w:val="clear" w:color="auto" w:fill="CCECFF"/>
          </w:tcPr>
          <w:p>
            <w:pPr>
              <w:spacing w:after="0"/>
              <w:rPr>
                <w:sz w:val="21"/>
                <w:szCs w:val="21"/>
                <w:color w:val="auto"/>
              </w:rPr>
            </w:pPr>
          </w:p>
        </w:tc>
        <w:tc>
          <w:tcPr>
            <w:tcW w:w="680" w:type="dxa"/>
            <w:vAlign w:val="bottom"/>
            <w:shd w:val="clear" w:color="auto" w:fill="CCEC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196"/>
        </w:trPr>
        <w:tc>
          <w:tcPr>
            <w:tcW w:w="6460" w:type="dxa"/>
            <w:vAlign w:val="bottom"/>
            <w:tcBorders>
              <w:top w:val="single" w:sz="8" w:color="CCECFF"/>
            </w:tcBorders>
          </w:tcPr>
          <w:p>
            <w:pPr>
              <w:spacing w:after="0"/>
              <w:rPr>
                <w:sz w:val="17"/>
                <w:szCs w:val="17"/>
                <w:color w:val="auto"/>
              </w:rPr>
            </w:pPr>
          </w:p>
        </w:tc>
        <w:tc>
          <w:tcPr>
            <w:tcW w:w="860" w:type="dxa"/>
            <w:vAlign w:val="bottom"/>
            <w:tcBorders>
              <w:top w:val="single" w:sz="8" w:color="CCEC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CEC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CFF"/>
            </w:tcBorders>
          </w:tcPr>
          <w:p>
            <w:pPr>
              <w:spacing w:after="0"/>
              <w:rPr>
                <w:sz w:val="17"/>
                <w:szCs w:val="17"/>
                <w:color w:val="auto"/>
              </w:rPr>
            </w:pPr>
          </w:p>
        </w:tc>
      </w:tr>
      <w:tr>
        <w:trPr>
          <w:trHeight w:val="216"/>
        </w:trPr>
        <w:tc>
          <w:tcPr>
            <w:tcW w:w="6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6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35,028</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34,846</w:t>
            </w:r>
          </w:p>
        </w:tc>
      </w:tr>
      <w:tr>
        <w:trPr>
          <w:trHeight w:val="216"/>
        </w:trPr>
        <w:tc>
          <w:tcPr>
            <w:tcW w:w="64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860" w:type="dxa"/>
            <w:vAlign w:val="bottom"/>
            <w:tcBorders>
              <w:bottom w:val="single" w:sz="8" w:color="CCECFF"/>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80" w:type="dxa"/>
            <w:vAlign w:val="bottom"/>
            <w:tcBorders>
              <w:bottom w:val="single" w:sz="8" w:color="CCECFF"/>
            </w:tcBorders>
            <w:shd w:val="clear" w:color="auto" w:fill="CCECFF"/>
          </w:tcPr>
          <w:p>
            <w:pPr>
              <w:spacing w:after="0"/>
              <w:rPr>
                <w:sz w:val="18"/>
                <w:szCs w:val="18"/>
                <w:color w:val="auto"/>
              </w:rPr>
            </w:pPr>
          </w:p>
        </w:tc>
        <w:tc>
          <w:tcPr>
            <w:tcW w:w="680" w:type="dxa"/>
            <w:vAlign w:val="bottom"/>
            <w:tcBorders>
              <w:bottom w:val="single" w:sz="8" w:color="auto"/>
            </w:tcBorders>
            <w:shd w:val="clear" w:color="auto" w:fill="CCECFF"/>
          </w:tcPr>
          <w:p>
            <w:pPr>
              <w:spacing w:after="0"/>
              <w:rPr>
                <w:sz w:val="18"/>
                <w:szCs w:val="18"/>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36,177</w:t>
            </w:r>
          </w:p>
        </w:tc>
      </w:tr>
      <w:tr>
        <w:trPr>
          <w:trHeight w:val="20"/>
        </w:trPr>
        <w:tc>
          <w:tcPr>
            <w:tcW w:w="6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-744855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-727710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each of the three months ended March 31, 2025 and 2024, 0.1 million of outstanding options and restricted stock units were excluded from the computation of diluted earnings per share due to their having an anti-dilutive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520"/>
        <w:spacing w:after="0" w:line="282"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three months ended March 31, 2024, the Company repurchased approximately 144,000 shares under the program for a cost of $3.0 million. There were no shares repurchased under the program during the three months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recognized $3.4 million and $1.7 million of expense related to share-based compensation during the three months ended March 31, 2025 and 2024, respectively, which was measured based upon the fair value of the awards at the grant date.</w:t>
      </w:r>
    </w:p>
    <w:p>
      <w:pPr>
        <w:spacing w:after="0" w:line="162" w:lineRule="exact"/>
        <w:rPr>
          <w:sz w:val="20"/>
          <w:szCs w:val="20"/>
          <w:color w:val="auto"/>
        </w:rPr>
      </w:pPr>
    </w:p>
    <w:p>
      <w:pPr>
        <w:ind w:left="520" w:right="760"/>
        <w:spacing w:after="0" w:line="312" w:lineRule="auto"/>
        <w:rPr>
          <w:sz w:val="20"/>
          <w:szCs w:val="20"/>
          <w:color w:val="auto"/>
        </w:rPr>
      </w:pPr>
      <w:r>
        <w:rPr>
          <w:rFonts w:ascii="Times New Roman" w:cs="Times New Roman" w:eastAsia="Times New Roman" w:hAnsi="Times New Roman"/>
          <w:sz w:val="17"/>
          <w:szCs w:val="17"/>
          <w:color w:val="auto"/>
        </w:rPr>
        <w:t>The Company granted approximately 388,000 and 284,000 restricted stock units during the three months ended March 31, 2025 and 2024, respectively, and approximately 67,000 and 25,000 stock options during the three months ended March 31, 2025 and 2024, respectively.</w:t>
      </w:r>
    </w:p>
    <w:p>
      <w:pPr>
        <w:spacing w:after="0" w:line="140" w:lineRule="exact"/>
        <w:rPr>
          <w:sz w:val="20"/>
          <w:szCs w:val="20"/>
          <w:color w:val="auto"/>
        </w:rPr>
      </w:pPr>
    </w:p>
    <w:p>
      <w:pPr>
        <w:jc w:val="both"/>
        <w:ind w:left="520" w:right="340"/>
        <w:spacing w:after="0" w:line="266" w:lineRule="auto"/>
        <w:rPr>
          <w:sz w:val="20"/>
          <w:szCs w:val="20"/>
          <w:color w:val="auto"/>
        </w:rPr>
      </w:pPr>
      <w:r>
        <w:rPr>
          <w:rFonts w:ascii="Times New Roman" w:cs="Times New Roman" w:eastAsia="Times New Roman" w:hAnsi="Times New Roman"/>
          <w:sz w:val="18"/>
          <w:szCs w:val="18"/>
          <w:color w:val="auto"/>
        </w:rPr>
        <w:t>There were 10,000 options exercised during the three months ended March 31, 2024, for which the Company received $0.1 million in cash. The intrinsic value of options exercised during the three months ended March 31, 2024 was $0.1 million. No options were exercised during the three months ended March 31, 2025.</w:t>
      </w:r>
    </w:p>
    <w:p>
      <w:pPr>
        <w:spacing w:after="0" w:line="172"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Company sponsored a non-contributory defined benefit pension plan for certain union employees. The plan was funded in accordance with the funding requirements of the Employee Retirement Income Security Act of 1974. The Company presents the components of net periodic benefit cost within “Other expense, net” on the Condensed Consolidated Statements of Income. Retirement plan expense is based on valuations performed by plan actuaries as of the beginning of each fiscal year. The components of the pension plan expense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7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-170815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right="40"/>
        <w:spacing w:after="0" w:line="266" w:lineRule="auto"/>
        <w:rPr>
          <w:sz w:val="20"/>
          <w:szCs w:val="20"/>
          <w:color w:val="auto"/>
        </w:rPr>
      </w:pPr>
      <w:r>
        <w:rPr>
          <w:rFonts w:ascii="Times New Roman" w:cs="Times New Roman" w:eastAsia="Times New Roman" w:hAnsi="Times New Roman"/>
          <w:sz w:val="18"/>
          <w:szCs w:val="18"/>
          <w:color w:val="auto"/>
        </w:rPr>
        <w:t>The Company made no contributions to its defined benefit plan during the three months ended March 31, 2025 and 2024. The plan assets balance of $0.4 million as of December 31, 2024 is included in “Deferred charges and other assets” on the Condensed Consolidated Balance Sheets. On March 31, 2025, the pension plan was transferred to the purchaser of the Global Pump Solutions business, as discussed in Note 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520" w:right="340"/>
        <w:spacing w:after="0" w:line="312" w:lineRule="auto"/>
        <w:rPr>
          <w:sz w:val="20"/>
          <w:szCs w:val="20"/>
          <w:color w:val="auto"/>
        </w:rPr>
      </w:pPr>
      <w:r>
        <w:rPr>
          <w:rFonts w:ascii="Times New Roman" w:cs="Times New Roman" w:eastAsia="Times New Roman" w:hAnsi="Times New Roman"/>
          <w:sz w:val="17"/>
          <w:szCs w:val="17"/>
          <w:color w:val="auto"/>
        </w:rPr>
        <w:t>The Company files income tax returns in various federal, state and local jurisdictions. Tax years from 2018 forward, with the exception of 2020, remain open for examination by Federal authorities. Tax years from 2018 forward remain open for all significant state and foreign authorities.</w:t>
      </w:r>
    </w:p>
    <w:p>
      <w:pPr>
        <w:spacing w:after="0" w:line="140" w:lineRule="exact"/>
        <w:rPr>
          <w:sz w:val="20"/>
          <w:szCs w:val="20"/>
          <w:color w:val="auto"/>
        </w:rPr>
      </w:pPr>
    </w:p>
    <w:p>
      <w:pPr>
        <w:ind w:left="520" w:right="400"/>
        <w:spacing w:after="0" w:line="289" w:lineRule="auto"/>
        <w:rPr>
          <w:sz w:val="20"/>
          <w:szCs w:val="20"/>
          <w:color w:val="auto"/>
        </w:rPr>
      </w:pPr>
      <w:r>
        <w:rPr>
          <w:rFonts w:ascii="Times New Roman" w:cs="Times New Roman" w:eastAsia="Times New Roman" w:hAnsi="Times New Roman"/>
          <w:sz w:val="17"/>
          <w:szCs w:val="17"/>
          <w:color w:val="auto"/>
        </w:rPr>
        <w:t>As of March 31, 2025 and December 31, 2024, the liability for uncertain tax positions totaled approximately $1.3 million and $1.1 million, respectively, which is included in “Other liabilities” on the Condensed Consolidated Balance Sheets. The Company recognizes accrued interest related to uncertain tax positions and penalties, if any, in income tax expense within the Condensed Consolidated Statements of Income.</w:t>
      </w:r>
    </w:p>
    <w:p>
      <w:pPr>
        <w:spacing w:after="0" w:line="158"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520" w:right="60"/>
        <w:spacing w:after="0" w:line="261" w:lineRule="auto"/>
        <w:rPr>
          <w:sz w:val="20"/>
          <w:szCs w:val="20"/>
          <w:color w:val="auto"/>
        </w:rPr>
      </w:pPr>
      <w:r>
        <w:rPr>
          <w:rFonts w:ascii="Times New Roman" w:cs="Times New Roman" w:eastAsia="Times New Roman" w:hAnsi="Times New Roman"/>
          <w:sz w:val="18"/>
          <w:szCs w:val="18"/>
          <w:color w:val="auto"/>
        </w:rPr>
        <w:t>Company intends to repatriate foreign-held cash as needed. The Company records deferred income tax attributable to foreign withholding taxes that would become payable should it decide to repatriate cash held in our foreign operations. As of March 31, 2025 and December 31, 2024, the Company recorded deferred income taxes of approximately $1.1 million and $0.9 million, respectively, on the undistributed earnings of its foreign subsidiaries.</w:t>
      </w:r>
    </w:p>
    <w:p>
      <w:pPr>
        <w:spacing w:after="0" w:line="180"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Income tax expense was $18.6 million and $0.7 million for the three months ended March 31, 2025 and 2024, respectively. The effective income tax rate for the three months ended March 31, 2025 was 33.8% compared with 24.2% for the three months ended March 31, 2024. The effective income tax rates for the three months ended March 31, 2025 and 2024 differ from the United States federal statutory rate. The Company's effective rate is affected by certain other permanent differences, including the gain on the sale of the Global Pump Solutions business, state income taxes, non-deductible incentive stock-based compensation and differences in tax rates among jurisdictions in which it operates.</w:t>
      </w:r>
    </w:p>
    <w:p>
      <w:pPr>
        <w:spacing w:after="0" w:line="183" w:lineRule="exact"/>
        <w:rPr>
          <w:sz w:val="20"/>
          <w:szCs w:val="20"/>
          <w:color w:val="auto"/>
        </w:rPr>
      </w:pPr>
    </w:p>
    <w:p>
      <w:pPr>
        <w:ind w:left="520" w:right="80"/>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investments in cash and cash equivalents, receivables and certain other assets, notes payable, foreign debt and accounts payable, which approximate fair value at March 31, 2025 and December 31, 2024, due to their short-term nature or variable, market-driven interest rates.</w:t>
      </w:r>
    </w:p>
    <w:p>
      <w:pPr>
        <w:spacing w:after="0" w:line="176"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$341.6 million and $221.5 million at March 31, 2025 and December 31, 2024, respectively. The fair value was determined considering market conditions, the Company's credit worthiness and the current terms of our debt, which is considered Level 2 on the fair value hierarchy.</w:t>
      </w:r>
    </w:p>
    <w:p>
      <w:pPr>
        <w:spacing w:after="0" w:line="176"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the Company had cash and cash equivalents of $146.5 million and $37.8 million, respectively, of which $30.5 million and $29.7 million, respectively, was held outside of the United States, principally in the Netherlands, United Kingdom, United Arab Emirates, and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Asbestos cases</w:t>
      </w:r>
    </w:p>
    <w:p>
      <w:pPr>
        <w:spacing w:after="0" w:line="227"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The Company's subsidiary, Met-Pro Technologies LLC (“Met-Pro”), beginning in 2002, has been named in asbestos-related lawsuits filed against a large number of industrial companies including, in particular, those in the pump and fluid handling industries. While the Company divested of its fluid handling business (also known as its Global Pump Solutions business) in the first quarter of 2025, as discussed in Note 16, the Company retained historical asbestos liabilities and the related legacy insurance policies.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As of March 31, 2025 and December 31, 2024, the related amount recorded within "Accrued expenses" on the Condensed Consolidated Balance Sheets was $0.2 million.</w:t>
      </w:r>
    </w:p>
    <w:p>
      <w:pPr>
        <w:spacing w:after="0" w:line="190"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The Company also presently believes that none of the pending cases will have a material adverse impact upon the Company’s results of operations, liquidity or financial condition.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62"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Profire Energy, Inc.</w:t>
      </w:r>
    </w:p>
    <w:p>
      <w:pPr>
        <w:spacing w:after="0" w:line="227"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On January 3, 2025, the Company acquired all outstanding shares of Profire for $122.7 million in cash, including $4.6 million of cash used to settle outstanding equity awards for which $2.3 million represents the acceleration of such awards and thus recorded within "Acquisition expenses" on the Condensed Consolidated Statements of Income. Resulting consideration transferred for the acquisition was $120.4 million. The transaction was financed through a combination of cash on hand and a draw on the Company's revolving credit facility. Profire is a technology company and provider of intelligent control solutions that enhance the efficiency, safety, and reliability of industrial combustion appliances. The business operates primarily from locations in Lindon, Utah and Acheson, Alberta and is reported within the Engineered Systems segment. The following table summarizes the preliminary fair values of the assets acquired and liabilities assumed at the date of closing.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and cash equivalents of $22,675 and accounts receivable of $14,151)</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140,092</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6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r>
      <w:tr>
        <w:trPr>
          <w:trHeight w:val="210"/>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120,382</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The Company acquired property and equipment consisting of $14.7 million of land, building and improvements, $2.1 million of vehicles, and $0.6 million of machinery and equipment and other.</w:t>
      </w:r>
    </w:p>
    <w:p>
      <w:pPr>
        <w:spacing w:after="0" w:line="162" w:lineRule="exact"/>
        <w:rPr>
          <w:sz w:val="20"/>
          <w:szCs w:val="20"/>
          <w:color w:val="auto"/>
        </w:rPr>
      </w:pPr>
    </w:p>
    <w:p>
      <w:pPr>
        <w:ind w:left="520" w:right="7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$3.6 million, $34.5 million, and $3.7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Verantis Environmental Solutions Group</w:t>
      </w:r>
    </w:p>
    <w:p>
      <w:pPr>
        <w:spacing w:after="0" w:line="227"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acquired 100% of the equity interests of Verantis for $65.5 million in cash, which was financed with a draw on the Company's revolving credit facility. Verantis is a global leader in engineering services and equipment systems and solutions for exhaust air treatment in a wide range of general industrial and high technology manufacturing processes. The business operates primarily from locations in Middleburg Heights, Ohio and Singapore and is reported within the Industrial Processing Solutions segment. The following table summarizes the preliminary fair values of the assets acquired and liabilities assumed at the date of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$10,557)</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21,107</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48,722</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92,390</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(17,595)</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(8,371)</w:t>
            </w: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10"/>
        </w:trPr>
        <w:tc>
          <w:tcPr>
            <w:tcW w:w="92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65,496</w:t>
            </w:r>
          </w:p>
        </w:tc>
        <w:tc>
          <w:tcPr>
            <w:tcW w:w="100" w:type="dxa"/>
            <w:vAlign w:val="bottom"/>
            <w:tcBorders>
              <w:top w:val="single" w:sz="8" w:color="CFF0FC"/>
            </w:tcBorders>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$2.4 million, $17.0 million and $2.6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WK Group</w:t>
      </w:r>
    </w:p>
    <w:p>
      <w:pPr>
        <w:spacing w:after="0" w:line="227"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On October 2, 2024, the Company acquired 100% of the equity interests of WK Group for $6.8 million in cash, which was financed with a draw on the Company's revolving credit facility. As additional consideration in the acquisition of WK Group, the former owners of WK Group are also entitled to earn-out payments up to $27.5 million based upon specified financial results through September 30, 2025. Based on projections at the acquisition date, the Company estimated the fair value of the earn-out to be $6.3 million, recorded within "Accrued expenses" on its Condensed Consolidated Balance Sheets. This fair value measurement is based on inputs not observable in the market, which is considered Level 3 on the fair value hierarchy. WK Group designs and engineers a broad range of technical equipment and systems for exhaust and process air treatment, VOC abatement, energy recovery and surface treatment applications. The business operates primarily from locations in Germany, India, and Singapore and is reported within the Industrial Processing Solutions segment. The following table summarizes the preliminary fair values of the assets acquired and liabilities assumed at the date of closing.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$9,705)</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28,474</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(12,533)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r>
      <w:tr>
        <w:trPr>
          <w:trHeight w:val="210"/>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right="90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$1.0 million, $1.2 million and $1.0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EnviroCare International LLC</w:t>
      </w:r>
    </w:p>
    <w:p>
      <w:pPr>
        <w:spacing w:after="0" w:line="227"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On July 29, 2024, the Company acquired 100% of the equity interests of EnviroCare International LLC (“EnviroCare") for $16.7 million, including $15.7 million paid at closing, which was financed with a draw on the Company's revolving credit facility, and a seller promissory note of $1.7 million, partially offset by a working capital adjustment of $0.7 million. EnviroCare is a designer and provider of industrial exhaust air contamination treatment and control and evaporative gas conditioning systems, solutions and services across a wide range of industrial and municipal applications. The business operates primarily from American Canyon, California and is reported within the Industrial Processing Solutions segment. The following table summarizes the preliminary fair values of the assets acquired and liabilities assumed at the date of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of $596 and accounts receivable of $405)</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(5,065)</w:t>
            </w:r>
          </w:p>
        </w:tc>
      </w:tr>
      <w:tr>
        <w:trPr>
          <w:trHeight w:val="249"/>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90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$0.8 million, $0.8 million and $5.7 million, respectively. These assets were determined to have useful lives of 7, 10 and 10 years, respectively.</w:t>
      </w:r>
    </w:p>
    <w:p>
      <w:pPr>
        <w:spacing w:after="0" w:line="162"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The acquisitions disclosed above are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83"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76"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162"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 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176,697</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163,957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38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35,984</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0.98</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r>
    </w:tbl>
    <w:p>
      <w:pPr>
        <w:spacing w:after="0" w:line="198"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Divestiture</w:t>
      </w:r>
    </w:p>
    <w:p>
      <w:pPr>
        <w:spacing w:after="0" w:line="229"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On March 31, 2025, the Company finalized the sale of its Global Pump Solutions business to a third party for a purchase price of $109.5 million, subject to purchase price adjustments. The Company received cash proceeds of $105.9 million, inclusive of the purchase price and purchase price adjustments of $0.8 million, with an additional amount of $2.8 million placed in escrow for the potential satisfaction of purchase price adjustments. As the result of the transaction, the Company recognized a pre-tax gain on sale of business of $64.5 million. The Global Pump Solutions business consists of three niche leadership severe service industrial metallic, fiberglass and thermoplastic centrifugal pump brands: Dean, Fybroc and Sethco. The business primarily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operates from locations in Indianapolis, Indiana and Telford, Pennsylvania, and was included within the Industrial Processing Solutions segment.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related to the transaction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108,610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Assets transferred</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(4,230)</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(5,247)</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 assets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Liabilities transferred</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8"/>
                <w:szCs w:val="18"/>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64,502</w:t>
            </w:r>
          </w:p>
        </w:tc>
        <w:tc>
          <w:tcPr>
            <w:tcW w:w="100" w:type="dxa"/>
            <w:vAlign w:val="bottom"/>
            <w:shd w:val="clear" w:color="auto" w:fill="CFF0FC"/>
          </w:tcPr>
          <w:p>
            <w:pPr>
              <w:spacing w:after="0"/>
              <w:rPr>
                <w:sz w:val="19"/>
                <w:szCs w:val="19"/>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Segment Information</w:t>
      </w:r>
    </w:p>
    <w:p>
      <w:pPr>
        <w:spacing w:after="0" w:line="229" w:lineRule="exact"/>
        <w:rPr>
          <w:sz w:val="20"/>
          <w:szCs w:val="20"/>
          <w:color w:val="auto"/>
        </w:rPr>
      </w:pPr>
    </w:p>
    <w:p>
      <w:pPr>
        <w:ind w:left="520" w:right="32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markets that the segment serves and are presented in two reportable segments. The results of the segments, specifically income from operations as adjusted for intercompany profits, are reviewed quarterly by the chief operating decision maker ("CODM"), which is the Company's Chief Executive Officer, for the purposes of allocating resources, including personnel, capital, and financial resources, and assessing performance, including the monitoring of budget versus actual results. Asset information by segment is not reported internally or otherwise regularly reviewed by the CODM.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Engineered Systems segment:</w:t>
      </w:r>
      <w:r>
        <w:rPr>
          <w:rFonts w:ascii="Times New Roman" w:cs="Times New Roman" w:eastAsia="Times New Roman" w:hAnsi="Times New Roman"/>
          <w:sz w:val="18"/>
          <w:szCs w:val="18"/>
          <w:color w:val="auto"/>
        </w:rPr>
        <w:t xml:space="preserve"> The Company's Engineered Systems segment serves the power generation, hydrocarbon transport and processing, water/wastewater treatment, oily water separation and treatment, marine and naval, and natural gas and natural gas liquids infrastructure, treatment and transport sectors. The Company seeks to address the global demand for contaminant removal and environmental protection solutions with its highly engineered platforms including emissions management, fluid bed cyclones, thermal acoustics, separation and filtration, and dampers and expansion joints.</w:t>
      </w:r>
    </w:p>
    <w:p>
      <w:pPr>
        <w:spacing w:after="0" w:line="183" w:lineRule="exact"/>
        <w:rPr>
          <w:sz w:val="20"/>
          <w:szCs w:val="20"/>
          <w:color w:val="auto"/>
        </w:rPr>
      </w:pPr>
    </w:p>
    <w:p>
      <w:pPr>
        <w:ind w:left="520" w:right="140"/>
        <w:spacing w:after="0" w:line="254" w:lineRule="auto"/>
        <w:rPr>
          <w:sz w:val="20"/>
          <w:szCs w:val="20"/>
          <w:color w:val="auto"/>
        </w:rPr>
      </w:pPr>
      <w:r>
        <w:rPr>
          <w:rFonts w:ascii="Times New Roman" w:cs="Times New Roman" w:eastAsia="Times New Roman" w:hAnsi="Times New Roman"/>
          <w:sz w:val="18"/>
          <w:szCs w:val="18"/>
          <w:u w:val="single" w:color="auto"/>
          <w:color w:val="auto"/>
        </w:rPr>
        <w:t>Industrial Process Solutions segment:</w:t>
      </w:r>
      <w:r>
        <w:rPr>
          <w:rFonts w:ascii="Times New Roman" w:cs="Times New Roman" w:eastAsia="Times New Roman" w:hAnsi="Times New Roman"/>
          <w:sz w:val="18"/>
          <w:szCs w:val="18"/>
          <w:color w:val="auto"/>
        </w:rPr>
        <w:t xml:space="preserve"> The Company's Industrial Process Solutions segment serves the broad industrial sector with solutions for contamination control, exhaust air treatment, VOC abatement, process filtration and fluid handling in applications such as aluminum beverage can production, vehicle production, food and beverage processing, semiconductor fabrication, electronics production, steel and aluminum processing, engineered wood products manufacturing, chemical processing, general manufacturing and machining, coating and surface treatment, battery production and recycling, and wind and solar power components manufacturing end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three months ended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20" w:type="dxa"/>
            <w:vAlign w:val="bottom"/>
          </w:tcPr>
          <w:p>
            <w:pPr>
              <w:spacing w:after="0"/>
              <w:rPr>
                <w:sz w:val="15"/>
                <w:szCs w:val="15"/>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124,827</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59,170</w:t>
            </w:r>
          </w:p>
        </w:tc>
        <w:tc>
          <w:tcPr>
            <w:tcW w:w="120" w:type="dxa"/>
            <w:vAlign w:val="bottom"/>
            <w:shd w:val="clear" w:color="auto" w:fill="CFF0FC"/>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69,650</w:t>
            </w:r>
          </w:p>
        </w:tc>
        <w:tc>
          <w:tcPr>
            <w:tcW w:w="120" w:type="dxa"/>
            <w:vAlign w:val="bottom"/>
          </w:tcPr>
          <w:p>
            <w:pPr>
              <w:spacing w:after="0"/>
              <w:rPr>
                <w:sz w:val="20"/>
                <w:szCs w:val="20"/>
                <w:color w:val="auto"/>
              </w:rPr>
            </w:pPr>
          </w:p>
        </w:tc>
      </w:tr>
      <w:tr>
        <w:trPr>
          <w:trHeight w:val="630"/>
        </w:trPr>
        <w:tc>
          <w:tcPr>
            <w:tcW w:w="3640" w:type="dxa"/>
            <w:vAlign w:val="bottom"/>
          </w:tcPr>
          <w:p>
            <w:pPr>
              <w:spacing w:after="0"/>
              <w:rPr>
                <w:sz w:val="24"/>
                <w:szCs w:val="24"/>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three months ended March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120,434</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8"/>
                <w:szCs w:val="18"/>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108,705</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(64,502)</w:t>
            </w: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(64,502)</w:t>
            </w:r>
          </w:p>
        </w:tc>
      </w:tr>
      <w:tr>
        <w:trPr>
          <w:trHeight w:val="216"/>
        </w:trPr>
        <w:tc>
          <w:tcPr>
            <w:tcW w:w="40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95,691</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loss</w:t>
            </w:r>
            <w:r>
              <w:rPr>
                <w:rFonts w:ascii="Times New Roman" w:cs="Times New Roman" w:eastAsia="Times New Roman" w:hAnsi="Times New Roman"/>
                <w:sz w:val="24"/>
                <w:szCs w:val="24"/>
                <w:color w:val="auto"/>
                <w:vertAlign w:val="superscript"/>
              </w:rPr>
              <w:t>(3)</w:t>
            </w:r>
          </w:p>
        </w:tc>
        <w:tc>
          <w:tcPr>
            <w:tcW w:w="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-2651125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-2651125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-2651125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-988060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-988060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-988060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1020" w:hanging="26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divestiture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gain on sale of business, foreign exchange (gain) loss and pension expense.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segment information is as follows for the three months ended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20" w:type="dxa"/>
            <w:vAlign w:val="bottom"/>
          </w:tcPr>
          <w:p>
            <w:pPr>
              <w:spacing w:after="0"/>
              <w:rPr>
                <w:sz w:val="15"/>
                <w:szCs w:val="15"/>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FF0FC"/>
          </w:tcPr>
          <w:p>
            <w:pPr>
              <w:spacing w:after="0"/>
              <w:rPr>
                <w:sz w:val="18"/>
                <w:szCs w:val="18"/>
                <w:color w:val="auto"/>
              </w:rPr>
            </w:pPr>
          </w:p>
        </w:tc>
      </w:tr>
      <w:tr>
        <w:trPr>
          <w:trHeight w:val="31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24"/>
                <w:szCs w:val="24"/>
                <w:color w:val="auto"/>
              </w:rPr>
            </w:pPr>
          </w:p>
        </w:tc>
      </w:tr>
    </w:tbl>
    <w:p>
      <w:pPr>
        <w:ind w:left="760" w:right="100" w:hanging="3"/>
        <w:spacing w:after="0" w:line="269" w:lineRule="auto"/>
        <w:tabs>
          <w:tab w:leader="none" w:pos="10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three months ended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20" w:type="dxa"/>
            <w:vAlign w:val="bottom"/>
          </w:tcPr>
          <w:p>
            <w:pPr>
              <w:spacing w:after="0"/>
              <w:rPr>
                <w:sz w:val="15"/>
                <w:szCs w:val="15"/>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92,518</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120" w:type="dxa"/>
            <w:vAlign w:val="bottom"/>
            <w:shd w:val="clear" w:color="auto" w:fill="CFF0FC"/>
          </w:tcPr>
          <w:p>
            <w:pPr>
              <w:spacing w:after="0"/>
              <w:rPr>
                <w:sz w:val="18"/>
                <w:szCs w:val="18"/>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20" w:type="dxa"/>
            <w:vAlign w:val="bottom"/>
          </w:tcPr>
          <w:p>
            <w:pPr>
              <w:spacing w:after="0"/>
              <w:rPr>
                <w:sz w:val="20"/>
                <w:szCs w:val="20"/>
                <w:color w:val="auto"/>
              </w:rPr>
            </w:pPr>
          </w:p>
        </w:tc>
      </w:tr>
      <w:tr>
        <w:trPr>
          <w:trHeight w:val="630"/>
        </w:trPr>
        <w:tc>
          <w:tcPr>
            <w:tcW w:w="3640" w:type="dxa"/>
            <w:vAlign w:val="bottom"/>
          </w:tcPr>
          <w:p>
            <w:pPr>
              <w:spacing w:after="0"/>
              <w:rPr>
                <w:sz w:val="24"/>
                <w:szCs w:val="24"/>
                <w:color w:val="auto"/>
              </w:rPr>
            </w:pPr>
          </w:p>
        </w:tc>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three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89,349</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77,319</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29,218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profit or loss</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-2502535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-2502535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asbestos litigation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segment information is as follows for the three months ended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20" w:type="dxa"/>
            <w:vAlign w:val="bottom"/>
          </w:tcPr>
          <w:p>
            <w:pPr>
              <w:spacing w:after="0"/>
              <w:rPr>
                <w:sz w:val="15"/>
                <w:szCs w:val="15"/>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FF0FC"/>
          </w:tcPr>
          <w:p>
            <w:pPr>
              <w:spacing w:after="0"/>
              <w:rPr>
                <w:sz w:val="18"/>
                <w:szCs w:val="18"/>
                <w:color w:val="auto"/>
              </w:rPr>
            </w:pPr>
          </w:p>
        </w:tc>
      </w:tr>
      <w:tr>
        <w:trPr>
          <w:trHeight w:val="31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24"/>
                <w:szCs w:val="24"/>
                <w:color w:val="auto"/>
              </w:rPr>
            </w:pPr>
          </w:p>
        </w:tc>
      </w:tr>
    </w:tbl>
    <w:p>
      <w:pPr>
        <w:ind w:left="760" w:right="100" w:hanging="3"/>
        <w:spacing w:after="0" w:line="269"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the other segment expense captions, such as shop burden or general and administrative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area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5"/>
                <w:szCs w:val="15"/>
                <w:color w:val="auto"/>
              </w:rPr>
            </w:pPr>
          </w:p>
        </w:tc>
        <w:tc>
          <w:tcPr>
            <w:tcW w:w="34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vMerge w:val="continue"/>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tcPr>
          <w:p>
            <w:pPr>
              <w:jc w:val="right"/>
              <w:ind w:right="10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10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112,003</w:t>
            </w:r>
          </w:p>
        </w:tc>
        <w:tc>
          <w:tcPr>
            <w:tcW w:w="56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6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6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6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5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net sales</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176,697</w:t>
            </w:r>
          </w:p>
        </w:tc>
        <w:tc>
          <w:tcPr>
            <w:tcW w:w="5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-980440</wp:posOffset>
            </wp:positionV>
            <wp:extent cx="93980" cy="136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-980440</wp:posOffset>
            </wp:positionV>
            <wp:extent cx="93980" cy="136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net sales is based upon the country location of the Company's business unit generating such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by geographic area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5"/>
                <w:szCs w:val="15"/>
                <w:color w:val="auto"/>
              </w:rPr>
            </w:pPr>
          </w:p>
        </w:tc>
        <w:tc>
          <w:tcPr>
            <w:tcW w:w="210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374,173</w:t>
            </w:r>
          </w:p>
        </w:tc>
        <w:tc>
          <w:tcPr>
            <w:tcW w:w="540" w:type="dxa"/>
            <w:vAlign w:val="bottom"/>
          </w:tcPr>
          <w:p>
            <w:pPr>
              <w:spacing w:after="0"/>
              <w:rPr>
                <w:sz w:val="18"/>
                <w:szCs w:val="18"/>
                <w:color w:val="auto"/>
              </w:rPr>
            </w:pPr>
          </w:p>
        </w:tc>
        <w:tc>
          <w:tcPr>
            <w:tcW w:w="5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2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332,162</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4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27,632</w:t>
            </w:r>
          </w:p>
        </w:tc>
        <w:tc>
          <w:tcPr>
            <w:tcW w:w="5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4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33,841</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36,315</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FF0FC"/>
          </w:tcPr>
          <w:p>
            <w:pPr>
              <w:spacing w:after="0"/>
              <w:rPr>
                <w:sz w:val="18"/>
                <w:szCs w:val="18"/>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45,348</w:t>
            </w:r>
          </w:p>
        </w:tc>
        <w:tc>
          <w:tcPr>
            <w:tcW w:w="5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long-lived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480,994</w:t>
            </w:r>
          </w:p>
        </w:tc>
        <w:tc>
          <w:tcPr>
            <w:tcW w:w="10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long-lived assets is based upon physical location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Income for the three months ended March 31, 2025 and 2024 reflect the consolidated operations of the Company and its subsidiaries.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CECO Environmental Corp. (“CECO,” “we,” “us,” or the “Company”) is a leading environmentally focused, diversified industrial company, serving the broad landscape of industrial air, industrial water and energy transition markets globally providing innovative technology and application expertise through a collection of focused operating companies with niche leadership positions and well-established brands in fragmented markets with flexible business models and established supply chains.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Pressures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Against the current backdrop of a rapidly evolving global commercial environment, we believe we are comparatively well-positioned as we execute and manufacture a majority of our business in the same regions in which we sell, with our cost and revenue bases largely aligned as a result. Recently, international trade has been impacted by geopolitical tariff considerations. To mitigate potential tariff-related impacts, we have worked strategically with customers and suppliers to optimize terms and pricing, sourcing locations, and logistics routes and schedules. While we will continue to take a proactive approach on our efforts to mitigate the impacts of tariffs, our business and results could be adversely affected by further policy developments. Additionally,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and/or inflationary pressures, our business, results and financial condition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 and the items described below in “Consolidated Results.” The Company believes that these items are not necessarily indicative of the Company’s ongoing operations and their exclusion provides individuals with additional information to better compare the Company's results over multiple periods. The Company utilizes this information to evaluate its ongoing financial performance.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Income for the three months ended March 31, 2025 and 2024 are as follows:</w:t>
      </w:r>
    </w:p>
    <w:p>
      <w:pPr>
        <w:spacing w:after="0" w:line="22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8"/>
                <w:szCs w:val="18"/>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40" w:type="dxa"/>
            <w:vAlign w:val="bottom"/>
          </w:tcPr>
          <w:p>
            <w:pPr>
              <w:spacing w:after="0"/>
              <w:rPr>
                <w:sz w:val="18"/>
                <w:szCs w:val="18"/>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4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35.7%</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4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27.6%</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4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6.1%</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40" w:type="dxa"/>
            <w:vAlign w:val="bottom"/>
          </w:tcPr>
          <w:p>
            <w:pPr>
              <w:spacing w:after="0"/>
              <w:rPr>
                <w:sz w:val="18"/>
                <w:szCs w:val="18"/>
                <w:color w:val="auto"/>
              </w:rPr>
            </w:pPr>
          </w:p>
        </w:tc>
      </w:tr>
      <w:tr>
        <w:trPr>
          <w:trHeight w:val="210"/>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7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-24765</wp:posOffset>
            </wp:positionV>
            <wp:extent cx="1117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-7620</wp:posOffset>
            </wp:positionV>
            <wp:extent cx="1117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compare operating performance between the three months ended March 31, 2025 and 2024, the Company has adjusted GAAP operating income to exclude (1) amortization of intangible assets, (2) acquisition and integration expenses, which include legal, accounting, and other expenses, (3) gain on the sale of the Global Pump Solutions business as discussed in Note 16, and (4) other non-recurring expenses, including restructuring expenses primarily relating to severance, facility exits, and associated legal expenses.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operating income and GAAP operating margin to non-GAAP operating income and non-GAAP operating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420" w:type="dxa"/>
            <w:vAlign w:val="bottom"/>
          </w:tcPr>
          <w:p>
            <w:pPr>
              <w:spacing w:after="0"/>
              <w:rPr>
                <w:sz w:val="15"/>
                <w:szCs w:val="15"/>
                <w:color w:val="auto"/>
              </w:rPr>
            </w:pPr>
          </w:p>
        </w:tc>
        <w:tc>
          <w:tcPr>
            <w:tcW w:w="3720" w:type="dxa"/>
            <w:vAlign w:val="bottom"/>
            <w:gridSpan w:val="6"/>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4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6.1%</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expenses</w:t>
            </w: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line="216"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1"/>
                <w:szCs w:val="21"/>
                <w:color w:val="auto"/>
                <w:vertAlign w:val="superscript"/>
              </w:rPr>
              <w:t>(1)</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4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8.1%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non-recurring expenses, including restructuring expenses primarily relating to severance, facility exits, and associated legal expenses.</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Orders booked increased $82.6 million, or 57.0%, to $227.9 million during the three months ended March 31, 2025 compared with $145.3 million in the three months ended March 31, 2024. Approximately 81%, or $184.8 million, of the orders for the three months ended March 31, 2025 is attributable to organic bookings, defined as orders recorded subsequent to the twelve month period post-acquisition date. This organic orders growth is primarily attributable to separation, filtration, and water treatment technologies. The remainder of the increase in orders is attributable to the Company's recent acquisitions.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right="20"/>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March 31, 2025 increased $50.4 million, or 39.9%, to $176.7 million compared with $126.3 million for the three months ended March 31, 2024. Approximately 81%, or $142.4 million, of the net sales for the three months ended March 31, 2025 is attributable to organic revenue, defined as revenue recorded subsequent to the twelve month period post-acquisition date. The increase in organic revenue is driven by execution and delivery on our record backlog within energy transition end markets. The remainder of the increase in net sales is attributable to the Company's recent acquisitions.</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Gross profit increased $17.1 million, or 37.9%, to $62.2 million in the three months ended March 31, 2025 compared with $45.1 million in the three months ended March 31, 2024. The increase in gross profit is primarily attributable to the increase in sales volume as described above. Gross profit as a percentage of sales slightly decreased to 35.2% in the three months ended March 31, 2025 compared with 35.7% in the three months ended March 31, 2024. This decrease is attributable to project mix.</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$53.6 million for the three months ended March 31, 2025 compared with $34.9 million for the three months ended March 31, 2024. The increase is primarily attributable to increased headcount to support the Company’s backlog execution and growth initiatives. Additionally, acquisitions during the prior year drove increased selling and administrative expense.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Amortization expense was $3.1 million for the three months ended March 31, 2025 compared with $2.2 million for the three months ended March 31, 2024. The increase in expense is attributable to increased intangible assets attributable to prior year acquisitions.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income increased $54.2 million to $61.9 million for the three months ended March 31, 2025 compared with operating income of $7.7 million for the three months ended March 31, 2024. The increase in operating income is primarily attributable to the gain on the sale of the Global Pump Solutions business, partially offset by an increase in acquisition and integration expenses related to the Company's recent acquisitions.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Non-GAAP operating income was $8.6 million for the three months ended March 31, 2025 compared with $10.2 million for the three months ended March 31, 2024. Non-GAAP operating income as a percentage of sales decreased to 4.9% for the three months ended March 31, 2025 from 8.1% for the three months ended March 31, 2024.</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increased to $6.2 million in the three months ended March 31, 2025 compared with interest expense of $3.4 million for the three months ended March 31, 2024. The increase in interest expense is primarily due to increased debt balances.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Income tax expense was $18.6 million for the three months ended March 31, 2025 compared with income tax expense of $0.7 million for the three months ended March 31, 2024. The effective income tax rate for the three months ended March 31, 2025 was 33.8% compared with 24.2% for the three months ended March 31, 2024. The effective income tax rate for the three months ended March 31, 2025 and March 31, 2024 differs from the United States federal statutory rate. Our effective tax rate is affected by certain other permanent differences, including the gain on the sale of the Global Pump Solutions business, state income taxes, non-deductible incentive stock-based compensation, and differences in tax rates among the jurisdictions in which we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financial results by segment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2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120,434</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89,349</w:t>
            </w:r>
          </w:p>
        </w:tc>
        <w:tc>
          <w:tcPr>
            <w:tcW w:w="100" w:type="dxa"/>
            <w:vAlign w:val="bottom"/>
            <w:shd w:val="clear" w:color="auto" w:fill="CFF0FC"/>
          </w:tcPr>
          <w:p>
            <w:pPr>
              <w:spacing w:after="0"/>
              <w:rPr>
                <w:sz w:val="18"/>
                <w:szCs w:val="18"/>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100" w:type="dxa"/>
            <w:vAlign w:val="bottom"/>
          </w:tcPr>
          <w:p>
            <w:pPr>
              <w:spacing w:after="0"/>
              <w:rPr>
                <w:sz w:val="18"/>
                <w:szCs w:val="18"/>
                <w:color w:val="auto"/>
              </w:rPr>
            </w:pPr>
          </w:p>
        </w:tc>
      </w:tr>
      <w:tr>
        <w:trPr>
          <w:trHeight w:val="250"/>
        </w:trPr>
        <w:tc>
          <w:tcPr>
            <w:tcW w:w="4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net sales</w:t>
            </w:r>
          </w:p>
        </w:tc>
        <w:tc>
          <w:tcPr>
            <w:tcW w:w="3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176,697</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100" w:type="dxa"/>
            <w:vAlign w:val="bottom"/>
            <w:shd w:val="clear" w:color="auto" w:fill="CFF0FC"/>
          </w:tcPr>
          <w:p>
            <w:pPr>
              <w:spacing w:after="0"/>
              <w:rPr>
                <w:sz w:val="21"/>
                <w:szCs w:val="21"/>
                <w:color w:val="auto"/>
              </w:rPr>
            </w:pPr>
          </w:p>
        </w:tc>
      </w:tr>
      <w:tr>
        <w:trPr>
          <w:trHeight w:val="628"/>
        </w:trPr>
        <w:tc>
          <w:tcPr>
            <w:tcW w:w="4360" w:type="dxa"/>
            <w:vAlign w:val="bottom"/>
            <w:tcBorders>
              <w:top w:val="single" w:sz="8" w:color="CFF0FC"/>
            </w:tcBorders>
          </w:tcPr>
          <w:p>
            <w:pPr>
              <w:spacing w:after="0"/>
              <w:rPr>
                <w:sz w:val="24"/>
                <w:szCs w:val="24"/>
                <w:color w:val="auto"/>
              </w:rPr>
            </w:pPr>
          </w:p>
        </w:tc>
        <w:tc>
          <w:tcPr>
            <w:tcW w:w="2940" w:type="dxa"/>
            <w:vAlign w:val="bottom"/>
            <w:tcBorders>
              <w:top w:val="single" w:sz="8" w:color="CFF0FC"/>
            </w:tcBorders>
          </w:tcPr>
          <w:p>
            <w:pPr>
              <w:jc w:val="right"/>
              <w:ind w:right="149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-933450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-916305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For the three months ended March 31, 2024, financial results by segment are as follows:</w:t>
      </w:r>
    </w:p>
    <w:p>
      <w:pPr>
        <w:sectPr>
          <w:pgSz w:w="11900" w:h="16838" w:orient="portrait"/>
          <w:cols w:equalWidth="0" w:num="1">
            <w:col w:w="11220"/>
          </w:cols>
          <w:pgMar w:left="320" w:top="1201" w:right="35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 (less intra-, inter-segment profit)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Engineered Systems segment</w:t>
      </w:r>
    </w:p>
    <w:p>
      <w:pPr>
        <w:ind w:left="140"/>
        <w:spacing w:after="0" w:line="228" w:lineRule="auto"/>
        <w:rPr>
          <w:sz w:val="20"/>
          <w:szCs w:val="20"/>
          <w:color w:val="auto"/>
        </w:rPr>
      </w:pPr>
      <w:r>
        <w:rPr>
          <w:rFonts w:ascii="Times New Roman" w:cs="Times New Roman" w:eastAsia="Times New Roman" w:hAnsi="Times New Roman"/>
          <w:sz w:val="18"/>
          <w:szCs w:val="18"/>
          <w:color w:val="auto"/>
        </w:rPr>
        <w:t>Industrial Process Solutions segment</w:t>
      </w:r>
    </w:p>
    <w:p>
      <w:pPr>
        <w:ind w:left="140"/>
        <w:spacing w:after="0" w:line="224" w:lineRule="auto"/>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Total income from operations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191"/>
        </w:trPr>
        <w:tc>
          <w:tcPr>
            <w:tcW w:w="400" w:type="dxa"/>
            <w:vAlign w:val="bottom"/>
          </w:tcPr>
          <w:p>
            <w:pPr>
              <w:jc w:val="right"/>
              <w:ind w:right="2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18,740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16,277</w:t>
            </w:r>
          </w:p>
        </w:tc>
        <w:tc>
          <w:tcPr>
            <w:tcW w:w="6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6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(15,691)</w:t>
            </w:r>
          </w:p>
        </w:tc>
      </w:tr>
      <w:tr>
        <w:trPr>
          <w:trHeight w:val="210"/>
        </w:trPr>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60" w:type="dxa"/>
            <w:vAlign w:val="bottom"/>
          </w:tcPr>
          <w:p>
            <w:pPr>
              <w:spacing w:after="0"/>
              <w:rPr>
                <w:sz w:val="18"/>
                <w:szCs w:val="18"/>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580" w:space="720"/>
            <w:col w:w="3920"/>
          </w:cols>
          <w:pgMar w:left="320" w:top="1201" w:right="35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(1) Includes corporate compensation, professional services, information technology, and other general and administrative corporate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2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Our Engineered Systems segment orders booked increased $62.9 million, or 62.9%, to $163.0 million during the three months ended March 31, 2025 compared with $100.1 million in the three months ended March 31, 2024. The increase is primarily attributable to increased demand for separation, filtration, and water treatment technologies and the Company’s recent acquisition of Profire, a niche-leader specializing in the design and manufacture of burner-management systems and other combustion-management technologies. Approximately 88%, or $142.9 million, of the orders for the three months ended March 31, 2025 is attributable to organic bookings, defined as orders recorded subsequent to the twelve month period post-acquisition date.</w:t>
      </w:r>
    </w:p>
    <w:p>
      <w:pPr>
        <w:spacing w:after="0" w:line="16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Engineered Systems segment net sales increased $31.1 million to $120.4 million for the three months ended March 31, 2025 compared with $89.3 million for the three months ended March 31, 2024. The increase is led by backlog execution on large scale power projects and inorganic sales growth attributable to Profire. Approximately 88%, or $106.0 million, of the net sales for the three months ended March 31, 2025 is attributable to organic revenue.</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$2.4 million to $18.7 million for the three months ended March 31, 2025 compared with $16.3 million for the three months ended March 31, 2024. The operating income increase is attributable to higher gross profit related to increased net sales, partially offset by an increase in selling and administrative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orders booked increased $19.6 million, or 43.3%, to $64.9 million during the three months ended March 31, 2025 compared with $45.3 million in the three months ended March 31, 2024. The increase is primarily attributable to Company’s most recent acquisitions in industrial air treatment applications. Approximately 65%, or $41.9 million, of the orders for the three months ended March 31, 2025 is attributable to organic bookings, defined as orders recorded subsequent to the twelve month period post-acquisition date.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$19.3 million to $56.3 million for the three months ended March 31, 2025 compared with $37.0 million for the three months ended March 31, 2024. The increase is primarily attributable to Company’s most recent acquisitions in industrial air treatment applications. Approximately 65%, or $36.4 million, of the net sales for the three months ended March 31, 2025 is attributable to organic revenue.</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$62.6 million to $69.7 million for the three months ended March 31, 2025 compared with $7.1 million for the three months ended March 31, 2024. The increase is primarily attributable to the gain on the sale of the Global Pump Solutions business, partially offset by project mix in industrial air end markets and the absence of a unique prior year high margin project in commercial duct fabrication and installation.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$602.0 million as of March 31, 2025, from $540.9 million as of December 31, 2024. Our customers may have the right to cancel a given order. Historically, cancellations have not been common. Backlog is adjusted on a quarterly basis for adjustments in foreign currency exchange rates. Substantially all backlog is expected to be delivered within 18 to 24 months. Backlog is not defined by GAAP and our methodology for calculating backlog may not be consistent with methodologies used by other companies.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customer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working capital of $197.4 million, compared with $86.3 million at December 31, 2024. The ratio of current assets to current liabilities was 1.71 to 1.00 on March 31, 2025, as compared with a ratio of 1.35 to 1.00 on December 31, 2024.</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At March 31, 2025 and December 31, 2024, cash and cash equivalents totaled $146.5 million and $37.8 million, respectively. As of March 31, 2025 and December 31, 2024, $30.5 million and $29.7 million, respectively, of our cash and cash equivalents were held by certain foreign subsidiaries, as well as being denominated in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Pr>
          <w:p>
            <w:pPr>
              <w:spacing w:after="0"/>
              <w:rPr>
                <w:sz w:val="18"/>
                <w:szCs w:val="18"/>
                <w:color w:val="auto"/>
              </w:rPr>
            </w:pP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0"/>
        </w:trPr>
        <w:tc>
          <w:tcPr>
            <w:tcW w:w="7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339,710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tcBorders>
              <w:top w:val="single" w:sz="8" w:color="CFF0FC"/>
            </w:tcBorders>
          </w:tcPr>
          <w:p>
            <w:pPr>
              <w:spacing w:after="0"/>
              <w:rPr>
                <w:sz w:val="18"/>
                <w:szCs w:val="18"/>
                <w:color w:val="auto"/>
              </w:rPr>
            </w:pPr>
          </w:p>
        </w:tc>
      </w:tr>
      <w:tr>
        <w:trPr>
          <w:trHeight w:val="216"/>
        </w:trPr>
        <w:tc>
          <w:tcPr>
            <w:tcW w:w="7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r>
      <w:tr>
        <w:trPr>
          <w:trHeight w:val="210"/>
        </w:trPr>
        <w:tc>
          <w:tcPr>
            <w:tcW w:w="7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338,037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tcBorders>
              <w:top w:val="single" w:sz="8" w:color="CFF0FC"/>
            </w:tcBorders>
          </w:tcPr>
          <w:p>
            <w:pPr>
              <w:spacing w:after="0"/>
              <w:rPr>
                <w:sz w:val="18"/>
                <w:szCs w:val="18"/>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-1010920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-453390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revolver loan with sub-facilities for letters of credit, swing-line loans and multi-currency loans (collectively, the “Credit Facility”). As of March 31, 2025 and December 31, 2024, the Company was in compliance with all related financial and other restrictive covenants under the Credit Facility. In April 2025, the Company made payments of $98.7 million on its Credit Facility.</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8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3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Draw down</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(334.7)</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r>
      <w:tr>
        <w:trPr>
          <w:trHeight w:val="216"/>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Letters of credit open</w:t>
            </w:r>
          </w:p>
        </w:tc>
        <w:tc>
          <w:tcPr>
            <w:tcW w:w="2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456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3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r>
      <w:tr>
        <w:trPr>
          <w:trHeight w:val="20"/>
        </w:trPr>
        <w:tc>
          <w:tcPr>
            <w:tcW w:w="4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30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628"/>
        </w:trPr>
        <w:tc>
          <w:tcPr>
            <w:tcW w:w="4560" w:type="dxa"/>
            <w:vAlign w:val="bottom"/>
            <w:tcBorders>
              <w:top w:val="single" w:sz="8" w:color="CFF0FC"/>
            </w:tcBorders>
          </w:tcPr>
          <w:p>
            <w:pPr>
              <w:spacing w:after="0"/>
              <w:rPr>
                <w:sz w:val="24"/>
                <w:szCs w:val="24"/>
                <w:color w:val="auto"/>
              </w:rPr>
            </w:pPr>
          </w:p>
        </w:tc>
        <w:tc>
          <w:tcPr>
            <w:tcW w:w="2760" w:type="dxa"/>
            <w:vAlign w:val="bottom"/>
            <w:tcBorders>
              <w:top w:val="single" w:sz="8" w:color="CFF0FC"/>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-1242060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-933450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-916305</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(11,696)</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4,829</w:t>
            </w: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115,756</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3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108,475</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(8,420)</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$11.7 million of cash was used in operating activities compared with $1.2 million provided by operations in the prior year period, representing a decrease of $12.9 million. Cash flow from operating activities in the first three months of 2025 had an unfavorable impact year-over-year primarily due to timing of project-related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investing activities was $4.8 million compared with $2.7 million used in investing activities in the prior year period. For the three months ended March 31, 2025, the Company received $105.8 million related to the sale of the Global Pump Solutions business as discussed in Note 16, offset by $97.6 million used in the acquisition of Profire as discussed in Note 15. In the prior year period, $3.1 million cash used in investing activities was primarily the result of acquisitions of property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$115.8 million was provided by financing activities compared with $6.5 million used in financing activities in the prior year period, for an increase of $122.3 million. For the three months ended March 31, 2025, cash provided by financing activities was driven by net borrowings of $120.1 million, primarily to fund the acquisition of Profire as discussed in Note 15, partially offset by $1.0 million of deferred consideration paid for acquisitions, representing the repayment of the remainder of the promissory note associated with the acquisition of Transcend Solutions in 2023.</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the primary uses of cash for financing activities were $3.0 million to repurchase common stock, $2.6 million to repay long-term debt, $1.0 million of deferred consideration paid for acquisitions and $0.8 million on distributions to the noncontrolling interest, partially offset by $0.8 million in net borrowings.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Management believes there have been no changes during the three months ended March 31, 2025 to the items that the Company disclosed as its critical accounting policies and estimates in Management’s Discussion and Analysis of Financial Condition and Results of Operations in the Company’s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and in the Company’s Annual Report on Form 10-K for the fiscal year ended December 31, 2024, and include, but are not limited to:</w:t>
      </w:r>
    </w:p>
    <w:p>
      <w:pPr>
        <w:spacing w:after="0" w:line="194" w:lineRule="exact"/>
        <w:rPr>
          <w:sz w:val="20"/>
          <w:szCs w:val="20"/>
          <w:color w:val="auto"/>
        </w:rPr>
      </w:pPr>
    </w:p>
    <w:p>
      <w:pPr>
        <w:ind w:left="760" w:right="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acquisitions and the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outcome of any legal proceedings that have been or may in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ind w:left="760" w:right="20"/>
        <w:spacing w:after="0" w:line="261" w:lineRule="auto"/>
        <w:rPr>
          <w:sz w:val="20"/>
          <w:szCs w:val="20"/>
          <w:color w:val="auto"/>
        </w:rPr>
      </w:pPr>
      <w:r>
        <w:rPr>
          <w:rFonts w:ascii="Times New Roman" w:cs="Times New Roman" w:eastAsia="Times New Roman" w:hAnsi="Times New Roman"/>
          <w:sz w:val="18"/>
          <w:szCs w:val="18"/>
          <w:color w:val="auto"/>
        </w:rPr>
        <w:t>future be instituted related to the Profire transaction or other transactions,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72" w:lineRule="exact"/>
        <w:rPr>
          <w:sz w:val="20"/>
          <w:szCs w:val="20"/>
          <w:color w:val="auto"/>
        </w:rPr>
      </w:pPr>
    </w:p>
    <w:p>
      <w:pPr>
        <w:ind w:left="760" w:right="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our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 or other customer-driven project delays relating to supply chain challenges or other customer considerations;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business portfolio by identifying acquisition targets, executing upon any strategic acquisitions or divestitures, integrating acquired businesses and realizing the synergies from strategic transactions; and</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March 31, 2025 was $341.6 million. Market risk was estimated as the potential decrease (increase) in future earnings and cash flows resulting from a hypothetical 10% increase (decrease) in the Company’s estimated weighted average borrowing rate at March 31, 2025. Most of the interest on the Company’s debt is indexed to SOFR market rates. The estimated annual impact of a hypothetical 10% change in the estimated weighted average borrowing rate at March 31, 2025 is $2.5 million.</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9" w:name="page30"/>
    <w:bookmarkEnd w:id="29"/>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India, United Arab Emirates, Germany, South Korea and Saudi Arabia.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included in “Other expense, net” line of the Condensed Consolidated Statements of Income were $1.7 million and $0.8 million for the three months ended March 31, 2025 and 2024, respectively.</w:t>
      </w:r>
    </w:p>
    <w:p>
      <w:pPr>
        <w:spacing w:after="0" w:line="17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March 31, 2025.</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quarter ended March 31, 2025 that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See Note 14 to the unaudited Condensed Consolidated Financial Statements contained in Part I, Item 1 of this Quarterly Report on Form 10-Q for information regarding legal proceedings in which the Company is involved.</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were disclosed in “Part I – Item 1A. Risk Factors” of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the Company's equity securities for the three months ended March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60"/>
        </w:trPr>
        <w:tc>
          <w:tcPr>
            <w:tcW w:w="51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8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15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tcBorders>
              <w:bottom w:val="single" w:sz="8" w:color="auto"/>
            </w:tcBorders>
          </w:tcPr>
          <w:p>
            <w:pPr>
              <w:ind w:left="140"/>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68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460" w:type="dxa"/>
            <w:vAlign w:val="bottom"/>
            <w:tcBorders>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8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9. The program expires on April 30, 2025.</w:t>
      </w:r>
    </w:p>
    <w:p>
      <w:pPr>
        <w:spacing w:after="0" w:line="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13(a)/15d-14(a) Certification by Chief Executive Officer</w:t>
            </w:r>
          </w:p>
        </w:tc>
        <w:tc>
          <w:tcPr>
            <w:tcW w:w="2220" w:type="dxa"/>
            <w:vAlign w:val="bottom"/>
            <w:gridSpan w:val="3"/>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13(a)/15d-14(a) Certification by Chief Financial Officer</w:t>
            </w:r>
          </w:p>
        </w:tc>
      </w:tr>
      <w:tr>
        <w:trPr>
          <w:trHeight w:val="20"/>
        </w:trPr>
        <w:tc>
          <w:tcPr>
            <w:tcW w:w="114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(18 U.S. Section 1350)</w:t>
            </w:r>
          </w:p>
        </w:tc>
        <w:tc>
          <w:tcPr>
            <w:tcW w:w="212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(18 U.S. Section 1350)</w:t>
            </w: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180" w:type="dxa"/>
            <w:vAlign w:val="bottom"/>
            <w:gridSpan w:val="2"/>
          </w:tcPr>
          <w:p>
            <w:pPr>
              <w:spacing w:after="0"/>
              <w:rPr>
                <w:sz w:val="24"/>
                <w:szCs w:val="24"/>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 with Embedded Linkbase Documents</w:t>
            </w:r>
          </w:p>
        </w:tc>
      </w:tr>
    </w:tbl>
    <w:p>
      <w:pPr>
        <w:spacing w:after="0" w:line="103" w:lineRule="exact"/>
        <w:rPr>
          <w:sz w:val="20"/>
          <w:szCs w:val="20"/>
          <w:color w:val="auto"/>
        </w:rPr>
      </w:pPr>
    </w:p>
    <w:p>
      <w:pPr>
        <w:ind w:left="1200" w:hanging="1131"/>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52" w:lineRule="exact"/>
        <w:rPr>
          <w:sz w:val="20"/>
          <w:szCs w:val="20"/>
          <w:color w:val="auto"/>
        </w:rPr>
      </w:pPr>
    </w:p>
    <w:p>
      <w:pPr>
        <w:ind w:left="57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b w:val="1"/>
          <w:bCs w:val="1"/>
          <w:color w:val="auto"/>
        </w:rPr>
        <w:t>(principal accounting officer and duly authorized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 month period ended March 31, 2025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 month period ended March 31, 2025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5"/>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2025-04-29T15:33:16Z</dcterms:created>
  <dcterms:modified xsi:type="dcterms:W3CDTF">2025-04-29T15:33:16Z</dcterms:modified>
</cp:coreProperties>
</file>