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4992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4992370"/>
                    </a:xfrm>
                    <a:prstGeom prst="rect">
                      <a:avLst/>
                    </a:prstGeom>
                    <a:noFill/>
                  </pic:spPr>
                </pic:pic>
              </a:graphicData>
            </a:graphic>
          </wp:anchor>
        </w:drawing>
      </w:r>
    </w:p>
    <w:p>
      <w:pPr>
        <w:spacing w:after="0" w:line="1249"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Johansson Peter K.</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080" w:type="dxa"/>
            <w:vAlign w:val="bottom"/>
          </w:tcPr>
          <w:p>
            <w:pPr>
              <w:ind w:left="160"/>
              <w:spacing w:after="0"/>
              <w:rPr>
                <w:sz w:val="20"/>
                <w:szCs w:val="20"/>
                <w:color w:val="auto"/>
              </w:rPr>
            </w:pPr>
            <w:r>
              <w:rPr>
                <w:rFonts w:ascii="Arial" w:cs="Arial" w:eastAsia="Arial" w:hAnsi="Arial"/>
                <w:sz w:val="13"/>
                <w:szCs w:val="13"/>
                <w:color w:val="auto"/>
              </w:rPr>
              <w:t>(First)</w:t>
            </w:r>
          </w:p>
        </w:tc>
        <w:tc>
          <w:tcPr>
            <w:tcW w:w="1500" w:type="dxa"/>
            <w:vAlign w:val="bottom"/>
          </w:tcPr>
          <w:p>
            <w:pPr>
              <w:ind w:left="30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21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5080 SPECTRUM DRIVE</w:t>
            </w:r>
          </w:p>
        </w:tc>
        <w:tc>
          <w:tcPr>
            <w:tcW w:w="1500" w:type="dxa"/>
            <w:vAlign w:val="bottom"/>
          </w:tcPr>
          <w:p>
            <w:pPr>
              <w:spacing w:after="0"/>
              <w:rPr>
                <w:sz w:val="23"/>
                <w:szCs w:val="23"/>
                <w:color w:val="auto"/>
              </w:rPr>
            </w:pPr>
          </w:p>
        </w:tc>
      </w:tr>
      <w:tr>
        <w:trPr>
          <w:trHeight w:val="260"/>
        </w:trPr>
        <w:tc>
          <w:tcPr>
            <w:tcW w:w="20" w:type="dxa"/>
            <w:vAlign w:val="bottom"/>
          </w:tcPr>
          <w:p>
            <w:pPr>
              <w:spacing w:after="0"/>
              <w:rPr>
                <w:sz w:val="22"/>
                <w:szCs w:val="22"/>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SUITE 800E</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263"/>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80" w:type="dxa"/>
            <w:vAlign w:val="bottom"/>
          </w:tcPr>
          <w:p>
            <w:pPr>
              <w:spacing w:after="0"/>
              <w:rPr>
                <w:sz w:val="22"/>
                <w:szCs w:val="22"/>
                <w:color w:val="auto"/>
              </w:rPr>
            </w:pPr>
          </w:p>
        </w:tc>
        <w:tc>
          <w:tcPr>
            <w:tcW w:w="150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ADDISON</w:t>
            </w:r>
          </w:p>
        </w:tc>
        <w:tc>
          <w:tcPr>
            <w:tcW w:w="10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TX</w:t>
            </w:r>
          </w:p>
        </w:tc>
        <w:tc>
          <w:tcPr>
            <w:tcW w:w="150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75001</w:t>
            </w:r>
          </w:p>
        </w:tc>
      </w:tr>
      <w:tr>
        <w:trPr>
          <w:trHeight w:val="151"/>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50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080" w:type="dxa"/>
            <w:vAlign w:val="bottom"/>
          </w:tcPr>
          <w:p>
            <w:pPr>
              <w:ind w:left="160"/>
              <w:spacing w:after="0"/>
              <w:rPr>
                <w:sz w:val="20"/>
                <w:szCs w:val="20"/>
                <w:color w:val="auto"/>
              </w:rPr>
            </w:pPr>
            <w:r>
              <w:rPr>
                <w:rFonts w:ascii="Arial" w:cs="Arial" w:eastAsia="Arial" w:hAnsi="Arial"/>
                <w:sz w:val="13"/>
                <w:szCs w:val="13"/>
                <w:color w:val="auto"/>
              </w:rPr>
              <w:t>(State)</w:t>
            </w:r>
          </w:p>
        </w:tc>
        <w:tc>
          <w:tcPr>
            <w:tcW w:w="1500" w:type="dxa"/>
            <w:vAlign w:val="bottom"/>
          </w:tcPr>
          <w:p>
            <w:pPr>
              <w:ind w:left="3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60" w:type="dxa"/>
            <w:vAlign w:val="bottom"/>
          </w:tcPr>
          <w:p>
            <w:pPr>
              <w:spacing w:after="0"/>
              <w:rPr>
                <w:sz w:val="18"/>
                <w:szCs w:val="18"/>
                <w:color w:val="auto"/>
              </w:rPr>
            </w:pPr>
          </w:p>
        </w:tc>
        <w:tc>
          <w:tcPr>
            <w:tcW w:w="3780" w:type="dxa"/>
            <w:vAlign w:val="bottom"/>
            <w:gridSpan w:val="3"/>
          </w:tcPr>
          <w:p>
            <w:pPr>
              <w:spacing w:after="0" w:line="208"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CECO ENVIRONMENTAL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CECO</w:t>
            </w:r>
          </w:p>
        </w:tc>
        <w:tc>
          <w:tcPr>
            <w:tcW w:w="212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6"/>
        </w:trPr>
        <w:tc>
          <w:tcPr>
            <w:tcW w:w="60" w:type="dxa"/>
            <w:vAlign w:val="bottom"/>
            <w:vMerge w:val="restart"/>
          </w:tcPr>
          <w:p>
            <w:pPr>
              <w:spacing w:after="0"/>
              <w:rPr>
                <w:sz w:val="12"/>
                <w:szCs w:val="12"/>
                <w:color w:val="auto"/>
              </w:rPr>
            </w:pPr>
          </w:p>
        </w:tc>
        <w:tc>
          <w:tcPr>
            <w:tcW w:w="140" w:type="dxa"/>
            <w:vAlign w:val="bottom"/>
            <w:tcBorders>
              <w:top w:val="single" w:sz="8" w:color="0000EE"/>
            </w:tcBorders>
            <w:vMerge w:val="restart"/>
          </w:tcPr>
          <w:p>
            <w:pPr>
              <w:spacing w:after="0"/>
              <w:rPr>
                <w:sz w:val="20"/>
                <w:szCs w:val="20"/>
                <w:color w:val="auto"/>
              </w:rPr>
            </w:pPr>
            <w:r>
              <w:rPr>
                <w:rFonts w:ascii="Times New Roman" w:cs="Times New Roman" w:eastAsia="Times New Roman" w:hAnsi="Times New Roman"/>
                <w:sz w:val="21"/>
                <w:szCs w:val="21"/>
                <w:color w:val="auto"/>
              </w:rPr>
              <w:t>]</w:t>
            </w:r>
          </w:p>
        </w:tc>
        <w:tc>
          <w:tcPr>
            <w:tcW w:w="2860" w:type="dxa"/>
            <w:vAlign w:val="bottom"/>
            <w:tcBorders>
              <w:top w:val="single" w:sz="8" w:color="0000EE"/>
            </w:tcBorders>
          </w:tcPr>
          <w:p>
            <w:pPr>
              <w:spacing w:after="0"/>
              <w:rPr>
                <w:sz w:val="12"/>
                <w:szCs w:val="12"/>
                <w:color w:val="auto"/>
              </w:rPr>
            </w:pPr>
          </w:p>
        </w:tc>
        <w:tc>
          <w:tcPr>
            <w:tcW w:w="7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940" w:type="dxa"/>
            <w:vAlign w:val="bottom"/>
          </w:tcPr>
          <w:p>
            <w:pPr>
              <w:ind w:left="400"/>
              <w:spacing w:after="0" w:line="146" w:lineRule="exact"/>
              <w:rPr>
                <w:sz w:val="20"/>
                <w:szCs w:val="20"/>
                <w:color w:val="auto"/>
              </w:rPr>
            </w:pPr>
            <w:r>
              <w:rPr>
                <w:rFonts w:ascii="Arial" w:cs="Arial" w:eastAsia="Arial" w:hAnsi="Arial"/>
                <w:sz w:val="13"/>
                <w:szCs w:val="13"/>
                <w:color w:val="auto"/>
              </w:rPr>
              <w:t>Director</w:t>
            </w:r>
          </w:p>
        </w:tc>
        <w:tc>
          <w:tcPr>
            <w:tcW w:w="1160" w:type="dxa"/>
            <w:vAlign w:val="bottom"/>
          </w:tcPr>
          <w:p>
            <w:pPr>
              <w:ind w:left="4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6"/>
        </w:trPr>
        <w:tc>
          <w:tcPr>
            <w:tcW w:w="60" w:type="dxa"/>
            <w:vAlign w:val="bottom"/>
            <w:vMerge w:val="continue"/>
          </w:tcPr>
          <w:p>
            <w:pPr>
              <w:spacing w:after="0"/>
              <w:rPr>
                <w:sz w:val="10"/>
                <w:szCs w:val="10"/>
                <w:color w:val="auto"/>
              </w:rPr>
            </w:pPr>
          </w:p>
        </w:tc>
        <w:tc>
          <w:tcPr>
            <w:tcW w:w="140" w:type="dxa"/>
            <w:vAlign w:val="bottom"/>
            <w:vMerge w:val="continue"/>
          </w:tcPr>
          <w:p>
            <w:pPr>
              <w:spacing w:after="0"/>
              <w:rPr>
                <w:sz w:val="10"/>
                <w:szCs w:val="10"/>
                <w:color w:val="auto"/>
              </w:rPr>
            </w:pPr>
          </w:p>
        </w:tc>
        <w:tc>
          <w:tcPr>
            <w:tcW w:w="286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194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8"/>
        </w:trPr>
        <w:tc>
          <w:tcPr>
            <w:tcW w:w="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860" w:type="dxa"/>
            <w:vAlign w:val="bottom"/>
          </w:tcPr>
          <w:p>
            <w:pPr>
              <w:spacing w:after="0"/>
              <w:rPr>
                <w:sz w:val="2"/>
                <w:szCs w:val="2"/>
                <w:color w:val="auto"/>
              </w:rPr>
            </w:pPr>
          </w:p>
        </w:tc>
        <w:tc>
          <w:tcPr>
            <w:tcW w:w="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940" w:type="dxa"/>
            <w:vAlign w:val="bottom"/>
            <w:vMerge w:val="continue"/>
          </w:tcPr>
          <w:p>
            <w:pPr>
              <w:spacing w:after="0"/>
              <w:rPr>
                <w:sz w:val="2"/>
                <w:szCs w:val="2"/>
                <w:color w:val="auto"/>
              </w:rPr>
            </w:pPr>
          </w:p>
        </w:tc>
        <w:tc>
          <w:tcPr>
            <w:tcW w:w="116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5"/>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Pr>
          <w:p>
            <w:pPr>
              <w:spacing w:after="0"/>
              <w:rPr>
                <w:sz w:val="15"/>
                <w:szCs w:val="15"/>
                <w:color w:val="auto"/>
              </w:rPr>
            </w:pPr>
          </w:p>
        </w:tc>
        <w:tc>
          <w:tcPr>
            <w:tcW w:w="1940" w:type="dxa"/>
            <w:vAlign w:val="bottom"/>
          </w:tcPr>
          <w:p>
            <w:pPr>
              <w:ind w:left="400"/>
              <w:spacing w:after="0"/>
              <w:rPr>
                <w:sz w:val="20"/>
                <w:szCs w:val="20"/>
                <w:color w:val="auto"/>
              </w:rPr>
            </w:pPr>
            <w:r>
              <w:rPr>
                <w:rFonts w:ascii="Arial" w:cs="Arial" w:eastAsia="Arial" w:hAnsi="Arial"/>
                <w:sz w:val="13"/>
                <w:szCs w:val="13"/>
                <w:color w:val="auto"/>
              </w:rPr>
              <w:t>below)</w:t>
            </w:r>
          </w:p>
        </w:tc>
        <w:tc>
          <w:tcPr>
            <w:tcW w:w="1160" w:type="dxa"/>
            <w:vAlign w:val="bottom"/>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83"/>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940" w:type="dxa"/>
            <w:vAlign w:val="bottom"/>
          </w:tcPr>
          <w:p>
            <w:pPr>
              <w:ind w:left="1020"/>
              <w:spacing w:after="0" w:line="183" w:lineRule="exact"/>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9"/>
        </w:trPr>
        <w:tc>
          <w:tcPr>
            <w:tcW w:w="30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03/27/2025</w:t>
            </w: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7"/>
        </w:trPr>
        <w:tc>
          <w:tcPr>
            <w:tcW w:w="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2860" w:type="dxa"/>
            <w:vAlign w:val="bottom"/>
            <w:tcBorders>
              <w:bottom w:val="single" w:sz="8" w:color="2C2C2C"/>
            </w:tcBorders>
          </w:tcPr>
          <w:p>
            <w:pPr>
              <w:spacing w:after="0"/>
              <w:rPr>
                <w:sz w:val="15"/>
                <w:szCs w:val="15"/>
                <w:color w:val="auto"/>
              </w:rPr>
            </w:pPr>
          </w:p>
        </w:tc>
        <w:tc>
          <w:tcPr>
            <w:tcW w:w="78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3100" w:type="dxa"/>
            <w:vAlign w:val="bottom"/>
            <w:tcBorders>
              <w:bottom w:val="single" w:sz="8" w:color="2C2C2C"/>
            </w:tcBorders>
            <w:gridSpan w:val="2"/>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6"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97" w:lineRule="exact"/>
        <w:rPr>
          <w:sz w:val="24"/>
          <w:szCs w:val="24"/>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0"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00"/>
              <w:spacing w:after="0"/>
              <w:rPr>
                <w:sz w:val="20"/>
                <w:szCs w:val="20"/>
                <w:color w:val="auto"/>
              </w:rPr>
            </w:pPr>
            <w:r>
              <w:rPr>
                <w:rFonts w:ascii="Arial" w:cs="Arial" w:eastAsia="Arial" w:hAnsi="Arial"/>
                <w:sz w:val="12"/>
                <w:szCs w:val="12"/>
                <w:b w:val="1"/>
                <w:bCs w:val="1"/>
                <w:color w:val="auto"/>
              </w:rPr>
              <w:t>2. Transaction</w:t>
            </w:r>
          </w:p>
        </w:tc>
        <w:tc>
          <w:tcPr>
            <w:tcW w:w="9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194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ind w:left="600"/>
              <w:spacing w:after="0" w:line="129"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9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194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w w:val="96"/>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680" w:type="dxa"/>
            <w:vAlign w:val="bottom"/>
            <w:gridSpan w:val="2"/>
          </w:tcPr>
          <w:p>
            <w:pPr>
              <w:ind w:left="600"/>
              <w:spacing w:after="0" w:line="130" w:lineRule="exact"/>
              <w:rPr>
                <w:sz w:val="20"/>
                <w:szCs w:val="20"/>
                <w:color w:val="auto"/>
              </w:rPr>
            </w:pPr>
            <w:r>
              <w:rPr>
                <w:rFonts w:ascii="Arial" w:cs="Arial" w:eastAsia="Arial" w:hAnsi="Arial"/>
                <w:sz w:val="12"/>
                <w:szCs w:val="12"/>
                <w:b w:val="1"/>
                <w:bCs w:val="1"/>
                <w:color w:val="auto"/>
              </w:rPr>
              <w:t>(Month/Day/Year)</w:t>
            </w: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6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20" w:type="dxa"/>
            <w:vAlign w:val="bottom"/>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76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gridSpan w:val="2"/>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0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03/27/2025</w:t>
            </w:r>
          </w:p>
        </w:tc>
        <w:tc>
          <w:tcPr>
            <w:tcW w:w="22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5,601</w:t>
            </w:r>
          </w:p>
        </w:tc>
        <w:tc>
          <w:tcPr>
            <w:tcW w:w="6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24.15</w:t>
            </w:r>
            <w:r>
              <w:rPr>
                <w:rFonts w:ascii="Times New Roman" w:cs="Times New Roman" w:eastAsia="Times New Roman" w:hAnsi="Times New Roman"/>
                <w:sz w:val="21"/>
                <w:szCs w:val="21"/>
                <w:color w:val="008000"/>
                <w:vertAlign w:val="superscript"/>
              </w:rPr>
              <w:t>(1)</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84,660</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140" w:type="dxa"/>
            <w:vAlign w:val="bottom"/>
            <w:tcBorders>
              <w:top w:val="single" w:sz="8" w:color="2C2C2C"/>
            </w:tcBorders>
            <w:gridSpan w:val="13"/>
          </w:tcPr>
          <w:p>
            <w:pPr>
              <w:jc w:val="center"/>
              <w:ind w:left="87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8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5400" w:type="dxa"/>
            <w:vAlign w:val="bottom"/>
            <w:gridSpan w:val="10"/>
          </w:tcPr>
          <w:p>
            <w:pPr>
              <w:ind w:left="6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260" w:type="dxa"/>
            <w:vAlign w:val="bottom"/>
            <w:gridSpan w:val="3"/>
          </w:tcPr>
          <w:p>
            <w:pPr>
              <w:ind w:left="40"/>
              <w:spacing w:after="0"/>
              <w:rPr>
                <w:sz w:val="20"/>
                <w:szCs w:val="20"/>
                <w:color w:val="auto"/>
              </w:rPr>
            </w:pPr>
            <w:r>
              <w:rPr>
                <w:rFonts w:ascii="Arial" w:cs="Arial" w:eastAsia="Arial" w:hAnsi="Arial"/>
                <w:sz w:val="12"/>
                <w:szCs w:val="12"/>
                <w:b w:val="1"/>
                <w:bCs w:val="1"/>
                <w:color w:val="auto"/>
              </w:rPr>
              <w:t>7. Title and Amount</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of Securities</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100" w:type="dxa"/>
            <w:vAlign w:val="bottom"/>
          </w:tcPr>
          <w:p>
            <w:pPr>
              <w:spacing w:after="0"/>
              <w:rPr>
                <w:sz w:val="11"/>
                <w:szCs w:val="11"/>
                <w:color w:val="auto"/>
              </w:rPr>
            </w:pP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2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9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6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3"/>
                <w:szCs w:val="13"/>
                <w:color w:val="auto"/>
              </w:rPr>
            </w:pP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10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(3)</w:t>
            </w:r>
          </w:p>
        </w:tc>
        <w:tc>
          <w:tcPr>
            <w:tcW w:w="680" w:type="dxa"/>
            <w:vAlign w:val="bottom"/>
            <w:vMerge w:val="restart"/>
          </w:tcPr>
          <w:p>
            <w:pPr>
              <w:ind w:left="240"/>
              <w:spacing w:after="0"/>
              <w:rPr>
                <w:sz w:val="20"/>
                <w:szCs w:val="20"/>
                <w:color w:val="auto"/>
              </w:rPr>
            </w:pPr>
            <w:r>
              <w:rPr>
                <w:rFonts w:ascii="Times New Roman" w:cs="Times New Roman" w:eastAsia="Times New Roman" w:hAnsi="Times New Roman"/>
                <w:sz w:val="11"/>
                <w:szCs w:val="11"/>
                <w:color w:val="008000"/>
              </w:rPr>
              <w:t>(3)</w:t>
            </w:r>
          </w:p>
        </w:tc>
        <w:tc>
          <w:tcPr>
            <w:tcW w:w="6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47,247</w:t>
            </w: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vMerge w:val="continue"/>
          </w:tcPr>
          <w:p>
            <w:pPr>
              <w:spacing w:after="0"/>
              <w:rPr>
                <w:sz w:val="11"/>
                <w:szCs w:val="11"/>
                <w:color w:val="auto"/>
              </w:rPr>
            </w:pPr>
          </w:p>
        </w:tc>
        <w:tc>
          <w:tcPr>
            <w:tcW w:w="11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0" w:type="dxa"/>
            <w:vAlign w:val="bottom"/>
            <w:gridSpan w:val="2"/>
            <w:vMerge w:val="continue"/>
          </w:tcPr>
          <w:p>
            <w:pPr>
              <w:spacing w:after="0"/>
              <w:rPr>
                <w:sz w:val="11"/>
                <w:szCs w:val="11"/>
                <w:color w:val="auto"/>
              </w:rPr>
            </w:pPr>
          </w:p>
        </w:tc>
        <w:tc>
          <w:tcPr>
            <w:tcW w:w="680" w:type="dxa"/>
            <w:vAlign w:val="bottom"/>
            <w:vMerge w:val="continue"/>
          </w:tcPr>
          <w:p>
            <w:pPr>
              <w:spacing w:after="0"/>
              <w:rPr>
                <w:sz w:val="11"/>
                <w:szCs w:val="11"/>
                <w:color w:val="auto"/>
              </w:rPr>
            </w:pPr>
          </w:p>
        </w:tc>
        <w:tc>
          <w:tcPr>
            <w:tcW w:w="66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300"/>
              <w:spacing w:after="0" w:line="130" w:lineRule="exact"/>
              <w:rPr>
                <w:sz w:val="20"/>
                <w:szCs w:val="20"/>
                <w:color w:val="auto"/>
              </w:rPr>
            </w:pPr>
            <w:r>
              <w:rPr>
                <w:rFonts w:ascii="Times New Roman" w:cs="Times New Roman" w:eastAsia="Times New Roman" w:hAnsi="Times New Roman"/>
                <w:sz w:val="13"/>
                <w:szCs w:val="13"/>
                <w:color w:val="0000FF"/>
              </w:rPr>
              <w:t>47,247</w:t>
            </w:r>
          </w:p>
        </w:tc>
        <w:tc>
          <w:tcPr>
            <w:tcW w:w="260" w:type="dxa"/>
            <w:vAlign w:val="bottom"/>
          </w:tcPr>
          <w:p>
            <w:pPr>
              <w:spacing w:after="0"/>
              <w:rPr>
                <w:sz w:val="11"/>
                <w:szCs w:val="11"/>
                <w:color w:val="auto"/>
              </w:rPr>
            </w:pPr>
          </w:p>
        </w:tc>
        <w:tc>
          <w:tcPr>
            <w:tcW w:w="680" w:type="dxa"/>
            <w:vAlign w:val="bottom"/>
          </w:tcPr>
          <w:p>
            <w:pPr>
              <w:ind w:left="320"/>
              <w:spacing w:after="0" w:line="130"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7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ind w:left="14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6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28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Price reflects the weighted average sale price for multiple transactions that ranged from $24.14 to $24.23 per share. The Reporting Person undertakes to provide, upon request by the Commission Staff, the Issuer or a security holder of the Issuer, full information regarding the number of shares sold at each separate price.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performance-based restricted stock units. Each restricted stock unit represents a contingent right to receive one share of the Company's stock.</w:t>
      </w:r>
    </w:p>
    <w:p>
      <w:pPr>
        <w:spacing w:after="0" w:line="45" w:lineRule="exact"/>
        <w:rPr>
          <w:rFonts w:ascii="Times New Roman" w:cs="Times New Roman" w:eastAsia="Times New Roman" w:hAnsi="Times New Roman"/>
          <w:sz w:val="13"/>
          <w:szCs w:val="13"/>
          <w:color w:val="008000"/>
        </w:rPr>
      </w:pPr>
    </w:p>
    <w:p>
      <w:pPr>
        <w:ind w:left="40" w:right="220" w:firstLine="3"/>
        <w:spacing w:after="0" w:line="25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restricted stock units to the Company's common stock will occur on July 5, 2027 assuming the reporting person is still employed by the Company and if the shares of the Company's common stock have achieved certain stock price targets over the course of the performance period.</w:t>
      </w:r>
    </w:p>
    <w:p>
      <w:pPr>
        <w:spacing w:after="0" w:line="1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52"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Title: Senior Vice President, Chief Financial and Strategy Officer</w:t>
      </w:r>
    </w:p>
    <w:p>
      <w:pPr>
        <w:ind w:left="6580"/>
        <w:spacing w:after="0" w:line="188" w:lineRule="auto"/>
        <w:rPr>
          <w:sz w:val="20"/>
          <w:szCs w:val="20"/>
          <w:color w:val="auto"/>
        </w:rPr>
      </w:pPr>
      <w:r>
        <w:rPr>
          <w:rFonts w:ascii="Times New Roman" w:cs="Times New Roman" w:eastAsia="Times New Roman" w:hAnsi="Times New Roman"/>
          <w:sz w:val="17"/>
          <w:szCs w:val="17"/>
          <w:color w:val="0000FF"/>
        </w:rPr>
        <w:t xml:space="preserve">/s/ Kiril Kovachev as Attorney- </w:t>
      </w:r>
      <w:r>
        <w:rPr>
          <w:rFonts w:ascii="Times New Roman" w:cs="Times New Roman" w:eastAsia="Times New Roman" w:hAnsi="Times New Roman"/>
          <w:sz w:val="33"/>
          <w:szCs w:val="33"/>
          <w:color w:val="0000FF"/>
          <w:vertAlign w:val="subscript"/>
        </w:rPr>
        <w:t>03/31/2025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-26670</wp:posOffset>
            </wp:positionV>
            <wp:extent cx="13544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44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Peter Johansson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17284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17284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1417" TargetMode="External"/><Relationship Id="rId14" Type="http://schemas.openxmlformats.org/officeDocument/2006/relationships/hyperlink" Target="http://www.sec.gov/cgi-bin/browse-edgar?action=getcompany&amp;CIK=00000031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2025-03-31T12:49:17Z</dcterms:created>
  <dcterms:modified xsi:type="dcterms:W3CDTF">2025-03-31T12:49:17Z</dcterms:modified>
</cp:coreProperties>
</file>