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20"/>
              <w:spacing w:after="0" w:line="183"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03/31/2025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22,500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22.797</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62,160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03/31/2025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653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61,507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47,247</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multiple transactions that ranged from $22.64 to $23.01 per share. The Reporting Person undertakes to provide, upon request by the Commission Staff, the Issuer or a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Senior Vice President, Chief Financial and Strategy Officer</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04/02/2025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7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2025-04-02T12:24:52Z</dcterms:created>
  <dcterms:modified xsi:type="dcterms:W3CDTF">2025-04-02T12:24:52Z</dcterms:modified>
</cp:coreProperties>
</file>