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180340</wp:posOffset>
            </wp:positionV>
            <wp:extent cx="71120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CECO ENVIRONMENTAL CORP.</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790" w:type="dxa"/>
        <w:tblCellMar>
          <w:top w:w="0" w:type="dxa"/>
          <w:left w:w="0" w:type="dxa"/>
          <w:bottom w:w="0" w:type="dxa"/>
          <w:right w:w="0" w:type="dxa"/>
        </w:tblCellMar>
      </w:tblP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1800"/>
              <w:spacing w:after="0"/>
              <w:rPr>
                <w:sz w:val="20"/>
                <w:szCs w:val="20"/>
                <w:color w:val="auto"/>
              </w:rPr>
            </w:pPr>
            <w:r>
              <w:rPr>
                <w:rFonts w:ascii="Arial" w:cs="Arial" w:eastAsia="Arial" w:hAnsi="Arial"/>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40" w:type="dxa"/>
            <w:vAlign w:val="bottom"/>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77"/>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14651 North Dallas Parkway</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Suite 500</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2000"/>
              <w:spacing w:after="0"/>
              <w:rPr>
                <w:sz w:val="20"/>
                <w:szCs w:val="20"/>
                <w:color w:val="auto"/>
              </w:rPr>
            </w:pPr>
            <w:r>
              <w:rPr>
                <w:rFonts w:ascii="Arial" w:cs="Arial" w:eastAsia="Arial" w:hAnsi="Arial"/>
                <w:sz w:val="18"/>
                <w:szCs w:val="18"/>
                <w:b w:val="1"/>
                <w:bCs w:val="1"/>
                <w:color w:val="auto"/>
              </w:rPr>
              <w:t>75254</w:t>
            </w:r>
          </w:p>
        </w:tc>
      </w:tr>
      <w:tr>
        <w:trPr>
          <w:trHeight w:val="186"/>
        </w:trPr>
        <w:tc>
          <w:tcPr>
            <w:tcW w:w="3200" w:type="dxa"/>
            <w:vAlign w:val="bottom"/>
          </w:tcPr>
          <w:p>
            <w:pPr>
              <w:jc w:val="center"/>
              <w:ind w:left="69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0020" w:type="dxa"/>
            <w:vAlign w:val="bottom"/>
            <w:gridSpan w:val="4"/>
          </w:tcPr>
          <w:p>
            <w:pPr>
              <w:ind w:left="226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8"/>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03"/>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00"/>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Common Stock, par value $0.01 per share</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4"/>
          <w:szCs w:val="24"/>
          <w:color w:val="auto"/>
        </w:rPr>
      </w:pPr>
    </w:p>
    <w:p>
      <w:pPr>
        <w:ind w:firstLine="26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2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2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2" w:lineRule="exact"/>
        <w:rPr>
          <w:sz w:val="24"/>
          <w:szCs w:val="24"/>
          <w:color w:val="auto"/>
        </w:rPr>
      </w:pPr>
    </w:p>
    <w:p>
      <w:pPr>
        <w:ind w:right="180" w:firstLine="26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80"/>
        <w:spacing w:after="0" w:line="207" w:lineRule="exact"/>
        <w:tabs>
          <w:tab w:leader="none" w:pos="9080" w:val="left"/>
          <w:tab w:leader="none" w:pos="9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60" w:firstLine="269"/>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35,771,283 shares of common stock, par value $0.01 per share,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2021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94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40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2021 and December 31, 2020</w:t>
              </w:r>
            </w:hyperlink>
          </w:p>
        </w:tc>
        <w:tc>
          <w:tcPr>
            <w:tcW w:w="288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three-month and six-month periods ended June 30, 2021 and 2020</w:t>
              </w:r>
            </w:hyperlink>
          </w:p>
        </w:tc>
        <w:tc>
          <w:tcPr>
            <w:tcW w:w="28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three-month and six-month periods ended June 30,</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20" w:type="dxa"/>
            <w:vAlign w:val="bottom"/>
            <w:gridSpan w:val="2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Shareholders’ Equity for the three-month and six-month periods ended June 30,</w:t>
              </w:r>
            </w:hyperlink>
          </w:p>
        </w:tc>
        <w:tc>
          <w:tcPr>
            <w:tcW w:w="4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and 2020</w:t>
              </w:r>
            </w:hyperlink>
          </w:p>
        </w:tc>
        <w:tc>
          <w:tcPr>
            <w:tcW w:w="42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six-month periods ended June 30, 2021 and 2020</w:t>
              </w:r>
            </w:hyperlink>
          </w:p>
        </w:tc>
        <w:tc>
          <w:tcPr>
            <w:tcW w:w="120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2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46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714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4"/>
        </w:trPr>
        <w:tc>
          <w:tcPr>
            <w:tcW w:w="92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94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58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45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 Defaults Upon Senior Securities</w:t>
              </w:r>
            </w:hyperlink>
          </w:p>
        </w:tc>
        <w:tc>
          <w:tcPr>
            <w:tcW w:w="658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 Mine Safety Disclosures</w:t>
              </w:r>
            </w:hyperlink>
          </w:p>
        </w:tc>
        <w:tc>
          <w:tcPr>
            <w:tcW w:w="714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6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7600" w:type="dxa"/>
            <w:vAlign w:val="bottom"/>
            <w:gridSpan w:val="1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Signatures</w:t>
              </w:r>
            </w:hyperlink>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40" w:top="553"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71"/>
        </w:trPr>
        <w:tc>
          <w:tcPr>
            <w:tcW w:w="67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ind w:left="3300"/>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32,229</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46,839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Assets held for sale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161,782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410,702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FF0FC"/>
          </w:tcPr>
          <w:p>
            <w:pPr>
              <w:ind w:left="1680"/>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81,938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19,645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7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60"/>
              <w:spacing w:after="0"/>
              <w:rPr>
                <w:sz w:val="20"/>
                <w:szCs w:val="20"/>
                <w:color w:val="auto"/>
              </w:rPr>
            </w:pPr>
            <w:r>
              <w:rPr>
                <w:rFonts w:ascii="Arial" w:cs="Arial" w:eastAsia="Arial" w:hAnsi="Arial"/>
                <w:sz w:val="18"/>
                <w:szCs w:val="18"/>
                <w:color w:val="auto"/>
              </w:rPr>
              <w:t>Shareholders’ equity:</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8"/>
                <w:szCs w:val="18"/>
                <w:color w:val="auto"/>
              </w:rPr>
              <w:t>Common stock, $.01 par value; 100,000,000 shares authorized, 35,749,488</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520"/>
              <w:spacing w:after="0"/>
              <w:rPr>
                <w:sz w:val="20"/>
                <w:szCs w:val="20"/>
                <w:color w:val="auto"/>
              </w:rPr>
            </w:pPr>
            <w:r>
              <w:rPr>
                <w:rFonts w:ascii="Arial" w:cs="Arial" w:eastAsia="Arial" w:hAnsi="Arial"/>
                <w:sz w:val="18"/>
                <w:szCs w:val="18"/>
                <w:color w:val="auto"/>
              </w:rPr>
              <w:t>and 35,504,757 shares issued and outstanding at June 30, 2021 and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520"/>
              <w:spacing w:after="0"/>
              <w:rPr>
                <w:sz w:val="20"/>
                <w:szCs w:val="20"/>
                <w:color w:val="auto"/>
              </w:rPr>
            </w:pPr>
            <w:r>
              <w:rPr>
                <w:rFonts w:ascii="Arial" w:cs="Arial" w:eastAsia="Arial" w:hAnsi="Arial"/>
                <w:sz w:val="18"/>
                <w:szCs w:val="18"/>
                <w:color w:val="auto"/>
              </w:rPr>
              <w:t>December 31, 2020, respectively</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Accumulated loss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(38,141)</w:t>
            </w: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(14,151)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8"/>
              </w:rPr>
              <w:t>Less treasury stock, at cost, 137,920 shares at June 30, 2021 and December 31, 2020</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CECO shareholders' equity</w:t>
            </w:r>
          </w:p>
        </w:tc>
        <w:tc>
          <w:tcPr>
            <w:tcW w:w="7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Noncontrolling interest</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410,702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Pr>
          <w:p>
            <w:pPr>
              <w:spacing w:after="0"/>
              <w:rPr>
                <w:sz w:val="14"/>
                <w:szCs w:val="14"/>
                <w:color w:val="auto"/>
              </w:rPr>
            </w:pPr>
          </w:p>
        </w:tc>
        <w:tc>
          <w:tcPr>
            <w:tcW w:w="2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(1,430)</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attributable to CECO Environmental Corp.</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35,491,725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35,275,729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35,444,477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35,215,553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35,819,269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35,410,182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35,797,001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35,402,524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46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w w:val="99"/>
              </w:rPr>
              <w:t>Three months ended 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Capital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4"/>
              </w:rPr>
              <w:t>excess of</w:t>
            </w:r>
          </w:p>
        </w:tc>
        <w:tc>
          <w:tcPr>
            <w:tcW w:w="1060" w:type="dxa"/>
            <w:vAlign w:val="bottom"/>
            <w:gridSpan w:val="6"/>
          </w:tcPr>
          <w:p>
            <w:pPr>
              <w:ind w:left="8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3"/>
                <w:szCs w:val="13"/>
                <w:b w:val="1"/>
                <w:bCs w:val="1"/>
                <w:color w:val="auto"/>
              </w:rPr>
              <w:t>Noncontrolling</w:t>
            </w:r>
          </w:p>
        </w:tc>
        <w:tc>
          <w:tcPr>
            <w:tcW w:w="960" w:type="dxa"/>
            <w:vAlign w:val="bottom"/>
            <w:gridSpan w:val="6"/>
          </w:tcPr>
          <w:p>
            <w:pPr>
              <w:ind w:left="80"/>
              <w:spacing w:after="0"/>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3"/>
                <w:szCs w:val="13"/>
                <w:b w:val="1"/>
                <w:bCs w:val="1"/>
                <w:color w:val="auto"/>
                <w:w w:val="87"/>
              </w:rPr>
              <w:t>Shares</w:t>
            </w:r>
          </w:p>
        </w:tc>
        <w:tc>
          <w:tcPr>
            <w:tcW w:w="3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Amount</w:t>
            </w:r>
          </w:p>
        </w:tc>
        <w:tc>
          <w:tcPr>
            <w:tcW w:w="7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par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right"/>
              <w:ind w:right="480"/>
              <w:spacing w:after="0" w:line="142" w:lineRule="exact"/>
              <w:rPr>
                <w:sz w:val="20"/>
                <w:szCs w:val="20"/>
                <w:color w:val="auto"/>
              </w:rPr>
            </w:pPr>
            <w:r>
              <w:rPr>
                <w:rFonts w:ascii="Arial" w:cs="Arial" w:eastAsia="Arial" w:hAnsi="Arial"/>
                <w:sz w:val="13"/>
                <w:szCs w:val="13"/>
                <w:b w:val="1"/>
                <w:bCs w:val="1"/>
                <w:color w:val="auto"/>
              </w:rPr>
              <w:t>Loss</w:t>
            </w:r>
          </w:p>
        </w:tc>
        <w:tc>
          <w:tcPr>
            <w:tcW w:w="180" w:type="dxa"/>
            <w:vAlign w:val="bottom"/>
          </w:tcPr>
          <w:p>
            <w:pPr>
              <w:spacing w:after="0"/>
              <w:rPr>
                <w:sz w:val="12"/>
                <w:szCs w:val="12"/>
                <w:color w:val="auto"/>
              </w:rPr>
            </w:pPr>
          </w:p>
        </w:tc>
        <w:tc>
          <w:tcPr>
            <w:tcW w:w="940" w:type="dxa"/>
            <w:vAlign w:val="bottom"/>
            <w:gridSpan w:val="4"/>
          </w:tcPr>
          <w:p>
            <w:pPr>
              <w:jc w:val="center"/>
              <w:ind w:right="400"/>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700" w:type="dxa"/>
            <w:vAlign w:val="bottom"/>
            <w:gridSpan w:val="3"/>
          </w:tcPr>
          <w:p>
            <w:pPr>
              <w:jc w:val="right"/>
              <w:ind w:right="320"/>
              <w:spacing w:after="0" w:line="142"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2"/>
                <w:szCs w:val="12"/>
                <w:color w:val="auto"/>
              </w:rPr>
            </w:pPr>
          </w:p>
        </w:tc>
        <w:tc>
          <w:tcPr>
            <w:tcW w:w="740" w:type="dxa"/>
            <w:vAlign w:val="bottom"/>
            <w:gridSpan w:val="4"/>
          </w:tcPr>
          <w:p>
            <w:pPr>
              <w:jc w:val="right"/>
              <w:ind w:right="280"/>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800" w:type="dxa"/>
            <w:vAlign w:val="bottom"/>
            <w:gridSpan w:val="3"/>
          </w:tcPr>
          <w:p>
            <w:pPr>
              <w:jc w:val="right"/>
              <w:ind w:right="360"/>
              <w:spacing w:after="0" w:line="142" w:lineRule="exact"/>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center"/>
              <w:ind w:right="2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2019</w:t>
            </w: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35,275</w:t>
            </w: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353</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253,869</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(46,344)</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(14,505)</w:t>
            </w: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gridSpan w:val="2"/>
            <w:shd w:val="clear" w:color="auto" w:fill="CFF0FC"/>
          </w:tcPr>
          <w:p>
            <w:pPr>
              <w:jc w:val="right"/>
              <w:ind w:right="213"/>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193,017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20"/>
                <w:szCs w:val="20"/>
                <w:color w:val="auto"/>
              </w:rPr>
            </w:pPr>
            <w:r>
              <w:rPr>
                <w:rFonts w:ascii="Arial" w:cs="Arial" w:eastAsia="Arial" w:hAnsi="Arial"/>
                <w:sz w:val="13"/>
                <w:szCs w:val="13"/>
                <w:color w:val="auto"/>
              </w:rPr>
              <w:t>Net income for the three-months ended March 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3,412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3,412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Restricted stock units issued</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Share based compensation earned</w:t>
            </w: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Translation loss</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(2,268)</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3"/>
                <w:szCs w:val="13"/>
                <w:color w:val="auto"/>
              </w:rPr>
              <w:t>Balance March 31, 2020</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vMerge w:val="continue"/>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35,338</w:t>
            </w:r>
          </w:p>
        </w:tc>
        <w:tc>
          <w:tcPr>
            <w:tcW w:w="220" w:type="dxa"/>
            <w:vAlign w:val="bottom"/>
          </w:tcPr>
          <w:p>
            <w:pPr>
              <w:spacing w:after="0"/>
              <w:rPr>
                <w:sz w:val="17"/>
                <w:szCs w:val="17"/>
                <w:color w:val="auto"/>
              </w:rPr>
            </w:pPr>
          </w:p>
        </w:tc>
        <w:tc>
          <w:tcPr>
            <w:tcW w:w="360" w:type="dxa"/>
            <w:vAlign w:val="bottom"/>
            <w:gridSpan w:val="2"/>
          </w:tcPr>
          <w:p>
            <w:pPr>
              <w:jc w:val="right"/>
              <w:ind w:right="213"/>
              <w:spacing w:after="0"/>
              <w:rPr>
                <w:sz w:val="20"/>
                <w:szCs w:val="20"/>
                <w:color w:val="auto"/>
              </w:rPr>
            </w:pPr>
            <w:r>
              <w:rPr>
                <w:rFonts w:ascii="Arial" w:cs="Arial" w:eastAsia="Arial" w:hAnsi="Arial"/>
                <w:sz w:val="13"/>
                <w:szCs w:val="13"/>
                <w:color w:val="auto"/>
                <w:w w:val="82"/>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354</w:t>
            </w:r>
          </w:p>
        </w:tc>
        <w:tc>
          <w:tcPr>
            <w:tcW w:w="2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7"/>
              </w:rPr>
              <w:t>254,313</w:t>
            </w:r>
          </w:p>
        </w:tc>
        <w:tc>
          <w:tcPr>
            <w:tcW w:w="18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(42,932)</w:t>
            </w:r>
          </w:p>
        </w:tc>
        <w:tc>
          <w:tcPr>
            <w:tcW w:w="180" w:type="dxa"/>
            <w:vAlign w:val="bottom"/>
          </w:tcPr>
          <w:p>
            <w:pPr>
              <w:jc w:val="right"/>
              <w:ind w:right="62"/>
              <w:spacing w:after="0"/>
              <w:rPr>
                <w:sz w:val="20"/>
                <w:szCs w:val="20"/>
                <w:color w:val="auto"/>
              </w:rPr>
            </w:pPr>
            <w:r>
              <w:rPr>
                <w:rFonts w:ascii="Arial" w:cs="Arial" w:eastAsia="Arial" w:hAnsi="Arial"/>
                <w:sz w:val="10"/>
                <w:szCs w:val="10"/>
                <w:color w:val="auto"/>
                <w:w w:val="71"/>
              </w:rPr>
              <w:t>$</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(16,773)</w:t>
            </w:r>
          </w:p>
        </w:tc>
        <w:tc>
          <w:tcPr>
            <w:tcW w:w="800" w:type="dxa"/>
            <w:vAlign w:val="bottom"/>
            <w:gridSpan w:val="4"/>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gridSpan w:val="2"/>
          </w:tcPr>
          <w:p>
            <w:pPr>
              <w:jc w:val="right"/>
              <w:ind w:right="213"/>
              <w:spacing w:after="0"/>
              <w:rPr>
                <w:sz w:val="20"/>
                <w:szCs w:val="20"/>
                <w:color w:val="auto"/>
              </w:rPr>
            </w:pPr>
            <w:r>
              <w:rPr>
                <w:rFonts w:ascii="Arial" w:cs="Arial" w:eastAsia="Arial" w:hAnsi="Arial"/>
                <w:sz w:val="10"/>
                <w:szCs w:val="10"/>
                <w:color w:val="auto"/>
                <w:w w:val="71"/>
              </w:rPr>
              <w:t>$</w:t>
            </w:r>
          </w:p>
        </w:tc>
        <w:tc>
          <w:tcPr>
            <w:tcW w:w="460" w:type="dxa"/>
            <w:vAlign w:val="bottom"/>
            <w:gridSpan w:val="3"/>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194,606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w w:val="99"/>
              </w:rPr>
              <w:t>Net income for the three-months ended June 30, 2020</w:t>
            </w:r>
          </w:p>
        </w:tc>
        <w:tc>
          <w:tcPr>
            <w:tcW w:w="8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left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3,258</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gridSpan w:val="3"/>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3,258</w:t>
            </w: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155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8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Translation gain</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1,175</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1,175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Balance June 30, 2020</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35,493</w:t>
            </w: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355</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254,323</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(39,682)</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(15,598)</w:t>
            </w: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gridSpan w:val="2"/>
            <w:shd w:val="clear" w:color="auto" w:fill="CFF0FC"/>
          </w:tcPr>
          <w:p>
            <w:pPr>
              <w:jc w:val="right"/>
              <w:ind w:right="213"/>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199,042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Capital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4"/>
              </w:rPr>
              <w:t>excess of</w:t>
            </w:r>
          </w:p>
        </w:tc>
        <w:tc>
          <w:tcPr>
            <w:tcW w:w="1060" w:type="dxa"/>
            <w:vAlign w:val="bottom"/>
            <w:gridSpan w:val="6"/>
          </w:tcPr>
          <w:p>
            <w:pPr>
              <w:ind w:left="8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3"/>
                <w:szCs w:val="13"/>
                <w:b w:val="1"/>
                <w:bCs w:val="1"/>
                <w:color w:val="auto"/>
              </w:rPr>
              <w:t>Noncontrolling</w:t>
            </w:r>
          </w:p>
        </w:tc>
        <w:tc>
          <w:tcPr>
            <w:tcW w:w="960" w:type="dxa"/>
            <w:vAlign w:val="bottom"/>
            <w:gridSpan w:val="6"/>
          </w:tcPr>
          <w:p>
            <w:pPr>
              <w:ind w:left="80"/>
              <w:spacing w:after="0"/>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3"/>
                <w:szCs w:val="13"/>
                <w:b w:val="1"/>
                <w:bCs w:val="1"/>
                <w:color w:val="auto"/>
                <w:w w:val="87"/>
              </w:rPr>
              <w:t>Shares</w:t>
            </w:r>
          </w:p>
        </w:tc>
        <w:tc>
          <w:tcPr>
            <w:tcW w:w="3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Amount</w:t>
            </w:r>
          </w:p>
        </w:tc>
        <w:tc>
          <w:tcPr>
            <w:tcW w:w="7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par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jc w:val="right"/>
              <w:ind w:right="480"/>
              <w:spacing w:after="0" w:line="142" w:lineRule="exact"/>
              <w:rPr>
                <w:sz w:val="20"/>
                <w:szCs w:val="20"/>
                <w:color w:val="auto"/>
              </w:rPr>
            </w:pPr>
            <w:r>
              <w:rPr>
                <w:rFonts w:ascii="Arial" w:cs="Arial" w:eastAsia="Arial" w:hAnsi="Arial"/>
                <w:sz w:val="13"/>
                <w:szCs w:val="13"/>
                <w:b w:val="1"/>
                <w:bCs w:val="1"/>
                <w:color w:val="auto"/>
              </w:rPr>
              <w:t>Loss</w:t>
            </w:r>
          </w:p>
        </w:tc>
        <w:tc>
          <w:tcPr>
            <w:tcW w:w="180" w:type="dxa"/>
            <w:vAlign w:val="bottom"/>
          </w:tcPr>
          <w:p>
            <w:pPr>
              <w:spacing w:after="0"/>
              <w:rPr>
                <w:sz w:val="12"/>
                <w:szCs w:val="12"/>
                <w:color w:val="auto"/>
              </w:rPr>
            </w:pPr>
          </w:p>
        </w:tc>
        <w:tc>
          <w:tcPr>
            <w:tcW w:w="940" w:type="dxa"/>
            <w:vAlign w:val="bottom"/>
            <w:gridSpan w:val="4"/>
          </w:tcPr>
          <w:p>
            <w:pPr>
              <w:jc w:val="center"/>
              <w:ind w:right="400"/>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700" w:type="dxa"/>
            <w:vAlign w:val="bottom"/>
            <w:gridSpan w:val="3"/>
          </w:tcPr>
          <w:p>
            <w:pPr>
              <w:jc w:val="right"/>
              <w:ind w:right="320"/>
              <w:spacing w:after="0" w:line="142"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2"/>
                <w:szCs w:val="12"/>
                <w:color w:val="auto"/>
              </w:rPr>
            </w:pPr>
          </w:p>
        </w:tc>
        <w:tc>
          <w:tcPr>
            <w:tcW w:w="740" w:type="dxa"/>
            <w:vAlign w:val="bottom"/>
            <w:gridSpan w:val="4"/>
          </w:tcPr>
          <w:p>
            <w:pPr>
              <w:jc w:val="right"/>
              <w:ind w:right="280"/>
              <w:spacing w:after="0" w:line="142"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2"/>
                <w:szCs w:val="12"/>
                <w:color w:val="auto"/>
              </w:rPr>
            </w:pPr>
          </w:p>
        </w:tc>
        <w:tc>
          <w:tcPr>
            <w:tcW w:w="800" w:type="dxa"/>
            <w:vAlign w:val="bottom"/>
            <w:gridSpan w:val="3"/>
          </w:tcPr>
          <w:p>
            <w:pPr>
              <w:jc w:val="right"/>
              <w:ind w:right="360"/>
              <w:spacing w:after="0" w:line="142" w:lineRule="exact"/>
              <w:rPr>
                <w:sz w:val="20"/>
                <w:szCs w:val="20"/>
                <w:color w:val="auto"/>
              </w:rPr>
            </w:pPr>
            <w:r>
              <w:rPr>
                <w:rFonts w:ascii="Arial" w:cs="Arial" w:eastAsia="Arial" w:hAnsi="Arial"/>
                <w:sz w:val="13"/>
                <w:szCs w:val="13"/>
                <w:b w:val="1"/>
                <w:bCs w:val="1"/>
                <w:color w:val="auto"/>
                <w:w w:val="89"/>
              </w:rPr>
              <w:t>interest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center"/>
              <w:ind w:right="2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2020</w:t>
            </w:r>
          </w:p>
        </w:tc>
        <w:tc>
          <w:tcPr>
            <w:tcW w:w="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35,505</w:t>
            </w: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355</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255,296</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(38,141)</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(14,496)</w:t>
            </w: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gridSpan w:val="2"/>
            <w:shd w:val="clear" w:color="auto" w:fill="CFF0FC"/>
          </w:tcPr>
          <w:p>
            <w:pPr>
              <w:jc w:val="right"/>
              <w:ind w:right="213"/>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203,611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120" w:type="dxa"/>
            <w:vAlign w:val="bottom"/>
          </w:tcPr>
          <w:p>
            <w:pPr>
              <w:spacing w:after="0"/>
              <w:rPr>
                <w:sz w:val="20"/>
                <w:szCs w:val="20"/>
                <w:color w:val="auto"/>
              </w:rPr>
            </w:pPr>
            <w:r>
              <w:rPr>
                <w:rFonts w:ascii="Arial" w:cs="Arial" w:eastAsia="Arial" w:hAnsi="Arial"/>
                <w:sz w:val="13"/>
                <w:szCs w:val="13"/>
                <w:color w:val="auto"/>
              </w:rPr>
              <w:t>Net income for the three-months ended March 31,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1,181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1,298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20" w:type="dxa"/>
            <w:vAlign w:val="bottom"/>
          </w:tcPr>
          <w:p>
            <w:pPr>
              <w:spacing w:after="0"/>
              <w:rPr>
                <w:sz w:val="20"/>
                <w:szCs w:val="20"/>
                <w:color w:val="auto"/>
              </w:rPr>
            </w:pPr>
            <w:r>
              <w:rPr>
                <w:rFonts w:ascii="Arial" w:cs="Arial" w:eastAsia="Arial" w:hAnsi="Arial"/>
                <w:sz w:val="13"/>
                <w:szCs w:val="13"/>
                <w:color w:val="auto"/>
              </w:rPr>
              <w:t>2021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 options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w:t>
            </w: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807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Translation gain</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55</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55</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Balance March 31, 2021</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35,568</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356</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255,982</w:t>
            </w:r>
          </w:p>
        </w:tc>
        <w:tc>
          <w:tcPr>
            <w:tcW w:w="180" w:type="dxa"/>
            <w:vAlign w:val="bottom"/>
            <w:tcBorders>
              <w:lef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(36,960)</w:t>
            </w:r>
          </w:p>
        </w:tc>
        <w:tc>
          <w:tcPr>
            <w:tcW w:w="180" w:type="dxa"/>
            <w:vAlign w:val="bottom"/>
            <w:shd w:val="clear" w:color="auto" w:fill="CFF0FC"/>
          </w:tcPr>
          <w:p>
            <w:pPr>
              <w:spacing w:after="0"/>
              <w:rPr>
                <w:sz w:val="13"/>
                <w:szCs w:val="13"/>
                <w:color w:val="auto"/>
              </w:rPr>
            </w:pP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(14,441)</w:t>
            </w: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1,070</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205,651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w w:val="99"/>
              </w:rPr>
              <w:t>Net income for the three-months ended June 30, 2021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293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20"/>
              <w:spacing w:after="0" w:line="143" w:lineRule="exact"/>
              <w:rPr>
                <w:sz w:val="20"/>
                <w:szCs w:val="20"/>
                <w:color w:val="auto"/>
              </w:rPr>
            </w:pPr>
            <w:r>
              <w:rPr>
                <w:rFonts w:ascii="Arial" w:cs="Arial" w:eastAsia="Arial" w:hAnsi="Arial"/>
                <w:sz w:val="13"/>
                <w:szCs w:val="13"/>
                <w:color w:val="auto"/>
              </w:rPr>
              <w:t>382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Restricted stock units issued</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4"/>
            <w:shd w:val="clear" w:color="auto" w:fill="CFF0FC"/>
          </w:tcPr>
          <w:p>
            <w:pPr>
              <w:jc w:val="right"/>
              <w:ind w:right="2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Share based compensation earned</w:t>
            </w: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3"/>
                <w:szCs w:val="13"/>
                <w:color w:val="auto"/>
              </w:rPr>
              <w:t>Translation gain</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3"/>
                <w:szCs w:val="13"/>
                <w:color w:val="auto"/>
              </w:rPr>
              <w:t>Noncontrolling interest distribution</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June 30, 2021</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20" w:type="dxa"/>
            <w:vAlign w:val="bottom"/>
            <w:vMerge w:val="continue"/>
            <w:shd w:val="clear" w:color="auto" w:fill="CFF0FC"/>
          </w:tcPr>
          <w:p>
            <w:pPr>
              <w:spacing w:after="0"/>
              <w:rPr>
                <w:sz w:val="13"/>
                <w:szCs w:val="13"/>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35,749</w:t>
            </w: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w w:val="82"/>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357</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256,598</w:t>
            </w:r>
          </w:p>
        </w:tc>
        <w:tc>
          <w:tcPr>
            <w:tcW w:w="180" w:type="dxa"/>
            <w:vAlign w:val="bottom"/>
            <w:tcBorders>
              <w:left w:val="single" w:sz="8" w:color="CFF0FC"/>
            </w:tcBorders>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(36,667)</w:t>
            </w:r>
          </w:p>
        </w:tc>
        <w:tc>
          <w:tcPr>
            <w:tcW w:w="180" w:type="dxa"/>
            <w:vAlign w:val="bottom"/>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940" w:type="dxa"/>
            <w:vAlign w:val="bottom"/>
            <w:gridSpan w:val="4"/>
            <w:shd w:val="clear" w:color="auto" w:fill="CFF0FC"/>
          </w:tcPr>
          <w:p>
            <w:pPr>
              <w:jc w:val="right"/>
              <w:ind w:right="160"/>
              <w:spacing w:after="0"/>
              <w:rPr>
                <w:sz w:val="20"/>
                <w:szCs w:val="20"/>
                <w:color w:val="auto"/>
              </w:rPr>
            </w:pPr>
            <w:r>
              <w:rPr>
                <w:rFonts w:ascii="Arial" w:cs="Arial" w:eastAsia="Arial" w:hAnsi="Arial"/>
                <w:sz w:val="13"/>
                <w:szCs w:val="13"/>
                <w:color w:val="auto"/>
              </w:rPr>
              <w:t>(14,151)</w:t>
            </w:r>
          </w:p>
        </w:tc>
        <w:tc>
          <w:tcPr>
            <w:tcW w:w="800" w:type="dxa"/>
            <w:vAlign w:val="bottom"/>
            <w:gridSpan w:val="4"/>
            <w:shd w:val="clear" w:color="auto" w:fill="CFF0FC"/>
          </w:tcPr>
          <w:p>
            <w:pPr>
              <w:jc w:val="right"/>
              <w:ind w:right="180"/>
              <w:spacing w:after="0"/>
              <w:rPr>
                <w:sz w:val="20"/>
                <w:szCs w:val="20"/>
                <w:color w:val="auto"/>
              </w:rPr>
            </w:pPr>
            <w:r>
              <w:rPr>
                <w:rFonts w:ascii="Arial" w:cs="Arial" w:eastAsia="Arial" w:hAnsi="Arial"/>
                <w:sz w:val="13"/>
                <w:szCs w:val="13"/>
                <w:color w:val="auto"/>
              </w:rPr>
              <w:t>(138)</w:t>
            </w:r>
          </w:p>
        </w:tc>
        <w:tc>
          <w:tcPr>
            <w:tcW w:w="340" w:type="dxa"/>
            <w:vAlign w:val="bottom"/>
            <w:gridSpan w:val="2"/>
            <w:shd w:val="clear" w:color="auto" w:fill="CFF0FC"/>
          </w:tcPr>
          <w:p>
            <w:pPr>
              <w:jc w:val="right"/>
              <w:ind w:right="213"/>
              <w:spacing w:after="0"/>
              <w:rPr>
                <w:sz w:val="20"/>
                <w:szCs w:val="20"/>
                <w:color w:val="auto"/>
              </w:rPr>
            </w:pPr>
            <w:r>
              <w:rPr>
                <w:rFonts w:ascii="Arial" w:cs="Arial" w:eastAsia="Arial" w:hAnsi="Arial"/>
                <w:sz w:val="10"/>
                <w:szCs w:val="10"/>
                <w:color w:val="auto"/>
                <w:w w:val="71"/>
              </w:rPr>
              <w:t>$</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2"/>
              </w:rPr>
              <w:t>(356)</w:t>
            </w: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1,052</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206,833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1,680</w:t>
            </w:r>
          </w:p>
        </w:tc>
        <w:tc>
          <w:tcPr>
            <w:tcW w:w="26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(used in) operating activities: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4,906</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 (gain)</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Fair value adjustment to earnout liabilities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sale of property and equipment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Debt discount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Bad debt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reserve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(2,638)</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(1,319)</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(3,446)</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(409)</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3,642</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(496)</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(2,784)</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(1,490)</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(508)</w:t>
            </w:r>
          </w:p>
        </w:tc>
        <w:tc>
          <w:tcPr>
            <w:tcW w:w="7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(639)</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4,109</w:t>
            </w:r>
          </w:p>
        </w:tc>
        <w:tc>
          <w:tcPr>
            <w:tcW w:w="26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(997)</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proceeds from sale of assets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Net cash paid for acquisition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(6,124)</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(463)</w:t>
            </w:r>
          </w:p>
        </w:tc>
        <w:tc>
          <w:tcPr>
            <w:tcW w:w="7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revolving credit lines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Repayments on revolving credit lines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(22,300)</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(59,000)</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(1,250)</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(271)</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Earnout payments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(823)</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 distribution</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(6,423)</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(514)</w:t>
            </w: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(3,291)</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2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34,520</w:t>
            </w:r>
          </w:p>
        </w:tc>
        <w:tc>
          <w:tcPr>
            <w:tcW w:w="26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paid (received) during the period for:</w:t>
            </w:r>
          </w:p>
        </w:tc>
        <w:tc>
          <w:tcPr>
            <w:tcW w:w="4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w:t>
            </w:r>
          </w:p>
        </w:tc>
        <w:tc>
          <w:tcPr>
            <w:tcW w:w="26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(3,006)</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492" w:hanging="492"/>
        <w:spacing w:after="0"/>
        <w:tabs>
          <w:tab w:leader="none" w:pos="4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right="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2021 and the results of operations, cash flows and shareholders’ equity for the three-month and six-month periods ended June 30, 2021 and 2020. The results of operations for the three-month and six-month periods ended June 30, 2021 are not necessarily indicative of the results to be expected for the full year. The balance sheet as of December 31, 2020 has been derived from the audited consolidated financial statements included in the Company’s Annual Report on Form 10-K for the year ended December 31, 2020 as filed with the SEC on March 3, 2021 (the “Form 10-K”).</w:t>
      </w:r>
    </w:p>
    <w:p>
      <w:pPr>
        <w:spacing w:after="0" w:line="168" w:lineRule="exact"/>
        <w:rPr>
          <w:rFonts w:ascii="Arial" w:cs="Arial" w:eastAsia="Arial" w:hAnsi="Arial"/>
          <w:sz w:val="18"/>
          <w:szCs w:val="18"/>
          <w:b w:val="1"/>
          <w:bCs w:val="1"/>
          <w:color w:val="auto"/>
        </w:rPr>
      </w:pPr>
    </w:p>
    <w:p>
      <w:pPr>
        <w:jc w:val="both"/>
        <w:ind w:left="512"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rFonts w:ascii="Arial" w:cs="Arial" w:eastAsia="Arial" w:hAnsi="Arial"/>
          <w:sz w:val="18"/>
          <w:szCs w:val="18"/>
          <w:b w:val="1"/>
          <w:bCs w:val="1"/>
          <w:color w:val="auto"/>
        </w:rPr>
      </w:pPr>
    </w:p>
    <w:p>
      <w:pPr>
        <w:ind w:left="51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Form 10-K.</w:t>
      </w:r>
    </w:p>
    <w:p>
      <w:pPr>
        <w:spacing w:after="0" w:line="170" w:lineRule="exact"/>
        <w:rPr>
          <w:rFonts w:ascii="Arial" w:cs="Arial" w:eastAsia="Arial" w:hAnsi="Arial"/>
          <w:sz w:val="18"/>
          <w:szCs w:val="18"/>
          <w:b w:val="1"/>
          <w:bCs w:val="1"/>
          <w:color w:val="auto"/>
        </w:rPr>
      </w:pPr>
    </w:p>
    <w:p>
      <w:pPr>
        <w:ind w:left="512" w:right="368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Unless otherwise indicated, all balances within tables are in thousands, except per share amounts. </w:t>
      </w:r>
      <w:r>
        <w:rPr>
          <w:rFonts w:ascii="Arial" w:cs="Arial" w:eastAsia="Arial" w:hAnsi="Arial"/>
          <w:sz w:val="18"/>
          <w:szCs w:val="18"/>
          <w:i w:val="1"/>
          <w:iCs w:val="1"/>
          <w:color w:val="auto"/>
        </w:rPr>
        <w:t>COVID-19</w:t>
      </w:r>
    </w:p>
    <w:p>
      <w:pPr>
        <w:spacing w:after="0" w:line="1" w:lineRule="exact"/>
        <w:rPr>
          <w:rFonts w:ascii="Arial" w:cs="Arial" w:eastAsia="Arial" w:hAnsi="Arial"/>
          <w:sz w:val="18"/>
          <w:szCs w:val="18"/>
          <w:b w:val="1"/>
          <w:bCs w:val="1"/>
          <w:color w:val="auto"/>
        </w:rPr>
      </w:pPr>
    </w:p>
    <w:p>
      <w:pPr>
        <w:jc w:val="both"/>
        <w:ind w:left="512"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novel strain of coronavirus (“COVID-19”) surfaced in late 2019 and has spread around the world, including to the United States. In March 2020, the World Health Organization characterized COVID-19 as a pandemic. As of July 31, 2021, the virus continues to spread and has had a significant impact on worldwide economic activity and on macroeconomic conditions and the end markets of our business.</w:t>
      </w:r>
    </w:p>
    <w:p>
      <w:pPr>
        <w:spacing w:after="0" w:line="165" w:lineRule="exact"/>
        <w:rPr>
          <w:rFonts w:ascii="Arial" w:cs="Arial" w:eastAsia="Arial" w:hAnsi="Arial"/>
          <w:sz w:val="18"/>
          <w:szCs w:val="18"/>
          <w:b w:val="1"/>
          <w:bCs w:val="1"/>
          <w:color w:val="auto"/>
        </w:rPr>
      </w:pPr>
    </w:p>
    <w:p>
      <w:pPr>
        <w:ind w:left="51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we operate,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8" w:name="page9"/>
    <w:bookmarkEnd w:id="8"/>
    <w:p>
      <w:pPr>
        <w:ind w:left="520" w:right="7240" w:hanging="512"/>
        <w:spacing w:after="0" w:line="566" w:lineRule="auto"/>
        <w:tabs>
          <w:tab w:leader="none" w:pos="51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2021</w:t>
      </w:r>
    </w:p>
    <w:p>
      <w:pPr>
        <w:ind w:left="520" w:right="16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and did not have a material impact on our financial statements.</w:t>
      </w:r>
    </w:p>
    <w:p>
      <w:pPr>
        <w:spacing w:after="0" w:line="167" w:lineRule="exact"/>
        <w:rPr>
          <w:rFonts w:ascii="Arial" w:cs="Arial" w:eastAsia="Arial" w:hAnsi="Arial"/>
          <w:sz w:val="16"/>
          <w:szCs w:val="16"/>
          <w:b w:val="1"/>
          <w:bCs w:val="1"/>
          <w:color w:val="auto"/>
        </w:rPr>
      </w:pPr>
    </w:p>
    <w:p>
      <w:pPr>
        <w:ind w:left="520" w:right="7880"/>
        <w:spacing w:after="0" w:line="532"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Accounting Standards to be Adopted </w:t>
      </w:r>
      <w:r>
        <w:rPr>
          <w:rFonts w:ascii="Arial" w:cs="Arial" w:eastAsia="Arial" w:hAnsi="Arial"/>
          <w:sz w:val="18"/>
          <w:szCs w:val="18"/>
          <w:color w:val="auto"/>
        </w:rPr>
        <w:t>None.</w:t>
      </w:r>
    </w:p>
    <w:p>
      <w:pPr>
        <w:spacing w:after="0" w:line="135" w:lineRule="exact"/>
        <w:rPr>
          <w:rFonts w:ascii="Arial" w:cs="Arial" w:eastAsia="Arial" w:hAnsi="Arial"/>
          <w:sz w:val="16"/>
          <w:szCs w:val="16"/>
          <w:b w:val="1"/>
          <w:bCs w:val="1"/>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Trade receivables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8,721</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(3,010)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(3,110)</w:t>
            </w:r>
          </w:p>
        </w:tc>
      </w:tr>
      <w:tr>
        <w:trPr>
          <w:trHeight w:val="223"/>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63,046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right="180"/>
        <w:spacing w:after="0" w:line="263"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$1.9 million and $1.5 million at June 30, 2021 and December 31, 2020, respectively. Retainage receivables on contracts in progress are generally collected within a year after contract completion.</w:t>
      </w:r>
    </w:p>
    <w:p>
      <w:pPr>
        <w:spacing w:after="0" w:line="184"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Bad debt expense was approximately $0.1 million and $0.4 million for the three-month periods ended June 30, 2021 and 2020, respectively, and $0.1 million and $0.5 million for the six-month periods ended June 30, 2021 and 2020,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68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686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24"/>
                <w:szCs w:val="2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Obsolescence allowance</w:t>
            </w:r>
          </w:p>
        </w:tc>
        <w:tc>
          <w:tcPr>
            <w:tcW w:w="2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(3,009)</w:t>
            </w: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and $0.2 million for the three-month periods ended June 30, 2021 and 2020, respectively and $0.2 million and $0.3 million for the six-month periods ended June 30,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3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Six months ended June 30, 2021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Year ended December 31, 2020</w:t>
            </w:r>
          </w:p>
        </w:tc>
        <w:tc>
          <w:tcPr>
            <w:tcW w:w="56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39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Goodwill / Tradename</w:t>
            </w:r>
          </w:p>
        </w:tc>
        <w:tc>
          <w:tcPr>
            <w:tcW w:w="1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9"/>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Goodwill</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9"/>
              </w:rPr>
              <w:t>Tradename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Acquisitions and related adjustments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Transfers to finite life classification</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Impairment charge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74"/>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 w:name="page10"/>
    <w:bookmarkEnd w:id="9"/>
    <w:tbl>
      <w:tblPr>
        <w:tblLayout w:type="fixed"/>
        <w:tblInd w:w="520" w:type="dxa"/>
        <w:tblCellMar>
          <w:top w:w="0" w:type="dxa"/>
          <w:left w:w="0" w:type="dxa"/>
          <w:bottom w:w="0" w:type="dxa"/>
          <w:right w:w="0" w:type="dxa"/>
        </w:tblCellMar>
      </w:tblPr>
      <w:tr>
        <w:trPr>
          <w:trHeight w:val="171"/>
        </w:trPr>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right"/>
              <w:ind w:right="687"/>
              <w:spacing w:after="0"/>
              <w:rPr>
                <w:sz w:val="20"/>
                <w:szCs w:val="20"/>
                <w:color w:val="auto"/>
              </w:rPr>
            </w:pPr>
            <w:r>
              <w:rPr>
                <w:rFonts w:ascii="Arial" w:cs="Arial" w:eastAsia="Arial" w:hAnsi="Arial"/>
                <w:sz w:val="14"/>
                <w:szCs w:val="14"/>
                <w:b w:val="1"/>
                <w:bCs w:val="1"/>
                <w:color w:val="auto"/>
              </w:rPr>
              <w:t>As of June 30, 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As of December 31, 2020</w:t>
            </w:r>
          </w:p>
        </w:tc>
      </w:tr>
      <w:tr>
        <w:trPr>
          <w:trHeight w:val="156"/>
        </w:trPr>
        <w:tc>
          <w:tcPr>
            <w:tcW w:w="43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w w:val="94"/>
              </w:rPr>
              <w:t>Accum. Amort.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Accum. Amort.</w:t>
            </w:r>
          </w:p>
        </w:tc>
        <w:tc>
          <w:tcPr>
            <w:tcW w:w="100" w:type="dxa"/>
            <w:vAlign w:val="bottom"/>
          </w:tcPr>
          <w:p>
            <w:pPr>
              <w:spacing w:after="0"/>
              <w:rPr>
                <w:sz w:val="13"/>
                <w:szCs w:val="13"/>
                <w:color w:val="auto"/>
              </w:rPr>
            </w:pPr>
          </w:p>
        </w:tc>
      </w:tr>
      <w:tr>
        <w:trPr>
          <w:trHeight w:val="22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Technology</w:t>
            </w:r>
          </w:p>
        </w:tc>
        <w:tc>
          <w:tcPr>
            <w:tcW w:w="28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13,358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51,476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Tradename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6,578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CFF0FC"/>
          </w:tcPr>
          <w:p>
            <w:pPr>
              <w:spacing w:after="0"/>
              <w:rPr>
                <w:sz w:val="19"/>
                <w:szCs w:val="19"/>
                <w:color w:val="auto"/>
              </w:rPr>
            </w:pPr>
          </w:p>
        </w:tc>
        <w:tc>
          <w:tcPr>
            <w:tcW w:w="11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(2,826)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(1,954)</w:t>
            </w: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91,408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940" w:type="dxa"/>
            <w:vAlign w:val="bottom"/>
            <w:gridSpan w:val="6"/>
          </w:tcPr>
          <w:p>
            <w:pPr>
              <w:spacing w:after="0"/>
              <w:rPr>
                <w:sz w:val="20"/>
                <w:szCs w:val="20"/>
                <w:color w:val="auto"/>
              </w:rPr>
            </w:pPr>
            <w:r>
              <w:rPr>
                <w:rFonts w:ascii="Arial" w:cs="Arial" w:eastAsia="Arial" w:hAnsi="Arial"/>
                <w:sz w:val="18"/>
                <w:szCs w:val="18"/>
                <w:color w:val="auto"/>
              </w:rPr>
              <w:t>Activity for the six-months ended June 30, 2021 and 2020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Intangible assets – finite life, net at beginning of period</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(3,498)</w:t>
            </w:r>
          </w:p>
        </w:tc>
      </w:tr>
      <w:tr>
        <w:trPr>
          <w:trHeight w:val="229"/>
        </w:trPr>
        <w:tc>
          <w:tcPr>
            <w:tcW w:w="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0" w:type="dxa"/>
            <w:vAlign w:val="bottom"/>
          </w:tcPr>
          <w:p>
            <w:pPr>
              <w:spacing w:after="0"/>
              <w:rPr>
                <w:sz w:val="19"/>
                <w:szCs w:val="19"/>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Acquisition and related adjustments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adjustments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Intangible assets – finite life, net at end of period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Amortization expense of finite life intangible assets was $1.7 million and $1.8 million for the three-month periods ended June 30, 2021 and 2020, respectively and $3.4 million and $3.5 million for the six-month periods ended June 30, 2021 and 2020, respectively. Amortization over the next five years for finite life intangibles is expected to be $3.3 million for the remainder of 2021, $5.8 million in 2022, $5.0 million in 2023, $4.3 million in 2024, and $3.2 million in 2025.</w:t>
      </w:r>
    </w:p>
    <w:p>
      <w:pPr>
        <w:spacing w:after="0" w:line="22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During the six-month period ended June 30, 2021, the Company reassessed the useful lives of certain tradenames and determined that $3.2 million of their tradenames would have useful lives of 10 years now versus indefinite.</w:t>
      </w:r>
    </w:p>
    <w:p>
      <w:pPr>
        <w:spacing w:after="0" w:line="170" w:lineRule="exact"/>
        <w:rPr>
          <w:sz w:val="20"/>
          <w:szCs w:val="20"/>
          <w:color w:val="auto"/>
        </w:rPr>
      </w:pPr>
    </w:p>
    <w:p>
      <w:pPr>
        <w:ind w:left="520" w:right="40"/>
        <w:spacing w:after="0" w:line="254" w:lineRule="auto"/>
        <w:rPr>
          <w:sz w:val="20"/>
          <w:szCs w:val="20"/>
          <w:color w:val="auto"/>
        </w:rPr>
      </w:pPr>
      <w:r>
        <w:rPr>
          <w:rFonts w:ascii="Arial" w:cs="Arial" w:eastAsia="Arial" w:hAnsi="Arial"/>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5"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As of June 30, 2021, we reviewed our previous forecasts and assumptions based on our current projections, which are subject to various risks and uncertainties, including projected revenue, projected operational profit, terminal growth rates, and the cost of capital. The Company did not identify any triggering events during the three-month period ended June 30, 2021 that would require an interim impairment assessment of goodwill or intangible assets.</w:t>
      </w:r>
    </w:p>
    <w:p>
      <w:pPr>
        <w:spacing w:after="0" w:line="187"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51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510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Trade accounts payable, including amounts due to subcontractors</w:t>
            </w:r>
          </w:p>
        </w:tc>
        <w:tc>
          <w:tcPr>
            <w:tcW w:w="1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warranty</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liability</w:t>
            </w:r>
          </w:p>
        </w:tc>
        <w:tc>
          <w:tcPr>
            <w:tcW w:w="1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81,938</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60" w:type="dxa"/>
            <w:vAlign w:val="bottom"/>
            <w:vMerge w:val="restart"/>
          </w:tcPr>
          <w:p>
            <w:pPr>
              <w:jc w:val="right"/>
              <w:ind w:right="143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3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Senior Debt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20" w:type="dxa"/>
            <w:vAlign w:val="bottom"/>
          </w:tcPr>
          <w:p>
            <w:pPr>
              <w:spacing w:after="0"/>
              <w:rPr>
                <w:sz w:val="24"/>
                <w:szCs w:val="24"/>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Debt consisted of the following:</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634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2020</w:t>
            </w: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Term loan payable in quarterly principal installments of $0.6 million through</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June 2021, $0.9 million through June 2023, and $1.3 million thereafter with</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due upon maturity in June 2024.</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(3,125)</w:t>
            </w:r>
          </w:p>
        </w:tc>
      </w:tr>
      <w:tr>
        <w:trPr>
          <w:trHeight w:val="223"/>
        </w:trPr>
        <w:tc>
          <w:tcPr>
            <w:tcW w:w="320" w:type="dxa"/>
            <w:vAlign w:val="bottom"/>
          </w:tcPr>
          <w:p>
            <w:pPr>
              <w:spacing w:after="0"/>
              <w:rPr>
                <w:sz w:val="19"/>
                <w:szCs w:val="19"/>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Total debt, less current portion</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Scheduled principal payments under our Credit Facility are $1.9 million remaining in 2021, $3.7 million in 2022, $4.4 million in 2023, and $58.6 million in 2024.</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As of June 30, 2021 and December 31, 2020, $11.2 million and $7.6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$45.6 million and $60.8 million at June 30, 2021 and December 31, 2020, respectively. Revolving loans may be borrowed, repaid and reborrowed until June 11, 2024, at which time all outstanding balances of the Credit Facility must be repaid.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2.22% and 2.31% at June 30, 2021 and December 31, 2020, respectively.</w:t>
      </w:r>
    </w:p>
    <w:p>
      <w:pPr>
        <w:spacing w:after="0" w:line="248"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Through September 30, 2021, the maximum Consolidated Net Leverage Ratio is 3.50, after which time the Consolidated Net Leverage Ratio will then decrease to 3.25 until the end of the term of the Credit Facility.</w:t>
      </w:r>
    </w:p>
    <w:p>
      <w:pPr>
        <w:spacing w:after="0" w:line="184"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As of June 30, 2021 and December 31, 2020,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420"/>
        <w:spacing w:after="0" w:line="293" w:lineRule="auto"/>
        <w:rPr>
          <w:sz w:val="20"/>
          <w:szCs w:val="20"/>
          <w:color w:val="auto"/>
        </w:rPr>
      </w:pPr>
      <w:r>
        <w:rPr>
          <w:rFonts w:ascii="Arial" w:cs="Arial" w:eastAsia="Arial" w:hAnsi="Arial"/>
          <w:sz w:val="16"/>
          <w:szCs w:val="16"/>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June 30, 2021, $22.8 million in bank guarantees were outstanding. In addition, a subsidiary of the Company located in the Netherlands has a Euro-denominated bank guarantee agreement secured by local assets under which $3.0 million in bank guarantees were outstanding as of June 30, 2021. As of June 30, 2021, the borrowers of these facilities and agreements were in compliance with all related financial and other restrictive covenants.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 w:name="page12"/>
    <w:bookmarkEnd w:id="11"/>
    <w:p>
      <w:pPr>
        <w:ind w:left="492" w:hanging="492"/>
        <w:spacing w:after="0"/>
        <w:tabs>
          <w:tab w:leader="none" w:pos="49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per share for the three-month periods ended June 30, are below.</w:t>
      </w:r>
    </w:p>
    <w:p>
      <w:pPr>
        <w:spacing w:after="0" w:line="200" w:lineRule="exact"/>
        <w:rPr>
          <w:sz w:val="20"/>
          <w:szCs w:val="20"/>
          <w:color w:val="auto"/>
        </w:rPr>
      </w:pP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CECO Environmental Corp.</w:t>
            </w:r>
          </w:p>
        </w:tc>
        <w:tc>
          <w:tcPr>
            <w:tcW w:w="1160" w:type="dxa"/>
            <w:vAlign w:val="bottom"/>
            <w:gridSpan w:val="2"/>
            <w:shd w:val="clear" w:color="auto" w:fill="CCEC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293</w:t>
            </w: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35,492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35,819</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The computational components of basic and diluted earnings per share for the six-month periods ended June 30, are below.</w:t>
      </w:r>
    </w:p>
    <w:p>
      <w:pPr>
        <w:spacing w:after="0" w:line="200" w:lineRule="exact"/>
        <w:rPr>
          <w:sz w:val="20"/>
          <w:szCs w:val="20"/>
          <w:color w:val="auto"/>
        </w:rPr>
      </w:pPr>
    </w:p>
    <w:p>
      <w:pPr>
        <w:spacing w:after="0" w:line="206"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CECO Environmental Corp.</w:t>
            </w:r>
          </w:p>
        </w:tc>
        <w:tc>
          <w:tcPr>
            <w:tcW w:w="1140" w:type="dxa"/>
            <w:vAlign w:val="bottom"/>
            <w:gridSpan w:val="2"/>
            <w:shd w:val="clear" w:color="auto" w:fill="CCECFF"/>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1,474</w:t>
            </w:r>
          </w:p>
        </w:tc>
        <w:tc>
          <w:tcPr>
            <w:tcW w:w="60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6,670</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4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35,444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shd w:val="clear" w:color="auto" w:fill="CCECFF"/>
          </w:tcPr>
          <w:p>
            <w:pPr>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4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12"/>
        <w:spacing w:after="0" w:line="259"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 periods ended June 30, 2021 and 2020, 1.9 million and 0.6 million, respectively, and during the six-month periods ended June 30, 2021 and 2020, 1.7 million and 0.5 million, respectively, of outstanding options and restricted stock units were excluded from the computation of diluted earnings per share due to their having an anti-dilutive effect.</w:t>
      </w:r>
    </w:p>
    <w:p>
      <w:pPr>
        <w:spacing w:after="0" w:line="187" w:lineRule="exact"/>
        <w:rPr>
          <w:sz w:val="20"/>
          <w:szCs w:val="20"/>
          <w:color w:val="auto"/>
        </w:rPr>
      </w:pPr>
    </w:p>
    <w:p>
      <w:pPr>
        <w:ind w:left="512" w:right="66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492" w:hanging="492"/>
        <w:spacing w:after="0"/>
        <w:tabs>
          <w:tab w:leader="none" w:pos="4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1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$0.9 million and $0.2 million of share-based compensation related expense during the three-month periods ended June 30, 2021 and 2020, respectively, and $1.6 million and $0.8 million during the six-month periods ended June 30, 2021 and 2020, respectively.</w:t>
      </w:r>
    </w:p>
    <w:p>
      <w:pPr>
        <w:spacing w:after="0" w:line="187" w:lineRule="exact"/>
        <w:rPr>
          <w:rFonts w:ascii="Arial" w:cs="Arial" w:eastAsia="Arial" w:hAnsi="Arial"/>
          <w:sz w:val="18"/>
          <w:szCs w:val="18"/>
          <w:b w:val="1"/>
          <w:bCs w:val="1"/>
          <w:color w:val="auto"/>
        </w:rPr>
      </w:pPr>
    </w:p>
    <w:p>
      <w:pPr>
        <w:ind w:left="51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granted approximately 460,000 and 503,000 restricted stock units during the three-month periods ended June 30, 2021 and 2020, respectively, and approximately 460,000 and 503,000 restricted stock units during the six-month periods ended June 30, 2021 and 2020, respectively. The weighted-average fair value of restricted stock units granted was estimated at $8.59 and $5.44 per unit during the six-months ended June 30, 2021 and 2020, respectively. The fair value of 2021 and 2020 time-based restricted stock units was determined by using the value of stock in the open market on the date of grant. The fair value of the 2021 and 2020 performance-based restricted stock units was determined by using the Monte Carlo valuation model.</w:t>
      </w:r>
    </w:p>
    <w:p>
      <w:pPr>
        <w:spacing w:after="0" w:line="192" w:lineRule="exact"/>
        <w:rPr>
          <w:rFonts w:ascii="Arial" w:cs="Arial" w:eastAsia="Arial" w:hAnsi="Arial"/>
          <w:sz w:val="18"/>
          <w:szCs w:val="18"/>
          <w:b w:val="1"/>
          <w:bCs w:val="1"/>
          <w:color w:val="auto"/>
        </w:rPr>
      </w:pPr>
    </w:p>
    <w:p>
      <w:pPr>
        <w:ind w:left="512"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stock-based awards granted is recorded as compensation expense on a straight-line basis over the vesting periods of the awards.</w:t>
      </w:r>
    </w:p>
    <w:p>
      <w:pPr>
        <w:spacing w:after="0" w:line="170" w:lineRule="exact"/>
        <w:rPr>
          <w:rFonts w:ascii="Arial" w:cs="Arial" w:eastAsia="Arial" w:hAnsi="Arial"/>
          <w:sz w:val="18"/>
          <w:szCs w:val="18"/>
          <w:b w:val="1"/>
          <w:bCs w:val="1"/>
          <w:color w:val="auto"/>
        </w:rPr>
      </w:pPr>
    </w:p>
    <w:p>
      <w:pPr>
        <w:ind w:left="512"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were 2,000 and zero options exercised during the six-months ended June 30, 2021 and 2020, respectively. The Company received approximately $13,000 from a non-employee director exercising options during the six-months ended June 30, 2021. The intrinsic value of options exercised during the six-months ended June 30, 2021 was approximately $3,000.</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0" w:right="339" w:bottom="1440" w:gutter="0" w:footer="0" w:header="0"/>
        </w:sectPr>
      </w:pPr>
    </w:p>
    <w:bookmarkStart w:id="12" w:name="page13"/>
    <w:bookmarkEnd w:id="12"/>
    <w:p>
      <w:pPr>
        <w:ind w:left="492" w:hanging="492"/>
        <w:spacing w:after="0"/>
        <w:tabs>
          <w:tab w:leader="none" w:pos="49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12"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12"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We present the components of net periodic benefit cost (gain) within “Other income” on the Condensed Consolidated Statements of Income.</w:t>
      </w:r>
    </w:p>
    <w:p>
      <w:pPr>
        <w:spacing w:after="0" w:line="237" w:lineRule="exact"/>
        <w:rPr>
          <w:sz w:val="20"/>
          <w:szCs w:val="20"/>
          <w:color w:val="auto"/>
        </w:rPr>
      </w:pPr>
    </w:p>
    <w:p>
      <w:pPr>
        <w:ind w:left="512" w:right="40"/>
        <w:spacing w:after="0" w:line="277"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75" w:lineRule="exact"/>
        <w:rPr>
          <w:sz w:val="20"/>
          <w:szCs w:val="20"/>
          <w:color w:val="auto"/>
        </w:rPr>
      </w:pPr>
    </w:p>
    <w:tbl>
      <w:tblPr>
        <w:tblLayout w:type="fixed"/>
        <w:tblInd w:w="472" w:type="dxa"/>
        <w:tblCellMar>
          <w:top w:w="0" w:type="dxa"/>
          <w:left w:w="0" w:type="dxa"/>
          <w:bottom w:w="0" w:type="dxa"/>
          <w:right w:w="0" w:type="dxa"/>
        </w:tblCellMar>
      </w:tblPr>
      <w:tr>
        <w:trPr>
          <w:trHeight w:val="171"/>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CFF0FC"/>
            </w:tcBorders>
            <w:vMerge w:val="continue"/>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Interest cost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actuarial loss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(gain) cost</w:t>
            </w:r>
          </w:p>
        </w:tc>
        <w:tc>
          <w:tcPr>
            <w:tcW w:w="1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Health care plan:</w:t>
            </w: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loss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12" w:right="220"/>
        <w:spacing w:after="0" w:line="259" w:lineRule="auto"/>
        <w:rPr>
          <w:sz w:val="20"/>
          <w:szCs w:val="20"/>
          <w:color w:val="auto"/>
        </w:rPr>
      </w:pPr>
      <w:r>
        <w:rPr>
          <w:rFonts w:ascii="Arial" w:cs="Arial" w:eastAsia="Arial" w:hAnsi="Arial"/>
          <w:sz w:val="18"/>
          <w:szCs w:val="18"/>
          <w:color w:val="auto"/>
        </w:rPr>
        <w:t>We made contributions to our defined benefit plans of zero and approximately $0.1 million during the six-months ended June 30, 2021 and 2020, respectively. For the remainder of 2021, we do not expect to make any contributions to fund the pension plan or the retiree health care plan. The unfunded liability of the plans of $9.6 million and $9.7 million as of June 30, 2021 and December 31, 2020, respectively, is included in “Other liabilities” on our Condensed Consolidated Balance Sheets.</w:t>
      </w:r>
    </w:p>
    <w:p>
      <w:pPr>
        <w:spacing w:after="0" w:line="372" w:lineRule="exact"/>
        <w:rPr>
          <w:sz w:val="20"/>
          <w:szCs w:val="20"/>
          <w:color w:val="auto"/>
        </w:rPr>
      </w:pPr>
    </w:p>
    <w:p>
      <w:pPr>
        <w:ind w:left="492" w:hanging="492"/>
        <w:spacing w:after="0"/>
        <w:tabs>
          <w:tab w:leader="none" w:pos="49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1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2017 forward remain open for examination by Federal authorities. Tax years from 2015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June 30, 2021 and December 31, 2020, the liability for uncertain tax positions totaled approximately $0.2 million and $0.1 million, respectively,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86" w:lineRule="exact"/>
        <w:rPr>
          <w:rFonts w:ascii="Arial" w:cs="Arial" w:eastAsia="Arial" w:hAnsi="Arial"/>
          <w:sz w:val="18"/>
          <w:szCs w:val="18"/>
          <w:b w:val="1"/>
          <w:bCs w:val="1"/>
          <w:color w:val="auto"/>
        </w:rPr>
      </w:pPr>
    </w:p>
    <w:p>
      <w:pPr>
        <w:ind w:left="512"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June 30, 2021 and December 31, 2020, we have recorded deferred income taxes of approximately $1.2 million and $0.9 million, respectively, on the undistributed earnings of our foreign subsidiaries.</w:t>
      </w:r>
    </w:p>
    <w:p>
      <w:pPr>
        <w:spacing w:after="0" w:line="176" w:lineRule="exact"/>
        <w:rPr>
          <w:rFonts w:ascii="Arial" w:cs="Arial" w:eastAsia="Arial" w:hAnsi="Arial"/>
          <w:sz w:val="18"/>
          <w:szCs w:val="18"/>
          <w:b w:val="1"/>
          <w:bCs w:val="1"/>
          <w:color w:val="auto"/>
        </w:rPr>
      </w:pPr>
    </w:p>
    <w:p>
      <w:pPr>
        <w:ind w:left="51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Income tax expense was $0.2 million for the second quarter of 2021 and $0.8 million for the first six months of 2021 compared with income tax expense of $0.6 million for the second quarter of 2020 and $1.3 million for the first six months of 2020. The effective income tax rate for the second quarter of 2021 was 34.3% compared with 14.8% for the second quarter of 2020. The effective income tax rate for the first six months of 2021 was 30.9% compared with 16.8% for the first six months of 2020. The effective income tax rate for the three and six months ended June 30, 2021 is higher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36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13" w:name="page14"/>
    <w:bookmarkEnd w:id="13"/>
    <w:p>
      <w:pPr>
        <w:ind w:left="492" w:hanging="492"/>
        <w:spacing w:after="0"/>
        <w:tabs>
          <w:tab w:leader="none" w:pos="4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June 30, 2021 and December 31, 2020, due to their short-term nature or variable, market-driven interest rates.</w:t>
      </w:r>
    </w:p>
    <w:p>
      <w:pPr>
        <w:spacing w:after="0" w:line="183" w:lineRule="exact"/>
        <w:rPr>
          <w:rFonts w:ascii="Arial" w:cs="Arial" w:eastAsia="Arial" w:hAnsi="Arial"/>
          <w:sz w:val="18"/>
          <w:szCs w:val="18"/>
          <w:b w:val="1"/>
          <w:bCs w:val="1"/>
          <w:color w:val="auto"/>
        </w:rPr>
      </w:pPr>
    </w:p>
    <w:p>
      <w:pPr>
        <w:ind w:left="512"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$68.6 million and $74.0 million at June 30, 2021 and December 31, 2020, respectively.</w:t>
      </w:r>
    </w:p>
    <w:p>
      <w:pPr>
        <w:spacing w:after="0" w:line="170" w:lineRule="exact"/>
        <w:rPr>
          <w:rFonts w:ascii="Arial" w:cs="Arial" w:eastAsia="Arial" w:hAnsi="Arial"/>
          <w:sz w:val="18"/>
          <w:szCs w:val="18"/>
          <w:b w:val="1"/>
          <w:bCs w:val="1"/>
          <w:color w:val="auto"/>
        </w:rPr>
      </w:pPr>
    </w:p>
    <w:p>
      <w:pPr>
        <w:jc w:val="both"/>
        <w:ind w:left="512"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At June 30, 2021 and December 31, 2020, the Company had cash and cash equivalents of $32.2 million and $36.0 million, respectively, of which $25.2 million and $28.0 million, respectively, was held outside of the United States, principally in the Netherlands, United Kingdom, China, and Canada.</w:t>
      </w:r>
    </w:p>
    <w:p>
      <w:pPr>
        <w:spacing w:after="0" w:line="179" w:lineRule="exact"/>
        <w:rPr>
          <w:rFonts w:ascii="Arial" w:cs="Arial" w:eastAsia="Arial" w:hAnsi="Arial"/>
          <w:sz w:val="18"/>
          <w:szCs w:val="18"/>
          <w:b w:val="1"/>
          <w:bCs w:val="1"/>
          <w:color w:val="auto"/>
        </w:rPr>
      </w:pPr>
    </w:p>
    <w:p>
      <w:pPr>
        <w:ind w:left="512" w:right="6920" w:hanging="512"/>
        <w:spacing w:after="0" w:line="378" w:lineRule="auto"/>
        <w:tabs>
          <w:tab w:leader="none" w:pos="50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1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2021 for cases involving asbestos-related claims were $3.5 million, of which, together with all legal fees other than corporate counsel expenses, $3.3 million has been paid by the Company’s insurers. The average cost per settled claim, excluding legal fees, was approximately $34,000.</w:t>
      </w:r>
    </w:p>
    <w:p>
      <w:pPr>
        <w:spacing w:after="0" w:line="171" w:lineRule="exact"/>
        <w:rPr>
          <w:rFonts w:ascii="Arial" w:cs="Arial" w:eastAsia="Arial" w:hAnsi="Arial"/>
          <w:sz w:val="18"/>
          <w:szCs w:val="18"/>
          <w:b w:val="1"/>
          <w:bCs w:val="1"/>
          <w:color w:val="auto"/>
        </w:rPr>
      </w:pPr>
    </w:p>
    <w:p>
      <w:pPr>
        <w:ind w:left="512" w:right="1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Based upon the most recent information available to the Company regarding such claims, there were a total of 216 cases pending against the Company as of June 30, 2021 (with Illinois, New York, Pennsylvania and West Virginia having the largest number of cases), as compared with 200 cases that were pending as of December 31, 2020. During the six-months ended June 30, 2021, 55 new cases were filed against the Company, and the Company was dismissed from 31 cases and settled eight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6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w:t>
      </w:r>
    </w:p>
    <w:p>
      <w:pPr>
        <w:spacing w:after="0" w:line="225" w:lineRule="exact"/>
        <w:rPr>
          <w:rFonts w:ascii="Arial" w:cs="Arial" w:eastAsia="Arial" w:hAnsi="Arial"/>
          <w:sz w:val="18"/>
          <w:szCs w:val="18"/>
          <w:b w:val="1"/>
          <w:bCs w:val="1"/>
          <w:color w:val="auto"/>
        </w:rPr>
      </w:pPr>
    </w:p>
    <w:p>
      <w:pPr>
        <w:ind w:left="51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6" w:lineRule="exact"/>
        <w:rPr>
          <w:rFonts w:ascii="Arial" w:cs="Arial" w:eastAsia="Arial" w:hAnsi="Arial"/>
          <w:sz w:val="18"/>
          <w:szCs w:val="18"/>
          <w:b w:val="1"/>
          <w:bCs w:val="1"/>
          <w:color w:val="auto"/>
        </w:rPr>
      </w:pPr>
    </w:p>
    <w:p>
      <w:pPr>
        <w:ind w:left="512"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4" w:name="page15"/>
    <w:bookmarkEnd w:id="14"/>
    <w:p>
      <w:pPr>
        <w:ind w:left="452" w:hanging="452"/>
        <w:spacing w:after="0"/>
        <w:tabs>
          <w:tab w:leader="none" w:pos="45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and Joint Ventures</w:t>
      </w:r>
    </w:p>
    <w:p>
      <w:pPr>
        <w:spacing w:after="0" w:line="220" w:lineRule="exact"/>
        <w:rPr>
          <w:rFonts w:ascii="Arial" w:cs="Arial" w:eastAsia="Arial" w:hAnsi="Arial"/>
          <w:sz w:val="16"/>
          <w:szCs w:val="16"/>
          <w:b w:val="1"/>
          <w:bCs w:val="1"/>
          <w:color w:val="auto"/>
        </w:rPr>
      </w:pPr>
    </w:p>
    <w:p>
      <w:pPr>
        <w:ind w:left="512"/>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Environmental Integrated Solutions</w:t>
      </w:r>
    </w:p>
    <w:p>
      <w:pPr>
        <w:spacing w:after="0" w:line="225" w:lineRule="exact"/>
        <w:rPr>
          <w:sz w:val="20"/>
          <w:szCs w:val="20"/>
          <w:color w:val="auto"/>
        </w:rPr>
      </w:pPr>
    </w:p>
    <w:p>
      <w:pPr>
        <w:ind w:left="512"/>
        <w:spacing w:after="0" w:line="254" w:lineRule="auto"/>
        <w:rPr>
          <w:sz w:val="20"/>
          <w:szCs w:val="20"/>
          <w:color w:val="auto"/>
        </w:rPr>
      </w:pPr>
      <w:r>
        <w:rPr>
          <w:rFonts w:ascii="Arial" w:cs="Arial" w:eastAsia="Arial" w:hAnsi="Arial"/>
          <w:sz w:val="18"/>
          <w:szCs w:val="18"/>
          <w:color w:val="auto"/>
        </w:rPr>
        <w:t>On June 4, 2020, the Company acquired 100% of the equity interests of Environmental Integrated Solutions (“EIS”) for $10.3 million in cash, which was financed through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During 2020, the Company increased the earnout liability to $1.7 million at December 31, 2020 based on the estimated fair value at that date. During 2021, the Company increased the estimated earnout fair value an additional $0.5 million and made earnout payments of $0.8 million related to 2020 performance. The changes in fair value were a result of EIS performing above acquisition operational expectations. As of June 30, 2021 the earnout liability recorded in “Accounts payable and accrued expenses” on the Condensed Consolidated Balance Sheets is $1.4 million.</w:t>
      </w:r>
    </w:p>
    <w:p>
      <w:pPr>
        <w:spacing w:after="0" w:line="192" w:lineRule="exact"/>
        <w:rPr>
          <w:sz w:val="20"/>
          <w:szCs w:val="20"/>
          <w:color w:val="auto"/>
        </w:rPr>
      </w:pPr>
    </w:p>
    <w:p>
      <w:pPr>
        <w:ind w:left="512" w:right="80"/>
        <w:spacing w:after="0" w:line="263" w:lineRule="auto"/>
        <w:rPr>
          <w:sz w:val="20"/>
          <w:szCs w:val="20"/>
          <w:color w:val="auto"/>
        </w:rPr>
      </w:pPr>
      <w:r>
        <w:rPr>
          <w:rFonts w:ascii="Arial" w:cs="Arial" w:eastAsia="Arial" w:hAnsi="Arial"/>
          <w:sz w:val="18"/>
          <w:szCs w:val="18"/>
          <w:color w:val="auto"/>
        </w:rPr>
        <w:t>EIS engineers products that clean air through a variety of technologies including volatile organic compounds (“VOC”) abatement, odor control, and other air pollution control solutions, which complements our Industrial Solutions Segment businesses. The following table summarizes the fair values of the assets acquired and liabilities assumed at the date of closing.</w:t>
      </w:r>
    </w:p>
    <w:p>
      <w:pPr>
        <w:spacing w:after="0" w:line="364" w:lineRule="exact"/>
        <w:rPr>
          <w:sz w:val="20"/>
          <w:szCs w:val="20"/>
          <w:color w:val="auto"/>
        </w:rPr>
      </w:pPr>
    </w:p>
    <w:tbl>
      <w:tblPr>
        <w:tblLayout w:type="fixed"/>
        <w:tblInd w:w="552" w:type="dxa"/>
        <w:tblCellMar>
          <w:top w:w="0" w:type="dxa"/>
          <w:left w:w="0" w:type="dxa"/>
          <w:bottom w:w="0" w:type="dxa"/>
          <w:right w:w="0" w:type="dxa"/>
        </w:tblCellMar>
      </w:tblPr>
      <w:tr>
        <w:trPr>
          <w:trHeight w:val="170"/>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 (including cash of $4,212)</w:t>
            </w:r>
          </w:p>
        </w:tc>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 finite life</w:t>
            </w: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(6,514)</w:t>
            </w: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(920)</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12" w:right="120"/>
        <w:spacing w:after="0" w:line="263"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76" w:lineRule="exact"/>
        <w:rPr>
          <w:sz w:val="20"/>
          <w:szCs w:val="20"/>
          <w:color w:val="auto"/>
        </w:rPr>
      </w:pPr>
    </w:p>
    <w:p>
      <w:pPr>
        <w:ind w:left="512"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$4.2 million and $0.6 million, respectively. These assets were determined to have useful lives of 10 years.</w:t>
      </w:r>
    </w:p>
    <w:p>
      <w:pPr>
        <w:spacing w:after="0" w:line="62" w:lineRule="exact"/>
        <w:rPr>
          <w:sz w:val="20"/>
          <w:szCs w:val="20"/>
          <w:color w:val="auto"/>
        </w:rPr>
      </w:pPr>
    </w:p>
    <w:p>
      <w:pPr>
        <w:ind w:left="512" w:right="340"/>
        <w:spacing w:after="0" w:line="311" w:lineRule="auto"/>
        <w:rPr>
          <w:sz w:val="20"/>
          <w:szCs w:val="20"/>
          <w:color w:val="auto"/>
        </w:rPr>
      </w:pPr>
      <w:r>
        <w:rPr>
          <w:rFonts w:ascii="Arial" w:cs="Arial" w:eastAsia="Arial" w:hAnsi="Arial"/>
          <w:sz w:val="16"/>
          <w:szCs w:val="16"/>
          <w:color w:val="auto"/>
        </w:rPr>
        <w:t>Acquisition and integration expenses on the Condensed Consolidated Statements of Income are related to acquisition activities, which include retention, legal, accounting, banking, and other expenses. For the three and six months ended June 30, 2021, EIS accounted for $5.5 million and $8.1 million in revenue, respectively and $0.7 million and $0.9 million, respectively of net income included in the Company’s results.</w:t>
      </w:r>
    </w:p>
    <w:p>
      <w:pPr>
        <w:spacing w:after="0" w:line="149"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Mader</w:t>
      </w:r>
    </w:p>
    <w:p>
      <w:pPr>
        <w:spacing w:after="0" w:line="225" w:lineRule="exact"/>
        <w:rPr>
          <w:sz w:val="20"/>
          <w:szCs w:val="20"/>
          <w:color w:val="auto"/>
        </w:rPr>
      </w:pPr>
    </w:p>
    <w:p>
      <w:pPr>
        <w:ind w:left="512" w:right="20"/>
        <w:spacing w:after="0" w:line="290" w:lineRule="auto"/>
        <w:rPr>
          <w:sz w:val="20"/>
          <w:szCs w:val="20"/>
          <w:color w:val="auto"/>
        </w:rPr>
      </w:pPr>
      <w:r>
        <w:rPr>
          <w:rFonts w:ascii="Arial" w:cs="Arial" w:eastAsia="Arial" w:hAnsi="Arial"/>
          <w:sz w:val="16"/>
          <w:szCs w:val="16"/>
          <w:color w:val="auto"/>
        </w:rPr>
        <w:t>On July 31, 2020, the Company entered into a joint venture agreement (“JV Agreement”) with Mader Holdings L.P. (“Mader”) in which CECO contributed the net assets of its Effox-Flextor damper business and Mader contributed the net assets of their damper business. Under the terms of the JV Agreement, CECO holds 70% of the equity in the joint venture, and 50% voting interest. We determined CECO was the primary beneficiary of this variable interest entity and therefore the 30% noncontrolling equity interest is in the Consolidated Balance Sheet. The results of the joint venture are included in our Engineered Systems segment. The fair value of Mader’s net assets contributed was $1.0 million. As of June 30, 2021 there were $6.6 million in current assets, $8.8 million in long-lived assets, and $6.8 million in total liabilities related to the Effox-Mader joint venture included in our Condensed Consolidated Balance Sheets. For the three and six months ended June 30, 2021 Mader accounted for $4.7 million and $9.6 million in revenue, respectively, and $0.6 million and $1.2 million of net income, respectively, included in the Company’s results.</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15" w:name="page16"/>
    <w:bookmarkEnd w:id="15"/>
    <w:p>
      <w:pPr>
        <w:ind w:left="512"/>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JV agreement date.</w:t>
      </w:r>
    </w:p>
    <w:p>
      <w:pPr>
        <w:spacing w:after="0" w:line="298" w:lineRule="exact"/>
        <w:rPr>
          <w:sz w:val="20"/>
          <w:szCs w:val="20"/>
          <w:color w:val="auto"/>
        </w:rPr>
      </w:pPr>
    </w:p>
    <w:tbl>
      <w:tblPr>
        <w:tblLayout w:type="fixed"/>
        <w:tblInd w:w="552" w:type="dxa"/>
        <w:tblCellMar>
          <w:top w:w="0" w:type="dxa"/>
          <w:left w:w="0" w:type="dxa"/>
          <w:bottom w:w="0" w:type="dxa"/>
          <w:right w:w="0" w:type="dxa"/>
        </w:tblCellMar>
      </w:tblPr>
      <w:tr>
        <w:trPr>
          <w:trHeight w:val="170"/>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 (including cash of $229)</w:t>
            </w: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(515)</w:t>
            </w: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(2,508)</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12" w:right="100"/>
        <w:spacing w:after="0" w:line="263"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joint venture with the Company’s operations, including the expansion into markets within existing business segments, access to new customers and potential cost savings and synergies. Goodwill related to this joint venture is not deductible for tax purposes.</w:t>
      </w:r>
    </w:p>
    <w:p>
      <w:pPr>
        <w:spacing w:after="0" w:line="184" w:lineRule="exact"/>
        <w:rPr>
          <w:sz w:val="20"/>
          <w:szCs w:val="20"/>
          <w:color w:val="auto"/>
        </w:rPr>
      </w:pPr>
    </w:p>
    <w:p>
      <w:pPr>
        <w:ind w:left="512" w:right="380"/>
        <w:spacing w:after="0" w:line="277" w:lineRule="auto"/>
        <w:rPr>
          <w:sz w:val="20"/>
          <w:szCs w:val="20"/>
          <w:color w:val="auto"/>
        </w:rPr>
      </w:pPr>
      <w:r>
        <w:rPr>
          <w:rFonts w:ascii="Arial" w:cs="Arial" w:eastAsia="Arial" w:hAnsi="Arial"/>
          <w:sz w:val="18"/>
          <w:szCs w:val="18"/>
          <w:color w:val="auto"/>
        </w:rPr>
        <w:t>The fair values of the assets acquired and liabilities assumed related to the above acquisition and joint venture were finalized during the quarter ended June 30, 2021.</w:t>
      </w:r>
    </w:p>
    <w:p>
      <w:pPr>
        <w:spacing w:after="0" w:line="170" w:lineRule="exact"/>
        <w:rPr>
          <w:sz w:val="20"/>
          <w:szCs w:val="20"/>
          <w:color w:val="auto"/>
        </w:rPr>
      </w:pPr>
    </w:p>
    <w:p>
      <w:pPr>
        <w:ind w:left="512" w:right="480"/>
        <w:spacing w:after="0" w:line="277" w:lineRule="auto"/>
        <w:rPr>
          <w:sz w:val="20"/>
          <w:szCs w:val="20"/>
          <w:color w:val="auto"/>
        </w:rPr>
      </w:pPr>
      <w:r>
        <w:rPr>
          <w:rFonts w:ascii="Arial" w:cs="Arial" w:eastAsia="Arial" w:hAnsi="Arial"/>
          <w:sz w:val="18"/>
          <w:szCs w:val="18"/>
          <w:color w:val="auto"/>
        </w:rPr>
        <w:t>The following unaudited pro forma financial information represents the Company’s results of operations as if the EIS acquisition and the joint venture with Mader had occurred on January 1, 2020:</w:t>
      </w:r>
    </w:p>
    <w:p>
      <w:pPr>
        <w:spacing w:after="0" w:line="270"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(table in thousands, except per share data)</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78,680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79,809</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150,572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attributable to CECO Environmental Corp.</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8,198</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48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12"/>
        <w:spacing w:after="0" w:line="279"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67" w:lineRule="exact"/>
        <w:rPr>
          <w:sz w:val="20"/>
          <w:szCs w:val="20"/>
          <w:color w:val="auto"/>
        </w:rPr>
      </w:pPr>
    </w:p>
    <w:p>
      <w:pPr>
        <w:ind w:left="492" w:hanging="492"/>
        <w:spacing w:after="0"/>
        <w:tabs>
          <w:tab w:leader="none" w:pos="49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229" w:lineRule="exact"/>
        <w:rPr>
          <w:rFonts w:ascii="Arial" w:cs="Arial" w:eastAsia="Arial" w:hAnsi="Arial"/>
          <w:sz w:val="18"/>
          <w:szCs w:val="18"/>
          <w:b w:val="1"/>
          <w:bCs w:val="1"/>
          <w:color w:val="auto"/>
        </w:rPr>
      </w:pPr>
    </w:p>
    <w:p>
      <w:pPr>
        <w:ind w:left="512"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organized and reviewed by management along with its solutions or end markets that the segment serves and presented in two reportable segments. 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are reviewed through the “Income from operations” line on the Condensed Consolidated Statements of Income.</w:t>
      </w:r>
    </w:p>
    <w:p>
      <w:pPr>
        <w:spacing w:after="0" w:line="164"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rFonts w:ascii="Arial" w:cs="Arial" w:eastAsia="Arial" w:hAnsi="Arial"/>
          <w:sz w:val="18"/>
          <w:szCs w:val="18"/>
          <w:b w:val="1"/>
          <w:bCs w:val="1"/>
          <w:color w:val="auto"/>
        </w:rPr>
      </w:pPr>
    </w:p>
    <w:p>
      <w:pPr>
        <w:ind w:left="512" w:right="1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Engineered Systems segment: </w:t>
      </w:r>
      <w:r>
        <w:rPr>
          <w:rFonts w:ascii="Arial" w:cs="Arial" w:eastAsia="Arial" w:hAnsi="Arial"/>
          <w:sz w:val="18"/>
          <w:szCs w:val="18"/>
          <w:color w:val="auto"/>
        </w:rPr>
        <w:t>Our Engineered Systems segment, formerly known as the Energy Solutions segment, serves the power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refinery, water/waste water, and midstream oil &amp; gas markets. We are a key part of helping meet the global demand for environmental and equipment protection through our highly engineered emissions management, product recovery, thermal acoustics, and water &amp; gas separation solutions.</w:t>
      </w:r>
    </w:p>
    <w:p>
      <w:pPr>
        <w:spacing w:after="0" w:line="180" w:lineRule="exact"/>
        <w:rPr>
          <w:sz w:val="20"/>
          <w:szCs w:val="20"/>
          <w:color w:val="auto"/>
        </w:rPr>
      </w:pPr>
    </w:p>
    <w:p>
      <w:pPr>
        <w:ind w:left="512" w:right="120"/>
        <w:spacing w:after="0" w:line="261" w:lineRule="auto"/>
        <w:rPr>
          <w:sz w:val="20"/>
          <w:szCs w:val="20"/>
          <w:color w:val="auto"/>
        </w:rPr>
      </w:pPr>
      <w:r>
        <w:rPr>
          <w:rFonts w:ascii="Arial" w:cs="Arial" w:eastAsia="Arial" w:hAnsi="Arial"/>
          <w:sz w:val="18"/>
          <w:szCs w:val="18"/>
          <w:b w:val="1"/>
          <w:bCs w:val="1"/>
          <w:color w:val="auto"/>
        </w:rPr>
        <w:t xml:space="preserve">Industrial Process Solutions segment: </w:t>
      </w:r>
      <w:r>
        <w:rPr>
          <w:rFonts w:ascii="Arial" w:cs="Arial" w:eastAsia="Arial" w:hAnsi="Arial"/>
          <w:sz w:val="18"/>
          <w:szCs w:val="18"/>
          <w:color w:val="auto"/>
        </w:rPr>
        <w:t>Our Industrial Process Solutions segment is the combination of the segments formerly known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Solutions segment and our Fluid Handling Solutions segment, which serves the broad industrial air pollution control, beverage can, fluid handling, electric vehicle production, food and beverage, semi-conductor, process filtration, pharmaceutical, petrochemical, wastewater treatment, wood manufacturing, desalination, and aquaculture</w:t>
      </w:r>
    </w:p>
    <w:p>
      <w:pPr>
        <w:spacing w:after="0" w:line="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16" w:name="page17"/>
    <w:bookmarkEnd w:id="16"/>
    <w:p>
      <w:pPr>
        <w:ind w:left="520" w:right="140"/>
        <w:spacing w:after="0" w:line="342" w:lineRule="auto"/>
        <w:rPr>
          <w:sz w:val="20"/>
          <w:szCs w:val="20"/>
          <w:color w:val="auto"/>
        </w:rPr>
      </w:pPr>
      <w:r>
        <w:rPr>
          <w:rFonts w:ascii="Arial" w:cs="Arial" w:eastAsia="Arial" w:hAnsi="Arial"/>
          <w:sz w:val="16"/>
          <w:szCs w:val="16"/>
          <w:color w:val="auto"/>
        </w:rPr>
        <w:t>markets. We protect the air we collectively breathe, maintain clean and safe operations for employees, lower energy consumption, minimize waste for customers, and ensure they meet regulatory compliance standards for toxic emissions, fumes, volatile organic compounds and odors.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segment information is presented in the following tables: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55"/>
        </w:trPr>
        <w:tc>
          <w:tcPr>
            <w:tcW w:w="38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43,360</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49,074</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85,417</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55"/>
        </w:trPr>
        <w:tc>
          <w:tcPr>
            <w:tcW w:w="38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5,634</w:t>
            </w:r>
          </w:p>
        </w:tc>
        <w:tc>
          <w:tcPr>
            <w:tcW w:w="14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11,804</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(14,868)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operations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7"/>
          <w:szCs w:val="17"/>
          <w:color w:val="auto"/>
        </w:rPr>
        <w:t>Includes corporate compensation, professional services, information technology, and other general and administrative corporate expenses.</w:t>
      </w:r>
    </w:p>
    <w:p>
      <w:pPr>
        <w:spacing w:after="0" w:line="28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jc w:val="right"/>
              <w:ind w:right="314"/>
              <w:spacing w:after="0"/>
              <w:rPr>
                <w:sz w:val="20"/>
                <w:szCs w:val="20"/>
                <w:color w:val="auto"/>
              </w:rPr>
            </w:pPr>
            <w:r>
              <w:rPr>
                <w:rFonts w:ascii="Arial" w:cs="Arial" w:eastAsia="Arial" w:hAnsi="Arial"/>
                <w:sz w:val="14"/>
                <w:szCs w:val="14"/>
                <w:b w:val="1"/>
                <w:bCs w:val="1"/>
                <w:color w:val="auto"/>
                <w:w w:val="99"/>
              </w:rPr>
              <w:t>Three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9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118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50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4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9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additions</w:t>
            </w:r>
          </w:p>
        </w:tc>
        <w:tc>
          <w:tcPr>
            <w:tcW w:w="9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w w:val="98"/>
              </w:rPr>
              <w:t>Three months ended 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7"/>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62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9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11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w:t>
            </w:r>
          </w:p>
        </w:tc>
        <w:tc>
          <w:tcPr>
            <w:tcW w:w="50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2,137</w:t>
            </w:r>
          </w:p>
        </w:tc>
        <w:tc>
          <w:tcPr>
            <w:tcW w:w="46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9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628</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4,906</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262,663</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270,573</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135,204</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Identifiable assets</w:t>
            </w:r>
          </w:p>
        </w:tc>
        <w:tc>
          <w:tcPr>
            <w:tcW w:w="1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410,702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gridSpan w:val="2"/>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2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25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2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99,747</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99,785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25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5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161,782</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vMerge w:val="restart"/>
          </w:tcPr>
          <w:p>
            <w:pPr>
              <w:jc w:val="right"/>
              <w:ind w:right="113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4"/>
          </w:tcPr>
          <w:p>
            <w:pPr>
              <w:jc w:val="center"/>
              <w:ind w:right="500"/>
              <w:spacing w:after="0"/>
              <w:rPr>
                <w:sz w:val="20"/>
                <w:szCs w:val="20"/>
                <w:color w:val="auto"/>
              </w:rPr>
            </w:pPr>
            <w:r>
              <w:rPr>
                <w:rFonts w:ascii="Arial" w:cs="Arial" w:eastAsia="Arial" w:hAnsi="Arial"/>
                <w:sz w:val="14"/>
                <w:szCs w:val="14"/>
                <w:b w:val="1"/>
                <w:bCs w:val="1"/>
                <w:color w:val="auto"/>
                <w:w w:val="91"/>
              </w:rPr>
              <w:t>Three months ended June 30, 2021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0"/>
          </w:tcPr>
          <w:p>
            <w:pPr>
              <w:ind w:left="34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1"/>
              </w:rPr>
              <w:t>Engineered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Process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2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47,069</w:t>
            </w:r>
          </w:p>
        </w:tc>
        <w:tc>
          <w:tcPr>
            <w:tcW w:w="20" w:type="dxa"/>
            <w:vAlign w:val="bottom"/>
          </w:tcPr>
          <w:p>
            <w:pPr>
              <w:spacing w:after="0"/>
              <w:rPr>
                <w:sz w:val="19"/>
                <w:szCs w:val="19"/>
                <w:color w:val="auto"/>
              </w:rPr>
            </w:pP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(644)</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88,314</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4"/>
          </w:tcPr>
          <w:p>
            <w:pPr>
              <w:jc w:val="center"/>
              <w:ind w:right="540"/>
              <w:spacing w:after="0"/>
              <w:rPr>
                <w:sz w:val="20"/>
                <w:szCs w:val="20"/>
                <w:color w:val="auto"/>
              </w:rPr>
            </w:pPr>
            <w:r>
              <w:rPr>
                <w:rFonts w:ascii="Arial" w:cs="Arial" w:eastAsia="Arial" w:hAnsi="Arial"/>
                <w:sz w:val="14"/>
                <w:szCs w:val="14"/>
                <w:b w:val="1"/>
                <w:bCs w:val="1"/>
                <w:color w:val="auto"/>
                <w:w w:val="91"/>
              </w:rPr>
              <w:t>Three months ended June 30, 2020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0"/>
          </w:tcPr>
          <w:p>
            <w:pPr>
              <w:ind w:left="34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1"/>
              </w:rPr>
              <w:t>Engineered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Process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52,369</w:t>
            </w:r>
          </w:p>
        </w:tc>
        <w:tc>
          <w:tcPr>
            <w:tcW w:w="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(407)</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center"/>
              <w:ind w:left="480"/>
              <w:spacing w:after="0"/>
              <w:rPr>
                <w:sz w:val="20"/>
                <w:szCs w:val="20"/>
                <w:color w:val="auto"/>
              </w:rPr>
            </w:pPr>
            <w:r>
              <w:rPr>
                <w:rFonts w:ascii="Arial" w:cs="Arial" w:eastAsia="Arial" w:hAnsi="Arial"/>
                <w:sz w:val="14"/>
                <w:szCs w:val="14"/>
                <w:b w:val="1"/>
                <w:bCs w:val="1"/>
                <w:color w:val="auto"/>
                <w:w w:val="90"/>
              </w:rPr>
              <w:t>Six months ended June 30, 2021</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ind w:left="34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1"/>
              </w:rPr>
              <w:t>Engineered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Process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91,545</w:t>
            </w:r>
          </w:p>
        </w:tc>
        <w:tc>
          <w:tcPr>
            <w:tcW w:w="20" w:type="dxa"/>
            <w:vAlign w:val="bottom"/>
          </w:tcPr>
          <w:p>
            <w:pPr>
              <w:spacing w:after="0"/>
              <w:rPr>
                <w:sz w:val="19"/>
                <w:szCs w:val="19"/>
                <w:color w:val="auto"/>
              </w:rPr>
            </w:pP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(5,887)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85,417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74,178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(8,055)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165,723</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4"/>
          </w:tcPr>
          <w:p>
            <w:pPr>
              <w:jc w:val="center"/>
              <w:ind w:right="500"/>
              <w:spacing w:after="0"/>
              <w:rPr>
                <w:sz w:val="20"/>
                <w:szCs w:val="20"/>
                <w:color w:val="auto"/>
              </w:rPr>
            </w:pPr>
            <w:r>
              <w:rPr>
                <w:rFonts w:ascii="Arial" w:cs="Arial" w:eastAsia="Arial" w:hAnsi="Arial"/>
                <w:sz w:val="14"/>
                <w:szCs w:val="14"/>
                <w:b w:val="1"/>
                <w:bCs w:val="1"/>
                <w:color w:val="auto"/>
                <w:w w:val="90"/>
              </w:rPr>
              <w:t>Six months ended June 30, 2020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Intra-</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10"/>
          </w:tcPr>
          <w:p>
            <w:pPr>
              <w:ind w:left="340"/>
              <w:spacing w:after="0" w:line="155" w:lineRule="exact"/>
              <w:rPr>
                <w:sz w:val="20"/>
                <w:szCs w:val="20"/>
                <w:color w:val="auto"/>
              </w:rPr>
            </w:pPr>
            <w:r>
              <w:rPr>
                <w:rFonts w:ascii="Arial" w:cs="Arial" w:eastAsia="Arial" w:hAnsi="Arial"/>
                <w:sz w:val="14"/>
                <w:szCs w:val="14"/>
                <w:b w:val="1"/>
                <w:bCs w:val="1"/>
                <w:color w:val="auto"/>
              </w:rPr>
              <w:t>Less Inter-Segment Sales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1"/>
              </w:rPr>
              <w:t>Engineered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Process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7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92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107,978</w:t>
            </w:r>
          </w:p>
        </w:tc>
        <w:tc>
          <w:tcPr>
            <w:tcW w:w="20" w:type="dxa"/>
            <w:vAlign w:val="bottom"/>
          </w:tcPr>
          <w:p>
            <w:pPr>
              <w:spacing w:after="0"/>
              <w:rPr>
                <w:sz w:val="19"/>
                <w:szCs w:val="19"/>
                <w:color w:val="auto"/>
              </w:rPr>
            </w:pP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(791)</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74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172,306</w:t>
            </w:r>
          </w:p>
        </w:tc>
        <w:tc>
          <w:tcPr>
            <w:tcW w:w="20" w:type="dxa"/>
            <w:vAlign w:val="bottom"/>
            <w:tcBorders>
              <w:top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840" w:top="337" w:right="659" w:bottom="1440" w:gutter="0" w:footer="0" w:header="0"/>
        </w:sectPr>
      </w:pPr>
    </w:p>
    <w:bookmarkStart w:id="18" w:name="page19"/>
    <w:bookmarkEnd w:id="18"/>
    <w:p>
      <w:pPr>
        <w:jc w:val="center"/>
        <w:ind w:left="360" w:right="2460"/>
        <w:spacing w:after="0" w:line="263"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Condensed Consolidated Statements of Income for the three-month and six-month periods ended June 30, 2021 and 2020 reflect the consolidated operations of the Company and its subsidiaries.</w:t>
      </w:r>
    </w:p>
    <w:p>
      <w:pPr>
        <w:spacing w:after="0" w:line="17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CECO Environmental Corp. (the “Company”, “CECO”, “we”, “us”, or “our”) is a global leader in industrial air quality and fluid handling serving a broad landscape of industrial and other niche markets through an attractive asset-light business model. We focus on engineering, designing, building, and installing systems that capture, clean and destroy airborne contaminants from industrial facilities, including equipment that controls hazardous emissions from such facilities, as well as fluid handling and filtration systems. CECO provides innovative technology and application expertise that helps companies grow their businesses with safe, clean, and more efficient solutions to protect our shared environment.</w:t>
      </w:r>
    </w:p>
    <w:p>
      <w:pPr>
        <w:spacing w:after="0" w:line="1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CECO serves diverse industries globally by working to improve air quality, optimizing the energy value chain, and providing customized Engineered Systems in our customers’ mission critical applications. The industries CECO serves include power generation, petrochemical processing, general industrial, refining, midstream oil &amp; gas, electric vehicle production, poly silicon fabrication, battery recycling, beverage can, and water/wastewater treatment, along with a wide range of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characterized COVID-19 as a pandemic. As of July 31, 2021, the virus continues to spread and has had a significant impact on worldwide economic activity and on macroeconomic conditions and the end markets of our business.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senior management team meets regularly to review and assess the status of the Company's operations and the health and safety of its employees. The senior management team continues to monitor and manage the Company’s ability to operate effectively and, to date, the Company has not experienced any significant disruptions within its supply chain as a result of the COVID-19 pandemic. Although vaccines are available in various countries where we operate, health concern risks remain and notwithstanding the Company's continued efforts, it is possible the COVID-19 pandemic could further impact or operations and the operations of our suppliers and venders, particularly in light of the potential of variant strains of the virus becoming more dominant and the potential resumption of high levels of infection and hospitalization. We cannot predict whether any of our manufacturing, operational or suppliers will be disrupted from these events, or how long such disruptions would last. COVID-19 has had and may have further negative impacts on its operations, customers and supply chain despite the preventative and precautionary measures being taken. COVID-19 began to impact the Company during the first quarter of 2020 and if the COVID-19 pandemic worsens or the pandemic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provides non-GAAP operating income and non-GAAP operating margin to exclude certain items that the Company believes are not indicative of its ongoing operations. These items relate to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Condensed Consolidated Statements of Income for the three-month and six-month periods ended June 30, 2021 and 2020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4"/>
                <w:szCs w:val="14"/>
                <w:color w:val="auto"/>
              </w:rPr>
            </w:pPr>
          </w:p>
        </w:tc>
        <w:tc>
          <w:tcPr>
            <w:tcW w:w="23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9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32.0%</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34.7%</w:t>
            </w: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26.2%</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840" w:type="dxa"/>
            <w:vAlign w:val="bottom"/>
            <w:tcBorders>
              <w:top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margin</w:t>
            </w:r>
          </w:p>
        </w:tc>
        <w:tc>
          <w:tcPr>
            <w:tcW w:w="1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2.7%</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5.9%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3.5%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5.5%</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To compare operating performance between the three-month and six-month periods ended June 30, 2021 and 2020,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See “Note Regarding Use of Non-GAAP Financial Measures” above. The following table presents the reconciliation of GAAP operating income and GAAP operating margin to non-GAAP operating income and non-GAAP operating margin: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5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7"/>
              </w:rPr>
              <w:t>4.4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87"/>
              </w:rPr>
              <w:t>5.2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2.7%</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i w:val="1"/>
                <w:iCs w:val="1"/>
                <w:color w:val="auto"/>
              </w:rPr>
              <w:t>5.9%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i w:val="1"/>
                <w:iCs w:val="1"/>
                <w:color w:val="auto"/>
              </w:rPr>
              <w:t>3.5%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Arial" w:cs="Arial" w:eastAsia="Arial" w:hAnsi="Arial"/>
                <w:sz w:val="18"/>
                <w:szCs w:val="18"/>
                <w:color w:val="auto"/>
              </w:rPr>
              <w:t>Restructuring expenses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7"/>
              </w:rPr>
              <w:t>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7"/>
              </w:rPr>
              <w:t>0.3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and integration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7"/>
              </w:rPr>
              <w:t>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560" w:type="dxa"/>
            <w:vAlign w:val="bottom"/>
          </w:tcPr>
          <w:p>
            <w:pPr>
              <w:spacing w:after="0"/>
              <w:rPr>
                <w:sz w:val="19"/>
                <w:szCs w:val="19"/>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7"/>
              </w:rPr>
              <w:t>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7"/>
              </w:rPr>
              <w:t>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6.0%</w:t>
            </w: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20"/>
              <w:spacing w:after="0"/>
              <w:rPr>
                <w:sz w:val="20"/>
                <w:szCs w:val="20"/>
                <w:color w:val="auto"/>
              </w:rPr>
            </w:pPr>
            <w:r>
              <w:rPr>
                <w:rFonts w:ascii="Arial" w:cs="Arial" w:eastAsia="Arial" w:hAnsi="Arial"/>
                <w:sz w:val="18"/>
                <w:szCs w:val="18"/>
                <w:i w:val="1"/>
                <w:iCs w:val="1"/>
                <w:color w:val="auto"/>
              </w:rPr>
              <w:t>9.8%</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20"/>
              <w:spacing w:after="0"/>
              <w:rPr>
                <w:sz w:val="20"/>
                <w:szCs w:val="20"/>
                <w:color w:val="auto"/>
              </w:rPr>
            </w:pPr>
            <w:r>
              <w:rPr>
                <w:rFonts w:ascii="Arial" w:cs="Arial" w:eastAsia="Arial" w:hAnsi="Arial"/>
                <w:sz w:val="18"/>
                <w:szCs w:val="18"/>
                <w:i w:val="1"/>
                <w:iCs w:val="1"/>
                <w:color w:val="auto"/>
              </w:rPr>
              <w:t>6.4%</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8.8%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for the second quarter of 2021 increased $3.5 million, or 4.7%, to $78.7 million compared with $75.2 million in the second quarter of 2020. The increase is attributable to an increase of $5.0 million in our volatile organic compounds (“VOC”) abatement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60"/>
        <w:spacing w:after="0" w:line="257" w:lineRule="auto"/>
        <w:rPr>
          <w:sz w:val="20"/>
          <w:szCs w:val="20"/>
          <w:color w:val="auto"/>
        </w:rPr>
      </w:pPr>
      <w:r>
        <w:rPr>
          <w:rFonts w:ascii="Arial" w:cs="Arial" w:eastAsia="Arial" w:hAnsi="Arial"/>
          <w:sz w:val="18"/>
          <w:szCs w:val="18"/>
          <w:color w:val="auto"/>
        </w:rPr>
        <w:t>solutions from the Environmental Integrated Solutions (“EIS”) acquisition. We continue to experience the effects of the COVID-19 pandemic on the global demand for certain products in 2021, which included decreases of $3.2 million in our Selective Catalytic Reduction (“SCR”) technologies and $2.6 million in our custom-engineered cyclone systems. These decreases were partially offset from demand recovery for certain products in the broad industrial air markets which included increases of $2.7 million in our regenerative thermal Oxidizer (“RTO”) solutions and $1.8 million in our custom-designed collection and ventilation solutions.</w:t>
      </w:r>
    </w:p>
    <w:p>
      <w:pPr>
        <w:spacing w:after="0" w:line="25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Net sales for the first six months of 2021 decreased $5.1 million, or 3.3%, to $150.6 million compared with $155.7 million in the first six months of 2020. The decrease is primarily attributable to the effects of the COVID-19 pandemic on the global demand for certain products in 2021, which include decreases of $6.9 million in our custom-engineered cyclone systems, $6.8 million in our SCR technologies, and $5.8 million in custom-designed sheet metal fabrication. These decreases were partially offset by increases of $7.6 million in VOC abatement solutions from the EIS acquisition, $4.8 million in our RTO solutions and $2.7 million in our custom-designed collection and ventilation solutions.</w:t>
      </w:r>
    </w:p>
    <w:p>
      <w:pPr>
        <w:spacing w:after="0" w:line="1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Gross profit decreased $0.6 million, or 2.3%, to $25.2 million in the second quarter of 2021 compared with $25.8 million in the second quarter of 2020. The decrease in gross profit is primarily related to a lower margin mix of projects executed during the period compared to the prior period. Gross profit as a percentage of sales decreased to 32.0% in the second quarter of 2021 compared with 34.3% in the second quarter of 2020 due to project mix.</w:t>
      </w:r>
    </w:p>
    <w:p>
      <w:pPr>
        <w:spacing w:after="0" w:line="14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Gross profit decreased $4.4 million, or 8.1%, to $49.7 million in the first six months of 2021 compared with $54.1 million in the first six months of 2020. The decrease in gross profit is primarily due to decrease in net sales as noted above and to a lower margin mix of projects executed during the six month period. Gross profit as a percentage of sales decreased to 33.0% in the first six months of 2021 compared with 34.7% in the first six months of 2020.</w:t>
      </w:r>
    </w:p>
    <w:p>
      <w:pPr>
        <w:spacing w:after="0" w:line="14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Orders booked increased $25.5 million, or 42.5%, to $85.5 million during the second quarter of 2021 compared with $60.0 million in the second quarter of 2020. Orders booked were $177.6 million for the first six months of 2021 compared with $135.6 million during the first six months of 2020, an increase of $42.0 million, or 31.0%. The increase is primarily attributable to increases in the electrical vehicle production, engineered wood, aluminum beverage can, and power generation end markets.</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Selling and administrative expenses were $20.6 million for the second quarter of 2021 compared with $18.4 million for the second quarter of 2020. The increase is primarily attributable to cost reduction measures related to the COVID-19 pandemic implemented in the second quarter of 2020, but did not recur in the second quarter of 2021, such as $2.0 million in company-wide furloughs and approximately $0.5 million in one-time reductions including wage reductions and travel restrictions. As of June 30, 2021 headcount decreased by 10.0% compared with June 30, 2020. Selling and administrative expenses as a percentage of sales was 26.2% in second quarter of 2021 compared with 24.5% in the second quarter of 2020.</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Selling and administrative expenses were $40.0 million for the first six months of 2021 compared with $40.4 million for the first six months of 2020. Selling and administrative expenses increased as a percentage of sales to 26.6% in the first six months of 2021 compared with 25.9% in the first six months of 2020 due primarily to the decrease in net sales.</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Amortization and earnout expense was $2.3 million for the second quarter of 2021 compared with $1.8 million for the second quarter of 2020. The increase in expense is attributable to a $0.6 million increase in earnout expense offset by a $0.1 million decrease in definite lived asset amortization.</w:t>
      </w:r>
    </w:p>
    <w:p>
      <w:pPr>
        <w:spacing w:after="0" w:line="14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Amortization expense was $4.1 million for the first six months of 2021 compared with $3.5 million for the first six months of 2020. The increase in expense is attributable to a $0.7 million increase in earnout expense offset by a $0.1 million decrease in definite lived asset amortization.</w:t>
      </w:r>
    </w:p>
    <w:p>
      <w:pPr>
        <w:spacing w:after="0" w:line="12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Operating income decreased $2.3 million to $2.1 million in the second quarter of 2021 compared with $4.4 million during the second quarter of 2020. Operating income decreased $3.4 million to $5.2 million in the first six months of 2021 compared with $8.6 million during the first six months of 2020. The decreases in operating income for the three- and six-month periods ending June 30, 2021 is primarily attributable to a lower margin mix of products sold during the year and increases in earnout expenses, as described above partially offset by decreases in restructuring expenses and acquisition and integration expenses.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Non-GAAP operating income was $4.7 million for the second quarter of 2021 compared with $7.4 million for the second quarter of 2020. The decrease in non-GAAP operating income is primarily attributable to the increase in selling and administrative which was primarily attributable to the discontinuation of certain cost reduction measures related to the COVID-19 pandemic, such as company-wide furloughs and travel restrictions, which were implemented in the second quarter of 2020, but did not recur in the second quarter of 2021, as well as, a decrease in gross profit. Non-GAAP operating income as a percentage of sales decreased to 6.0% for the second quarter of 2021 from 9.8% for the second quarter of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1" w:name="page22"/>
    <w:bookmarkEnd w:id="21"/>
    <w:p>
      <w:pPr>
        <w:jc w:val="both"/>
        <w:ind w:right="80"/>
        <w:spacing w:after="0" w:line="263" w:lineRule="auto"/>
        <w:rPr>
          <w:sz w:val="20"/>
          <w:szCs w:val="20"/>
          <w:color w:val="auto"/>
        </w:rPr>
      </w:pPr>
      <w:r>
        <w:rPr>
          <w:rFonts w:ascii="Arial" w:cs="Arial" w:eastAsia="Arial" w:hAnsi="Arial"/>
          <w:sz w:val="18"/>
          <w:szCs w:val="18"/>
          <w:color w:val="auto"/>
        </w:rPr>
        <w:t>Non-GAAP operating income was $9.7 million for the first six months of 2021 compared with $13.7 million for the first six months of 2020. The decrease in non-GAAP operating income is primarily attributable to the decrease in net sales and gross profit. Non-GAAP operating income as a percentage of sales increased to 6.4% for the first six months of 2021 from 8.8% for the first six months of 2020.</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Interest expense decreased to $0.7 million in the second quarter of 2021 and $1.4 million for the first six months of 2021 compared with $0.9 million in the second quarter of 2020 and $2.0 million for the first six months of 2020. The decrease in interest expense is primarily due to a reduced debt balance for the three- and six-month periods in 2021 compared to 2020.</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Income tax expense was $0.2 million for the second quarter of 2021 and $0.8 million for the first six months of 2021 compared with income tax expense of $0.6 million for the second quarter of 2020 and $1.3 million for the first six months of 2020. The effective income tax rate for the second quarter of 2021 was 34.3% compared with 14.8% for the second quarter of 2020. The effective income tax rate for the first six months of 2021 was 30.9% compared with 16.8% for the first six months of 2020. The effective income tax rate for the three and six months ended June 30, 2021 is higher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for the prior year periods have been re-cast to reflect this re-alignment. See note 15 to the consolidated financial statements included in this report.</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and inter-segment sales)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43,360</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49,074</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85,417</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78,680</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150,572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Engineered Systems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5,634</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11,804</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Process Solutions segment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(7,930)</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(14,868)</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Engineered Systems segment net sales decreased $5.7 million to $43.4 million for the second quarter of 2021 compared with $49.1 million in the same period of 2020. The decrease is primarily attributable to the effects of COVID-19 on global demand for certain products, which included decreases of $3.2 million in our SCR technologies and $2.6 million in custom-engineered cyclone systems.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Engineered Systems segment net sales decreased $14.3 million to $85.4 million in the first six months of 2021 compared with $99.7 million in the same period of 2020. The decrease is primarily attributable to the effects of COVID-19 on global demand for certain products, which included decreases of $6.9 million in custom-engineered cyclone systems and $6.8 million in our SCR technologies.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the Engineered Systems segment decreased $3.0 million to $5.6 million in the second quarter of 2021 compared with $8.6 million in the same period of 2020. The operating income decrease is primarily attributable to a decrease in gross profit of $2.6 million due to a decrease in net sales and product mix, and an $0.8 increase in selling and administrative expenses related to discontinuation of certain cost reduction measures in response to the COVID-19 pandemic, such as company-wide furloughs and travel restrictions, which were implemented in the second quarter of 2020, but did not recur in the second quarter of 2021. The decrease is partially offset by decreases of $0.2 million in amortization expenses and $0.1 million in restructuring expenses.</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Operating income for the Engineered Systems segment decreased $5.4 million to $11.8 million in the first six months of 2021 compared with $17.2 million in the same period of 2020. The operating income decrease is primarily attributable to decrease in gross profit of $6.0 million due to a decrease in net sales and product mix partially offset by decreases of $0.3 million in amortization expenses and $0.1 million in restructuring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Industrial Process Solutions segment net sales increased $9.2 million to $35.3 million in the second quarter of 2021 compared with $26.1 million in the second quarter of 2020. The increase is primarily attributable to increases of $5.0 million in our VOC abatement solutions business from the EIS acquisition, $2.7 million in RTO system solutions, and $1.8 million in our custom-designed collection and ventilation solutions.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Industrial Process Solutions segment net sales increased $9.3 million to $65.2 million in the first six months of 2021 compared with $55.9 million in the first six months of 2020. The increase is primarily attributable to increases of $7.6 million in our VOC abatement solutions business from the EIS acquisition, $4.8 million in RTO system solutions, $2.7 million in our custom-designed collection and ventilation solutions, partially offset by a decrease of $5.8 million in custom-designed sheet metal fabrication.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for the Industrial Process Solutions segment increased $2.6 million to $4.4 million in the second quarter of 2021 compared with</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$1.8 million in the second quarter of 2020. The increase is primarily attributable to a $2.0 million increase in gross profit driven by increased net sales, a $0.6 million decrease in acquisition and integration expenses and restructuring expenses, and $0.5 million decrease in selling and administration related to cost reduction measures, partially offset by $0.6 million increase in earnout expenses.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for the Industrial Process Solutions segment increased $3.4 million to $8.3 million in the first six months of 2021 compared with</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$4.9 million in the first six months of 2020. The increase is primarily attributable to an increase of $1.5 million in gross profit driven by increased net sales and a $1.8 million decrease in selling and administration expenses related to cost reduction measures implemented in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 for the Corporate and Other segment increased $1.9 million to $7.9 million for the second quarter of 2021 compared with $6.0 million for the second quarter of 2020. The increase is primarily attributable to a $2.1 million increase in selling and administration expenses primarily attributable to proactive cost reduction measures in response to the COVID-19 pandemic, such as company-wide furloughs and travel restrictions, which were implemented in the second quarter of 2020, but did not recur in the second quarter of 2021.</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expense for the Corporate and Other segment increased $1.4 million to $14.9 million for the first six months of 2021 compared with $13.5 million for the first six months of 2020. The increase is primarily attributable to discontinuation of certain cost reduction measures in response to the COVID-19 pandemic, such as company-wide furloughs and travel restrictions, which were implemented in the second quarter of 2020, but did not recur in the second quarter of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Backlog increased to $210.0 million as of June 30, 2021 from $183.1 million as of December 31, 2020.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June 30, 2021, the Company had working capital of $75.3 million, compared with $74.1 million at December 31, 2020. The ratio of current assets to current liabilities was 1.72 to 1.00 on June 30, 2021, as compared with a ratio of 1.68 to 1.00 at December 31, 2020.</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June 30, 2021 and December 31, 2020, cash and cash equivalents totaled $32.2 million and $36.0 million, respectively. As of June 30, 2021 and December 31, 2020, $25.2 million and $28.0 million, respectively, of our cash and cash equivalents were held by certain non- United States subsidiaries, as well as being denominated in foreign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r>
      <w:tr>
        <w:trPr>
          <w:trHeight w:val="209"/>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10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through June 2021, $0.9 million through June 2023, and $1.3 million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 with balance due upon maturity in June 2024.</w:t>
            </w: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 Term loan</w:t>
            </w:r>
          </w:p>
        </w:tc>
        <w:tc>
          <w:tcPr>
            <w:tcW w:w="1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9"/>
                <w:szCs w:val="19"/>
                <w:color w:val="auto"/>
              </w:rPr>
            </w:pPr>
          </w:p>
        </w:tc>
      </w:tr>
      <w:tr>
        <w:trPr>
          <w:trHeight w:val="229"/>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Revolving credit loan</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 Unamortized debt discount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(1,334)</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current portion</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(3,125)</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0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69,491</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June 30, 2021 and December 31, 2020, the Company was in compliance with all related financial and other restrictive covenants under the Credit Facility.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revolving loans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Draw down</w:t>
            </w:r>
          </w:p>
        </w:tc>
        <w:tc>
          <w:tcPr>
            <w:tcW w:w="2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 open</w:t>
            </w:r>
          </w:p>
        </w:tc>
        <w:tc>
          <w:tcPr>
            <w:tcW w:w="2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unused credit availability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4"/>
                <w:szCs w:val="24"/>
                <w:color w:val="auto"/>
              </w:rPr>
            </w:pPr>
          </w:p>
        </w:tc>
        <w:tc>
          <w:tcPr>
            <w:tcW w:w="3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(6,423)</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six-months ended June 30, 2021, $4.1 million of cash was provided by operating activities compared with $2.1 million in the prior year period, a $2.0 million increase. Cash flow from operating activities in the first six months of 2021 had a favorable impact year-over-year primarily due to certain improvements in net working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six-months ended June 30, 2021, net cash used in investing activities was $(0.5) million compared with $(8.1) million in the prior year period. For the six-months ended June 30, 2021, the $(0.5) million cash used in investing activities was to the result of $(1.0) million cash used for the acquisition of property and equipment, offset by $0.5 million of proceeds from the disposal of assets held for sale. In the prior year period, cash flow of $(8.1) million used in investing activities was the result of $6.1 million used, net of cash acquired, for the EIS acquisition and $2.0 million used for the acquisition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six-months ended June 30, 2021, $(6.4) million was used in financing activities compared with $12.0 million provided by financing activities in the prior year period, a decrease of $18.4 million. For the six-months ended June 30, 2021, the Company used $(0.8) million to make earnout payments, $(0.1) million in noncontrolling interest distributions, and received $0.1 million from proceeds from employee stock purchase plan and exercise of stock options. Additionally, for the first six-months ended June 30, 2021 the Company used $(4.1) million for repayments on the Company’s revolving credit lines. In the prior year period, the Company had net borrowings of $13.5 million on its revolving credit facility, of which $10.3 million was used to fund the EIS acquisition on June 4,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200"/>
        <w:spacing w:after="0" w:line="259" w:lineRule="auto"/>
        <w:rPr>
          <w:sz w:val="20"/>
          <w:szCs w:val="20"/>
          <w:color w:val="auto"/>
        </w:rPr>
      </w:pPr>
      <w:r>
        <w:rPr>
          <w:rFonts w:ascii="Arial" w:cs="Arial" w:eastAsia="Arial" w:hAnsi="Arial"/>
          <w:sz w:val="18"/>
          <w:szCs w:val="18"/>
          <w:color w:val="auto"/>
        </w:rPr>
        <w:t>Management believes there have been no changes during the six-month period ended June 30, 2021,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w:t>
      </w:r>
    </w:p>
    <w:p>
      <w:pPr>
        <w:spacing w:after="0" w:line="77"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sensitivity of our business to economic and financial market conditions generally and economic conditions in CECO’s service areas;</w:t>
      </w:r>
    </w:p>
    <w:p>
      <w:pPr>
        <w:spacing w:after="0" w:line="34" w:lineRule="exact"/>
        <w:rPr>
          <w:rFonts w:ascii="Arial" w:cs="Arial" w:eastAsia="Arial" w:hAnsi="Arial"/>
          <w:sz w:val="17"/>
          <w:szCs w:val="17"/>
          <w:color w:val="auto"/>
        </w:rPr>
      </w:pPr>
    </w:p>
    <w:p>
      <w:pPr>
        <w:ind w:left="740" w:right="8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contract delay or cancellation;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9"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20" w:lineRule="exact"/>
        <w:rPr>
          <w:rFonts w:ascii="Arial" w:cs="Arial" w:eastAsia="Arial" w:hAnsi="Arial"/>
          <w:sz w:val="17"/>
          <w:szCs w:val="17"/>
          <w:color w:val="auto"/>
        </w:rPr>
      </w:pPr>
    </w:p>
    <w:p>
      <w:pPr>
        <w:ind w:left="740" w:right="24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realize the expected benefits of our restructuring program;</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w:t>
      </w:r>
    </w:p>
    <w:p>
      <w:pPr>
        <w:spacing w:after="0" w:line="9" w:lineRule="exact"/>
        <w:rPr>
          <w:rFonts w:ascii="Arial" w:cs="Arial" w:eastAsia="Arial" w:hAnsi="Arial"/>
          <w:sz w:val="18"/>
          <w:szCs w:val="18"/>
          <w:color w:val="auto"/>
        </w:rPr>
      </w:pPr>
    </w:p>
    <w:p>
      <w:pPr>
        <w:jc w:val="both"/>
        <w:ind w:left="740" w:right="100" w:hanging="368"/>
        <w:spacing w:after="0" w:line="25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 security threats, acts of terrorism or outbreak of war or hostilities or public health crises, such as uncertainties regarding the extent and duration of impacts of matters associated with COVID-19, as well as management’s response to any of the aforementioned factors.</w:t>
      </w:r>
    </w:p>
    <w:p>
      <w:pPr>
        <w:spacing w:after="0" w:line="2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carrying value of the Company’s long-term debt and current maturities of long-term debt was $68.6 million at June 30, 2021. Market risk was estimated as the potential decrease (increase) in future earnings and cash flows resulting from a hypothetical 10% increase (decrease) in the Company’s estimated weighted average borrowing rate at June 30, 2021. Most of the interest on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auto"/>
        </w:rPr>
        <w:t>Company’s debt is indexed to either the LIBOR or EURIBOR market rates. The estimated impact of a hypothetical 10% change in the estimated weighted average borrowing rate at June 30, 2021 is $0.2 million on an annual basis.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2021.</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2021.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first six months ended June 30, 2021,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2020.</w:t>
      </w:r>
    </w:p>
    <w:p>
      <w:pPr>
        <w:spacing w:after="0" w:line="1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20" w:type="dxa"/>
            <w:vAlign w:val="bottom"/>
            <w:gridSpan w:val="6"/>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040" w:type="dxa"/>
            <w:vAlign w:val="bottom"/>
          </w:tcPr>
          <w:p>
            <w:pPr>
              <w:ind w:left="140"/>
              <w:spacing w:after="0"/>
              <w:rPr>
                <w:sz w:val="20"/>
                <w:szCs w:val="20"/>
                <w:color w:val="auto"/>
              </w:rPr>
            </w:pPr>
            <w:r>
              <w:rPr>
                <w:rFonts w:ascii="Arial" w:cs="Arial" w:eastAsia="Arial" w:hAnsi="Arial"/>
                <w:sz w:val="18"/>
                <w:szCs w:val="18"/>
                <w:color w:val="auto"/>
              </w:rPr>
              <w:t>10.1</w:t>
            </w:r>
          </w:p>
        </w:tc>
        <w:tc>
          <w:tcPr>
            <w:tcW w:w="9820" w:type="dxa"/>
            <w:vAlign w:val="bottom"/>
            <w:tcBorders>
              <w:bottom w:val="single" w:sz="8" w:color="0000EE"/>
            </w:tcBorders>
            <w:gridSpan w:val="6"/>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CECO Environmental Corp. 2021 Equity and Incentive Compensation Plan (Incorporated by reference to Appendix I to the Registrant’s</w:t>
              </w:r>
            </w:hyperlink>
          </w:p>
        </w:tc>
      </w:tr>
      <w:tr>
        <w:trPr>
          <w:trHeight w:val="196"/>
        </w:trPr>
        <w:tc>
          <w:tcPr>
            <w:tcW w:w="1040" w:type="dxa"/>
            <w:vAlign w:val="bottom"/>
          </w:tcPr>
          <w:p>
            <w:pPr>
              <w:spacing w:after="0"/>
              <w:rPr>
                <w:sz w:val="17"/>
                <w:szCs w:val="17"/>
                <w:color w:val="auto"/>
              </w:rPr>
            </w:pPr>
          </w:p>
        </w:tc>
        <w:tc>
          <w:tcPr>
            <w:tcW w:w="7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definitive proxy statement on Schedule 14A (Commission File No. 000-07099) filed on April 15. 2021)</w:t>
              </w:r>
            </w:hyperlink>
          </w:p>
        </w:tc>
        <w:tc>
          <w:tcPr>
            <w:tcW w:w="2340" w:type="dxa"/>
            <w:vAlign w:val="bottom"/>
          </w:tcPr>
          <w:p>
            <w:pPr>
              <w:spacing w:after="0"/>
              <w:rPr>
                <w:sz w:val="17"/>
                <w:szCs w:val="17"/>
                <w:color w:val="auto"/>
              </w:rPr>
            </w:pPr>
          </w:p>
        </w:tc>
      </w:tr>
      <w:tr>
        <w:trPr>
          <w:trHeight w:val="318"/>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982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Rule 13(a)/15d-14(a) Certification by Chief Executive Officer</w:t>
              </w:r>
            </w:hyperlink>
          </w:p>
        </w:tc>
      </w:tr>
      <w:tr>
        <w:trPr>
          <w:trHeight w:val="318"/>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444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Rule 13(a)/15d-14(a) Certification by Chief Financial Officer</w:t>
              </w:r>
            </w:hyperlink>
          </w:p>
        </w:tc>
        <w:tc>
          <w:tcPr>
            <w:tcW w:w="40" w:type="dxa"/>
            <w:vAlign w:val="bottom"/>
            <w:tcBorders>
              <w:top w:val="single" w:sz="8" w:color="0000EE"/>
            </w:tcBorders>
          </w:tcPr>
          <w:p>
            <w:pPr>
              <w:spacing w:after="0"/>
              <w:rPr>
                <w:sz w:val="24"/>
                <w:szCs w:val="24"/>
                <w:color w:val="auto"/>
              </w:rPr>
            </w:pPr>
          </w:p>
        </w:tc>
        <w:tc>
          <w:tcPr>
            <w:tcW w:w="5340" w:type="dxa"/>
            <w:vAlign w:val="bottom"/>
            <w:gridSpan w:val="4"/>
          </w:tcPr>
          <w:p>
            <w:pPr>
              <w:spacing w:after="0"/>
              <w:rPr>
                <w:sz w:val="24"/>
                <w:szCs w:val="24"/>
                <w:color w:val="auto"/>
              </w:rPr>
            </w:pPr>
          </w:p>
        </w:tc>
      </w:tr>
      <w:tr>
        <w:trPr>
          <w:trHeight w:val="318"/>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982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Certification of Chief Executive Officer (18 U.S. Section 1350)</w:t>
              </w:r>
            </w:hyperlink>
          </w:p>
        </w:tc>
      </w:tr>
      <w:tr>
        <w:trPr>
          <w:trHeight w:val="318"/>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4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Chief Financial Officer (18 U.S. Section 1350)</w:t>
              </w:r>
            </w:hyperlink>
          </w:p>
        </w:tc>
        <w:tc>
          <w:tcPr>
            <w:tcW w:w="40" w:type="dxa"/>
            <w:vAlign w:val="bottom"/>
            <w:tcBorders>
              <w:top w:val="single" w:sz="8" w:color="0000EE"/>
            </w:tcBorders>
          </w:tcPr>
          <w:p>
            <w:pPr>
              <w:spacing w:after="0"/>
              <w:rPr>
                <w:sz w:val="24"/>
                <w:szCs w:val="24"/>
                <w:color w:val="auto"/>
              </w:rPr>
            </w:pPr>
          </w:p>
        </w:tc>
        <w:tc>
          <w:tcPr>
            <w:tcW w:w="5240" w:type="dxa"/>
            <w:vAlign w:val="bottom"/>
            <w:gridSpan w:val="2"/>
          </w:tcPr>
          <w:p>
            <w:pPr>
              <w:spacing w:after="0"/>
              <w:rPr>
                <w:sz w:val="24"/>
                <w:szCs w:val="24"/>
                <w:color w:val="auto"/>
              </w:rPr>
            </w:pPr>
          </w:p>
        </w:tc>
      </w:tr>
      <w:tr>
        <w:trPr>
          <w:trHeight w:val="358"/>
        </w:trPr>
        <w:tc>
          <w:tcPr>
            <w:tcW w:w="1040" w:type="dxa"/>
            <w:vAlign w:val="bottom"/>
          </w:tcPr>
          <w:p>
            <w:pPr>
              <w:ind w:left="140"/>
              <w:spacing w:after="0"/>
              <w:rPr>
                <w:sz w:val="20"/>
                <w:szCs w:val="20"/>
                <w:color w:val="auto"/>
              </w:rPr>
            </w:pPr>
            <w:r>
              <w:rPr>
                <w:rFonts w:ascii="Arial" w:cs="Arial" w:eastAsia="Arial" w:hAnsi="Arial"/>
                <w:sz w:val="18"/>
                <w:szCs w:val="18"/>
                <w:color w:val="auto"/>
              </w:rPr>
              <w:t>101.INS</w:t>
            </w:r>
          </w:p>
        </w:tc>
        <w:tc>
          <w:tcPr>
            <w:tcW w:w="98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101.SCH</w:t>
            </w:r>
          </w:p>
        </w:tc>
        <w:tc>
          <w:tcPr>
            <w:tcW w:w="98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7"/>
        </w:trPr>
        <w:tc>
          <w:tcPr>
            <w:tcW w:w="1040" w:type="dxa"/>
            <w:vAlign w:val="bottom"/>
          </w:tcPr>
          <w:p>
            <w:pPr>
              <w:ind w:left="140"/>
              <w:spacing w:after="0"/>
              <w:rPr>
                <w:sz w:val="20"/>
                <w:szCs w:val="20"/>
                <w:color w:val="auto"/>
              </w:rPr>
            </w:pPr>
            <w:r>
              <w:rPr>
                <w:rFonts w:ascii="Arial" w:cs="Arial" w:eastAsia="Arial" w:hAnsi="Arial"/>
                <w:sz w:val="18"/>
                <w:szCs w:val="18"/>
                <w:color w:val="auto"/>
              </w:rPr>
              <w:t>101.CAL</w:t>
            </w:r>
          </w:p>
        </w:tc>
        <w:tc>
          <w:tcPr>
            <w:tcW w:w="98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101.DEF</w:t>
            </w:r>
          </w:p>
        </w:tc>
        <w:tc>
          <w:tcPr>
            <w:tcW w:w="98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101.LAB</w:t>
            </w:r>
          </w:p>
        </w:tc>
        <w:tc>
          <w:tcPr>
            <w:tcW w:w="98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07" w:lineRule="exact"/>
        <w:rPr>
          <w:sz w:val="20"/>
          <w:szCs w:val="20"/>
          <w:color w:val="auto"/>
        </w:rPr>
      </w:pPr>
    </w:p>
    <w:p>
      <w:pPr>
        <w:ind w:left="1040" w:hanging="90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500" w:val="left"/>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23914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Matthew Eckl</w:t>
      </w:r>
    </w:p>
    <w:p>
      <w:pPr>
        <w:spacing w:after="0" w:line="2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337"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six-month period ended June 30, 2021 as filed with the Securities and Exchange Commission on the date hereof (the “Report”), I, Todd Gleason, Chief Executive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six-month period ended June 30, 2021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8"/>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4"/>
    </w:lvl>
  </w:abstractNum>
  <w:abstractNum w:abstractNumId="10">
    <w:nsid w:val="41A7C4C9"/>
    <w:multiLevelType w:val="hybridMultilevel"/>
    <w:lvl w:ilvl="0">
      <w:lvlJc w:val="left"/>
      <w:lvlText w:val="%1."/>
      <w:numFmt w:val="decimal"/>
      <w:start w:val="15"/>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1" Type="http://schemas.openxmlformats.org/officeDocument/2006/relationships/hyperlink" Target="http://www.sec.gov/Archives/edgar/data/3197/000119312521117463/d116097ddef14a.htm#tx116097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2021-08-03T06:09:48Z</dcterms:created>
  <dcterms:modified xsi:type="dcterms:W3CDTF">2021-08-03T06:09:48Z</dcterms:modified>
</cp:coreProperties>
</file>