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Information Statement Pursuant to Rules 13d-1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of $0.01 Per Share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the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080" w:hanging="647"/>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1080" w:hanging="647"/>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sz w:val="24"/>
          <w:szCs w:val="24"/>
          <w:color w:val="auto"/>
        </w:rPr>
      </w:pPr>
    </w:p>
    <w:p>
      <w:pPr>
        <w:ind w:left="1080" w:hanging="647"/>
        <w:spacing w:after="0"/>
        <w:tabs>
          <w:tab w:leader="none" w:pos="10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5300" w:val="left"/>
          <w:tab w:leader="none" w:pos="1040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2 of 5</w:t>
      </w:r>
    </w:p>
    <w:p>
      <w:pPr>
        <w:sectPr>
          <w:pgSz w:w="11900" w:h="16838" w:orient="portrait"/>
          <w:cols w:equalWidth="0" w:num="1">
            <w:col w:w="11240"/>
          </w:cols>
          <w:pgMar w:left="320" w:top="908" w:right="339" w:bottom="1440" w:gutter="0" w:footer="0" w:header="0"/>
        </w:sectPr>
      </w:pPr>
    </w:p>
    <w:p>
      <w:pPr>
        <w:spacing w:after="0" w:line="279" w:lineRule="exact"/>
        <w:rPr>
          <w:sz w:val="20"/>
          <w:szCs w:val="20"/>
          <w:color w:val="auto"/>
        </w:rPr>
      </w:pPr>
    </w:p>
    <w:p>
      <w:pPr>
        <w:ind w:left="960" w:hanging="669"/>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Trigran Investments,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48895</wp:posOffset>
            </wp:positionV>
            <wp:extent cx="65576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960" w:hanging="669"/>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84" w:lineRule="exact"/>
        <w:rPr>
          <w:rFonts w:ascii="Arial" w:cs="Arial" w:eastAsia="Arial" w:hAnsi="Arial"/>
          <w:sz w:val="18"/>
          <w:szCs w:val="18"/>
          <w:color w:val="auto"/>
        </w:rPr>
      </w:pPr>
    </w:p>
    <w:p>
      <w:pPr>
        <w:ind w:left="1420" w:hanging="454"/>
        <w:spacing w:after="0" w:line="207" w:lineRule="exact"/>
        <w:tabs>
          <w:tab w:leader="none" w:pos="14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420" w:hanging="454"/>
        <w:spacing w:after="0" w:line="207" w:lineRule="exact"/>
        <w:tabs>
          <w:tab w:leader="none" w:pos="14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960" w:hanging="669"/>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60" w:right="7640" w:hanging="669"/>
        <w:spacing w:after="0" w:line="34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or Place of Organization Illinois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-563245</wp:posOffset>
            </wp:positionV>
            <wp:extent cx="65576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-974725</wp:posOffset>
            </wp:positionV>
            <wp:extent cx="62661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-1189355</wp:posOffset>
            </wp:positionV>
            <wp:extent cx="62661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94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0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060" w:type="dxa"/>
            <w:vAlign w:val="bottom"/>
            <w:vMerge w:val="continue"/>
          </w:tcPr>
          <w:p>
            <w:pPr>
              <w:spacing w:after="0"/>
              <w:rPr>
                <w:sz w:val="24"/>
                <w:szCs w:val="24"/>
                <w:color w:val="auto"/>
              </w:rPr>
            </w:pPr>
          </w:p>
        </w:tc>
        <w:tc>
          <w:tcPr>
            <w:tcW w:w="700" w:type="dxa"/>
            <w:vAlign w:val="bottom"/>
            <w:vMerge w:val="restart"/>
          </w:tcPr>
          <w:p>
            <w:pPr>
              <w:jc w:val="right"/>
              <w:ind w:right="290"/>
              <w:spacing w:after="0"/>
              <w:rPr>
                <w:sz w:val="20"/>
                <w:szCs w:val="20"/>
                <w:color w:val="auto"/>
              </w:rPr>
            </w:pPr>
            <w:r>
              <w:rPr>
                <w:rFonts w:ascii="Arial" w:cs="Arial" w:eastAsia="Arial" w:hAnsi="Arial"/>
                <w:sz w:val="18"/>
                <w:szCs w:val="18"/>
                <w:color w:val="auto"/>
              </w:rPr>
              <w:t>6.</w:t>
            </w:r>
          </w:p>
        </w:tc>
        <w:tc>
          <w:tcPr>
            <w:tcW w:w="94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0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700" w:type="dxa"/>
            <w:vAlign w:val="bottom"/>
            <w:vMerge w:val="continue"/>
          </w:tcPr>
          <w:p>
            <w:pPr>
              <w:spacing w:after="0"/>
              <w:rPr>
                <w:sz w:val="9"/>
                <w:szCs w:val="9"/>
                <w:color w:val="auto"/>
              </w:rPr>
            </w:pPr>
          </w:p>
        </w:tc>
        <w:tc>
          <w:tcPr>
            <w:tcW w:w="9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9420" w:type="dxa"/>
            <w:vAlign w:val="bottom"/>
            <w:vMerge w:val="restart"/>
          </w:tcPr>
          <w:p>
            <w:pPr>
              <w:ind w:left="60"/>
              <w:spacing w:after="0"/>
              <w:rPr>
                <w:sz w:val="20"/>
                <w:szCs w:val="20"/>
                <w:color w:val="auto"/>
              </w:rPr>
            </w:pPr>
            <w:r>
              <w:rPr>
                <w:rFonts w:ascii="Arial" w:cs="Arial" w:eastAsia="Arial" w:hAnsi="Arial"/>
                <w:sz w:val="18"/>
                <w:szCs w:val="18"/>
                <w:color w:val="auto"/>
              </w:rPr>
              <w:t>1,479,414 shares of common stock</w:t>
            </w:r>
          </w:p>
        </w:tc>
        <w:tc>
          <w:tcPr>
            <w:tcW w:w="0" w:type="dxa"/>
            <w:vAlign w:val="bottom"/>
          </w:tcPr>
          <w:p>
            <w:pPr>
              <w:spacing w:after="0"/>
              <w:rPr>
                <w:sz w:val="1"/>
                <w:szCs w:val="1"/>
                <w:color w:val="auto"/>
              </w:rPr>
            </w:pPr>
          </w:p>
        </w:tc>
      </w:tr>
      <w:tr>
        <w:trPr>
          <w:trHeight w:val="122"/>
        </w:trPr>
        <w:tc>
          <w:tcPr>
            <w:tcW w:w="106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700" w:type="dxa"/>
            <w:vAlign w:val="bottom"/>
          </w:tcPr>
          <w:p>
            <w:pPr>
              <w:spacing w:after="0"/>
              <w:rPr>
                <w:sz w:val="10"/>
                <w:szCs w:val="10"/>
                <w:color w:val="auto"/>
              </w:rPr>
            </w:pPr>
          </w:p>
        </w:tc>
        <w:tc>
          <w:tcPr>
            <w:tcW w:w="9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r>
              <w:rPr>
                <w:rFonts w:ascii="Arial" w:cs="Arial" w:eastAsia="Arial" w:hAnsi="Arial"/>
                <w:sz w:val="18"/>
                <w:szCs w:val="18"/>
                <w:color w:val="auto"/>
              </w:rPr>
              <w:t>Owned by</w:t>
            </w:r>
          </w:p>
        </w:tc>
        <w:tc>
          <w:tcPr>
            <w:tcW w:w="70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700" w:type="dxa"/>
            <w:vAlign w:val="bottom"/>
            <w:vMerge w:val="restart"/>
          </w:tcPr>
          <w:p>
            <w:pPr>
              <w:jc w:val="right"/>
              <w:ind w:right="290"/>
              <w:spacing w:after="0"/>
              <w:rPr>
                <w:sz w:val="20"/>
                <w:szCs w:val="20"/>
                <w:color w:val="auto"/>
              </w:rPr>
            </w:pPr>
            <w:r>
              <w:rPr>
                <w:rFonts w:ascii="Arial" w:cs="Arial" w:eastAsia="Arial" w:hAnsi="Arial"/>
                <w:sz w:val="18"/>
                <w:szCs w:val="18"/>
                <w:color w:val="auto"/>
              </w:rPr>
              <w:t>7.</w:t>
            </w:r>
          </w:p>
        </w:tc>
        <w:tc>
          <w:tcPr>
            <w:tcW w:w="94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0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700" w:type="dxa"/>
            <w:vAlign w:val="bottom"/>
            <w:vMerge w:val="continue"/>
          </w:tcPr>
          <w:p>
            <w:pPr>
              <w:spacing w:after="0"/>
              <w:rPr>
                <w:sz w:val="9"/>
                <w:szCs w:val="9"/>
                <w:color w:val="auto"/>
              </w:rPr>
            </w:pPr>
          </w:p>
        </w:tc>
        <w:tc>
          <w:tcPr>
            <w:tcW w:w="9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94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06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700" w:type="dxa"/>
            <w:vAlign w:val="bottom"/>
          </w:tcPr>
          <w:p>
            <w:pPr>
              <w:spacing w:after="0"/>
              <w:rPr>
                <w:sz w:val="10"/>
                <w:szCs w:val="10"/>
                <w:color w:val="auto"/>
              </w:rPr>
            </w:pPr>
          </w:p>
        </w:tc>
        <w:tc>
          <w:tcPr>
            <w:tcW w:w="9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880" w:hanging="576"/>
        <w:spacing w:after="0"/>
        <w:tabs>
          <w:tab w:leader="none" w:pos="18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1,479,414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960" w:right="5480" w:hanging="669"/>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1,479,414 shares of common stock</w:t>
      </w:r>
    </w:p>
    <w:p>
      <w:pPr>
        <w:spacing w:after="0" w:line="353" w:lineRule="exact"/>
        <w:rPr>
          <w:rFonts w:ascii="Arial" w:cs="Arial" w:eastAsia="Arial" w:hAnsi="Arial"/>
          <w:sz w:val="18"/>
          <w:szCs w:val="18"/>
          <w:color w:val="auto"/>
        </w:rPr>
      </w:pPr>
    </w:p>
    <w:p>
      <w:pPr>
        <w:ind w:left="960" w:hanging="669"/>
        <w:spacing w:after="0" w:line="207" w:lineRule="exact"/>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960" w:hanging="669"/>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60" w:right="60"/>
        <w:spacing w:after="0" w:line="260" w:lineRule="auto"/>
        <w:rPr>
          <w:rFonts w:ascii="Arial" w:cs="Arial" w:eastAsia="Arial" w:hAnsi="Arial"/>
          <w:sz w:val="18"/>
          <w:szCs w:val="18"/>
          <w:color w:val="auto"/>
        </w:rPr>
      </w:pPr>
      <w:r>
        <w:rPr>
          <w:rFonts w:ascii="Arial" w:cs="Arial" w:eastAsia="Arial" w:hAnsi="Arial"/>
          <w:sz w:val="18"/>
          <w:szCs w:val="18"/>
          <w:color w:val="auto"/>
        </w:rPr>
        <w:t>Approximately 4.1% (based on 35,809,090 shares of common stock issued and outstanding as of November 3, 2021 pursuant to the CECO Environmental Corp. Form 10-Q filed with the SEC on November 8, 2021)</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960" w:hanging="669"/>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40005</wp:posOffset>
            </wp:positionV>
            <wp:extent cx="65576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-508000</wp:posOffset>
            </wp:positionV>
            <wp:extent cx="65576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-1193800</wp:posOffset>
            </wp:positionV>
            <wp:extent cx="65576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-1605280</wp:posOffset>
            </wp:positionV>
            <wp:extent cx="655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-2153920</wp:posOffset>
            </wp:positionV>
            <wp:extent cx="59836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 w:name="page3"/>
    <w:bookmarkEnd w:id="2"/>
    <w:p>
      <w:pPr>
        <w:spacing w:after="0"/>
        <w:tabs>
          <w:tab w:leader="none" w:pos="5300" w:val="left"/>
          <w:tab w:leader="none" w:pos="1040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3 of 5</w:t>
      </w:r>
    </w:p>
    <w:p>
      <w:pPr>
        <w:sectPr>
          <w:pgSz w:w="11900" w:h="16838" w:orient="portrait"/>
          <w:cols w:equalWidth="0" w:num="1">
            <w:col w:w="11240"/>
          </w:cols>
          <w:pgMar w:left="320" w:top="908" w:right="339" w:bottom="1440" w:gutter="0" w:footer="0" w:header="0"/>
        </w:sectPr>
      </w:pPr>
    </w:p>
    <w:p>
      <w:pPr>
        <w:spacing w:after="0" w:line="275"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color w:val="auto"/>
        </w:rPr>
        <w:t>Name of Issuer:</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40005</wp:posOffset>
            </wp:positionV>
            <wp:extent cx="65665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41"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14651 North Dallas Parkway</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Dallas, Texas 75254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40005</wp:posOffset>
            </wp:positionV>
            <wp:extent cx="65665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p>
      <w:pPr>
        <w:spacing w:after="0" w:line="26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2(a)</w:t>
      </w: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2(b)</w:t>
      </w: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2(c)</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Name of Person Filing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See Item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40005</wp:posOffset>
            </wp:positionV>
            <wp:extent cx="65665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Address of Principal Business Office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Item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40005</wp:posOffset>
            </wp:positionV>
            <wp:extent cx="6566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Trigran Investments,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Illinois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40005</wp:posOffset>
            </wp:positionV>
            <wp:extent cx="65665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 w:space="180"/>
            <w:col w:w="10280"/>
          </w:cols>
          <w:pgMar w:left="320" w:top="908" w:right="339" w:bottom="1440" w:gutter="0" w:footer="0" w:header="0"/>
          <w:type w:val="continuous"/>
        </w:sectPr>
      </w:pPr>
    </w:p>
    <w:p>
      <w:pPr>
        <w:spacing w:after="0" w:line="20"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color w:val="auto"/>
        </w:rPr>
        <w:t>Title of Class of Securities:</w:t>
      </w:r>
    </w:p>
    <w:p>
      <w:pPr>
        <w:spacing w:after="0" w:line="4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Common Stock, par value of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5715</wp:posOffset>
            </wp:positionV>
            <wp:extent cx="65665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46"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color w:val="auto"/>
        </w:rPr>
        <w:t>CUSIP Number:</w:t>
      </w:r>
    </w:p>
    <w:p>
      <w:pPr>
        <w:spacing w:after="0" w:line="4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5715</wp:posOffset>
            </wp:positionV>
            <wp:extent cx="65665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81" w:lineRule="exact"/>
        <w:rPr>
          <w:sz w:val="20"/>
          <w:szCs w:val="20"/>
          <w:color w:val="auto"/>
        </w:rPr>
      </w:pPr>
    </w:p>
    <w:p>
      <w:pPr>
        <w:ind w:left="60"/>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88" w:lineRule="exact"/>
        <w:rPr>
          <w:sz w:val="20"/>
          <w:szCs w:val="20"/>
          <w:color w:val="auto"/>
        </w:rPr>
      </w:pPr>
    </w:p>
    <w:p>
      <w:pPr>
        <w:ind w:left="1200" w:hanging="436"/>
        <w:spacing w:after="0" w:line="207" w:lineRule="exact"/>
        <w:tabs>
          <w:tab w:leader="none" w:pos="12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117" w:lineRule="exact"/>
        <w:rPr>
          <w:rFonts w:ascii="Arial" w:cs="Arial" w:eastAsia="Arial" w:hAnsi="Arial"/>
          <w:sz w:val="18"/>
          <w:szCs w:val="18"/>
          <w:color w:val="auto"/>
        </w:rPr>
      </w:pPr>
    </w:p>
    <w:p>
      <w:pPr>
        <w:ind w:left="1200" w:hanging="436"/>
        <w:spacing w:after="0" w:line="207" w:lineRule="exact"/>
        <w:tabs>
          <w:tab w:leader="none" w:pos="12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117" w:lineRule="exact"/>
        <w:rPr>
          <w:rFonts w:ascii="Arial" w:cs="Arial" w:eastAsia="Arial" w:hAnsi="Arial"/>
          <w:sz w:val="18"/>
          <w:szCs w:val="18"/>
          <w:color w:val="auto"/>
        </w:rPr>
      </w:pPr>
    </w:p>
    <w:p>
      <w:pPr>
        <w:ind w:left="1200" w:hanging="436"/>
        <w:spacing w:after="0" w:line="207" w:lineRule="exact"/>
        <w:tabs>
          <w:tab w:leader="none" w:pos="12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117" w:lineRule="exact"/>
        <w:rPr>
          <w:rFonts w:ascii="Arial" w:cs="Arial" w:eastAsia="Arial" w:hAnsi="Arial"/>
          <w:sz w:val="18"/>
          <w:szCs w:val="18"/>
          <w:color w:val="auto"/>
        </w:rPr>
      </w:pPr>
    </w:p>
    <w:p>
      <w:pPr>
        <w:ind w:left="1200" w:hanging="436"/>
        <w:spacing w:after="0" w:line="207" w:lineRule="exact"/>
        <w:tabs>
          <w:tab w:leader="none" w:pos="12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117" w:lineRule="exact"/>
        <w:rPr>
          <w:rFonts w:ascii="Arial" w:cs="Arial" w:eastAsia="Arial" w:hAnsi="Arial"/>
          <w:sz w:val="18"/>
          <w:szCs w:val="18"/>
          <w:color w:val="auto"/>
        </w:rPr>
      </w:pPr>
    </w:p>
    <w:p>
      <w:pPr>
        <w:ind w:left="1200" w:hanging="436"/>
        <w:spacing w:after="0" w:line="207" w:lineRule="exact"/>
        <w:tabs>
          <w:tab w:leader="none" w:pos="12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200" w:hanging="436"/>
        <w:spacing w:after="0" w:line="207" w:lineRule="exact"/>
        <w:tabs>
          <w:tab w:leader="none" w:pos="12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200" w:hanging="436"/>
        <w:spacing w:after="0" w:line="207" w:lineRule="exact"/>
        <w:tabs>
          <w:tab w:leader="none" w:pos="12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1200" w:hanging="436"/>
        <w:spacing w:after="0" w:line="207" w:lineRule="exact"/>
        <w:tabs>
          <w:tab w:leader="none" w:pos="12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17" w:lineRule="exact"/>
        <w:rPr>
          <w:rFonts w:ascii="Arial" w:cs="Arial" w:eastAsia="Arial" w:hAnsi="Arial"/>
          <w:sz w:val="18"/>
          <w:szCs w:val="18"/>
          <w:color w:val="auto"/>
        </w:rPr>
      </w:pPr>
    </w:p>
    <w:p>
      <w:pPr>
        <w:ind w:left="1200" w:hanging="436"/>
        <w:spacing w:after="0" w:line="184" w:lineRule="exact"/>
        <w:tabs>
          <w:tab w:leader="none" w:pos="1200" w:val="left"/>
        </w:tabs>
        <w:numPr>
          <w:ilvl w:val="0"/>
          <w:numId w:val="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w:t>
      </w:r>
    </w:p>
    <w:p>
      <w:pPr>
        <w:spacing w:after="0" w:line="140" w:lineRule="exact"/>
        <w:rPr>
          <w:rFonts w:ascii="Arial" w:cs="Arial" w:eastAsia="Arial" w:hAnsi="Arial"/>
          <w:sz w:val="16"/>
          <w:szCs w:val="16"/>
          <w:color w:val="auto"/>
        </w:rPr>
      </w:pPr>
    </w:p>
    <w:p>
      <w:pPr>
        <w:ind w:left="1200" w:hanging="436"/>
        <w:spacing w:after="0" w:line="207" w:lineRule="exact"/>
        <w:tabs>
          <w:tab w:leader="none" w:pos="12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150" w:lineRule="exact"/>
        <w:rPr>
          <w:sz w:val="20"/>
          <w:szCs w:val="20"/>
          <w:color w:val="auto"/>
        </w:rPr>
      </w:pPr>
    </w:p>
    <w:tbl>
      <w:tblPr>
        <w:tblLayout w:type="fixed"/>
        <w:tblInd w:w="760" w:type="dxa"/>
        <w:tblCellMar>
          <w:top w:w="0" w:type="dxa"/>
          <w:left w:w="0" w:type="dxa"/>
          <w:bottom w:w="0" w:type="dxa"/>
          <w:right w:w="0" w:type="dxa"/>
        </w:tblCellMar>
      </w:tblPr>
      <w:tr>
        <w:trPr>
          <w:trHeight w:val="232"/>
        </w:trPr>
        <w:tc>
          <w:tcPr>
            <w:tcW w:w="740" w:type="dxa"/>
            <w:vAlign w:val="bottom"/>
          </w:tcPr>
          <w:p>
            <w:pPr>
              <w:spacing w:after="0" w:line="207" w:lineRule="exact"/>
              <w:rPr>
                <w:sz w:val="20"/>
                <w:szCs w:val="20"/>
                <w:color w:val="auto"/>
              </w:rPr>
            </w:pPr>
            <w:r>
              <w:rPr>
                <w:rFonts w:ascii="Arial" w:cs="Arial" w:eastAsia="Arial" w:hAnsi="Arial"/>
                <w:sz w:val="18"/>
                <w:szCs w:val="18"/>
                <w:color w:val="auto"/>
              </w:rPr>
              <w:t xml:space="preserve">(k)   </w:t>
            </w:r>
            <w:r>
              <w:rPr>
                <w:rFonts w:ascii="MS PGothic" w:cs="MS PGothic" w:eastAsia="MS PGothic" w:hAnsi="MS PGothic"/>
                <w:sz w:val="18"/>
                <w:szCs w:val="18"/>
                <w:color w:val="auto"/>
              </w:rPr>
              <w:t>☐</w:t>
            </w:r>
          </w:p>
        </w:tc>
        <w:tc>
          <w:tcPr>
            <w:tcW w:w="9740" w:type="dxa"/>
            <w:vAlign w:val="bottom"/>
          </w:tcPr>
          <w:p>
            <w:pPr>
              <w:ind w:left="120"/>
              <w:spacing w:after="0"/>
              <w:rPr>
                <w:sz w:val="20"/>
                <w:szCs w:val="20"/>
                <w:color w:val="auto"/>
              </w:rPr>
            </w:pPr>
            <w:r>
              <w:rPr>
                <w:rFonts w:ascii="Arial" w:cs="Arial" w:eastAsia="Arial" w:hAnsi="Arial"/>
                <w:sz w:val="18"/>
                <w:szCs w:val="18"/>
                <w:color w:val="auto"/>
                <w:w w:val="96"/>
              </w:rPr>
              <w:t>Group, in accordance with Rule 13d–1(b)(1)(ii)(K). If filing as a non-U.S. institution in accordance with Rule 13d–1(b)(1)(ii)(J),</w:t>
            </w:r>
          </w:p>
        </w:tc>
      </w:tr>
      <w:tr>
        <w:trPr>
          <w:trHeight w:val="230"/>
        </w:trPr>
        <w:tc>
          <w:tcPr>
            <w:tcW w:w="74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please specify the type of institution:______________</w:t>
            </w:r>
          </w:p>
        </w:tc>
      </w:tr>
    </w:tbl>
    <w:p>
      <w:pPr>
        <w:spacing w:after="0" w:line="207" w:lineRule="exact"/>
        <w:rPr>
          <w:sz w:val="20"/>
          <w:szCs w:val="20"/>
          <w:color w:val="auto"/>
        </w:rPr>
      </w:pPr>
    </w:p>
    <w:p>
      <w:pPr>
        <w:ind w:left="760"/>
        <w:spacing w:after="0" w:line="207" w:lineRule="exact"/>
        <w:rPr>
          <w:sz w:val="20"/>
          <w:szCs w:val="20"/>
          <w:color w:val="auto"/>
        </w:rPr>
      </w:pPr>
      <w:r>
        <w:rPr>
          <w:rFonts w:ascii="Arial" w:cs="Arial" w:eastAsia="Arial" w:hAnsi="Arial"/>
          <w:sz w:val="18"/>
          <w:szCs w:val="18"/>
          <w:color w:val="auto"/>
        </w:rPr>
        <w:t xml:space="preserve">If this statement is filed pursuant to Rule 13d-1(c), check this box.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 w:name="page4"/>
    <w:bookmarkEnd w:id="3"/>
    <w:p>
      <w:pPr>
        <w:spacing w:after="0"/>
        <w:tabs>
          <w:tab w:leader="none" w:pos="5300" w:val="left"/>
          <w:tab w:leader="none" w:pos="1040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4 of 5</w:t>
      </w:r>
    </w:p>
    <w:p>
      <w:pPr>
        <w:sectPr>
          <w:pgSz w:w="11900" w:h="16838" w:orient="portrait"/>
          <w:cols w:equalWidth="0" w:num="1">
            <w:col w:w="11240"/>
          </w:cols>
          <w:pgMar w:left="320" w:top="908" w:right="339" w:bottom="1440" w:gutter="0" w:footer="0" w:header="0"/>
        </w:sectPr>
      </w:pPr>
    </w:p>
    <w:p>
      <w:pPr>
        <w:spacing w:after="0" w:line="275"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540" w:hanging="390"/>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Incorporated by reference to Item 9 of the cover page pertaining to each reporting person.</w:t>
      </w:r>
    </w:p>
    <w:p>
      <w:pPr>
        <w:spacing w:after="0" w:line="130" w:lineRule="exact"/>
        <w:rPr>
          <w:rFonts w:ascii="Arial" w:cs="Arial" w:eastAsia="Arial" w:hAnsi="Arial"/>
          <w:sz w:val="18"/>
          <w:szCs w:val="18"/>
          <w:color w:val="auto"/>
        </w:rPr>
      </w:pPr>
    </w:p>
    <w:p>
      <w:pPr>
        <w:ind w:left="1540" w:hanging="395"/>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Incorporated by reference to Item 11 of the cover page pertaining to each reporting person.</w:t>
      </w:r>
    </w:p>
    <w:p>
      <w:pPr>
        <w:spacing w:after="0" w:line="130" w:lineRule="exact"/>
        <w:rPr>
          <w:rFonts w:ascii="Arial" w:cs="Arial" w:eastAsia="Arial" w:hAnsi="Arial"/>
          <w:sz w:val="18"/>
          <w:szCs w:val="18"/>
          <w:color w:val="auto"/>
        </w:rPr>
      </w:pPr>
    </w:p>
    <w:p>
      <w:pPr>
        <w:ind w:left="1480" w:hanging="330"/>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2080" w:hanging="409"/>
        <w:spacing w:after="0"/>
        <w:tabs>
          <w:tab w:leader="none" w:pos="2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-164465</wp:posOffset>
            </wp:positionV>
            <wp:extent cx="61976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-379095</wp:posOffset>
            </wp:positionV>
            <wp:extent cx="61976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-867410</wp:posOffset>
            </wp:positionV>
            <wp:extent cx="61976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Incorporated by reference to Item 5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48895</wp:posOffset>
            </wp:positionV>
            <wp:extent cx="58464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11" w:lineRule="exact"/>
        <w:rPr>
          <w:sz w:val="20"/>
          <w:szCs w:val="20"/>
          <w:color w:val="auto"/>
        </w:rPr>
      </w:pPr>
    </w:p>
    <w:p>
      <w:pPr>
        <w:ind w:left="2080" w:hanging="434"/>
        <w:spacing w:after="0"/>
        <w:tabs>
          <w:tab w:leader="none" w:pos="2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Incorporated by reference to Item 6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48895</wp:posOffset>
            </wp:positionV>
            <wp:extent cx="58464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11" w:lineRule="exact"/>
        <w:rPr>
          <w:sz w:val="20"/>
          <w:szCs w:val="20"/>
          <w:color w:val="auto"/>
        </w:rPr>
      </w:pPr>
    </w:p>
    <w:p>
      <w:pPr>
        <w:ind w:left="2080" w:hanging="459"/>
        <w:spacing w:after="0"/>
        <w:tabs>
          <w:tab w:leader="none" w:pos="2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color w:val="auto"/>
        </w:rPr>
        <w:t>Incorporated by reference to Item 7 of the cover page pertaining to each reporting person.</w:t>
      </w:r>
    </w:p>
    <w:p>
      <w:pPr>
        <w:spacing w:after="0" w:line="130" w:lineRule="exact"/>
        <w:rPr>
          <w:rFonts w:ascii="Arial" w:cs="Arial" w:eastAsia="Arial" w:hAnsi="Arial"/>
          <w:sz w:val="18"/>
          <w:szCs w:val="18"/>
          <w:color w:val="auto"/>
        </w:rPr>
      </w:pPr>
    </w:p>
    <w:p>
      <w:pPr>
        <w:ind w:left="2080" w:hanging="454"/>
        <w:spacing w:after="0"/>
        <w:tabs>
          <w:tab w:leader="none" w:pos="2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color w:val="auto"/>
        </w:rPr>
        <w:t>Incorporated by reference to Item 8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48895</wp:posOffset>
            </wp:positionV>
            <wp:extent cx="58464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-438785</wp:posOffset>
            </wp:positionV>
            <wp:extent cx="58464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323"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1" w:lineRule="exact"/>
        <w:rPr>
          <w:sz w:val="20"/>
          <w:szCs w:val="20"/>
          <w:color w:val="auto"/>
        </w:rPr>
      </w:pPr>
    </w:p>
    <w:p>
      <w:pPr>
        <w:ind w:left="1660" w:right="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x.</w:t>
      </w:r>
    </w:p>
    <w:p>
      <w:pPr>
        <w:spacing w:after="0" w:line="274"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080" w:right="820" w:hanging="1011"/>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10</w:t>
      </w:r>
      <w:r>
        <w:rPr>
          <w:sz w:val="20"/>
          <w:szCs w:val="20"/>
          <w:color w:val="auto"/>
        </w:rPr>
        <w:tab/>
      </w:r>
      <w:r>
        <w:rPr>
          <w:rFonts w:ascii="Arial" w:cs="Arial" w:eastAsia="Arial" w:hAnsi="Arial"/>
          <w:sz w:val="16"/>
          <w:szCs w:val="16"/>
          <w:b w:val="1"/>
          <w:bCs w:val="1"/>
          <w:color w:val="auto"/>
        </w:rPr>
        <w:t>Certification:</w:t>
      </w:r>
    </w:p>
    <w:p>
      <w:pPr>
        <w:spacing w:after="0" w:line="337" w:lineRule="exact"/>
        <w:rPr>
          <w:sz w:val="20"/>
          <w:szCs w:val="20"/>
          <w:color w:val="auto"/>
        </w:rPr>
      </w:pPr>
    </w:p>
    <w:p>
      <w:pPr>
        <w:jc w:val="both"/>
        <w:ind w:left="60" w:right="60" w:firstLine="648"/>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 w:name="page5"/>
    <w:bookmarkEnd w:id="4"/>
    <w:p>
      <w:pPr>
        <w:spacing w:after="0"/>
        <w:tabs>
          <w:tab w:leader="none" w:pos="5300" w:val="left"/>
          <w:tab w:leader="none" w:pos="1040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5 of 5</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9th day of February,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TRIGRAN INVESTMENTS,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A. Oberman</w:t>
            </w:r>
          </w:p>
        </w:tc>
        <w:tc>
          <w:tcPr>
            <w:tcW w:w="5620" w:type="dxa"/>
            <w:vAlign w:val="bottom"/>
          </w:tcPr>
          <w:p>
            <w:pPr>
              <w:spacing w:after="0"/>
              <w:rPr>
                <w:sz w:val="20"/>
                <w:szCs w:val="20"/>
                <w:color w:val="auto"/>
              </w:rPr>
            </w:pP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Lawrence A. Oberman</w:t>
            </w:r>
          </w:p>
        </w:tc>
        <w:tc>
          <w:tcPr>
            <w:tcW w:w="5620" w:type="dxa"/>
            <w:vAlign w:val="bottom"/>
          </w:tcPr>
          <w:p>
            <w:pPr>
              <w:spacing w:after="0"/>
              <w:rPr>
                <w:sz w:val="16"/>
                <w:szCs w:val="16"/>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w w:val="95"/>
              </w:rPr>
              <w:t>Executive Vice President of Trigran Investments, Inc., the General</w:t>
            </w:r>
          </w:p>
        </w:tc>
        <w:tc>
          <w:tcPr>
            <w:tcW w:w="56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Partner of Trigran Investments, L.P.</w:t>
            </w:r>
          </w:p>
        </w:tc>
        <w:tc>
          <w:tcPr>
            <w:tcW w:w="56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2"/>
    </w:lvl>
    <w:lvl w:ilvl="1">
      <w:lvlJc w:val="left"/>
      <w:lvlText w:val="(%2)"/>
      <w:numFmt w:val="lowerLetter"/>
      <w:start w:val="1"/>
    </w:lvl>
  </w:abstractNum>
  <w:abstractNum w:abstractNumId="5">
    <w:nsid w:val="515F007C"/>
    <w:multiLevelType w:val="hybridMultilevel"/>
    <w:lvl w:ilvl="0">
      <w:lvlJc w:val="left"/>
      <w:lvlText w:val="%1"/>
      <w:numFmt w:val="decimal"/>
      <w:start w:val="1"/>
    </w:lvl>
    <w:lvl w:ilvl="1">
      <w:lvlJc w:val="left"/>
      <w:lvlText w:val="%2."/>
      <w:numFmt w:val="decimal"/>
      <w:start w:val="8"/>
    </w:lvl>
  </w:abstractNum>
  <w:abstractNum w:abstractNumId="6">
    <w:nsid w:val="5BD062C2"/>
    <w:multiLevelType w:val="hybridMultilevel"/>
    <w:lvl w:ilvl="0">
      <w:lvlJc w:val="left"/>
      <w:lvlText w:val="%1."/>
      <w:numFmt w:val="decimal"/>
      <w:start w:val="9"/>
    </w:lvl>
    <w:lvl w:ilvl="1">
      <w:lvlJc w:val="left"/>
      <w:lvlText w:val="%2"/>
      <w:numFmt w:val="decimal"/>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lvl w:ilvl="1">
      <w:lvlJc w:val="left"/>
      <w:lvlText w:val="(%2)"/>
      <w:numFmt w:val="lowerLetter"/>
      <w:start w:val="9"/>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2022-02-11T16:16:35Z</dcterms:created>
  <dcterms:modified xsi:type="dcterms:W3CDTF">2022-02-11T16:16:35Z</dcterms:modified>
</cp:coreProperties>
</file>