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December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224155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CECO Environmental Corp.</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13-2566064</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836"/>
        <w:spacing w:after="0"/>
        <w:rPr>
          <w:sz w:val="20"/>
          <w:szCs w:val="20"/>
          <w:color w:val="auto"/>
        </w:rPr>
      </w:pPr>
      <w:r>
        <w:rPr>
          <w:rFonts w:ascii="Arial" w:cs="Arial" w:eastAsia="Arial" w:hAnsi="Arial"/>
          <w:sz w:val="16"/>
          <w:szCs w:val="16"/>
          <w:b w:val="1"/>
          <w:bCs w:val="1"/>
          <w:color w:val="auto"/>
        </w:rPr>
        <w:t>14651 North Dallas Parkway</w:t>
      </w:r>
    </w:p>
    <w:p>
      <w:pPr>
        <w:spacing w:after="0" w:line="50"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Suite 500</w:t>
      </w:r>
    </w:p>
    <w:p>
      <w:pPr>
        <w:spacing w:after="0" w:line="9" w:lineRule="exact"/>
        <w:rPr>
          <w:sz w:val="24"/>
          <w:szCs w:val="24"/>
          <w:color w:val="auto"/>
        </w:rPr>
      </w:pPr>
    </w:p>
    <w:p>
      <w:pPr>
        <w:jc w:val="center"/>
        <w:ind w:right="1836"/>
        <w:spacing w:after="0"/>
        <w:rPr>
          <w:sz w:val="20"/>
          <w:szCs w:val="20"/>
          <w:color w:val="auto"/>
        </w:rPr>
      </w:pPr>
      <w:r>
        <w:rPr>
          <w:rFonts w:ascii="Arial" w:cs="Arial" w:eastAsia="Arial" w:hAnsi="Arial"/>
          <w:sz w:val="18"/>
          <w:szCs w:val="18"/>
          <w:b w:val="1"/>
          <w:bCs w:val="1"/>
          <w:color w:val="auto"/>
        </w:rPr>
        <w:t>Dallas, 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75254</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CECE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Definitive Material Agreement</w:t>
      </w:r>
    </w:p>
    <w:p>
      <w:pPr>
        <w:spacing w:after="0" w:line="121" w:lineRule="exact"/>
        <w:rPr>
          <w:sz w:val="20"/>
          <w:szCs w:val="20"/>
          <w:color w:val="auto"/>
        </w:rPr>
      </w:pPr>
    </w:p>
    <w:p>
      <w:pPr>
        <w:ind w:left="4" w:right="80" w:firstLine="440"/>
        <w:spacing w:after="0" w:line="296" w:lineRule="auto"/>
        <w:rPr>
          <w:sz w:val="20"/>
          <w:szCs w:val="20"/>
          <w:color w:val="auto"/>
        </w:rPr>
      </w:pPr>
      <w:r>
        <w:rPr>
          <w:rFonts w:ascii="Arial" w:cs="Arial" w:eastAsia="Arial" w:hAnsi="Arial"/>
          <w:sz w:val="16"/>
          <w:szCs w:val="16"/>
          <w:color w:val="auto"/>
        </w:rPr>
        <w:t>On December 17, 2021, CECO Environmental Corp. (the “Company”) entered into Amendment No. 2 to Second Amended and Restated Credit Agreement, among the Company, the lenders party thereto and Bank of America, N.A., as administrative agent (the “Amendment”). The Amendment amends the Company’s existing Second Amended and Restated Credit Agreement, dated June 11, 2019, among the Company, the lenders from time to time party thereto, Bank of America, N.A., as administrative agent, and the other parties from time to time party thereto (as previously amended, the “Existing Credit Agreement” and the Existing Credit Agreement as amended by the Amendment, the “Amended Credit Agreement”).</w:t>
      </w:r>
    </w:p>
    <w:p>
      <w:pPr>
        <w:spacing w:after="0" w:line="161" w:lineRule="exact"/>
        <w:rPr>
          <w:sz w:val="20"/>
          <w:szCs w:val="20"/>
          <w:color w:val="auto"/>
        </w:rPr>
      </w:pPr>
    </w:p>
    <w:p>
      <w:pPr>
        <w:jc w:val="center"/>
        <w:ind w:right="16"/>
        <w:spacing w:after="0"/>
        <w:rPr>
          <w:sz w:val="20"/>
          <w:szCs w:val="20"/>
          <w:color w:val="auto"/>
        </w:rPr>
      </w:pPr>
      <w:r>
        <w:rPr>
          <w:rFonts w:ascii="Arial" w:cs="Arial" w:eastAsia="Arial" w:hAnsi="Arial"/>
          <w:sz w:val="17"/>
          <w:szCs w:val="17"/>
          <w:color w:val="auto"/>
        </w:rPr>
        <w:t>The Amendment, which includes customary representations and warranties, amends the Existing Credit Agreement to, among other things,</w:t>
      </w:r>
    </w:p>
    <w:p>
      <w:pPr>
        <w:spacing w:after="0" w:line="35" w:lineRule="exact"/>
        <w:rPr>
          <w:sz w:val="20"/>
          <w:szCs w:val="20"/>
          <w:color w:val="auto"/>
        </w:rPr>
      </w:pPr>
    </w:p>
    <w:p>
      <w:pPr>
        <w:ind w:left="4" w:hanging="4"/>
        <w:spacing w:after="0" w:line="281" w:lineRule="auto"/>
        <w:tabs>
          <w:tab w:leader="none" w:pos="219" w:val="left"/>
        </w:tabs>
        <w:numPr>
          <w:ilvl w:val="0"/>
          <w:numId w:val="2"/>
        </w:numPr>
        <w:rPr>
          <w:rFonts w:ascii="Arial" w:cs="Arial" w:eastAsia="Arial" w:hAnsi="Arial"/>
          <w:sz w:val="16"/>
          <w:szCs w:val="16"/>
          <w:color w:val="auto"/>
        </w:rPr>
      </w:pPr>
      <w:r>
        <w:rPr>
          <w:rFonts w:ascii="Arial" w:cs="Arial" w:eastAsia="Arial" w:hAnsi="Arial"/>
          <w:sz w:val="16"/>
          <w:szCs w:val="16"/>
          <w:color w:val="auto"/>
        </w:rPr>
        <w:t>extend the maturity date of the loans and commitments thereunder from June 11, 2024 to December 17, 2026, (ii) modify certain negative covenants to provide additional operational flexibility, (iii) modify the definition of Consolidated EBITDA to include an additional addback related to a contemplated investment, (iv) modify the consolidated net leverage ratio financial covenant to require a consolidated net leverage ratio of (A) 3.75:1.00 or less for fiscal quarters ending prior to December 31, 2023 and (B) 3.50:1.00 or less for fiscal quarters ending on or after December 31, 2023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 new benchmark interest rates to replace the LIBOR interest rate benchmark.</w:t>
      </w:r>
    </w:p>
    <w:p>
      <w:pPr>
        <w:spacing w:after="0" w:line="211" w:lineRule="exact"/>
        <w:rPr>
          <w:sz w:val="20"/>
          <w:szCs w:val="20"/>
          <w:color w:val="auto"/>
        </w:rPr>
      </w:pPr>
    </w:p>
    <w:p>
      <w:pPr>
        <w:ind w:left="4" w:right="20" w:firstLine="440"/>
        <w:spacing w:after="0" w:line="291" w:lineRule="auto"/>
        <w:rPr>
          <w:sz w:val="20"/>
          <w:szCs w:val="20"/>
          <w:color w:val="auto"/>
        </w:rPr>
      </w:pPr>
      <w:r>
        <w:rPr>
          <w:rFonts w:ascii="Arial" w:cs="Arial" w:eastAsia="Arial" w:hAnsi="Arial"/>
          <w:sz w:val="16"/>
          <w:szCs w:val="16"/>
          <w:color w:val="auto"/>
        </w:rPr>
        <w:t>Under the Amended Credit Agreement, loans will accrue interest at a rate equal to (i) an applicable margin plus (ii) (a) with respect to U.S. dollar denominated loans, either Term SOFR (as defined in the Amended Credit Agreement), Daily Simple SOFR (as defined in the Amended Credit Agreement) or Base Rate (as defined in the Amended Credit Agreement), in each case, plus an applicable adjustment, (b) with respect to Sterling denominated loans, SONIA (as defined in the Amended Credit Agreement) plus an applicable adjustment, (c) with respect to Euro denominated loans, EURIBOR (as defined in the Amended Credit Agreement) and (d) with respect to Canadian dollar denominated loans, CDOR (as defined in the Amended Credit Agreement). The applicable margin for loans fluctuates based on the Company’s consolidated net leverage ratio and ranges between 1.75% – 2.75% (or, in the case of Base Rate Loans (as defined in the Amended Credit Agreement), 0.75% – 1.75%).</w:t>
      </w:r>
    </w:p>
    <w:p>
      <w:pPr>
        <w:spacing w:after="0" w:line="166" w:lineRule="exact"/>
        <w:rPr>
          <w:sz w:val="20"/>
          <w:szCs w:val="20"/>
          <w:color w:val="auto"/>
        </w:rPr>
      </w:pPr>
    </w:p>
    <w:p>
      <w:pPr>
        <w:jc w:val="both"/>
        <w:ind w:left="4" w:right="280" w:firstLine="440"/>
        <w:spacing w:after="0" w:line="263" w:lineRule="auto"/>
        <w:rPr>
          <w:sz w:val="20"/>
          <w:szCs w:val="20"/>
          <w:color w:val="auto"/>
        </w:rPr>
      </w:pPr>
      <w:r>
        <w:rPr>
          <w:rFonts w:ascii="Arial" w:cs="Arial" w:eastAsia="Arial" w:hAnsi="Arial"/>
          <w:sz w:val="18"/>
          <w:szCs w:val="18"/>
          <w:color w:val="auto"/>
        </w:rPr>
        <w:t>Certain of the lenders, as well as certain of their respective affiliates, have performed and may in the future perform for the Company, various commercial banking, investment banking, lending, underwriting, trust services, financial advisory and other financial services, for which they have received and may in the future receive customary fees and expenses.</w:t>
      </w:r>
    </w:p>
    <w:p>
      <w:pPr>
        <w:sectPr>
          <w:pgSz w:w="11900" w:h="16838" w:orient="portrait"/>
          <w:cols w:equalWidth="0" w:num="1">
            <w:col w:w="10924"/>
          </w:cols>
          <w:pgMar w:left="436" w:top="297" w:right="5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December 20, 2021</w:t>
      </w:r>
      <w:r>
        <w:rPr>
          <w:sz w:val="20"/>
          <w:szCs w:val="20"/>
          <w:color w:val="auto"/>
        </w:rPr>
        <w:tab/>
      </w:r>
      <w:r>
        <w:rPr>
          <w:rFonts w:ascii="Arial" w:cs="Arial" w:eastAsia="Arial" w:hAnsi="Arial"/>
          <w:sz w:val="17"/>
          <w:szCs w:val="17"/>
          <w:color w:val="auto"/>
        </w:rPr>
        <w:t>CECO ENVIRONMENTAL CORP.</w:t>
      </w:r>
    </w:p>
    <w:p>
      <w:pPr>
        <w:spacing w:after="0" w:line="225"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2021-12-20T16:08:08Z</dcterms:created>
  <dcterms:modified xsi:type="dcterms:W3CDTF">2021-12-20T16:08:08Z</dcterms:modified>
</cp:coreProperties>
</file>