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03/26/2007</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CECO ENVIRONMENTAL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0-7099</w:t>
      </w:r>
    </w:p>
    <w:p>
      <w:pPr>
        <w:sectPr>
          <w:pgSz w:w="11900" w:h="16838" w:orient="portrait"/>
          <w:cols w:equalWidth="0" w:num="1">
            <w:col w:w="11420"/>
          </w:cols>
          <w:pgMar w:left="240" w:top="530" w:right="239" w:bottom="1440" w:gutter="0" w:footer="0" w:header="0"/>
        </w:sectPr>
      </w:pPr>
    </w:p>
    <w:p>
      <w:pPr>
        <w:spacing w:after="0" w:line="139" w:lineRule="exact"/>
        <w:rPr>
          <w:sz w:val="24"/>
          <w:szCs w:val="24"/>
          <w:color w:val="auto"/>
        </w:rPr>
      </w:pPr>
    </w:p>
    <w:p>
      <w:pPr>
        <w:ind w:left="3220"/>
        <w:spacing w:after="0"/>
        <w:rPr>
          <w:sz w:val="20"/>
          <w:szCs w:val="20"/>
          <w:color w:val="auto"/>
        </w:rPr>
      </w:pPr>
      <w:r>
        <w:rPr>
          <w:rFonts w:ascii="Arial" w:cs="Arial" w:eastAsia="Arial" w:hAnsi="Arial"/>
          <w:sz w:val="21"/>
          <w:szCs w:val="21"/>
          <w:b w:val="1"/>
          <w:bCs w:val="1"/>
          <w:color w:val="auto"/>
        </w:rPr>
        <w:t>DE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13-2566064</w:t>
      </w:r>
    </w:p>
    <w:p>
      <w:pPr>
        <w:spacing w:after="0" w:line="58" w:lineRule="exact"/>
        <w:rPr>
          <w:sz w:val="24"/>
          <w:szCs w:val="24"/>
          <w:color w:val="auto"/>
        </w:rPr>
      </w:pPr>
    </w:p>
    <w:p>
      <w:pPr>
        <w:sectPr>
          <w:pgSz w:w="11900" w:h="16838" w:orient="portrait"/>
          <w:cols w:equalWidth="0" w:num="2">
            <w:col w:w="8020" w:space="720"/>
            <w:col w:w="2680"/>
          </w:cols>
          <w:pgMar w:left="240" w:top="530" w:right="239" w:bottom="1440" w:gutter="0" w:footer="0" w:header="0"/>
          <w:type w:val="continuous"/>
        </w:sectPr>
      </w:pPr>
    </w:p>
    <w:p>
      <w:pPr>
        <w:spacing w:after="0" w:line="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8"/>
          <w:szCs w:val="18"/>
          <w:b w:val="1"/>
          <w:bCs w:val="1"/>
          <w:color w:val="auto"/>
        </w:rPr>
        <w:t>(IRS Employer</w:t>
      </w:r>
    </w:p>
    <w:p>
      <w:pPr>
        <w:jc w:val="center"/>
        <w:ind w:right="1480"/>
        <w:spacing w:after="0"/>
        <w:rPr>
          <w:sz w:val="20"/>
          <w:szCs w:val="20"/>
          <w:color w:val="auto"/>
        </w:rPr>
      </w:pPr>
      <w:r>
        <w:rPr>
          <w:rFonts w:ascii="Arial" w:cs="Arial" w:eastAsia="Arial" w:hAnsi="Arial"/>
          <w:sz w:val="16"/>
          <w:szCs w:val="16"/>
          <w:b w:val="1"/>
          <w:bCs w:val="1"/>
          <w:color w:val="auto"/>
        </w:rPr>
        <w:t>Identification No.)</w:t>
      </w:r>
    </w:p>
    <w:p>
      <w:pPr>
        <w:spacing w:after="0" w:line="154" w:lineRule="exact"/>
        <w:rPr>
          <w:sz w:val="24"/>
          <w:szCs w:val="24"/>
          <w:color w:val="auto"/>
        </w:rPr>
      </w:pPr>
    </w:p>
    <w:p>
      <w:pPr>
        <w:sectPr>
          <w:pgSz w:w="11900" w:h="16838" w:orient="portrait"/>
          <w:cols w:equalWidth="0" w:num="2">
            <w:col w:w="7840" w:space="720"/>
            <w:col w:w="2860"/>
          </w:cols>
          <w:pgMar w:left="240" w:top="530"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3120 Forrer Street, Cincinnati, OH 45209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ectPr>
          <w:pgSz w:w="11900" w:h="16838" w:orient="portrait"/>
          <w:cols w:equalWidth="0" w:num="1">
            <w:col w:w="11420"/>
          </w:cols>
          <w:pgMar w:left="240" w:top="530" w:right="2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(416) 593-6543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8" w:lineRule="exact"/>
        <w:rPr>
          <w:sz w:val="24"/>
          <w:szCs w:val="24"/>
          <w:color w:val="auto"/>
        </w:rPr>
      </w:pPr>
    </w:p>
    <w:p>
      <w:pPr>
        <w:ind w:right="500"/>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Written communications pursuant to Rule 425 under the Securities Act (17 CFR 230.425)</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Soliciting material pursuant to Rule 14a-12 under the Exchange Act (17 CFR 240.14a-12)</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14d-2(b) under the Exchange Act (17 CFR 240.14d-2(b))</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13e-4(c) under the Exchange Act (17 CFR 240.13e-4(c))</w:t>
            </w:r>
          </w:p>
        </w:tc>
      </w:tr>
      <w:tr>
        <w:trPr>
          <w:trHeight w:val="255"/>
        </w:trPr>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140" w:type="dxa"/>
            <w:vAlign w:val="bottom"/>
          </w:tcPr>
          <w:p>
            <w:pPr>
              <w:spacing w:after="0"/>
              <w:rPr>
                <w:sz w:val="22"/>
                <w:szCs w:val="22"/>
                <w:color w:val="auto"/>
              </w:rPr>
            </w:pPr>
          </w:p>
        </w:tc>
      </w:tr>
      <w:tr>
        <w:trPr>
          <w:trHeight w:val="61"/>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Information to be included in the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6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On March 26, 2007, CECO Environmental Corp. ("CECO") and Can-Med Technology, Inc. d/b/a Green Diamond Oil Corp. ("Green Diamond") entered into a Fourth Amended and Restated Replacement Promissory Note ("Replacement Note 1") and a Sixth Amended and Restated Replacement Promissory Note ("Replacement Note 2") to extend the maturity date under both notes from July 1, 2008 to January 31, 2010.</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descriptions set forth herein of the Replacement Note 1 and Replacement Note 2 are qualified in their entirety by reference to the full text of such notes, which are filed with this report as Exhibits 10.1, and 10.2 and are incorporated by reference into this Item 1.01.</w:t>
      </w:r>
    </w:p>
    <w:p>
      <w:pPr>
        <w:spacing w:after="0" w:line="200" w:lineRule="exact"/>
        <w:rPr>
          <w:sz w:val="20"/>
          <w:szCs w:val="20"/>
          <w:color w:val="auto"/>
        </w:rPr>
      </w:pPr>
    </w:p>
    <w:p>
      <w:pPr>
        <w:spacing w:after="0" w:line="237"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March 26, 2007, the Company entered into a Consulting Agreement with Green Diamond. Phillip DeZwirek, the CEO and Chairman of the Board and Jason DeZwirek, the Secretary and a director, are deemed to control Green Diamond. Under the Consulting Agreement, Green Diamond will receive a monthly fee of $30,000, which will be reviewed annually by the Company for possible increase. The term of the Consulting Agreement is through December 31, 2011. Green Diamond may terminate its engagement in the event of a change of control (as defined in the Consulting Agreement) and the Company may terminate the Consulting Agreement in the event of Cause (as defined in the Consulting Agreement). Either party may terminate the Consulting Agreement in the event of certain events relating to bankruptcy or insolvency. In the event that the Consulting Agreement is terminated for any reason other than Cause, Green Diamond is entitled to a severance fee in the amount of the remaining aggregate monthly fees that Green Diamond wo uld have received had the Consulting Agreement not been terminated, provided that the amount will not exceed an amount equal to one dollar less that 300% of Green Diamond's base amount, as defined in Section 280G(b)(3) of the Internal Revenue Code of 1986, as amended.</w:t>
      </w:r>
    </w:p>
    <w:p>
      <w:pPr>
        <w:spacing w:after="0" w:line="24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 Fourth Amended and Restated Replacement Promissory Note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 Sixth Amended and Restated Replacement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March 29,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CFO and Vice President--Finance and Administration</w:t>
      </w:r>
    </w:p>
    <w:p>
      <w:pPr>
        <w:sectPr>
          <w:pgSz w:w="11900" w:h="16838" w:orient="portrait"/>
          <w:cols w:equalWidth="0" w:num="1">
            <w:col w:w="11400"/>
          </w:cols>
          <w:pgMar w:left="240" w:top="13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ind w:left="2880"/>
              <w:spacing w:after="0"/>
              <w:rPr>
                <w:sz w:val="20"/>
                <w:szCs w:val="20"/>
                <w:color w:val="auto"/>
              </w:rPr>
            </w:pPr>
            <w:r>
              <w:rPr>
                <w:rFonts w:ascii="Arial" w:cs="Arial" w:eastAsia="Arial" w:hAnsi="Arial"/>
                <w:sz w:val="22"/>
                <w:szCs w:val="22"/>
                <w:b w:val="1"/>
                <w:bCs w:val="1"/>
                <w:color w:val="auto"/>
                <w:w w:val="90"/>
              </w:rPr>
              <w:t>Exhibit Index</w:t>
            </w:r>
          </w:p>
        </w:tc>
      </w:tr>
      <w:tr>
        <w:trPr>
          <w:trHeight w:val="420"/>
        </w:trPr>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20"/>
        </w:trPr>
        <w:tc>
          <w:tcPr>
            <w:tcW w:w="1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140" w:type="dxa"/>
            <w:vAlign w:val="bottom"/>
          </w:tcPr>
          <w:p>
            <w:pPr>
              <w:spacing w:after="0"/>
              <w:rPr>
                <w:sz w:val="10"/>
                <w:szCs w:val="10"/>
                <w:color w:val="auto"/>
              </w:rPr>
            </w:pPr>
          </w:p>
        </w:tc>
      </w:tr>
      <w:tr>
        <w:trPr>
          <w:trHeight w:val="310"/>
        </w:trPr>
        <w:tc>
          <w:tcPr>
            <w:tcW w:w="1180" w:type="dxa"/>
            <w:vAlign w:val="bottom"/>
            <w:gridSpan w:val="3"/>
          </w:tcPr>
          <w:p>
            <w:pPr>
              <w:spacing w:after="0"/>
              <w:rPr>
                <w:sz w:val="20"/>
                <w:szCs w:val="20"/>
                <w:color w:val="auto"/>
              </w:rPr>
            </w:pPr>
            <w:r>
              <w:rPr>
                <w:rFonts w:ascii="Arial" w:cs="Arial" w:eastAsia="Arial" w:hAnsi="Arial"/>
                <w:sz w:val="14"/>
                <w:szCs w:val="14"/>
                <w:color w:val="auto"/>
              </w:rPr>
              <w:t>EX-10.1</w:t>
            </w:r>
          </w:p>
        </w:tc>
        <w:tc>
          <w:tcPr>
            <w:tcW w:w="5160" w:type="dxa"/>
            <w:vAlign w:val="bottom"/>
            <w:gridSpan w:val="2"/>
          </w:tcPr>
          <w:p>
            <w:pPr>
              <w:spacing w:after="0"/>
              <w:rPr>
                <w:sz w:val="20"/>
                <w:szCs w:val="20"/>
                <w:color w:val="auto"/>
              </w:rPr>
            </w:pPr>
            <w:r>
              <w:rPr>
                <w:rFonts w:ascii="Arial" w:cs="Arial" w:eastAsia="Arial" w:hAnsi="Arial"/>
                <w:sz w:val="18"/>
                <w:szCs w:val="18"/>
                <w:color w:val="auto"/>
              </w:rPr>
              <w:t>Fourth Amended and Restated Replacement Promissory Note</w:t>
            </w:r>
          </w:p>
        </w:tc>
      </w:tr>
      <w:tr>
        <w:trPr>
          <w:trHeight w:val="225"/>
        </w:trPr>
        <w:tc>
          <w:tcPr>
            <w:tcW w:w="1180" w:type="dxa"/>
            <w:vAlign w:val="bottom"/>
            <w:gridSpan w:val="3"/>
          </w:tcPr>
          <w:p>
            <w:pPr>
              <w:spacing w:after="0"/>
              <w:rPr>
                <w:sz w:val="20"/>
                <w:szCs w:val="20"/>
                <w:color w:val="auto"/>
              </w:rPr>
            </w:pPr>
            <w:r>
              <w:rPr>
                <w:rFonts w:ascii="Arial" w:cs="Arial" w:eastAsia="Arial" w:hAnsi="Arial"/>
                <w:sz w:val="14"/>
                <w:szCs w:val="14"/>
                <w:color w:val="auto"/>
              </w:rPr>
              <w:t>EX-10.2</w:t>
            </w:r>
          </w:p>
        </w:tc>
        <w:tc>
          <w:tcPr>
            <w:tcW w:w="5160" w:type="dxa"/>
            <w:vAlign w:val="bottom"/>
            <w:gridSpan w:val="2"/>
          </w:tcPr>
          <w:p>
            <w:pPr>
              <w:spacing w:after="0"/>
              <w:rPr>
                <w:sz w:val="20"/>
                <w:szCs w:val="20"/>
                <w:color w:val="auto"/>
              </w:rPr>
            </w:pPr>
            <w:r>
              <w:rPr>
                <w:rFonts w:ascii="Arial" w:cs="Arial" w:eastAsia="Arial" w:hAnsi="Arial"/>
                <w:sz w:val="18"/>
                <w:szCs w:val="18"/>
                <w:color w:val="auto"/>
              </w:rPr>
              <w:t>Sixth Amended and Restated Replacement Promissory Note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-353695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-353695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-353695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-353695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801" w:right="1440" w:bottom="1440" w:gutter="0" w:footer="0" w:header="0"/>
        </w:sectPr>
      </w:pPr>
    </w:p>
    <w:bookmarkStart w:id="3" w:name="page4"/>
    <w:bookmarkEnd w:id="3"/>
    <w:p>
      <w:pPr>
        <w:spacing w:after="0" w:line="233" w:lineRule="auto"/>
        <w:rPr>
          <w:sz w:val="20"/>
          <w:szCs w:val="20"/>
          <w:color w:val="auto"/>
        </w:rPr>
      </w:pPr>
      <w:r>
        <w:rPr>
          <w:rFonts w:ascii="Arial" w:cs="Arial" w:eastAsia="Arial" w:hAnsi="Arial"/>
          <w:sz w:val="22"/>
          <w:szCs w:val="22"/>
          <w:b w:val="1"/>
          <w:bCs w:val="1"/>
          <w:color w:val="auto"/>
        </w:rPr>
        <w:t>NOTWITHSTANDING ANYTHING HEREIN TO THE CONTRARY, (I) THE OBLIGATIONS EVIDENCED BY THIS THIRD AMENDED AND RESTATED REPLACEMENT PROMISSORY NOTE ARE SUBORDINATED TO THE PRIOR PAYMENT IN FULL OF THE SENIOR OBLIGATIONS (AS DEFINED IN THE SUBORDINATION AGREEMENT HEREINAFTER REFERRED TO) PURSUANT TO, AND TO THE EXTENT PROVIDED IN THE SUBORDINATION AGREEMENT, DATED AS OF DECEMBER 29, 2005 (AS AMENDED, RESTATED, SUPPLEMENTED OR MODIFIED FROM TIME TO TIME, THE “SUBORDINATION AGREEMENT”) IN FAVOR OF FIFTH THIRD BANK (TOGETHER WITH ITS SUCCESSORS AND ASSIGNS, AND THE OTHER HOLDERS, IF ANY, OF THE SENIOR OBLIGATIONS IDENTIFIED THEREIN, THE “SENIOR LENDER”) AND (II) THE RIGHTS OF THE HOLDER OF THIS NOTE HEREUNDER ARE SUBJECT TO THE LIMITATIONS AND PROVISIONS OF THE SUBORDINATION AGREEMENT. IN THE EVENT OF ANY CONFLICT BETWEEN THE TERMS OF THE SUBORDINATION AGREEMENT AND THE TERMS OF THIS THIRD AMENDED AND RESTATED REPLACEMENT PROMISSORY NOTE, THE TERMS OF THE SUBORDINATION AGREEMENT SHALL GOVERN.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CECO Environmental Corp</w:t>
      </w:r>
      <w:r>
        <w:rPr>
          <w:rFonts w:ascii="Arial" w:cs="Arial" w:eastAsia="Arial" w:hAnsi="Arial"/>
          <w:sz w:val="22"/>
          <w:szCs w:val="22"/>
          <w:b w:val="1"/>
          <w:bCs w:val="1"/>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FOURTH AMENDED AND RESTATED REPLACEMENT </w:t>
      </w:r>
      <w:r>
        <w:rPr>
          <w:rFonts w:ascii="Arial" w:cs="Arial" w:eastAsia="Arial" w:hAnsi="Arial"/>
          <w:sz w:val="22"/>
          <w:szCs w:val="22"/>
          <w:b w:val="1"/>
          <w:bCs w:val="1"/>
          <w:u w:val="single" w:color="auto"/>
          <w:color w:val="auto"/>
        </w:rPr>
        <w:t>PROMISSORY NOTE</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$1,200,000</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March 26, 2007</w:t>
      </w:r>
    </w:p>
    <w:p>
      <w:pPr>
        <w:spacing w:after="0" w:line="247"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WHEREAS, Can-Med Technology, Inc. d/b/a Green Diamond Oil Corp., an Ontario corporation ("Green Diamond") has prior to this date advanced sums to CECO Environmental Corp. (the "Company") as evidenced by a Third Amended and Restated Replacement Promissory Note dated December 28, 2006 (the "Prior Note"), which Prior Note shall be cancelled and replaced by this Fourth Amended and Restated Replacement Promissory Note (the "Note").</w:t>
      </w:r>
    </w:p>
    <w:p>
      <w:pPr>
        <w:spacing w:after="0" w:line="185"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WHEREAS, Green Diamond has agreed to amend and restate the Prior Note and replace the Prior Note with this Note to extend the maturity date and increase the interest rate under the Prior Note.</w:t>
      </w:r>
    </w:p>
    <w:p>
      <w:pPr>
        <w:spacing w:after="0" w:line="173" w:lineRule="exact"/>
        <w:rPr>
          <w:sz w:val="20"/>
          <w:szCs w:val="20"/>
          <w:color w:val="auto"/>
        </w:rPr>
      </w:pPr>
    </w:p>
    <w:p>
      <w:pPr>
        <w:ind w:right="180" w:firstLine="270"/>
        <w:spacing w:after="0" w:line="234" w:lineRule="auto"/>
        <w:rPr>
          <w:sz w:val="20"/>
          <w:szCs w:val="20"/>
          <w:color w:val="auto"/>
        </w:rPr>
      </w:pPr>
      <w:r>
        <w:rPr>
          <w:rFonts w:ascii="Arial" w:cs="Arial" w:eastAsia="Arial" w:hAnsi="Arial"/>
          <w:sz w:val="22"/>
          <w:szCs w:val="22"/>
          <w:color w:val="auto"/>
        </w:rPr>
        <w:t>FOR VALUE RECEIVED, the undersigned, CECO Environmental Corp. (the “Company”), a Delaware corporation, hereby promises to pay to the order of Green Diamond Oil Corp. or registered assigns (“Holder”), the principal sum of ONE MILLION TWO HUNDRED THOUSAND AND NO/100 ($1,200,000.00) on the Maturity Date, as defined in Section 1 below. This Note is subordinate to certain bank financing of the Company further described herein and to a series of promissory notes in the original principal amount of $5,000,000 originally issued on December 2, 1999 and subsequently amended and restated (the "December 1999 Notes"). The principal amount of the December 1999 Notes has been increased in connection with an amendment and restatement.</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112527v1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00" w:hanging="222"/>
        <w:spacing w:after="0"/>
        <w:tabs>
          <w:tab w:leader="none" w:pos="500" w:val="left"/>
        </w:tabs>
        <w:numPr>
          <w:ilvl w:val="1"/>
          <w:numId w:val="1"/>
        </w:numPr>
        <w:rPr>
          <w:rFonts w:ascii="Arial" w:cs="Arial" w:eastAsia="Arial" w:hAnsi="Arial"/>
          <w:sz w:val="21"/>
          <w:szCs w:val="21"/>
          <w:color w:val="auto"/>
        </w:rPr>
      </w:pPr>
      <w:r>
        <w:rPr>
          <w:rFonts w:ascii="Arial" w:cs="Arial" w:eastAsia="Arial" w:hAnsi="Arial"/>
          <w:sz w:val="21"/>
          <w:szCs w:val="21"/>
          <w:u w:val="single" w:color="auto"/>
          <w:color w:val="auto"/>
        </w:rPr>
        <w:t>Maturity</w:t>
      </w:r>
      <w:r>
        <w:rPr>
          <w:rFonts w:ascii="Arial" w:cs="Arial" w:eastAsia="Arial" w:hAnsi="Arial"/>
          <w:sz w:val="21"/>
          <w:szCs w:val="21"/>
          <w:color w:val="auto"/>
        </w:rPr>
        <w:t>. This Note shall be due and payable upon the earlier to occur of the following events (the “Maturity Date”): (i)</w:t>
      </w:r>
    </w:p>
    <w:p>
      <w:pPr>
        <w:spacing w:after="0" w:line="19" w:lineRule="exact"/>
        <w:rPr>
          <w:rFonts w:ascii="Arial" w:cs="Arial" w:eastAsia="Arial" w:hAnsi="Arial"/>
          <w:sz w:val="21"/>
          <w:szCs w:val="21"/>
          <w:color w:val="auto"/>
        </w:rPr>
      </w:pPr>
    </w:p>
    <w:p>
      <w:pPr>
        <w:spacing w:after="0" w:line="267" w:lineRule="auto"/>
        <w:rPr>
          <w:rFonts w:ascii="Arial" w:cs="Arial" w:eastAsia="Arial" w:hAnsi="Arial"/>
          <w:sz w:val="21"/>
          <w:szCs w:val="21"/>
          <w:color w:val="auto"/>
        </w:rPr>
      </w:pPr>
      <w:r>
        <w:rPr>
          <w:rFonts w:ascii="Arial" w:cs="Arial" w:eastAsia="Arial" w:hAnsi="Arial"/>
          <w:sz w:val="19"/>
          <w:szCs w:val="19"/>
          <w:color w:val="auto"/>
        </w:rPr>
        <w:t>January 31, 2010 or (ii) the closing (any such closing referred to as the “Closing”) of a Sale Transaction. For purposes of this Note, a Sale Transaction shall mean (i) a merger, consolidation, corporate reorganization, or sale of shares of stock of the Company as a result of which there is a change in control and/or the shareholders of the Company on the date hereof (“Current Shareholders”) own 50% or less of the outstanding shares of the Company on a fully-diluted basis immediately after the transaction and, including as outstanding for purposes of such calculation, any warrants, options or other instruments convertible or exchangeable into equity securities of the Company issued to persons other than the Current Shareholders in connection with the transaction or (ii) the sale of</w:t>
      </w:r>
    </w:p>
    <w:p>
      <w:pPr>
        <w:ind w:right="200" w:firstLine="8"/>
        <w:spacing w:after="0" w:line="237" w:lineRule="auto"/>
        <w:tabs>
          <w:tab w:leader="none" w:pos="354" w:val="left"/>
        </w:tabs>
        <w:numPr>
          <w:ilvl w:val="0"/>
          <w:numId w:val="2"/>
        </w:numPr>
        <w:rPr>
          <w:rFonts w:ascii="Arial" w:cs="Arial" w:eastAsia="Arial" w:hAnsi="Arial"/>
          <w:sz w:val="22"/>
          <w:szCs w:val="22"/>
          <w:color w:val="auto"/>
        </w:rPr>
      </w:pPr>
      <w:r>
        <w:rPr>
          <w:rFonts w:ascii="Arial" w:cs="Arial" w:eastAsia="Arial" w:hAnsi="Arial"/>
          <w:sz w:val="22"/>
          <w:szCs w:val="22"/>
          <w:color w:val="auto"/>
        </w:rPr>
        <w:t>fifty percent or more of the assets of the Company or (B) any subsidiary, division or line of business of the Company for total consideration in excess of $5 million.</w:t>
      </w:r>
    </w:p>
    <w:p>
      <w:pPr>
        <w:spacing w:after="0" w:line="184" w:lineRule="exact"/>
        <w:rPr>
          <w:rFonts w:ascii="Arial" w:cs="Arial" w:eastAsia="Arial" w:hAnsi="Arial"/>
          <w:sz w:val="22"/>
          <w:szCs w:val="22"/>
          <w:color w:val="auto"/>
        </w:rPr>
      </w:pPr>
    </w:p>
    <w:p>
      <w:pPr>
        <w:ind w:firstLine="278"/>
        <w:spacing w:after="0" w:line="275" w:lineRule="auto"/>
        <w:tabs>
          <w:tab w:leader="none" w:pos="486"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Interest shall accrue on the unpaid principal balance hereof and on any interest payment that is not made when due at the simple compounded rate of twelve percent (12%) per annum. Accrued interest shall be due and payable on March 31 and September 30 of each year and on the Maturity Date. It shall not be a default hereunder and interest will not accrue on any portion of such interest payments deferred pursuant to the Subordination Agreement ("Deferred Interest") so long as the Deferred Interest is paid at the time and in the manner allowed by the Subordination Agreement (as defined herein). In the Event of Default (as defined herein), interest shall accrue on all unpaid amounts due hereunder including without limitation, interest, at the rate of fifteen percent (15%) per annum. If a judgment is entered against the Company on this Note, the amount of the judgment so entered shall bear interest at the highest rate authorized by law as of the date of the entry of the judgment.</w:t>
      </w:r>
    </w:p>
    <w:p>
      <w:pPr>
        <w:spacing w:after="0" w:line="158" w:lineRule="exact"/>
        <w:rPr>
          <w:rFonts w:ascii="Arial" w:cs="Arial" w:eastAsia="Arial" w:hAnsi="Arial"/>
          <w:sz w:val="19"/>
          <w:szCs w:val="19"/>
          <w:color w:val="auto"/>
        </w:rPr>
      </w:pPr>
    </w:p>
    <w:p>
      <w:pPr>
        <w:ind w:right="140" w:firstLine="278"/>
        <w:spacing w:after="0" w:line="236" w:lineRule="auto"/>
        <w:tabs>
          <w:tab w:leader="none" w:pos="486" w:val="left"/>
        </w:tabs>
        <w:numPr>
          <w:ilvl w:val="1"/>
          <w:numId w:val="2"/>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Payments of both principal and interest shall be made at the Company's office in Toronto, Ontario, or such other place as the Holder hereof shall designate to the Company in writing, in lawful money of the United States of America. So long as no Event of Default has occurred in this Note, all payments hereunder shall first be applied to interest, then to principal. Upon the occurrence of an Event of Default in this Note, all payments hereunder shall first be applied to costs pursuant to Section 10.5, then to interest and the remainder to principal.</w:t>
      </w:r>
    </w:p>
    <w:p>
      <w:pPr>
        <w:spacing w:after="0" w:line="187" w:lineRule="exact"/>
        <w:rPr>
          <w:rFonts w:ascii="Arial" w:cs="Arial" w:eastAsia="Arial" w:hAnsi="Arial"/>
          <w:sz w:val="22"/>
          <w:szCs w:val="22"/>
          <w:color w:val="auto"/>
        </w:rPr>
      </w:pPr>
    </w:p>
    <w:p>
      <w:pPr>
        <w:ind w:right="40" w:firstLine="278"/>
        <w:spacing w:after="0"/>
        <w:tabs>
          <w:tab w:leader="none" w:pos="486" w:val="left"/>
        </w:tabs>
        <w:numPr>
          <w:ilvl w:val="1"/>
          <w:numId w:val="2"/>
        </w:numPr>
        <w:rPr>
          <w:rFonts w:ascii="Arial" w:cs="Arial" w:eastAsia="Arial" w:hAnsi="Arial"/>
          <w:sz w:val="22"/>
          <w:szCs w:val="22"/>
          <w:color w:val="auto"/>
        </w:rPr>
      </w:pPr>
      <w:r>
        <w:rPr>
          <w:rFonts w:ascii="Arial" w:cs="Arial" w:eastAsia="Arial" w:hAnsi="Arial"/>
          <w:sz w:val="22"/>
          <w:szCs w:val="22"/>
          <w:u w:val="single" w:color="auto"/>
          <w:color w:val="auto"/>
        </w:rPr>
        <w:t>Registered Owner</w:t>
      </w:r>
      <w:r>
        <w:rPr>
          <w:rFonts w:ascii="Arial" w:cs="Arial" w:eastAsia="Arial" w:hAnsi="Arial"/>
          <w:sz w:val="22"/>
          <w:szCs w:val="22"/>
          <w:color w:val="auto"/>
        </w:rPr>
        <w:t>. Prior to due presentation for registration of transfer, the Company may treat the person in whose name this Note is registered as the owner and holder of such Note for the purpose of receiving payment of principal of, and interest on, this Note and for all other purposes.</w:t>
      </w:r>
    </w:p>
    <w:p>
      <w:pPr>
        <w:sectPr>
          <w:pgSz w:w="11900" w:h="16838" w:orient="portrait"/>
          <w:cols w:equalWidth="0" w:num="1">
            <w:col w:w="11420"/>
          </w:cols>
          <w:pgMar w:left="240" w:top="112" w:right="239" w:bottom="0" w:gutter="0" w:footer="0" w:header="0"/>
        </w:sectPr>
      </w:pPr>
    </w:p>
    <w:bookmarkStart w:id="4" w:name="page5"/>
    <w:bookmarkEnd w:id="4"/>
    <w:p>
      <w:pPr>
        <w:ind w:left="432" w:hanging="432"/>
        <w:spacing w:after="0"/>
        <w:tabs>
          <w:tab w:leader="none" w:pos="432"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Prepayment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32"/>
        <w:spacing w:after="0"/>
        <w:rPr>
          <w:rFonts w:ascii="Arial" w:cs="Arial" w:eastAsia="Arial" w:hAnsi="Arial"/>
          <w:sz w:val="22"/>
          <w:szCs w:val="22"/>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Optional Prepayment</w:t>
      </w:r>
      <w:r>
        <w:rPr>
          <w:rFonts w:ascii="Arial" w:cs="Arial" w:eastAsia="Arial" w:hAnsi="Arial"/>
          <w:sz w:val="22"/>
          <w:szCs w:val="22"/>
          <w:color w:val="auto"/>
        </w:rPr>
        <w:t>. The Company, at its option and without any</w:t>
      </w:r>
    </w:p>
    <w:p>
      <w:pPr>
        <w:spacing w:after="0" w:line="200" w:lineRule="exact"/>
        <w:rPr>
          <w:sz w:val="20"/>
          <w:szCs w:val="20"/>
          <w:color w:val="auto"/>
        </w:rPr>
      </w:pPr>
    </w:p>
    <w:p>
      <w:pPr>
        <w:spacing w:after="0" w:line="249" w:lineRule="exact"/>
        <w:rPr>
          <w:sz w:val="20"/>
          <w:szCs w:val="20"/>
          <w:color w:val="auto"/>
        </w:rPr>
      </w:pPr>
    </w:p>
    <w:p>
      <w:pPr>
        <w:jc w:val="center"/>
        <w:ind w:left="280"/>
        <w:spacing w:after="0" w:line="258" w:lineRule="auto"/>
        <w:rPr>
          <w:sz w:val="20"/>
          <w:szCs w:val="20"/>
          <w:color w:val="auto"/>
        </w:rPr>
      </w:pPr>
      <w:r>
        <w:rPr>
          <w:rFonts w:ascii="Arial" w:cs="Arial" w:eastAsia="Arial" w:hAnsi="Arial"/>
          <w:sz w:val="21"/>
          <w:szCs w:val="21"/>
          <w:color w:val="auto"/>
        </w:rPr>
        <w:t>premium, may prepay in whole or in part the principal amount of this Note at any time. The Company shall, at the time of any such prepayment, pay to the holder of this Note all interest accrued and unpaid to the Prepayment Date (defined below). Notwithstanding the foregoing, once a notice of the Closing of a Sale Transaction pursuant to Section 10.4</w:t>
      </w:r>
    </w:p>
    <w:p>
      <w:pPr>
        <w:spacing w:after="0" w:line="218" w:lineRule="exact"/>
        <w:rPr>
          <w:sz w:val="20"/>
          <w:szCs w:val="20"/>
          <w:color w:val="auto"/>
        </w:rPr>
      </w:pPr>
    </w:p>
    <w:p>
      <w:pPr>
        <w:ind w:left="32"/>
        <w:spacing w:after="0"/>
        <w:rPr>
          <w:sz w:val="20"/>
          <w:szCs w:val="20"/>
          <w:color w:val="auto"/>
        </w:rPr>
      </w:pPr>
      <w:r>
        <w:rPr>
          <w:rFonts w:ascii="Arial" w:cs="Arial" w:eastAsia="Arial" w:hAnsi="Arial"/>
          <w:sz w:val="14"/>
          <w:szCs w:val="14"/>
          <w:color w:val="auto"/>
        </w:rPr>
        <w:t>112527v1</w:t>
      </w:r>
    </w:p>
    <w:p>
      <w:pPr>
        <w:spacing w:after="0" w:line="287" w:lineRule="exact"/>
        <w:rPr>
          <w:sz w:val="20"/>
          <w:szCs w:val="20"/>
          <w:color w:val="auto"/>
        </w:rPr>
      </w:pPr>
    </w:p>
    <w:p>
      <w:pPr>
        <w:ind w:left="3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left="260" w:right="220"/>
        <w:spacing w:after="0" w:line="251" w:lineRule="auto"/>
        <w:rPr>
          <w:sz w:val="20"/>
          <w:szCs w:val="20"/>
          <w:color w:val="auto"/>
        </w:rPr>
      </w:pPr>
      <w:r>
        <w:rPr>
          <w:rFonts w:ascii="Arial" w:cs="Arial" w:eastAsia="Arial" w:hAnsi="Arial"/>
          <w:sz w:val="22"/>
          <w:szCs w:val="22"/>
          <w:color w:val="auto"/>
        </w:rPr>
        <w:t>has been sent to the Holder, the Company may not prepay this Note prior to the Closing of a Sale Transaction, or until the Sale Transaction has been formally abandoned.</w:t>
      </w:r>
    </w:p>
    <w:p>
      <w:pPr>
        <w:spacing w:after="0" w:line="173" w:lineRule="exact"/>
        <w:rPr>
          <w:sz w:val="20"/>
          <w:szCs w:val="20"/>
          <w:color w:val="auto"/>
        </w:rPr>
      </w:pPr>
    </w:p>
    <w:p>
      <w:pPr>
        <w:ind w:left="212" w:right="200" w:firstLine="387"/>
        <w:spacing w:after="0" w:line="27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Notice of Prepayment</w:t>
      </w:r>
      <w:r>
        <w:rPr>
          <w:rFonts w:ascii="Arial" w:cs="Arial" w:eastAsia="Arial" w:hAnsi="Arial"/>
          <w:sz w:val="19"/>
          <w:szCs w:val="19"/>
          <w:color w:val="auto"/>
        </w:rPr>
        <w:t>. At least five (5) but not more than fifteen (15) days prior to the date fixed for any prepayment, written notice shall be given to the holder of this Note of the election of the Company to prepay all or a specified portion of the</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19"/>
          <w:szCs w:val="19"/>
          <w:color w:val="auto"/>
        </w:rPr>
        <w:t>principal amount of the Note (the “Prepayment Notice.”). The Prepayment Notice shall specify the date upon (“Prepayment Date”)</w:t>
      </w:r>
    </w:p>
    <w:p>
      <w:pPr>
        <w:spacing w:after="0" w:line="25" w:lineRule="exact"/>
        <w:rPr>
          <w:sz w:val="20"/>
          <w:szCs w:val="20"/>
          <w:color w:val="auto"/>
        </w:rPr>
      </w:pPr>
    </w:p>
    <w:p>
      <w:pPr>
        <w:jc w:val="center"/>
        <w:ind w:left="280" w:right="40"/>
        <w:spacing w:after="0" w:line="232" w:lineRule="auto"/>
        <w:rPr>
          <w:sz w:val="20"/>
          <w:szCs w:val="20"/>
          <w:color w:val="auto"/>
        </w:rPr>
      </w:pPr>
      <w:r>
        <w:rPr>
          <w:rFonts w:ascii="Arial" w:cs="Arial" w:eastAsia="Arial" w:hAnsi="Arial"/>
          <w:sz w:val="22"/>
          <w:szCs w:val="22"/>
          <w:color w:val="auto"/>
        </w:rPr>
        <w:t>and the place at which, payment may be obtained and shall call upon the Holder to surrender this Note to the Company in the manner and at the place designated. On the Prepayment Date, the Holder shall surrender this Note to the Company in the manner and at the place designated in the Prepayment Notice, and thereupon prepayment shall be made to Holder and this Note shall be cancelled. In the event that less than all the principal amount of this Note is prepaid, upon surrender of this Note to the Company, the Company shall execute and deliver to Holder a new Note or Notes in principal amount equal to the unpaid principal amount of this Note.</w:t>
      </w:r>
    </w:p>
    <w:p>
      <w:pPr>
        <w:spacing w:after="0" w:line="189" w:lineRule="exact"/>
        <w:rPr>
          <w:sz w:val="20"/>
          <w:szCs w:val="20"/>
          <w:color w:val="auto"/>
        </w:rPr>
      </w:pPr>
    </w:p>
    <w:p>
      <w:pPr>
        <w:jc w:val="right"/>
        <w:ind w:left="12"/>
        <w:spacing w:after="0" w:line="273"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Cessation of Rights</w:t>
      </w:r>
      <w:r>
        <w:rPr>
          <w:rFonts w:ascii="Arial" w:cs="Arial" w:eastAsia="Arial" w:hAnsi="Arial"/>
          <w:sz w:val="19"/>
          <w:szCs w:val="19"/>
          <w:color w:val="auto"/>
        </w:rPr>
        <w:t>. From and after the Prepayment Date, unless there has been a default under the Prepayment Notice, all interest on the redeemed principal amount shall cease to accrue and all rights of Holder as a Holder of this Note shall cease with respect to the principal amount prepaid and, with respect to such amount, this Note thereafter shall not be deemed to be outstanding</w:t>
      </w:r>
    </w:p>
    <w:p>
      <w:pPr>
        <w:spacing w:after="0" w:line="2" w:lineRule="exact"/>
        <w:rPr>
          <w:sz w:val="20"/>
          <w:szCs w:val="20"/>
          <w:color w:val="auto"/>
        </w:rPr>
      </w:pPr>
    </w:p>
    <w:p>
      <w:pPr>
        <w:jc w:val="both"/>
        <w:ind w:left="552" w:right="460" w:hanging="58"/>
        <w:spacing w:after="0" w:line="308" w:lineRule="auto"/>
        <w:rPr>
          <w:sz w:val="20"/>
          <w:szCs w:val="20"/>
          <w:color w:val="auto"/>
        </w:rPr>
      </w:pPr>
      <w:r>
        <w:rPr>
          <w:rFonts w:ascii="Arial" w:cs="Arial" w:eastAsia="Arial" w:hAnsi="Arial"/>
          <w:sz w:val="19"/>
          <w:szCs w:val="19"/>
          <w:color w:val="auto"/>
        </w:rPr>
        <w:t>for any purpose whatsoever. By acceptance of this Note, Holder agrees to execute and deliver such documents as may be reasonably requested from time to time by the Company in order to implement the foregoing provisions of this Section.</w:t>
      </w:r>
    </w:p>
    <w:p>
      <w:pPr>
        <w:spacing w:after="0" w:line="123" w:lineRule="exact"/>
        <w:rPr>
          <w:sz w:val="20"/>
          <w:szCs w:val="20"/>
          <w:color w:val="auto"/>
        </w:rPr>
      </w:pPr>
    </w:p>
    <w:p>
      <w:pPr>
        <w:ind w:left="-8" w:right="40" w:firstLine="278"/>
        <w:spacing w:after="0" w:line="245" w:lineRule="auto"/>
        <w:tabs>
          <w:tab w:leader="none" w:pos="478"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Subordination</w:t>
      </w:r>
      <w:r>
        <w:rPr>
          <w:rFonts w:ascii="Arial" w:cs="Arial" w:eastAsia="Arial" w:hAnsi="Arial"/>
          <w:sz w:val="21"/>
          <w:szCs w:val="21"/>
          <w:color w:val="auto"/>
        </w:rPr>
        <w:t>. The indebtedness evidenced by this Note shall at all times be wholly subordinate and junior in right of payment to all obligations of the Company under or in connection with the Credit Agreement dated December 29, 2005 (“Superior Debt”) among the Company, CECO Group Inc., CECO Filters, Inc., New Bush Co., Inc., The Kirk &amp; Blum Manufacturing Company, kbd/Technic, Inc., CECOAire, Inc., CECO Abatement Systems, Inc. and Fifth Third Bank, upon the terms and conditions contained in the Subordination Agreement, dated as of December 29, 2005 (as amended, restated, supplemented or modified from time to time, the “Subordination Agreement”) in favor of Fifth Third Bank (together with its successors and assigns, and the other holders, if any, of the Senior Obligations identified therein). This Note also is subordinate to the December 1999 Notes, and no payments of principal or interest shall be made under this Note, if an Event of Default (as defined in the December 1999 Notes) is existing under any of the December 1999 Notes.</w:t>
      </w:r>
    </w:p>
    <w:p>
      <w:pPr>
        <w:spacing w:after="0" w:line="185" w:lineRule="exact"/>
        <w:rPr>
          <w:rFonts w:ascii="Arial" w:cs="Arial" w:eastAsia="Arial" w:hAnsi="Arial"/>
          <w:sz w:val="21"/>
          <w:szCs w:val="21"/>
          <w:color w:val="auto"/>
        </w:rPr>
      </w:pPr>
    </w:p>
    <w:p>
      <w:pPr>
        <w:ind w:left="-8" w:right="380" w:firstLine="278"/>
        <w:spacing w:after="0" w:line="251" w:lineRule="auto"/>
        <w:tabs>
          <w:tab w:leader="none" w:pos="478"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and agrees that it shall not, without the prior written approval of the Holder:</w:t>
      </w:r>
    </w:p>
    <w:p>
      <w:pPr>
        <w:spacing w:after="0" w:line="173" w:lineRule="exact"/>
        <w:rPr>
          <w:sz w:val="20"/>
          <w:szCs w:val="20"/>
          <w:color w:val="auto"/>
        </w:rPr>
      </w:pPr>
    </w:p>
    <w:p>
      <w:pPr>
        <w:jc w:val="center"/>
        <w:ind w:left="260" w:right="220"/>
        <w:spacing w:after="0" w:line="251" w:lineRule="auto"/>
        <w:rPr>
          <w:sz w:val="20"/>
          <w:szCs w:val="20"/>
          <w:color w:val="auto"/>
        </w:rPr>
      </w:pPr>
      <w:r>
        <w:rPr>
          <w:rFonts w:ascii="Arial" w:cs="Arial" w:eastAsia="Arial" w:hAnsi="Arial"/>
          <w:sz w:val="22"/>
          <w:szCs w:val="22"/>
          <w:color w:val="auto"/>
        </w:rPr>
        <w:t>7.1 Obtain or incur any indebtedness or other monetary obligations that are senior to or on parity with this Note, other than the Superior Debt and the December 1999 Notes.</w:t>
      </w:r>
    </w:p>
    <w:p>
      <w:pPr>
        <w:spacing w:after="0" w:line="224" w:lineRule="exact"/>
        <w:rPr>
          <w:sz w:val="20"/>
          <w:szCs w:val="20"/>
          <w:color w:val="auto"/>
        </w:rPr>
      </w:pPr>
    </w:p>
    <w:p>
      <w:pPr>
        <w:ind w:left="32"/>
        <w:spacing w:after="0"/>
        <w:rPr>
          <w:sz w:val="20"/>
          <w:szCs w:val="20"/>
          <w:color w:val="auto"/>
        </w:rPr>
      </w:pPr>
      <w:r>
        <w:rPr>
          <w:rFonts w:ascii="Arial" w:cs="Arial" w:eastAsia="Arial" w:hAnsi="Arial"/>
          <w:sz w:val="14"/>
          <w:szCs w:val="14"/>
          <w:color w:val="auto"/>
        </w:rPr>
        <w:t>112527v1</w:t>
      </w:r>
    </w:p>
    <w:p>
      <w:pPr>
        <w:spacing w:after="0" w:line="287" w:lineRule="exact"/>
        <w:rPr>
          <w:sz w:val="20"/>
          <w:szCs w:val="20"/>
          <w:color w:val="auto"/>
        </w:rPr>
      </w:pPr>
    </w:p>
    <w:p>
      <w:pPr>
        <w:ind w:left="3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left="260" w:right="20"/>
        <w:spacing w:after="0" w:line="328" w:lineRule="auto"/>
        <w:rPr>
          <w:sz w:val="20"/>
          <w:szCs w:val="20"/>
          <w:color w:val="auto"/>
        </w:rPr>
      </w:pPr>
      <w:r>
        <w:rPr>
          <w:rFonts w:ascii="Arial" w:cs="Arial" w:eastAsia="Arial" w:hAnsi="Arial"/>
          <w:sz w:val="19"/>
          <w:szCs w:val="19"/>
          <w:color w:val="auto"/>
        </w:rPr>
        <w:t>7.2 Allow, suffer or cause to exist any lien, claim, security interest or encumbrance on the Company’s property or assets, other than with respect to the Superior Debt and purchase money indebtedness incurred in the ordinary course of business.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7.3 Enter into any arrangement or agreement involving the merger or consolidation of the Company.</w:t>
      </w:r>
    </w:p>
    <w:p>
      <w:pPr>
        <w:spacing w:after="0" w:line="206" w:lineRule="exact"/>
        <w:rPr>
          <w:sz w:val="20"/>
          <w:szCs w:val="20"/>
          <w:color w:val="auto"/>
        </w:rPr>
      </w:pPr>
    </w:p>
    <w:p>
      <w:pPr>
        <w:jc w:val="center"/>
        <w:ind w:left="260" w:right="100"/>
        <w:spacing w:after="0"/>
        <w:rPr>
          <w:sz w:val="20"/>
          <w:szCs w:val="20"/>
          <w:color w:val="auto"/>
        </w:rPr>
      </w:pPr>
      <w:r>
        <w:rPr>
          <w:rFonts w:ascii="Arial" w:cs="Arial" w:eastAsia="Arial" w:hAnsi="Arial"/>
          <w:sz w:val="22"/>
          <w:szCs w:val="22"/>
          <w:color w:val="auto"/>
        </w:rPr>
        <w:t>7.4 Use the proceeds from this Note other than in the ordinary course of its business for general corporate purposes including lending monies to any of its subsidiaries. The Company also covenants and agrees that it shall operate its business in the ordinary course.</w:t>
      </w:r>
    </w:p>
    <w:p>
      <w:pPr>
        <w:spacing w:after="0" w:line="186" w:lineRule="exact"/>
        <w:rPr>
          <w:sz w:val="20"/>
          <w:szCs w:val="20"/>
          <w:color w:val="auto"/>
        </w:rPr>
      </w:pPr>
    </w:p>
    <w:p>
      <w:pPr>
        <w:ind w:left="432" w:hanging="432"/>
        <w:spacing w:after="0"/>
        <w:tabs>
          <w:tab w:leader="none" w:pos="432"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Events of Default</w:t>
      </w:r>
      <w:r>
        <w:rPr>
          <w:rFonts w:ascii="Arial" w:cs="Arial" w:eastAsia="Arial" w:hAnsi="Arial"/>
          <w:sz w:val="22"/>
          <w:szCs w:val="22"/>
          <w:color w:val="auto"/>
        </w:rPr>
        <w:t>.</w:t>
      </w:r>
    </w:p>
    <w:p>
      <w:pPr>
        <w:spacing w:after="0" w:line="233" w:lineRule="exact"/>
        <w:rPr>
          <w:sz w:val="20"/>
          <w:szCs w:val="20"/>
          <w:color w:val="auto"/>
        </w:rPr>
      </w:pPr>
    </w:p>
    <w:p>
      <w:pPr>
        <w:ind w:left="432"/>
        <w:spacing w:after="0"/>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Occurrences of Events of Default</w:t>
      </w:r>
      <w:r>
        <w:rPr>
          <w:rFonts w:ascii="Arial" w:cs="Arial" w:eastAsia="Arial" w:hAnsi="Arial"/>
          <w:sz w:val="19"/>
          <w:szCs w:val="19"/>
          <w:color w:val="auto"/>
        </w:rPr>
        <w:t>. Each of the following events shall constitute an “Event of Default” for purposes of this</w:t>
      </w:r>
    </w:p>
    <w:p>
      <w:pPr>
        <w:spacing w:after="0" w:line="43" w:lineRule="exact"/>
        <w:rPr>
          <w:sz w:val="20"/>
          <w:szCs w:val="20"/>
          <w:color w:val="auto"/>
        </w:rPr>
      </w:pPr>
    </w:p>
    <w:p>
      <w:pPr>
        <w:ind w:left="432"/>
        <w:spacing w:after="0"/>
        <w:rPr>
          <w:sz w:val="20"/>
          <w:szCs w:val="20"/>
          <w:color w:val="auto"/>
        </w:rPr>
      </w:pPr>
      <w:r>
        <w:rPr>
          <w:rFonts w:ascii="Arial" w:cs="Arial" w:eastAsia="Arial" w:hAnsi="Arial"/>
          <w:sz w:val="22"/>
          <w:szCs w:val="22"/>
          <w:color w:val="auto"/>
        </w:rPr>
        <w:t>Note:</w:t>
      </w:r>
    </w:p>
    <w:p>
      <w:pPr>
        <w:spacing w:after="0" w:line="215" w:lineRule="exact"/>
        <w:rPr>
          <w:sz w:val="20"/>
          <w:szCs w:val="20"/>
          <w:color w:val="auto"/>
        </w:rPr>
      </w:pPr>
    </w:p>
    <w:p>
      <w:pPr>
        <w:ind w:left="532" w:hanging="532"/>
        <w:spacing w:after="0"/>
        <w:tabs>
          <w:tab w:leader="none" w:pos="532" w:val="left"/>
        </w:tabs>
        <w:numPr>
          <w:ilvl w:val="0"/>
          <w:numId w:val="6"/>
        </w:numPr>
        <w:rPr>
          <w:rFonts w:ascii="Arial" w:cs="Arial" w:eastAsia="Arial" w:hAnsi="Arial"/>
          <w:sz w:val="22"/>
          <w:szCs w:val="22"/>
          <w:color w:val="auto"/>
        </w:rPr>
      </w:pPr>
      <w:r>
        <w:rPr>
          <w:rFonts w:ascii="Arial" w:cs="Arial" w:eastAsia="Arial" w:hAnsi="Arial"/>
          <w:sz w:val="22"/>
          <w:szCs w:val="22"/>
          <w:color w:val="auto"/>
        </w:rPr>
        <w:t>if the Company fails to pay any amount payable, under this Note when due;</w:t>
      </w:r>
    </w:p>
    <w:p>
      <w:pPr>
        <w:sectPr>
          <w:pgSz w:w="11900" w:h="16838" w:orient="portrait"/>
          <w:cols w:equalWidth="0" w:num="1">
            <w:col w:w="11392"/>
          </w:cols>
          <w:pgMar w:left="248" w:top="118" w:right="259" w:bottom="0" w:gutter="0" w:footer="0" w:header="0"/>
        </w:sectPr>
      </w:pPr>
    </w:p>
    <w:bookmarkStart w:id="5" w:name="page6"/>
    <w:bookmarkEnd w:id="5"/>
    <w:p>
      <w:pPr>
        <w:ind w:left="540" w:hanging="532"/>
        <w:spacing w:after="0"/>
        <w:tabs>
          <w:tab w:leader="none" w:pos="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if the Company breaches any of its representations, warranties or covenants set forth in this Note;</w:t>
      </w:r>
    </w:p>
    <w:p>
      <w:pPr>
        <w:spacing w:after="0" w:line="233" w:lineRule="exact"/>
        <w:rPr>
          <w:rFonts w:ascii="Arial" w:cs="Arial" w:eastAsia="Arial" w:hAnsi="Arial"/>
          <w:sz w:val="22"/>
          <w:szCs w:val="22"/>
          <w:color w:val="auto"/>
        </w:rPr>
      </w:pPr>
    </w:p>
    <w:p>
      <w:pPr>
        <w:ind w:left="540" w:right="240" w:hanging="532"/>
        <w:spacing w:after="0" w:line="287"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commencement of an involuntary case against the Company or its subsidiary or any of its subsidiaries under any applicable bankruptcy, insolvency or other similar law now or hereafter in effect, or the appointing of a receiver, liquidator, assignee, custodian, trustee or similar official of the Company or for any substantial part of the Company or one of its subsidiary’s property, or ordering the winding-up or liquidation of the Company or one of its subsidiary’s affairs;</w:t>
      </w:r>
    </w:p>
    <w:p>
      <w:pPr>
        <w:spacing w:after="0" w:line="170" w:lineRule="exact"/>
        <w:rPr>
          <w:rFonts w:ascii="Arial" w:cs="Arial" w:eastAsia="Arial" w:hAnsi="Arial"/>
          <w:sz w:val="19"/>
          <w:szCs w:val="19"/>
          <w:color w:val="auto"/>
        </w:rPr>
      </w:pPr>
    </w:p>
    <w:p>
      <w:pPr>
        <w:ind w:left="540" w:right="20" w:hanging="532"/>
        <w:spacing w:after="0" w:line="235" w:lineRule="auto"/>
        <w:tabs>
          <w:tab w:leader="none" w:pos="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if the Company or any of its subsidiaries shall commence a voluntary case under any applicable bankruptcy, insolvency or other similar law now or hereafter in effect, or shall consent to the entry of an order for relief in an involuntary case under any such law, or shall consent to the appointment of or taking possession by a receiver, liquidator, assignee, trustee, custodian or similar official of the Company or its subsidiary or for any substantial part of the Company or one of its subsidiary’s property, or shall make any general assignment for the benefit of creditors, or shall take any corporate action in furtherance of any of the foregoing; or</w:t>
      </w: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112527v1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left="3800" w:right="20" w:hanging="3772"/>
        <w:spacing w:after="0" w:line="251" w:lineRule="auto"/>
        <w:tabs>
          <w:tab w:leader="none" w:pos="316" w:val="left"/>
        </w:tabs>
        <w:numPr>
          <w:ilvl w:val="0"/>
          <w:numId w:val="8"/>
        </w:numPr>
        <w:rPr>
          <w:rFonts w:ascii="Arial" w:cs="Arial" w:eastAsia="Arial" w:hAnsi="Arial"/>
          <w:sz w:val="22"/>
          <w:szCs w:val="22"/>
          <w:color w:val="auto"/>
        </w:rPr>
      </w:pPr>
      <w:r>
        <w:rPr>
          <w:rFonts w:ascii="Arial" w:cs="Arial" w:eastAsia="Arial" w:hAnsi="Arial"/>
          <w:sz w:val="22"/>
          <w:szCs w:val="22"/>
          <w:color w:val="auto"/>
        </w:rPr>
        <w:t>if the Company’s business shall fail, as determined in good faith by the Holder and evidenced by the Company’s inability to pay its ongoing debts as such debts become due.</w:t>
      </w:r>
    </w:p>
    <w:p>
      <w:pPr>
        <w:spacing w:after="0" w:line="173" w:lineRule="exact"/>
        <w:rPr>
          <w:sz w:val="20"/>
          <w:szCs w:val="20"/>
          <w:color w:val="auto"/>
        </w:rPr>
      </w:pPr>
    </w:p>
    <w:p>
      <w:pPr>
        <w:jc w:val="center"/>
        <w:spacing w:after="0" w:line="28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Acceleration Upon Event of Default</w:t>
      </w:r>
      <w:r>
        <w:rPr>
          <w:rFonts w:ascii="Arial" w:cs="Arial" w:eastAsia="Arial" w:hAnsi="Arial"/>
          <w:sz w:val="19"/>
          <w:szCs w:val="19"/>
          <w:color w:val="auto"/>
        </w:rPr>
        <w:t>. If any Event of Default shall have occurred and be continuing, for any reason whatsoever (and whether such occurrence shall be voluntary or involuntary or come about or be effected by operation of law or otherwise), the unpaid principal amount of, and the accrued interest on, this Note shall automatically become immediately due and payable, without presentment, demand, protest or other requirements of any kind, all of which are hereby expressly waived by the Company.</w:t>
      </w:r>
    </w:p>
    <w:p>
      <w:pPr>
        <w:spacing w:after="0" w:line="143" w:lineRule="exact"/>
        <w:rPr>
          <w:sz w:val="20"/>
          <w:szCs w:val="20"/>
          <w:color w:val="auto"/>
        </w:rPr>
      </w:pPr>
    </w:p>
    <w:p>
      <w:pPr>
        <w:ind w:right="720" w:firstLine="278"/>
        <w:spacing w:after="0" w:line="251" w:lineRule="auto"/>
        <w:tabs>
          <w:tab w:leader="none" w:pos="486"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 of the Holder</w:t>
      </w:r>
      <w:r>
        <w:rPr>
          <w:rFonts w:ascii="Arial" w:cs="Arial" w:eastAsia="Arial" w:hAnsi="Arial"/>
          <w:sz w:val="22"/>
          <w:szCs w:val="22"/>
          <w:color w:val="auto"/>
        </w:rPr>
        <w:t>. With respect to the purchase of this Note, the Holder hereby represents and warrants to the Company as follows:</w:t>
      </w:r>
    </w:p>
    <w:p>
      <w:pPr>
        <w:spacing w:after="0" w:line="173" w:lineRule="exact"/>
        <w:rPr>
          <w:sz w:val="20"/>
          <w:szCs w:val="20"/>
          <w:color w:val="auto"/>
        </w:rPr>
      </w:pPr>
    </w:p>
    <w:p>
      <w:pPr>
        <w:ind w:left="60" w:right="60" w:firstLine="589"/>
        <w:spacing w:after="0" w:line="276"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Experience</w:t>
      </w:r>
      <w:r>
        <w:rPr>
          <w:rFonts w:ascii="Arial" w:cs="Arial" w:eastAsia="Arial" w:hAnsi="Arial"/>
          <w:sz w:val="19"/>
          <w:szCs w:val="19"/>
          <w:color w:val="auto"/>
        </w:rPr>
        <w:t>. The Holder has substantial experience in evaluating and investing in private transactions of securities in companies similar to the Company so that it is capable of evaluating the merits and risks of its investment in the Company and has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capacity to protect its own interests.</w:t>
      </w:r>
    </w:p>
    <w:p>
      <w:pPr>
        <w:spacing w:after="0" w:line="188" w:lineRule="exact"/>
        <w:rPr>
          <w:sz w:val="20"/>
          <w:szCs w:val="20"/>
          <w:color w:val="auto"/>
        </w:rPr>
      </w:pPr>
    </w:p>
    <w:p>
      <w:pPr>
        <w:ind w:left="40" w:right="20" w:firstLine="507"/>
        <w:spacing w:after="0" w:line="276"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Status</w:t>
      </w:r>
      <w:r>
        <w:rPr>
          <w:rFonts w:ascii="Arial" w:cs="Arial" w:eastAsia="Arial" w:hAnsi="Arial"/>
          <w:sz w:val="19"/>
          <w:szCs w:val="19"/>
          <w:color w:val="auto"/>
        </w:rPr>
        <w:t>. The Holder is an “accredited investor” within the meaning of Regulation D, Section 501(a), promulgated by the Securities and Exchange Commission, and is acquiring this Note for investment for its own account, not as a nominee or agent,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 with a view to, or for resale or transfer.</w:t>
      </w:r>
    </w:p>
    <w:p>
      <w:pPr>
        <w:spacing w:after="0" w:line="188" w:lineRule="exact"/>
        <w:rPr>
          <w:sz w:val="20"/>
          <w:szCs w:val="20"/>
          <w:color w:val="auto"/>
        </w:rPr>
      </w:pPr>
    </w:p>
    <w:p>
      <w:pPr>
        <w:ind w:firstLine="450"/>
        <w:spacing w:after="0" w:line="276"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Access to Data</w:t>
      </w:r>
      <w:r>
        <w:rPr>
          <w:rFonts w:ascii="Arial" w:cs="Arial" w:eastAsia="Arial" w:hAnsi="Arial"/>
          <w:sz w:val="19"/>
          <w:szCs w:val="19"/>
          <w:color w:val="auto"/>
        </w:rPr>
        <w:t>. The Holder has had an opportunity to discuss the Company’s business, management and financial affairs with the Company’s management and has also had an opportunity to ask questions of the Company’s officers, which questions were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answered to its satisfaction.</w:t>
      </w:r>
    </w:p>
    <w:p>
      <w:pPr>
        <w:spacing w:after="0" w:line="188"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Invalidity of Any Provision</w:t>
      </w:r>
      <w:r>
        <w:rPr>
          <w:rFonts w:ascii="Arial" w:cs="Arial" w:eastAsia="Arial" w:hAnsi="Arial"/>
          <w:sz w:val="22"/>
          <w:szCs w:val="22"/>
          <w:color w:val="auto"/>
        </w:rPr>
        <w:t>. If any provision or part of any provision of</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this Note shall for any reason be held invalid, illegal or unenforceable in any respect, such invalidity, illegality or unenforceability</w:t>
      </w:r>
    </w:p>
    <w:p>
      <w:pPr>
        <w:spacing w:after="0" w:line="43" w:lineRule="exact"/>
        <w:rPr>
          <w:sz w:val="20"/>
          <w:szCs w:val="20"/>
          <w:color w:val="auto"/>
        </w:rPr>
      </w:pPr>
    </w:p>
    <w:p>
      <w:pPr>
        <w:jc w:val="center"/>
        <w:spacing w:after="0" w:line="308" w:lineRule="auto"/>
        <w:rPr>
          <w:sz w:val="20"/>
          <w:szCs w:val="20"/>
          <w:color w:val="auto"/>
        </w:rPr>
      </w:pPr>
      <w:r>
        <w:rPr>
          <w:rFonts w:ascii="Arial" w:cs="Arial" w:eastAsia="Arial" w:hAnsi="Arial"/>
          <w:sz w:val="19"/>
          <w:szCs w:val="19"/>
          <w:color w:val="auto"/>
        </w:rPr>
        <w:t>shall not affect any other provisions of this Note and this Note shall be construed as if such invalid, illegal or unenforceable provisions or part hereof had never been contained herein, but only to the extent of its invalidity, illegality or unenforceability.</w:t>
      </w:r>
    </w:p>
    <w:p>
      <w:pPr>
        <w:spacing w:after="0" w:line="123" w:lineRule="exact"/>
        <w:rPr>
          <w:sz w:val="20"/>
          <w:szCs w:val="20"/>
          <w:color w:val="auto"/>
        </w:rPr>
      </w:pPr>
    </w:p>
    <w:p>
      <w:pPr>
        <w:jc w:val="center"/>
        <w:ind w:left="520" w:right="120"/>
        <w:spacing w:after="0" w:line="251"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Governing Law</w:t>
      </w:r>
      <w:r>
        <w:rPr>
          <w:rFonts w:ascii="Arial" w:cs="Arial" w:eastAsia="Arial" w:hAnsi="Arial"/>
          <w:sz w:val="22"/>
          <w:szCs w:val="22"/>
          <w:color w:val="auto"/>
        </w:rPr>
        <w:t>. The Note shall be governed in all respects by the laws of the State of Delaware, excluding its conflict of laws.</w:t>
      </w:r>
    </w:p>
    <w:p>
      <w:pPr>
        <w:spacing w:after="0" w:line="173" w:lineRule="exact"/>
        <w:rPr>
          <w:sz w:val="20"/>
          <w:szCs w:val="20"/>
          <w:color w:val="auto"/>
        </w:rPr>
      </w:pPr>
    </w:p>
    <w:p>
      <w:pPr>
        <w:ind w:left="220" w:right="200" w:firstLine="257"/>
        <w:spacing w:after="0" w:line="328"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Notices</w:t>
      </w:r>
      <w:r>
        <w:rPr>
          <w:rFonts w:ascii="Arial" w:cs="Arial" w:eastAsia="Arial" w:hAnsi="Arial"/>
          <w:sz w:val="19"/>
          <w:szCs w:val="19"/>
          <w:color w:val="auto"/>
        </w:rPr>
        <w:t>. Any notice or other communication required or permitted hereunder shall be in writing and shall be deemed to have been duly given (i) on the date of delivery if delivered personally, (ii) one (1) business day after transmission by facsimile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112527v1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transmission with a written confirmation copy sent by first class mail, or (iii) five (5) days after mailing if mailed by first class mail, to the following addresses:</w:t>
      </w:r>
    </w:p>
    <w:p>
      <w:pPr>
        <w:sectPr>
          <w:pgSz w:w="11900" w:h="16838" w:orient="portrait"/>
          <w:cols w:equalWidth="0" w:num="1">
            <w:col w:w="11420"/>
          </w:cols>
          <w:pgMar w:left="240" w:top="361" w:right="239" w:bottom="0" w:gutter="0" w:footer="0" w:header="0"/>
        </w:sectPr>
      </w:pPr>
    </w:p>
    <w:p>
      <w:pPr>
        <w:spacing w:after="0" w:line="187"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If to the Holder: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Green Diamond Corp.</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505 University Avenue, Suite 1400</w:t>
      </w:r>
    </w:p>
    <w:p>
      <w:pPr>
        <w:sectPr>
          <w:pgSz w:w="11900" w:h="16838" w:orient="portrait"/>
          <w:cols w:equalWidth="0" w:num="2">
            <w:col w:w="4600" w:space="480"/>
            <w:col w:w="6340"/>
          </w:cols>
          <w:pgMar w:left="240" w:top="361" w:right="239" w:bottom="0" w:gutter="0" w:footer="0" w:header="0"/>
          <w:type w:val="continuous"/>
        </w:sectPr>
      </w:pPr>
    </w:p>
    <w:bookmarkStart w:id="6" w:name="page7"/>
    <w:bookmarkEnd w:id="6"/>
    <w:p>
      <w:pPr>
        <w:ind w:left="5080"/>
        <w:spacing w:after="0"/>
        <w:rPr>
          <w:sz w:val="20"/>
          <w:szCs w:val="20"/>
          <w:color w:val="auto"/>
        </w:rPr>
      </w:pPr>
      <w:r>
        <w:rPr>
          <w:rFonts w:ascii="Arial" w:cs="Arial" w:eastAsia="Arial" w:hAnsi="Arial"/>
          <w:sz w:val="22"/>
          <w:szCs w:val="22"/>
          <w:color w:val="auto"/>
        </w:rPr>
        <w:t>Toronto, Ontario M5G 1X3</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Canada</w:t>
      </w:r>
    </w:p>
    <w:p>
      <w:pPr>
        <w:spacing w:after="0" w:line="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Attention: Phillip DeZwirek</w:t>
      </w:r>
    </w:p>
    <w:p>
      <w:pPr>
        <w:spacing w:after="0" w:line="242" w:lineRule="exact"/>
        <w:rPr>
          <w:sz w:val="20"/>
          <w:szCs w:val="20"/>
          <w:color w:val="auto"/>
        </w:rPr>
      </w:pPr>
    </w:p>
    <w:p>
      <w:pPr>
        <w:ind w:left="3200"/>
        <w:spacing w:after="0"/>
        <w:tabs>
          <w:tab w:leader="none" w:pos="506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CECO Environmental Corp.</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3120 Forrer Street</w:t>
      </w:r>
    </w:p>
    <w:p>
      <w:pPr>
        <w:spacing w:after="0" w:line="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Cincinnati, Ohio 45209</w:t>
      </w:r>
    </w:p>
    <w:p>
      <w:pPr>
        <w:spacing w:after="0" w:line="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Attention: Dennis W. Blazer</w:t>
      </w:r>
    </w:p>
    <w:p>
      <w:pPr>
        <w:spacing w:after="0" w:line="200" w:lineRule="exact"/>
        <w:rPr>
          <w:sz w:val="20"/>
          <w:szCs w:val="20"/>
          <w:color w:val="auto"/>
        </w:rPr>
      </w:pPr>
    </w:p>
    <w:p>
      <w:pPr>
        <w:spacing w:after="0" w:line="245"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Notice of a Sale Transaction</w:t>
      </w:r>
      <w:r>
        <w:rPr>
          <w:rFonts w:ascii="Arial" w:cs="Arial" w:eastAsia="Arial" w:hAnsi="Arial"/>
          <w:sz w:val="22"/>
          <w:szCs w:val="22"/>
          <w:color w:val="auto"/>
        </w:rPr>
        <w:t>. The Company shall give the Holder of this Note notice of the Closing of a Sale Transaction at least thirty (30) days prior to such Closing.</w:t>
      </w:r>
    </w:p>
    <w:p>
      <w:pPr>
        <w:spacing w:after="0" w:line="173" w:lineRule="exact"/>
        <w:rPr>
          <w:sz w:val="20"/>
          <w:szCs w:val="20"/>
          <w:color w:val="auto"/>
        </w:rPr>
      </w:pPr>
    </w:p>
    <w:p>
      <w:pPr>
        <w:ind w:right="40" w:firstLine="270"/>
        <w:spacing w:after="0" w:line="287"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Collection.</w:t>
      </w:r>
      <w:r>
        <w:rPr>
          <w:rFonts w:ascii="Arial" w:cs="Arial" w:eastAsia="Arial" w:hAnsi="Arial"/>
          <w:sz w:val="19"/>
          <w:szCs w:val="19"/>
          <w:color w:val="auto"/>
        </w:rPr>
        <w:t xml:space="preserve"> If the indebtedness represented by this Note or any part thereof is collected at law or in equity or in bankruptcy, receivership or other judicial proceedings or if this Note is placed in the hands of attorneys for collection after the occurrence of an Event of Default, the Company agrees to pay, in addition to the outstanding principal and accrued interest payable hereon, reasonable attorneys’ fees and costs incurred by the Holder, or on behalf of the Holder by a representative of the Holder.</w:t>
      </w:r>
    </w:p>
    <w:p>
      <w:pPr>
        <w:spacing w:after="0" w:line="143"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rights and obligations of the Company and the Holder shall be binding upon and benefit the successors, assigns, heirs, administrators and transferees of the parties.</w:t>
      </w:r>
    </w:p>
    <w:p>
      <w:pPr>
        <w:spacing w:after="0" w:line="173"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Waivers</w:t>
      </w:r>
      <w:r>
        <w:rPr>
          <w:rFonts w:ascii="Arial" w:cs="Arial" w:eastAsia="Arial" w:hAnsi="Arial"/>
          <w:sz w:val="19"/>
          <w:szCs w:val="19"/>
          <w:color w:val="auto"/>
        </w:rPr>
        <w:t>. The Company and any endorsers, sureties, guarantors, and all others who are, or may become liable for the payment hereof severally: (a) waive presentment for payment, demand, notice of demand, notice of nonpayment or dishonor, protest and notice of protest of this Note, and all other notices in connection with the delivery, acceptance, performance, default, or enforcement of the payment of this Note, (b) consent to all extensions of time, renewals, postponements of time of payment of this Note or other modifications hereof from time to time prior to or after the maturity date hereof, whether by acceleration or in due course, without notice, consent or consideration to any of the foregoing, (c) agree to any substitution, exchange, addition, or release of any of the security for the indebtedness evidenced by this Note or the addition or release of any party or person primarily or secondarily liable hereon, (d) agree that Holder shall not be required first to institute any suit, or to exhaust its remedies against the Company or any other person or party to become liable hereunder or against the security in order to enforce the payment of this Note and (e) agree that, notwithstanding the occurrence of any of the foregoing (except by the express written release by Holder of any such person), the Company shall be and remain, directly and primarily liable for all sums due under this Note.</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112527v1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u w:val="single" w:color="auto"/>
          <w:color w:val="auto"/>
        </w:rPr>
        <w:t>Time</w:t>
      </w:r>
      <w:r>
        <w:rPr>
          <w:rFonts w:ascii="Arial" w:cs="Arial" w:eastAsia="Arial" w:hAnsi="Arial"/>
          <w:sz w:val="19"/>
          <w:szCs w:val="19"/>
          <w:color w:val="auto"/>
        </w:rPr>
        <w:t>. Time is of the essence in this Note.</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19"/>
          <w:szCs w:val="19"/>
          <w:u w:val="single" w:color="auto"/>
          <w:color w:val="auto"/>
        </w:rPr>
        <w:t>Captions</w:t>
      </w:r>
      <w:r>
        <w:rPr>
          <w:rFonts w:ascii="Arial" w:cs="Arial" w:eastAsia="Arial" w:hAnsi="Arial"/>
          <w:sz w:val="19"/>
          <w:szCs w:val="19"/>
          <w:color w:val="auto"/>
        </w:rPr>
        <w:t>. The captions of sections of this Note are for convenient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reference only, and shall not affect the construction or interpretation of any of the terms and provisions set forth in this Note.</w:t>
      </w:r>
    </w:p>
    <w:p>
      <w:pPr>
        <w:spacing w:after="0" w:line="241" w:lineRule="exact"/>
        <w:rPr>
          <w:sz w:val="20"/>
          <w:szCs w:val="20"/>
          <w:color w:val="auto"/>
        </w:rPr>
      </w:pPr>
    </w:p>
    <w:p>
      <w:pPr>
        <w:ind w:right="300" w:firstLine="270"/>
        <w:spacing w:after="0" w:line="251"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Number and Gender</w:t>
      </w:r>
      <w:r>
        <w:rPr>
          <w:rFonts w:ascii="Arial" w:cs="Arial" w:eastAsia="Arial" w:hAnsi="Arial"/>
          <w:sz w:val="22"/>
          <w:szCs w:val="22"/>
          <w:color w:val="auto"/>
        </w:rPr>
        <w:t xml:space="preserve">. Whenever used in this Note, the singular number shall include the plural, and the masculine shall include the feminine and the neuter, and </w:t>
      </w:r>
      <w:r>
        <w:rPr>
          <w:rFonts w:ascii="Arial" w:cs="Arial" w:eastAsia="Arial" w:hAnsi="Arial"/>
          <w:sz w:val="22"/>
          <w:szCs w:val="22"/>
          <w:i w:val="1"/>
          <w:iCs w:val="1"/>
          <w:color w:val="auto"/>
        </w:rPr>
        <w:t>vice versa</w:t>
      </w:r>
      <w:r>
        <w:rPr>
          <w:rFonts w:ascii="Arial" w:cs="Arial" w:eastAsia="Arial" w:hAnsi="Arial"/>
          <w:sz w:val="22"/>
          <w:szCs w:val="22"/>
          <w:color w:val="auto"/>
        </w:rPr>
        <w:t>.</w:t>
      </w:r>
    </w:p>
    <w:p>
      <w:pPr>
        <w:spacing w:after="0" w:line="173" w:lineRule="exact"/>
        <w:rPr>
          <w:sz w:val="20"/>
          <w:szCs w:val="20"/>
          <w:color w:val="auto"/>
        </w:rPr>
      </w:pPr>
    </w:p>
    <w:p>
      <w:pPr>
        <w:ind w:right="100" w:firstLine="270"/>
        <w:spacing w:after="0" w:line="248" w:lineRule="auto"/>
        <w:rPr>
          <w:sz w:val="20"/>
          <w:szCs w:val="20"/>
          <w:color w:val="auto"/>
        </w:rPr>
      </w:pPr>
      <w:r>
        <w:rPr>
          <w:rFonts w:ascii="Arial" w:cs="Arial" w:eastAsia="Arial" w:hAnsi="Arial"/>
          <w:sz w:val="21"/>
          <w:szCs w:val="21"/>
          <w:color w:val="auto"/>
        </w:rPr>
        <w:t xml:space="preserve">10.11 </w:t>
      </w:r>
      <w:r>
        <w:rPr>
          <w:rFonts w:ascii="Arial" w:cs="Arial" w:eastAsia="Arial" w:hAnsi="Arial"/>
          <w:sz w:val="21"/>
          <w:szCs w:val="21"/>
          <w:u w:val="single" w:color="auto"/>
          <w:color w:val="auto"/>
        </w:rPr>
        <w:t>Remedies</w:t>
      </w:r>
      <w:r>
        <w:rPr>
          <w:rFonts w:ascii="Arial" w:cs="Arial" w:eastAsia="Arial" w:hAnsi="Arial"/>
          <w:sz w:val="21"/>
          <w:szCs w:val="21"/>
          <w:color w:val="auto"/>
        </w:rPr>
        <w:t>. All remedies of the Holder shall be cumulative and concurrent and may be pursued singly, successively, or together at the sole discretion of the Holder and may be exercised as often as occasion therefor shall arise. No act of omission or commission of the Holder, including specifically any failure to exercise any right, remedy or recourse shall be effective unless it is set forth in a written document executed by the Holder and then only to the extent specifically recited therein. A waiver or release with reference to one event shall not be construed as continuing as a bar to or as a waiver or release of any subsequent right, remedy, or recourse as to any subsequent event.</w:t>
      </w:r>
    </w:p>
    <w:p>
      <w:pPr>
        <w:spacing w:after="0" w:line="177" w:lineRule="exact"/>
        <w:rPr>
          <w:sz w:val="20"/>
          <w:szCs w:val="20"/>
          <w:color w:val="auto"/>
        </w:rPr>
      </w:pPr>
    </w:p>
    <w:p>
      <w:pPr>
        <w:ind w:right="20" w:firstLine="270"/>
        <w:spacing w:after="0" w:line="277"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No Waiver by Holder</w:t>
      </w:r>
      <w:r>
        <w:rPr>
          <w:rFonts w:ascii="Arial" w:cs="Arial" w:eastAsia="Arial" w:hAnsi="Arial"/>
          <w:sz w:val="19"/>
          <w:szCs w:val="19"/>
          <w:color w:val="auto"/>
        </w:rPr>
        <w:t>. The acceptance by Holder of any payment under this Note which is less than the amount then due or the acceptance of any amount after the due date thereof, shall not be deemed a waiver of any right or remedy available to Holder nor nullify the prior exercise of any such right or remedy by Holder. None of the terms or provisions of this Note may be waived, altered, modified or amended except by a written document executed by Holder and then only to the extent specifically recited therein. No course of dealing or conduct shall be effective waive, alter, modify or amend any of the terms or provisions hereof. The failure or delay to exercise any right or remedy available to Holder shall not constitute a waiver of the right of the Holder to exercise the same or any other right or remedy available to Holder at that time or at any subsequent time.</w:t>
      </w:r>
    </w:p>
    <w:p>
      <w:pPr>
        <w:spacing w:after="0" w:line="153" w:lineRule="exact"/>
        <w:rPr>
          <w:sz w:val="20"/>
          <w:szCs w:val="20"/>
          <w:color w:val="auto"/>
        </w:rPr>
      </w:pPr>
    </w:p>
    <w:p>
      <w:pPr>
        <w:ind w:right="80" w:firstLine="270"/>
        <w:spacing w:after="0" w:line="249" w:lineRule="auto"/>
        <w:rPr>
          <w:sz w:val="20"/>
          <w:szCs w:val="20"/>
          <w:color w:val="auto"/>
        </w:rPr>
      </w:pPr>
      <w:r>
        <w:rPr>
          <w:rFonts w:ascii="Arial" w:cs="Arial" w:eastAsia="Arial" w:hAnsi="Arial"/>
          <w:sz w:val="21"/>
          <w:szCs w:val="21"/>
          <w:color w:val="auto"/>
        </w:rPr>
        <w:t xml:space="preserve">10.13 </w:t>
      </w:r>
      <w:r>
        <w:rPr>
          <w:rFonts w:ascii="Arial" w:cs="Arial" w:eastAsia="Arial" w:hAnsi="Arial"/>
          <w:sz w:val="21"/>
          <w:szCs w:val="21"/>
          <w:u w:val="single" w:color="auto"/>
          <w:color w:val="auto"/>
        </w:rPr>
        <w:t>Waiver of Trial by Jury</w:t>
      </w:r>
      <w:r>
        <w:rPr>
          <w:rFonts w:ascii="Arial" w:cs="Arial" w:eastAsia="Arial" w:hAnsi="Arial"/>
          <w:sz w:val="21"/>
          <w:szCs w:val="21"/>
          <w:color w:val="auto"/>
        </w:rPr>
        <w:t>. HOLDER AND BORROWER HEREBY KNOWINGLY, IRREVOCABLY, VOLUNTARILY AND INTENTIONALLY WAIVE ANY RIGHT EITHER MAY HAVE TO A TRIAL BY JURY IN RESPECT OF ANY ACTION, PROCEEDING OR COUNTERCLAIM BASED ON THIS NOTE, OR ARISING OUT OF, UNDER OR IN CONNECTION WITH THIS NOTE OR ANY OTHER DOCUMENT EXECUTED IN CONNECTION THEREWITH, OR ANY COURSE OF CONDUCT, COURSE OF DEALING, STATEMENTS (WHETHER VERBAL OR WRITTEN) OR ACTIONS OF</w:t>
      </w:r>
    </w:p>
    <w:p>
      <w:pPr>
        <w:sectPr>
          <w:pgSz w:w="11900" w:h="16838" w:orient="portrait"/>
          <w:cols w:equalWidth="0" w:num="1">
            <w:col w:w="11380"/>
          </w:cols>
          <w:pgMar w:left="240" w:top="118" w:right="279" w:bottom="0" w:gutter="0" w:footer="0" w:header="0"/>
        </w:sectPr>
      </w:pPr>
    </w:p>
    <w:bookmarkStart w:id="7" w:name="page8"/>
    <w:bookmarkEnd w:id="7"/>
    <w:p>
      <w:pPr>
        <w:ind w:right="780"/>
        <w:spacing w:after="0" w:line="251" w:lineRule="auto"/>
        <w:rPr>
          <w:sz w:val="20"/>
          <w:szCs w:val="20"/>
          <w:color w:val="auto"/>
        </w:rPr>
      </w:pPr>
      <w:r>
        <w:rPr>
          <w:rFonts w:ascii="Arial" w:cs="Arial" w:eastAsia="Arial" w:hAnsi="Arial"/>
          <w:sz w:val="22"/>
          <w:szCs w:val="22"/>
          <w:color w:val="auto"/>
        </w:rPr>
        <w:t>ANY PARTY HERETO. THIS PROVISION IS A MATERIAL INDUCEMENT FOR HOLDER TO MAKE THE LOAN EVIDENCED BY THIS NOTE.</w:t>
      </w:r>
    </w:p>
    <w:p>
      <w:pPr>
        <w:spacing w:after="0" w:line="174"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10.14. This Note is issued, in part, in replacement of the Prior Note. The indebtedness evidenced by the Prior Note has not been paid; instead this Note is issued in</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112527v1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substitution for the Prior Note and the unpaid indebtedness evidenced thereby continues to be outstanding and is intended to be evidenced hereby.</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[signature page follows]</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112527v1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CECO ENVIRONMENTAL CORP.</w:t>
      </w:r>
    </w:p>
    <w:p>
      <w:pPr>
        <w:spacing w:after="0" w:line="220" w:lineRule="exact"/>
        <w:rPr>
          <w:sz w:val="20"/>
          <w:szCs w:val="20"/>
          <w:color w:val="auto"/>
        </w:rPr>
      </w:pPr>
    </w:p>
    <w:p>
      <w:pPr>
        <w:ind w:left="3260"/>
        <w:spacing w:after="0"/>
        <w:tabs>
          <w:tab w:leader="none" w:pos="3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Dennis W. Blazer</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Dennis W. Blazer</w:t>
      </w:r>
    </w:p>
    <w:p>
      <w:pPr>
        <w:spacing w:after="0" w:line="24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Vice President-Finance and Administration</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and Chief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Can-Med Technology, Inc. d/b/a Green Diamond Oil Corp.</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Phillip DeZwirek</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President</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112527v1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8" w:name="page9"/>
    <w:bookmarkEnd w:id="8"/>
    <w:p>
      <w:pPr>
        <w:ind w:right="40"/>
        <w:spacing w:after="0" w:line="234" w:lineRule="auto"/>
        <w:rPr>
          <w:sz w:val="20"/>
          <w:szCs w:val="20"/>
          <w:color w:val="auto"/>
        </w:rPr>
      </w:pPr>
      <w:r>
        <w:rPr>
          <w:rFonts w:ascii="Arial" w:cs="Arial" w:eastAsia="Arial" w:hAnsi="Arial"/>
          <w:sz w:val="22"/>
          <w:szCs w:val="22"/>
          <w:color w:val="auto"/>
        </w:rPr>
        <w:t>NEITHER THIS NOTE NOR ANY SECURITIES WHICH MAY BE ISSUED UPON THE EXERCISE OF THE WARRANTS HEREOF HAVE BEEN REGISTERED UNDER THE SECURITIES ACT OF 1933, AS AMENDED, OR REGISTERED OR OTHERWISE QUALIFIED UNDER ANY STATE SECURITIES LAW. NEITHER THIS NOTE NOR ANY SUCH SECURITIES MAY BE SOLD OR OFFERED FOR SALE IN THE ABSENCE OF AN EFFECTIVE REGISTRATION STATEMENT UNDER SAID ACT AND REGISTRATION OR OTHER QUALIFICATION UNDER ANY APPLICABLE STATE SECURITIES LAWS, OR AN OPINION OF COUNSEL SATISFACTORY TO THE COMPANY THAT SUCH REGISTRATION OR OTHER QUALIFICATION IS NOT REQUIRED.</w:t>
      </w:r>
    </w:p>
    <w:p>
      <w:pPr>
        <w:spacing w:after="0" w:line="186"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b w:val="1"/>
          <w:bCs w:val="1"/>
          <w:color w:val="auto"/>
        </w:rPr>
        <w:t>Notwithstanding anything herein to the contrary, (i) the obligations evidenced by this Fifth Amended and Restated Replacement Promissory Note are subordinated to the prior payment in full of the Senior Obligations (as defined in the Subordination Agreement hereinafter referred to) pursuant to, and to the extent provided in the Subordination Agreement, dated as of December 29, 2005 (as amended, restated, supplemented or modified from time to time, the “Subordination Agreement”) in favor of Fifth Third Bank (together with its successors and assigns, and the other holders, if any, of the Senior Obligations identified therein, the “Senior Lender”) and (ii) the rights of the holder of this Note hereunder are subject to the limitations and provisions of the Subordination Agreement. In the event of any conflict between the terms of the Subordination Agreement and the terms of this Fifth Amended and Restated Replacement Promissory Note, the terms of the Subordination Agreement shall govern.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CECO Environmental Corp.</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SIXTH AMENDED AND RESTATED REPLACEMENT </w:t>
      </w:r>
      <w:r>
        <w:rPr>
          <w:rFonts w:ascii="Arial" w:cs="Arial" w:eastAsia="Arial" w:hAnsi="Arial"/>
          <w:sz w:val="22"/>
          <w:szCs w:val="22"/>
          <w:u w:val="single" w:color="auto"/>
          <w:color w:val="auto"/>
        </w:rPr>
        <w:t>PROMISSORY NOTE</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$4,542,570</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March 26, 2007</w:t>
      </w:r>
    </w:p>
    <w:p>
      <w:pPr>
        <w:spacing w:after="0" w:line="247"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WHEREAS, Can-Med Technology, Inc. d/b/a Green Diamond Oil Corp., an Ontario corporation ("Green Diamond") has prior to this date advanced sums to CECO Environmental Corp. (the "Company") as evidenced by a Fifth Amended and Restated Replacement Promissory Note dated December 28, 2006 (the "Prior Note"), which Prior Note shall be cancelled and replaced by this Sixth Amended and Restated Replacement Promissory Note (the "Note").</w:t>
      </w:r>
    </w:p>
    <w:p>
      <w:pPr>
        <w:spacing w:after="0" w:line="185"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WHEREAS, Green Diamond has agreed to amend and restate the Prior Note and replace the Prior Note with this Note to extend the maturity date under the Prior Note.</w:t>
      </w:r>
    </w:p>
    <w:p>
      <w:pPr>
        <w:spacing w:after="0" w:line="173" w:lineRule="exact"/>
        <w:rPr>
          <w:sz w:val="20"/>
          <w:szCs w:val="20"/>
          <w:color w:val="auto"/>
        </w:rPr>
      </w:pPr>
    </w:p>
    <w:p>
      <w:pPr>
        <w:ind w:right="220" w:firstLine="270"/>
        <w:spacing w:after="0" w:line="249" w:lineRule="auto"/>
        <w:rPr>
          <w:sz w:val="20"/>
          <w:szCs w:val="20"/>
          <w:color w:val="auto"/>
        </w:rPr>
      </w:pPr>
      <w:r>
        <w:rPr>
          <w:rFonts w:ascii="Arial" w:cs="Arial" w:eastAsia="Arial" w:hAnsi="Arial"/>
          <w:sz w:val="21"/>
          <w:szCs w:val="21"/>
          <w:color w:val="auto"/>
        </w:rPr>
        <w:t>FOR VALUE RECEIVED, the undersigned, CECO Environmental Corp. (the "Company"), a Delaware corporation, hereby promises to pay to the order of Green Diamond Oil Corp. or registered assigns ("Holder"), the principal sum of FOUR MILLION FIVE HUNDRED FORTY-TWO THOUSAND FIVE HUNDRED AND SEVENTY DOLLARS ($4,542,570) on the Maturity Date, as defined in Section 1 below. This Note is part of a series of Notes of like tenor and effect to this Note in the aggregate original principal amount of $5,000,000, which aggregate principal amount has been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112523v1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increased to $6,441,315, that were originally issued in connection with a mezzanine financing by the Company (the "1999 Subordinated Notes").</w:t>
      </w:r>
    </w:p>
    <w:p>
      <w:pPr>
        <w:spacing w:after="0" w:line="173" w:lineRule="exact"/>
        <w:rPr>
          <w:sz w:val="20"/>
          <w:szCs w:val="20"/>
          <w:color w:val="auto"/>
        </w:rPr>
      </w:pPr>
    </w:p>
    <w:p>
      <w:pPr>
        <w:ind w:right="80" w:firstLine="278"/>
        <w:spacing w:after="0" w:line="245" w:lineRule="auto"/>
        <w:tabs>
          <w:tab w:leader="none" w:pos="486"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Maturity</w:t>
      </w:r>
      <w:r>
        <w:rPr>
          <w:rFonts w:ascii="Arial" w:cs="Arial" w:eastAsia="Arial" w:hAnsi="Arial"/>
          <w:sz w:val="21"/>
          <w:szCs w:val="21"/>
          <w:color w:val="auto"/>
        </w:rPr>
        <w:t>. This Note shall be due and payable upon the earlier to occur of the following events (the "Maturity Date"): (i) January 31, 2010; (ii) six (6) months after repayment of the Superior Debt (as defined in Section 8 below); or (iii) the closing (any such closing referred to as the "Closing") of a Sale Transaction. For purposes of this Note, a Sale Transaction shall mean (i) a merger, consolidation, corporate reorganization, or sale of shares of stock of the Company as a result of which there is a change in control and/or the shareholders of the Company on the date hereof ("Current Shareholders") own 50% or less of the outstanding shares of the Company on a fully-diluted basis immediately after the transaction and, including as outstanding for purposes of such calculation, any warrants, options or other instruments convertible or exchangeable into equity securities of the Company issued to persons other than the Current Shareholders in connection with the transaction or (ii) the sale of (A) fifty percent or more of the assets of the Company or (B) any subsidiary, division or line of business of the Company for total consideration in excess of $5 million.</w:t>
      </w:r>
    </w:p>
    <w:p>
      <w:pPr>
        <w:spacing w:after="0" w:line="181" w:lineRule="exact"/>
        <w:rPr>
          <w:rFonts w:ascii="Arial" w:cs="Arial" w:eastAsia="Arial" w:hAnsi="Arial"/>
          <w:sz w:val="21"/>
          <w:szCs w:val="21"/>
          <w:color w:val="auto"/>
        </w:rPr>
      </w:pPr>
    </w:p>
    <w:p>
      <w:pPr>
        <w:ind w:right="40" w:firstLine="278"/>
        <w:spacing w:after="0" w:line="246" w:lineRule="auto"/>
        <w:tabs>
          <w:tab w:leader="none" w:pos="486"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Interest shall accrue on the unpaid principal balance hereof and on any interest payment that is not made when due at the simple compounded rate of twelve percent (12%) per annum. Accrued Interest shall be due and payable on June 30 and December 31 of each year. It shall not be a default hereunder and interest will not accrue on any portion of such interest payments deferred pursuant to the Subordination Agreement ("Deferred Interest") so long as the Deferred Interest is paid at the time and in the manner allowed by the Subordination Agreement. In the Event of Default (as defined herein), interest shall accrue on all unpaid amounts due hereunder, including without limitation, interest, at the rate of fifteen percent (15%) per annum. If a judgment is entered against the Company on this Note, the amount of the judgment so entered shall bear interest at the highest rate authorized by law as of the date of the entry of the judgment.</w:t>
      </w:r>
    </w:p>
    <w:p>
      <w:pPr>
        <w:spacing w:after="0" w:line="180" w:lineRule="exact"/>
        <w:rPr>
          <w:rFonts w:ascii="Arial" w:cs="Arial" w:eastAsia="Arial" w:hAnsi="Arial"/>
          <w:sz w:val="21"/>
          <w:szCs w:val="21"/>
          <w:color w:val="auto"/>
        </w:rPr>
      </w:pPr>
    </w:p>
    <w:p>
      <w:pPr>
        <w:ind w:right="380" w:firstLine="278"/>
        <w:spacing w:after="0" w:line="328" w:lineRule="auto"/>
        <w:tabs>
          <w:tab w:leader="none" w:pos="486"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Payments of both principal and interest shall be made at the principal executive office of the Company, or such other place as the holder hereof shall designate to the Company in writing, in lawful money of the United States of America.</w:t>
      </w:r>
    </w:p>
    <w:p>
      <w:pPr>
        <w:sectPr>
          <w:pgSz w:w="11900" w:h="16838" w:orient="portrait"/>
          <w:cols w:equalWidth="0" w:num="1">
            <w:col w:w="11420"/>
          </w:cols>
          <w:pgMar w:left="240" w:top="118" w:right="239" w:bottom="0" w:gutter="0" w:footer="0" w:header="0"/>
        </w:sectPr>
      </w:pPr>
    </w:p>
    <w:bookmarkStart w:id="9" w:name="page10"/>
    <w:bookmarkEnd w:id="9"/>
    <w:p>
      <w:pPr>
        <w:ind w:right="20" w:firstLine="270"/>
        <w:spacing w:after="0" w:line="241" w:lineRule="auto"/>
        <w:rPr>
          <w:sz w:val="20"/>
          <w:szCs w:val="20"/>
          <w:color w:val="auto"/>
        </w:rPr>
      </w:pPr>
      <w:r>
        <w:rPr>
          <w:rFonts w:ascii="Arial" w:cs="Arial" w:eastAsia="Arial" w:hAnsi="Arial"/>
          <w:sz w:val="22"/>
          <w:szCs w:val="22"/>
          <w:color w:val="auto"/>
        </w:rPr>
        <w:t>So long as no Event of Default has occurred in this Note, all payments hereunder shall first be applied to interest, then to principal. Upon the occurrence of an Event of Default in this Note, all payments hereunder shall first be applied to costs pursuant to Section 12.5, then to interest and the remainder to principal.</w:t>
      </w:r>
    </w:p>
    <w:p>
      <w:pPr>
        <w:spacing w:after="0" w:line="184" w:lineRule="exact"/>
        <w:rPr>
          <w:sz w:val="20"/>
          <w:szCs w:val="20"/>
          <w:color w:val="auto"/>
        </w:rPr>
      </w:pPr>
    </w:p>
    <w:p>
      <w:pPr>
        <w:ind w:firstLine="278"/>
        <w:spacing w:after="0" w:line="279" w:lineRule="auto"/>
        <w:tabs>
          <w:tab w:leader="none" w:pos="48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Registration, Transfer and Exchange of Notes</w:t>
      </w:r>
      <w:r>
        <w:rPr>
          <w:rFonts w:ascii="Arial" w:cs="Arial" w:eastAsia="Arial" w:hAnsi="Arial"/>
          <w:sz w:val="19"/>
          <w:szCs w:val="19"/>
          <w:color w:val="auto"/>
        </w:rPr>
        <w:t>. The Company will keep at its principal office a register in which it will provide for the registration of and transfer of this Note, at its own expense (excluding transfer taxes). If this Note is surrendered at said office or at the place of payment named in this Note for registration of transfer or exchange (accompanied in the case of registration of transfer or exchange by a written instrument of transfer in form satisfactory to the Company duly executed by or on behalf of the holder), the Company, at its expense, will deliver in exchange one or more new notes in denominations of $10,000 or larger multiples of $1,000, as requested by the holder for the aggregate unpaid principal amount. Any note or notes issued in a</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112523v1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transfer or exchange shall carry the same rights to increase notes surrendered. The Holder agrees that prior to making any sale, transfer, pledge, assignment, hypothecation, or other disposition (each, a "Transfer") of this Note, the Holder shall give written notice to the Company describing the manner in which any such proposed Transfer is to be made and providing such additional information and documentation regarding the Transfer as the Company reasonably requests. If the Company so requests, the Holder shall at his expense provide the Company with an opinion of counsel (which counsel must be reasonably satisfactory to the Company), in form and substance satisfactory to the Company, that the proposed Transfer complies with applicable federal and state securities laws. The Company shall have no obligation to Transfer this Note unless the Holder thereof has complied with the foregoing provisions, and any such attempted Transfer shall be null and void.</w:t>
      </w:r>
    </w:p>
    <w:p>
      <w:pPr>
        <w:spacing w:after="0" w:line="158" w:lineRule="exact"/>
        <w:rPr>
          <w:sz w:val="20"/>
          <w:szCs w:val="20"/>
          <w:color w:val="auto"/>
        </w:rPr>
      </w:pPr>
    </w:p>
    <w:p>
      <w:pPr>
        <w:ind w:right="40" w:firstLine="278"/>
        <w:spacing w:after="0"/>
        <w:tabs>
          <w:tab w:leader="none" w:pos="486"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Registered Owner</w:t>
      </w:r>
      <w:r>
        <w:rPr>
          <w:rFonts w:ascii="Arial" w:cs="Arial" w:eastAsia="Arial" w:hAnsi="Arial"/>
          <w:sz w:val="22"/>
          <w:szCs w:val="22"/>
          <w:color w:val="auto"/>
        </w:rPr>
        <w:t>. Prior to due presentation for registration of transfer, the Company may treat the person in whose name this Note is registered as the owner and holder of such Note for the purpose of receiving payment of principal of, and interest on, such Note and for all other purposes.</w:t>
      </w:r>
    </w:p>
    <w:p>
      <w:pPr>
        <w:spacing w:after="0" w:line="186" w:lineRule="exact"/>
        <w:rPr>
          <w:rFonts w:ascii="Arial" w:cs="Arial" w:eastAsia="Arial" w:hAnsi="Arial"/>
          <w:sz w:val="22"/>
          <w:szCs w:val="22"/>
          <w:color w:val="auto"/>
        </w:rPr>
      </w:pPr>
    </w:p>
    <w:p>
      <w:pPr>
        <w:ind w:left="440" w:hanging="432"/>
        <w:spacing w:after="0"/>
        <w:tabs>
          <w:tab w:leader="none" w:pos="44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Prepayment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40"/>
        <w:spacing w:after="0"/>
        <w:rPr>
          <w:rFonts w:ascii="Arial" w:cs="Arial" w:eastAsia="Arial" w:hAnsi="Arial"/>
          <w:sz w:val="22"/>
          <w:szCs w:val="22"/>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Optional Prepayment</w:t>
      </w:r>
      <w:r>
        <w:rPr>
          <w:rFonts w:ascii="Arial" w:cs="Arial" w:eastAsia="Arial" w:hAnsi="Arial"/>
          <w:sz w:val="22"/>
          <w:szCs w:val="22"/>
          <w:color w:val="auto"/>
        </w:rPr>
        <w:t>. The Company, at its option and without any premium,</w:t>
      </w:r>
    </w:p>
    <w:p>
      <w:pPr>
        <w:spacing w:after="0" w:line="200" w:lineRule="exact"/>
        <w:rPr>
          <w:sz w:val="20"/>
          <w:szCs w:val="20"/>
          <w:color w:val="auto"/>
        </w:rPr>
      </w:pPr>
    </w:p>
    <w:p>
      <w:pPr>
        <w:spacing w:after="0" w:line="249" w:lineRule="exact"/>
        <w:rPr>
          <w:sz w:val="20"/>
          <w:szCs w:val="20"/>
          <w:color w:val="auto"/>
        </w:rPr>
      </w:pPr>
    </w:p>
    <w:p>
      <w:pPr>
        <w:jc w:val="center"/>
        <w:spacing w:after="0" w:line="236" w:lineRule="auto"/>
        <w:rPr>
          <w:sz w:val="20"/>
          <w:szCs w:val="20"/>
          <w:color w:val="auto"/>
        </w:rPr>
      </w:pPr>
      <w:r>
        <w:rPr>
          <w:rFonts w:ascii="Arial" w:cs="Arial" w:eastAsia="Arial" w:hAnsi="Arial"/>
          <w:sz w:val="22"/>
          <w:szCs w:val="22"/>
          <w:color w:val="auto"/>
        </w:rPr>
        <w:t>may prepay in whole or in part the principal amount of this Note at 100% of the face value of this Note at any time. The Company shall, at the time of any such prepayment, pay to the holder of this Note all interest accrued and unpaid to the Prepayment Date (defined below). Notwithstanding the foregoing, once a notice of the Closing of a Sale Transaction pursuant to Section 12.4 has been sent to the Holder, the Company may not prepay this Note prior to the Closing of a Sale Transaction, or until the Sale Transaction has been formally abandoned.</w:t>
      </w:r>
    </w:p>
    <w:p>
      <w:pPr>
        <w:spacing w:after="0" w:line="188" w:lineRule="exact"/>
        <w:rPr>
          <w:sz w:val="20"/>
          <w:szCs w:val="20"/>
          <w:color w:val="auto"/>
        </w:rPr>
      </w:pPr>
    </w:p>
    <w:p>
      <w:pPr>
        <w:ind w:left="200" w:right="180" w:firstLine="411"/>
        <w:spacing w:after="0" w:line="276"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Notice of Prepayment</w:t>
      </w:r>
      <w:r>
        <w:rPr>
          <w:rFonts w:ascii="Arial" w:cs="Arial" w:eastAsia="Arial" w:hAnsi="Arial"/>
          <w:sz w:val="19"/>
          <w:szCs w:val="19"/>
          <w:color w:val="auto"/>
        </w:rPr>
        <w:t>. At least five (5) but not more than fifteen (15) days prior to the date fixed for any prepayment, written notice shall be given to the Holder of this Note of the election of the Company to prepay all or a specified portion of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principal amount of this Note (the "Prepayment Notice"). The Prepayment Notice shall specify the date upon ("Prepayment Date")</w:t>
      </w:r>
    </w:p>
    <w:p>
      <w:pPr>
        <w:spacing w:after="0" w:line="25" w:lineRule="exact"/>
        <w:rPr>
          <w:sz w:val="20"/>
          <w:szCs w:val="20"/>
          <w:color w:val="auto"/>
        </w:rPr>
      </w:pPr>
    </w:p>
    <w:p>
      <w:pPr>
        <w:jc w:val="center"/>
        <w:spacing w:after="0" w:line="232" w:lineRule="auto"/>
        <w:rPr>
          <w:sz w:val="20"/>
          <w:szCs w:val="20"/>
          <w:color w:val="auto"/>
        </w:rPr>
      </w:pPr>
      <w:r>
        <w:rPr>
          <w:rFonts w:ascii="Arial" w:cs="Arial" w:eastAsia="Arial" w:hAnsi="Arial"/>
          <w:sz w:val="22"/>
          <w:szCs w:val="22"/>
          <w:color w:val="auto"/>
        </w:rPr>
        <w:t>and the place at which, payment may be obtained and shall call upon the Holder to surrender this Note to the Company in the manner and at the place designated. On the Prepayment Date, the Holder shall surrender this Note to the Company in the manner and at the place designated in the Prepayment Notice, and thereupon prepayment shall be made to Holder and this Note shall be cancelled. In the event that less than all the principal amount of this Note is prepaid, upon surrender of this Note to the Company, the Company shall execute and deliver to Holder a new note or notes in principal amount equal to the unpaid principal amount of this Note.</w:t>
      </w:r>
    </w:p>
    <w:p>
      <w:pPr>
        <w:spacing w:after="0" w:line="189" w:lineRule="exact"/>
        <w:rPr>
          <w:sz w:val="20"/>
          <w:szCs w:val="20"/>
          <w:color w:val="auto"/>
        </w:rPr>
      </w:pPr>
    </w:p>
    <w:p>
      <w:pPr>
        <w:jc w:val="right"/>
        <w:ind w:left="20" w:right="20"/>
        <w:spacing w:after="0" w:line="273"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Cessation of Rights</w:t>
      </w:r>
      <w:r>
        <w:rPr>
          <w:rFonts w:ascii="Arial" w:cs="Arial" w:eastAsia="Arial" w:hAnsi="Arial"/>
          <w:sz w:val="19"/>
          <w:szCs w:val="19"/>
          <w:color w:val="auto"/>
        </w:rPr>
        <w:t>. From and after the Prepayment Date, unless there has been a default under the Prepayment Notice, all interest on the redeemed principal amount shall cease to accrue and all rights of Holder as a Holder of this Note shall cease with respect to the principal amount prepaid and, with respect to such amount, this Note thereafter shall not be deemed to be outstanding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 any purpose whatsoever. By acceptance of this Note,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112523v1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left="260"/>
        <w:spacing w:after="0" w:line="251" w:lineRule="auto"/>
        <w:rPr>
          <w:sz w:val="20"/>
          <w:szCs w:val="20"/>
          <w:color w:val="auto"/>
        </w:rPr>
      </w:pPr>
      <w:r>
        <w:rPr>
          <w:rFonts w:ascii="Arial" w:cs="Arial" w:eastAsia="Arial" w:hAnsi="Arial"/>
          <w:sz w:val="22"/>
          <w:szCs w:val="22"/>
          <w:color w:val="auto"/>
        </w:rPr>
        <w:t>Holder agrees to execute and deliver such documents as may be reasonably requested from time to time by the Company in order to implement the foregoing provisions of this Section.</w:t>
      </w:r>
    </w:p>
    <w:p>
      <w:pPr>
        <w:spacing w:after="0" w:line="173" w:lineRule="exact"/>
        <w:rPr>
          <w:sz w:val="20"/>
          <w:szCs w:val="20"/>
          <w:color w:val="auto"/>
        </w:rPr>
      </w:pPr>
    </w:p>
    <w:p>
      <w:pPr>
        <w:ind w:right="120" w:firstLine="278"/>
        <w:spacing w:after="0" w:line="282" w:lineRule="auto"/>
        <w:tabs>
          <w:tab w:leader="none" w:pos="48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The indebtedness evidenced by this Note shall at all times be wholly subordinate and junior in right of payment to all obligations of the Company under or in connection with the Credit Agreement dated December 29, 2005 ("Superior Debt") among the Company, CECO Group Inc., CECO Filters, Inc., New Bush Co., Inc., The Kirk &amp; Blum Manufacturing Company, kbd/Technic, Inc., CECOAire, Inc., CECO Abatement Systems, Inc. and Fifth Third Bank, upon the terms and conditions contained in the Subordination Agreement, dated as of December 29, 2005 (as amended, restated, supplemented or</w:t>
      </w:r>
    </w:p>
    <w:p>
      <w:pPr>
        <w:sectPr>
          <w:pgSz w:w="11900" w:h="16838" w:orient="portrait"/>
          <w:cols w:equalWidth="0" w:num="1">
            <w:col w:w="11420"/>
          </w:cols>
          <w:pgMar w:left="240" w:top="118" w:right="239" w:bottom="0" w:gutter="0" w:footer="0" w:header="0"/>
        </w:sectPr>
      </w:pPr>
    </w:p>
    <w:bookmarkStart w:id="10" w:name="page11"/>
    <w:bookmarkEnd w:id="10"/>
    <w:p>
      <w:pPr>
        <w:ind w:right="40"/>
        <w:spacing w:after="0" w:line="251" w:lineRule="auto"/>
        <w:rPr>
          <w:sz w:val="20"/>
          <w:szCs w:val="20"/>
          <w:color w:val="auto"/>
        </w:rPr>
      </w:pPr>
      <w:r>
        <w:rPr>
          <w:rFonts w:ascii="Arial" w:cs="Arial" w:eastAsia="Arial" w:hAnsi="Arial"/>
          <w:sz w:val="22"/>
          <w:szCs w:val="22"/>
          <w:color w:val="auto"/>
        </w:rPr>
        <w:t>modified from time to time, the “Subordination Agreement”) in favor of Fifth Third Bank (together with its successors and assigns, and the other holders, if any, of the Senior Obligations identified therein).</w:t>
      </w:r>
    </w:p>
    <w:p>
      <w:pPr>
        <w:spacing w:after="0" w:line="174" w:lineRule="exact"/>
        <w:rPr>
          <w:sz w:val="20"/>
          <w:szCs w:val="20"/>
          <w:color w:val="auto"/>
        </w:rPr>
      </w:pPr>
    </w:p>
    <w:p>
      <w:pPr>
        <w:ind w:right="60" w:firstLine="278"/>
        <w:spacing w:after="0" w:line="238" w:lineRule="auto"/>
        <w:tabs>
          <w:tab w:leader="none" w:pos="486"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Repayment of Notes</w:t>
      </w:r>
      <w:r>
        <w:rPr>
          <w:rFonts w:ascii="Arial" w:cs="Arial" w:eastAsia="Arial" w:hAnsi="Arial"/>
          <w:sz w:val="22"/>
          <w:szCs w:val="22"/>
          <w:color w:val="auto"/>
        </w:rPr>
        <w:t>. Subject to the terms of the Subordination Agreement, in the event the Company completes an equity financing or offering or a series of equity financing or offerings for a total consideration in excess of $10,000,000, then twenty-five percent (25%) of all such consideration in excess of $10,000,000 shall be used immediately, upon receipt by the Company, to pre-pay the 1999 Subordinated Notes.</w:t>
      </w:r>
    </w:p>
    <w:p>
      <w:pPr>
        <w:spacing w:after="0" w:line="185" w:lineRule="exact"/>
        <w:rPr>
          <w:rFonts w:ascii="Arial" w:cs="Arial" w:eastAsia="Arial" w:hAnsi="Arial"/>
          <w:sz w:val="22"/>
          <w:szCs w:val="22"/>
          <w:color w:val="auto"/>
        </w:rPr>
      </w:pPr>
    </w:p>
    <w:p>
      <w:pPr>
        <w:ind w:right="380" w:firstLine="278"/>
        <w:spacing w:after="0" w:line="328" w:lineRule="auto"/>
        <w:tabs>
          <w:tab w:leader="none" w:pos="48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Covenants of the Company</w:t>
      </w:r>
      <w:r>
        <w:rPr>
          <w:rFonts w:ascii="Arial" w:cs="Arial" w:eastAsia="Arial" w:hAnsi="Arial"/>
          <w:sz w:val="19"/>
          <w:szCs w:val="19"/>
          <w:color w:val="auto"/>
        </w:rPr>
        <w:t>. The Company covenants and agrees that it shall not, without the prior written approval of the Holders of a majority of the aggregate principal amount outstanding of the 1999 Subordinated Notes ("Majority Holders"):</w:t>
      </w:r>
    </w:p>
    <w:p>
      <w:pPr>
        <w:spacing w:after="0" w:line="105" w:lineRule="exact"/>
        <w:rPr>
          <w:sz w:val="20"/>
          <w:szCs w:val="20"/>
          <w:color w:val="auto"/>
        </w:rPr>
      </w:pPr>
    </w:p>
    <w:p>
      <w:pPr>
        <w:jc w:val="center"/>
        <w:ind w:left="540" w:right="60"/>
        <w:spacing w:after="0" w:line="251" w:lineRule="auto"/>
        <w:rPr>
          <w:sz w:val="20"/>
          <w:szCs w:val="20"/>
          <w:color w:val="auto"/>
        </w:rPr>
      </w:pPr>
      <w:r>
        <w:rPr>
          <w:rFonts w:ascii="Arial" w:cs="Arial" w:eastAsia="Arial" w:hAnsi="Arial"/>
          <w:sz w:val="22"/>
          <w:szCs w:val="22"/>
          <w:color w:val="auto"/>
        </w:rPr>
        <w:t>9.1 Obtain or incur any indebtedness or other monetary obligations that are senior to or on parity with the Notes, other than the Superior Debt.</w:t>
      </w:r>
    </w:p>
    <w:p>
      <w:pPr>
        <w:spacing w:after="0" w:line="173" w:lineRule="exact"/>
        <w:rPr>
          <w:sz w:val="20"/>
          <w:szCs w:val="20"/>
          <w:color w:val="auto"/>
        </w:rPr>
      </w:pPr>
    </w:p>
    <w:p>
      <w:pPr>
        <w:ind w:left="680" w:right="100" w:hanging="284"/>
        <w:spacing w:after="0" w:line="328" w:lineRule="auto"/>
        <w:rPr>
          <w:sz w:val="20"/>
          <w:szCs w:val="20"/>
          <w:color w:val="auto"/>
        </w:rPr>
      </w:pPr>
      <w:r>
        <w:rPr>
          <w:rFonts w:ascii="Arial" w:cs="Arial" w:eastAsia="Arial" w:hAnsi="Arial"/>
          <w:sz w:val="19"/>
          <w:szCs w:val="19"/>
          <w:color w:val="auto"/>
        </w:rPr>
        <w:t>9.2 Allow, suffer or cause to exist any lien, claim, security interest or encumbrance on the Company’s property or assets, other than with respect to the Superior Debt and purchase money indebtedness incurred in the ordinary course of business.</w:t>
      </w:r>
    </w:p>
    <w:p>
      <w:pPr>
        <w:spacing w:after="0" w:line="105" w:lineRule="exact"/>
        <w:rPr>
          <w:sz w:val="20"/>
          <w:szCs w:val="20"/>
          <w:color w:val="auto"/>
        </w:rPr>
      </w:pPr>
    </w:p>
    <w:p>
      <w:pPr>
        <w:jc w:val="center"/>
        <w:ind w:left="280"/>
        <w:spacing w:after="0"/>
        <w:rPr>
          <w:sz w:val="20"/>
          <w:szCs w:val="20"/>
          <w:color w:val="auto"/>
        </w:rPr>
      </w:pPr>
      <w:r>
        <w:rPr>
          <w:rFonts w:ascii="Arial" w:cs="Arial" w:eastAsia="Arial" w:hAnsi="Arial"/>
          <w:sz w:val="22"/>
          <w:szCs w:val="22"/>
          <w:color w:val="auto"/>
        </w:rPr>
        <w:t>9.3 Enter into any arrangement or agreement involving the merger or consolidation of the Company.</w:t>
      </w:r>
    </w:p>
    <w:p>
      <w:pPr>
        <w:spacing w:after="0" w:line="206" w:lineRule="exact"/>
        <w:rPr>
          <w:sz w:val="20"/>
          <w:szCs w:val="20"/>
          <w:color w:val="auto"/>
        </w:rPr>
      </w:pPr>
    </w:p>
    <w:p>
      <w:pPr>
        <w:ind w:left="20" w:firstLine="358"/>
        <w:spacing w:after="0" w:line="276" w:lineRule="auto"/>
        <w:rPr>
          <w:sz w:val="20"/>
          <w:szCs w:val="20"/>
          <w:color w:val="auto"/>
        </w:rPr>
      </w:pPr>
      <w:r>
        <w:rPr>
          <w:rFonts w:ascii="Arial" w:cs="Arial" w:eastAsia="Arial" w:hAnsi="Arial"/>
          <w:sz w:val="19"/>
          <w:szCs w:val="19"/>
          <w:color w:val="auto"/>
        </w:rPr>
        <w:t>9.4 Use the proceeds from the sale of the 1999 Subordinated Notes other than in the ordinary course of its business for general corporate purposes including lending monies to any of its subsidiaries. The Company also covenants and agrees that it shall operate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its business in the ordinary course.</w:t>
      </w:r>
    </w:p>
    <w:p>
      <w:pPr>
        <w:spacing w:after="0" w:line="188"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Events of Default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Occurrences of Events of Default</w:t>
      </w:r>
      <w:r>
        <w:rPr>
          <w:rFonts w:ascii="Arial" w:cs="Arial" w:eastAsia="Arial" w:hAnsi="Arial"/>
          <w:sz w:val="22"/>
          <w:szCs w:val="22"/>
          <w:color w:val="auto"/>
        </w:rPr>
        <w:t>. Each of the following events shall</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constitute an "Event of Default" for purposes of this Note: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 if the Company fails to pay any amount payable, under this Note when</w:t>
      </w:r>
    </w:p>
    <w:p>
      <w:pPr>
        <w:spacing w:after="0" w:line="24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due;</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112523v1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left="120" w:right="60" w:firstLine="233"/>
        <w:spacing w:after="0" w:line="276" w:lineRule="auto"/>
        <w:tabs>
          <w:tab w:leader="none" w:pos="663"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the Company breaches any of its representations, warranties or covenants set forth in this Note or the agreement issued to Green Diamond setting forth the terms of the warrants issued in connection with the original issuance of the note representing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debt evidenced by this Note;</w:t>
      </w:r>
    </w:p>
    <w:p>
      <w:pPr>
        <w:spacing w:after="0" w:line="188" w:lineRule="exact"/>
        <w:rPr>
          <w:sz w:val="20"/>
          <w:szCs w:val="20"/>
          <w:color w:val="auto"/>
        </w:rPr>
      </w:pPr>
    </w:p>
    <w:p>
      <w:pPr>
        <w:jc w:val="both"/>
        <w:ind w:left="400" w:right="360" w:firstLine="279"/>
        <w:spacing w:after="0" w:line="276" w:lineRule="auto"/>
        <w:tabs>
          <w:tab w:leader="none" w:pos="982"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commencement of an involuntary case against the Company or its subsidiary or any of its subsidiaries under any applicable bankruptcy, insolvency or other similar law now or hereafter in effect, or the appointing of a receiver, liquidator,</w:t>
      </w:r>
    </w:p>
    <w:p>
      <w:pPr>
        <w:spacing w:after="0" w:line="2" w:lineRule="exact"/>
        <w:rPr>
          <w:sz w:val="20"/>
          <w:szCs w:val="20"/>
          <w:color w:val="auto"/>
        </w:rPr>
      </w:pPr>
    </w:p>
    <w:p>
      <w:pPr>
        <w:jc w:val="center"/>
        <w:ind w:left="280" w:right="60"/>
        <w:spacing w:after="0" w:line="237" w:lineRule="auto"/>
        <w:rPr>
          <w:sz w:val="20"/>
          <w:szCs w:val="20"/>
          <w:color w:val="auto"/>
        </w:rPr>
      </w:pPr>
      <w:r>
        <w:rPr>
          <w:rFonts w:ascii="Arial" w:cs="Arial" w:eastAsia="Arial" w:hAnsi="Arial"/>
          <w:sz w:val="22"/>
          <w:szCs w:val="22"/>
          <w:color w:val="auto"/>
        </w:rPr>
        <w:t>assignee, custodian, trustee or similar official of the Company or for any substantial part of the Company or one of its subsidiary's property, or ordering the winding-up or liquidation of the Company or one of its subsidiary's affairs;</w:t>
      </w:r>
    </w:p>
    <w:p>
      <w:pPr>
        <w:spacing w:after="0" w:line="185" w:lineRule="exact"/>
        <w:rPr>
          <w:sz w:val="20"/>
          <w:szCs w:val="20"/>
          <w:color w:val="auto"/>
        </w:rPr>
      </w:pPr>
    </w:p>
    <w:p>
      <w:pPr>
        <w:ind w:left="40" w:right="20" w:firstLine="374"/>
        <w:spacing w:after="0" w:line="276" w:lineRule="auto"/>
        <w:tabs>
          <w:tab w:leader="none" w:pos="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the Company or any of its subsidiaries shall commence a voluntary case under any applicable bankruptcy, insolvency or other similar law now or hereafter in effect, or shall consent to the entry of an order for relief in an involuntary case under any such</w:t>
      </w:r>
    </w:p>
    <w:p>
      <w:pPr>
        <w:spacing w:after="0" w:line="1" w:lineRule="exact"/>
        <w:rPr>
          <w:rFonts w:ascii="Arial" w:cs="Arial" w:eastAsia="Arial" w:hAnsi="Arial"/>
          <w:sz w:val="19"/>
          <w:szCs w:val="19"/>
          <w:color w:val="auto"/>
        </w:rPr>
      </w:pPr>
    </w:p>
    <w:p>
      <w:pPr>
        <w:jc w:val="center"/>
        <w:ind w:left="100" w:right="80" w:firstLine="147"/>
        <w:spacing w:after="0" w:line="267" w:lineRule="auto"/>
        <w:rPr>
          <w:rFonts w:ascii="Arial" w:cs="Arial" w:eastAsia="Arial" w:hAnsi="Arial"/>
          <w:sz w:val="19"/>
          <w:szCs w:val="19"/>
          <w:color w:val="auto"/>
        </w:rPr>
      </w:pPr>
      <w:r>
        <w:rPr>
          <w:rFonts w:ascii="Arial" w:cs="Arial" w:eastAsia="Arial" w:hAnsi="Arial"/>
          <w:sz w:val="19"/>
          <w:szCs w:val="19"/>
          <w:color w:val="auto"/>
        </w:rPr>
        <w:t>law, or shall consent to the appointment of or taking possession by a receiver, liquidator, assignee, trustee, custodian or similar official of the Company or its subsidiary or for any substantial part of the Company or one of its subsidiary's property, or shall make any general assignment for the benefit of creditors, or shall take any corporate action in furtherance of any of the foregoing;</w:t>
      </w:r>
    </w:p>
    <w:p>
      <w:pPr>
        <w:jc w:val="center"/>
        <w:ind w:right="-19"/>
        <w:spacing w:after="0"/>
        <w:rPr>
          <w:sz w:val="20"/>
          <w:szCs w:val="20"/>
          <w:color w:val="auto"/>
        </w:rPr>
      </w:pPr>
      <w:r>
        <w:rPr>
          <w:rFonts w:ascii="Arial" w:cs="Arial" w:eastAsia="Arial" w:hAnsi="Arial"/>
          <w:sz w:val="22"/>
          <w:szCs w:val="22"/>
          <w:color w:val="auto"/>
        </w:rPr>
        <w:t>or</w:t>
      </w:r>
    </w:p>
    <w:p>
      <w:pPr>
        <w:spacing w:after="0" w:line="188" w:lineRule="exact"/>
        <w:rPr>
          <w:sz w:val="20"/>
          <w:szCs w:val="20"/>
          <w:color w:val="auto"/>
        </w:rPr>
      </w:pPr>
    </w:p>
    <w:p>
      <w:pPr>
        <w:ind w:left="3120" w:right="100" w:hanging="2723"/>
        <w:spacing w:after="0" w:line="251" w:lineRule="auto"/>
        <w:tabs>
          <w:tab w:leader="none" w:pos="687" w:val="left"/>
        </w:tabs>
        <w:numPr>
          <w:ilvl w:val="0"/>
          <w:numId w:val="21"/>
        </w:numPr>
        <w:rPr>
          <w:rFonts w:ascii="Arial" w:cs="Arial" w:eastAsia="Arial" w:hAnsi="Arial"/>
          <w:sz w:val="22"/>
          <w:szCs w:val="22"/>
          <w:color w:val="auto"/>
        </w:rPr>
      </w:pPr>
      <w:r>
        <w:rPr>
          <w:rFonts w:ascii="Arial" w:cs="Arial" w:eastAsia="Arial" w:hAnsi="Arial"/>
          <w:sz w:val="22"/>
          <w:szCs w:val="22"/>
          <w:color w:val="auto"/>
        </w:rPr>
        <w:t>if the Company’s business shall fail, as determined in good faith by the Majority Holders and evidenced by the Company’s inability to pay its ongoing debts as such debts become due.</w:t>
      </w:r>
    </w:p>
    <w:p>
      <w:pPr>
        <w:spacing w:after="0" w:line="173" w:lineRule="exact"/>
        <w:rPr>
          <w:sz w:val="20"/>
          <w:szCs w:val="20"/>
          <w:color w:val="auto"/>
        </w:rPr>
      </w:pPr>
    </w:p>
    <w:p>
      <w:pPr>
        <w:ind w:left="200" w:right="180" w:firstLine="463"/>
        <w:spacing w:after="0" w:line="276"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Acceleration Upon Event of Default</w:t>
      </w:r>
      <w:r>
        <w:rPr>
          <w:rFonts w:ascii="Arial" w:cs="Arial" w:eastAsia="Arial" w:hAnsi="Arial"/>
          <w:sz w:val="19"/>
          <w:szCs w:val="19"/>
          <w:color w:val="auto"/>
        </w:rPr>
        <w:t>. If any Event of Default shall have occurred and be continuing, for any reason whatsoever (and whether such occurrence shall be voluntary or involuntary or come about or be effected by operation of law or</w:t>
      </w:r>
    </w:p>
    <w:p>
      <w:pPr>
        <w:spacing w:after="0" w:line="2" w:lineRule="exact"/>
        <w:rPr>
          <w:sz w:val="20"/>
          <w:szCs w:val="20"/>
          <w:color w:val="auto"/>
        </w:rPr>
      </w:pPr>
    </w:p>
    <w:p>
      <w:pPr>
        <w:jc w:val="center"/>
        <w:ind w:left="280" w:right="40"/>
        <w:spacing w:after="0" w:line="234" w:lineRule="auto"/>
        <w:rPr>
          <w:sz w:val="20"/>
          <w:szCs w:val="20"/>
          <w:color w:val="auto"/>
        </w:rPr>
      </w:pPr>
      <w:r>
        <w:rPr>
          <w:rFonts w:ascii="Arial" w:cs="Arial" w:eastAsia="Arial" w:hAnsi="Arial"/>
          <w:sz w:val="22"/>
          <w:szCs w:val="22"/>
          <w:color w:val="auto"/>
        </w:rPr>
        <w:t>otherwise), the unpaid principal amount of, and the accrued interest on, this Note shall automatically become immediately due and payable, without presentment, demand, protest or other requirements of any kind, all of which are hereby expressly waived by the Company.</w:t>
      </w:r>
    </w:p>
    <w:p>
      <w:pPr>
        <w:spacing w:after="0" w:line="187" w:lineRule="exact"/>
        <w:rPr>
          <w:sz w:val="20"/>
          <w:szCs w:val="20"/>
          <w:color w:val="auto"/>
        </w:rPr>
      </w:pPr>
    </w:p>
    <w:p>
      <w:pPr>
        <w:ind w:right="600" w:firstLine="278"/>
        <w:spacing w:after="0" w:line="251" w:lineRule="auto"/>
        <w:tabs>
          <w:tab w:leader="none" w:pos="58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 of the Holder</w:t>
      </w:r>
      <w:r>
        <w:rPr>
          <w:rFonts w:ascii="Arial" w:cs="Arial" w:eastAsia="Arial" w:hAnsi="Arial"/>
          <w:sz w:val="22"/>
          <w:szCs w:val="22"/>
          <w:color w:val="auto"/>
        </w:rPr>
        <w:t>. With respect to the purchase of this Note, the Holder hereby represents and warrants to the Company as follows:</w:t>
      </w:r>
    </w:p>
    <w:p>
      <w:pPr>
        <w:spacing w:after="0" w:line="173" w:lineRule="exact"/>
        <w:rPr>
          <w:sz w:val="20"/>
          <w:szCs w:val="20"/>
          <w:color w:val="auto"/>
        </w:rPr>
      </w:pPr>
    </w:p>
    <w:p>
      <w:pPr>
        <w:ind w:left="320" w:right="300" w:firstLine="359"/>
        <w:spacing w:after="0" w:line="328"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Experience</w:t>
      </w:r>
      <w:r>
        <w:rPr>
          <w:rFonts w:ascii="Arial" w:cs="Arial" w:eastAsia="Arial" w:hAnsi="Arial"/>
          <w:sz w:val="19"/>
          <w:szCs w:val="19"/>
          <w:color w:val="auto"/>
        </w:rPr>
        <w:t>. The Holder has substantial experience in evaluating and investing in private placement transactions of securities in companies similar to the Company so that it is capable of evaluating the merits and risks of its investment in the</w:t>
      </w:r>
    </w:p>
    <w:p>
      <w:pPr>
        <w:sectPr>
          <w:pgSz w:w="11900" w:h="16838" w:orient="portrait"/>
          <w:cols w:equalWidth="0" w:num="1">
            <w:col w:w="11400"/>
          </w:cols>
          <w:pgMar w:left="240" w:top="118" w:right="25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color w:val="auto"/>
        </w:rPr>
        <w:t>Company and has the capacity to protect its own interests.</w:t>
      </w:r>
    </w:p>
    <w:p>
      <w:pPr>
        <w:spacing w:after="0" w:line="207" w:lineRule="exact"/>
        <w:rPr>
          <w:sz w:val="20"/>
          <w:szCs w:val="20"/>
          <w:color w:val="auto"/>
        </w:rPr>
      </w:pPr>
    </w:p>
    <w:p>
      <w:pPr>
        <w:ind w:left="360" w:right="140" w:firstLine="47"/>
        <w:spacing w:after="0" w:line="276"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Investment</w:t>
      </w:r>
      <w:r>
        <w:rPr>
          <w:rFonts w:ascii="Arial" w:cs="Arial" w:eastAsia="Arial" w:hAnsi="Arial"/>
          <w:sz w:val="19"/>
          <w:szCs w:val="19"/>
          <w:color w:val="auto"/>
        </w:rPr>
        <w:t>. The Holder is acquiring the Securities for investment for its own account, not as a nominee or agent, and not with the view to, or for resale in connection with, any distribution thereof. The Holder is an "accredited investor" within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meaning of Regulation D, Section 501(a), promulgated by the Securities and Exchange Commission.</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112523v1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Access to Data</w:t>
      </w:r>
      <w:r>
        <w:rPr>
          <w:rFonts w:ascii="Arial" w:cs="Arial" w:eastAsia="Arial" w:hAnsi="Arial"/>
          <w:sz w:val="22"/>
          <w:szCs w:val="22"/>
          <w:color w:val="auto"/>
        </w:rPr>
        <w:t>. The Holder has had an opportunity to discuss the Company’s business, management and financial affairs with the Company’s management and has also had an opportunity to ask questions of the Company’s officers, which questions were answered to its satisfaction.</w:t>
      </w:r>
    </w:p>
    <w:p>
      <w:pPr>
        <w:spacing w:after="0" w:line="186"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Invalidity of Any Provision</w:t>
      </w:r>
      <w:r>
        <w:rPr>
          <w:rFonts w:ascii="Arial" w:cs="Arial" w:eastAsia="Arial" w:hAnsi="Arial"/>
          <w:sz w:val="22"/>
          <w:szCs w:val="22"/>
          <w:color w:val="auto"/>
        </w:rPr>
        <w:t>. If any provision or part of any provision of this</w:t>
      </w:r>
    </w:p>
    <w:p>
      <w:pPr>
        <w:spacing w:after="0" w:line="200" w:lineRule="exact"/>
        <w:rPr>
          <w:sz w:val="20"/>
          <w:szCs w:val="20"/>
          <w:color w:val="auto"/>
        </w:rPr>
      </w:pPr>
    </w:p>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Note shall for any reason be held invalid, illegal or unenforceable in any respect, such invalidity, illegality or unenforceability shall not affect any other provisions of this Note and this Note shall be construed as if such invalid, illegal or unenforceable provisions or part hereof had never been contained herein, but only to the extent of its invalidity, illegality or unenforceability.</w:t>
      </w:r>
    </w:p>
    <w:p>
      <w:pPr>
        <w:spacing w:after="0" w:line="134"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Governing Law</w:t>
      </w:r>
      <w:r>
        <w:rPr>
          <w:rFonts w:ascii="Arial" w:cs="Arial" w:eastAsia="Arial" w:hAnsi="Arial"/>
          <w:sz w:val="22"/>
          <w:szCs w:val="22"/>
          <w:color w:val="auto"/>
        </w:rPr>
        <w:t>. The Note shall be governed in all respects by the laws of the State of Delaware, excluding its conflict of laws.</w:t>
      </w:r>
    </w:p>
    <w:p>
      <w:pPr>
        <w:spacing w:after="0" w:line="173" w:lineRule="exact"/>
        <w:rPr>
          <w:sz w:val="20"/>
          <w:szCs w:val="20"/>
          <w:color w:val="auto"/>
        </w:rPr>
      </w:pPr>
    </w:p>
    <w:p>
      <w:pPr>
        <w:jc w:val="both"/>
        <w:ind w:right="400" w:firstLine="270"/>
        <w:spacing w:after="0" w:line="238"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Notices</w:t>
      </w:r>
      <w:r>
        <w:rPr>
          <w:rFonts w:ascii="Arial" w:cs="Arial" w:eastAsia="Arial" w:hAnsi="Arial"/>
          <w:sz w:val="22"/>
          <w:szCs w:val="22"/>
          <w:color w:val="auto"/>
        </w:rPr>
        <w:t>. Any notice or other communication required or permitted hereunder shall be in writing and shall be deemed to have been duly given (i) on the date of delivery if delivered personally, (ii) one (1) business day after transmission by facsimile transmission with a written confirmation copy sent by first class mail, or (iii) five (5) days after mailing if mailed by first class mail, to the following addresses:</w:t>
      </w:r>
    </w:p>
    <w:p>
      <w:pPr>
        <w:spacing w:after="0" w:line="199" w:lineRule="exact"/>
        <w:rPr>
          <w:sz w:val="20"/>
          <w:szCs w:val="20"/>
          <w:color w:val="auto"/>
        </w:rPr>
      </w:pPr>
    </w:p>
    <w:p>
      <w:pPr>
        <w:ind w:left="3520"/>
        <w:spacing w:after="0"/>
        <w:tabs>
          <w:tab w:leader="none" w:pos="532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CECO Environmental Corp.</w:t>
      </w:r>
    </w:p>
    <w:p>
      <w:pPr>
        <w:spacing w:after="0" w:line="22"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3120 Forrer Street</w:t>
      </w:r>
    </w:p>
    <w:p>
      <w:pPr>
        <w:spacing w:after="0" w:line="4"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Cincinnati, Ohio 45209</w:t>
      </w:r>
    </w:p>
    <w:p>
      <w:pPr>
        <w:spacing w:after="0" w:line="4"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Attention: Dennis W. Blazer</w:t>
      </w:r>
    </w:p>
    <w:p>
      <w:pPr>
        <w:spacing w:after="0" w:line="200" w:lineRule="exact"/>
        <w:rPr>
          <w:sz w:val="20"/>
          <w:szCs w:val="20"/>
          <w:color w:val="auto"/>
        </w:rPr>
      </w:pPr>
    </w:p>
    <w:p>
      <w:pPr>
        <w:spacing w:after="0" w:line="245" w:lineRule="exact"/>
        <w:rPr>
          <w:sz w:val="20"/>
          <w:szCs w:val="20"/>
          <w:color w:val="auto"/>
        </w:rPr>
      </w:pPr>
    </w:p>
    <w:p>
      <w:pPr>
        <w:ind w:right="160" w:firstLine="270"/>
        <w:spacing w:after="0" w:line="251" w:lineRule="auto"/>
        <w:rPr>
          <w:sz w:val="20"/>
          <w:szCs w:val="20"/>
          <w:color w:val="auto"/>
        </w:rPr>
      </w:pPr>
      <w:r>
        <w:rPr>
          <w:rFonts w:ascii="Arial" w:cs="Arial" w:eastAsia="Arial" w:hAnsi="Arial"/>
          <w:sz w:val="22"/>
          <w:szCs w:val="22"/>
          <w:color w:val="auto"/>
        </w:rPr>
        <w:t>And if to the Holder, to the address or facsimile number of Holder as set forth on the Company’s records, or such other address as the Holder has provided to the Company by notice duly given.</w:t>
      </w:r>
    </w:p>
    <w:p>
      <w:pPr>
        <w:spacing w:after="0" w:line="173"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Notice of a Sale Transaction</w:t>
      </w:r>
      <w:r>
        <w:rPr>
          <w:rFonts w:ascii="Arial" w:cs="Arial" w:eastAsia="Arial" w:hAnsi="Arial"/>
          <w:sz w:val="22"/>
          <w:szCs w:val="22"/>
          <w:color w:val="auto"/>
        </w:rPr>
        <w:t>. The Company shall give the Holder of this Note notice of the Closing of a Sale Transaction at least thirty (30) days prior to such Closing.</w:t>
      </w:r>
    </w:p>
    <w:p>
      <w:pPr>
        <w:spacing w:after="0" w:line="173" w:lineRule="exact"/>
        <w:rPr>
          <w:sz w:val="20"/>
          <w:szCs w:val="20"/>
          <w:color w:val="auto"/>
        </w:rPr>
      </w:pPr>
    </w:p>
    <w:p>
      <w:pPr>
        <w:ind w:right="80" w:firstLine="270"/>
        <w:spacing w:after="0" w:line="287"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Collection</w:t>
      </w:r>
      <w:r>
        <w:rPr>
          <w:rFonts w:ascii="Arial" w:cs="Arial" w:eastAsia="Arial" w:hAnsi="Arial"/>
          <w:sz w:val="19"/>
          <w:szCs w:val="19"/>
          <w:color w:val="auto"/>
        </w:rPr>
        <w:t>. If the indebtedness represented by this Note or any part thereof is collected at law or in equity or in bankruptcy, receivership or other judicial proceedings or if this Note is placed in the hands of attorneys for collection after the occurrence of an Event of Default, the Company agrees to pay, in addition to the outstanding principal and accrued interest payable hereon, reasonable attorneys’ fees and costs incurred by the Holder, or on behalf of the Holder by a representative of the Holder.</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112523v1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rights and obligations of the Company and the Holder shall be binding upon and benefit the successors, assigns, heirs, administrators and transferees of the parties.</w:t>
      </w:r>
    </w:p>
    <w:p>
      <w:pPr>
        <w:spacing w:after="0" w:line="173" w:lineRule="exact"/>
        <w:rPr>
          <w:sz w:val="20"/>
          <w:szCs w:val="20"/>
          <w:color w:val="auto"/>
        </w:rPr>
      </w:pPr>
    </w:p>
    <w:p>
      <w:pPr>
        <w:ind w:right="40" w:firstLine="270"/>
        <w:spacing w:after="0" w:line="273"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Waivers</w:t>
      </w:r>
      <w:r>
        <w:rPr>
          <w:rFonts w:ascii="Arial" w:cs="Arial" w:eastAsia="Arial" w:hAnsi="Arial"/>
          <w:sz w:val="19"/>
          <w:szCs w:val="19"/>
          <w:color w:val="auto"/>
        </w:rPr>
        <w:t>. The Company and any endorsers, sureties, guarantors, and all others who are, or may become liable for the payment hereof severally: (a) waive presentment for payment, demand, notice of demand, notice of nonpayment or dishonor, protest and notice of protest of this Note, and all other notices in connection with the delivery, acceptance, performance, default, or enforcement of the payment of this Note, (b) consent to all extensions of time, renewals, postponements of time of payment of this Note or other modifications hereof from time to time prior to or after the maturity date hereof, whether by acceleration or in due course, without notice, consent or consideration to any of the foregoing, (c) agree to any substitution, exchange, addition, or release of any of the security for the indebtedness evidenced by this Note or the addition or release of any party or person primarily or secondarily liable hereon, (d) agree that Holder shall not be required first to institute any suit, or to exhaust its remedies against the Company or any other person or party to become liable hereunder or against the security in order to enforce the payment of this Note and (e) agree that, notwithstanding the occurrence of any of the foregoing (except by the express written release by Holder of any such person), the Company shall be and remain, directly and primarily liable for all sums due under this Note.</w:t>
      </w:r>
    </w:p>
    <w:p>
      <w:pPr>
        <w:sectPr>
          <w:pgSz w:w="11900" w:h="16838" w:orient="portrait"/>
          <w:cols w:equalWidth="0" w:num="1">
            <w:col w:w="11420"/>
          </w:cols>
          <w:pgMar w:left="240" w:top="118" w:right="239" w:bottom="0" w:gutter="0" w:footer="0" w:header="0"/>
        </w:sectPr>
      </w:pPr>
    </w:p>
    <w:bookmarkStart w:id="12" w:name="page13"/>
    <w:bookmarkEnd w:id="12"/>
    <w:p>
      <w:pPr>
        <w:spacing w:after="0"/>
        <w:tabs>
          <w:tab w:leader="none" w:pos="6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u w:val="single" w:color="auto"/>
          <w:color w:val="auto"/>
        </w:rPr>
        <w:t>Time</w:t>
      </w:r>
      <w:r>
        <w:rPr>
          <w:rFonts w:ascii="Arial" w:cs="Arial" w:eastAsia="Arial" w:hAnsi="Arial"/>
          <w:sz w:val="19"/>
          <w:szCs w:val="19"/>
          <w:color w:val="auto"/>
        </w:rPr>
        <w:t>. Time is of the essence in this Note.</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u w:val="single" w:color="auto"/>
          <w:color w:val="auto"/>
        </w:rPr>
        <w:t>Captions</w:t>
      </w:r>
      <w:r>
        <w:rPr>
          <w:rFonts w:ascii="Arial" w:cs="Arial" w:eastAsia="Arial" w:hAnsi="Arial"/>
          <w:sz w:val="19"/>
          <w:szCs w:val="19"/>
          <w:color w:val="auto"/>
        </w:rPr>
        <w:t>. The captions of sections of this Note are for convenient reference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only, and shall not affect the construction or interpretation of any of the terms and provisions set forth in this Note.</w:t>
      </w:r>
    </w:p>
    <w:p>
      <w:pPr>
        <w:spacing w:after="0" w:line="206"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Number and Gender</w:t>
      </w:r>
      <w:r>
        <w:rPr>
          <w:rFonts w:ascii="Arial" w:cs="Arial" w:eastAsia="Arial" w:hAnsi="Arial"/>
          <w:sz w:val="22"/>
          <w:szCs w:val="22"/>
          <w:color w:val="auto"/>
        </w:rPr>
        <w:t xml:space="preserve">. Whenever used in this Note, the singular number shall include the plural, and the masculine shall include the feminine and the neuter, and </w:t>
      </w:r>
      <w:r>
        <w:rPr>
          <w:rFonts w:ascii="Arial" w:cs="Arial" w:eastAsia="Arial" w:hAnsi="Arial"/>
          <w:sz w:val="22"/>
          <w:szCs w:val="22"/>
          <w:i w:val="1"/>
          <w:iCs w:val="1"/>
          <w:color w:val="auto"/>
        </w:rPr>
        <w:t>vice versa</w:t>
      </w:r>
      <w:r>
        <w:rPr>
          <w:rFonts w:ascii="Arial" w:cs="Arial" w:eastAsia="Arial" w:hAnsi="Arial"/>
          <w:sz w:val="22"/>
          <w:szCs w:val="22"/>
          <w:color w:val="auto"/>
        </w:rPr>
        <w:t>.</w:t>
      </w:r>
    </w:p>
    <w:p>
      <w:pPr>
        <w:spacing w:after="0" w:line="173" w:lineRule="exact"/>
        <w:rPr>
          <w:sz w:val="20"/>
          <w:szCs w:val="20"/>
          <w:color w:val="auto"/>
        </w:rPr>
      </w:pPr>
    </w:p>
    <w:p>
      <w:pPr>
        <w:ind w:right="80" w:firstLine="270"/>
        <w:spacing w:after="0" w:line="248" w:lineRule="auto"/>
        <w:rPr>
          <w:sz w:val="20"/>
          <w:szCs w:val="20"/>
          <w:color w:val="auto"/>
        </w:rPr>
      </w:pPr>
      <w:r>
        <w:rPr>
          <w:rFonts w:ascii="Arial" w:cs="Arial" w:eastAsia="Arial" w:hAnsi="Arial"/>
          <w:sz w:val="21"/>
          <w:szCs w:val="21"/>
          <w:color w:val="auto"/>
        </w:rPr>
        <w:t xml:space="preserve">12.11 </w:t>
      </w:r>
      <w:r>
        <w:rPr>
          <w:rFonts w:ascii="Arial" w:cs="Arial" w:eastAsia="Arial" w:hAnsi="Arial"/>
          <w:sz w:val="21"/>
          <w:szCs w:val="21"/>
          <w:u w:val="single" w:color="auto"/>
          <w:color w:val="auto"/>
        </w:rPr>
        <w:t>Remedies</w:t>
      </w:r>
      <w:r>
        <w:rPr>
          <w:rFonts w:ascii="Arial" w:cs="Arial" w:eastAsia="Arial" w:hAnsi="Arial"/>
          <w:sz w:val="21"/>
          <w:szCs w:val="21"/>
          <w:color w:val="auto"/>
        </w:rPr>
        <w:t>. All remedies of the Holder shall be cumulative and concurrent and may be pursued singly, successively, or together at the sole discretion of the Holder and may be exercised as often as occasion therefor shall arise. No act of omission or commission of the Holder, including specifically any failure to exercise any right, remedy or recourse shall be effective unless it is set forth in a written document executed by the Holder and then only to the extent specifically recited therein. A waiver or release with reference to one event shall not be construed as continuing as a bar to or as a waiver or release of any subsequent right, remedy, or recourse as to any subsequent event.</w:t>
      </w:r>
    </w:p>
    <w:p>
      <w:pPr>
        <w:spacing w:after="0" w:line="177"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 xml:space="preserve">12.12 </w:t>
      </w:r>
      <w:r>
        <w:rPr>
          <w:rFonts w:ascii="Arial" w:cs="Arial" w:eastAsia="Arial" w:hAnsi="Arial"/>
          <w:sz w:val="22"/>
          <w:szCs w:val="22"/>
          <w:u w:val="single" w:color="auto"/>
          <w:color w:val="auto"/>
        </w:rPr>
        <w:t>No Waiver by Holder</w:t>
      </w:r>
      <w:r>
        <w:rPr>
          <w:rFonts w:ascii="Arial" w:cs="Arial" w:eastAsia="Arial" w:hAnsi="Arial"/>
          <w:sz w:val="22"/>
          <w:szCs w:val="22"/>
          <w:color w:val="auto"/>
        </w:rPr>
        <w:t>. The acceptance by Holder of any payment under this Note which is less than the amount then due or the acceptance of any amount after the due date thereof, shall not be deemed a waiver of any right or remedy available to Holder nor nullify the prior exercise of any such right or remedy by Holder. None of the terms or provisions of this Note may be waived, altered, modified or amended except by a written</w:t>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112523v1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document executed by Holder and then only to the extent specifically recited therein. No course of dealing or conduct shall be effective waive, alter, modify or amend any of the terms or provisions hereof. The failure or delay to exercise any right or remedy available to Holder shall not constitute a waiver of the right of the Holder to exercise the same or any other right or remedy available to Holder at that time or at any subsequent time.</w:t>
      </w:r>
    </w:p>
    <w:p>
      <w:pPr>
        <w:spacing w:after="0" w:line="185" w:lineRule="exact"/>
        <w:rPr>
          <w:sz w:val="20"/>
          <w:szCs w:val="20"/>
          <w:color w:val="auto"/>
        </w:rPr>
      </w:pPr>
    </w:p>
    <w:p>
      <w:pPr>
        <w:ind w:right="140" w:firstLine="270"/>
        <w:spacing w:after="0" w:line="245" w:lineRule="auto"/>
        <w:rPr>
          <w:sz w:val="20"/>
          <w:szCs w:val="20"/>
          <w:color w:val="auto"/>
        </w:rPr>
      </w:pPr>
      <w:r>
        <w:rPr>
          <w:rFonts w:ascii="Arial" w:cs="Arial" w:eastAsia="Arial" w:hAnsi="Arial"/>
          <w:sz w:val="21"/>
          <w:szCs w:val="21"/>
          <w:color w:val="auto"/>
        </w:rPr>
        <w:t xml:space="preserve">12.13 </w:t>
      </w: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BORROWER, AND ANY ENDORSERS, SURETIES, GUARANTORS AND ALL OTHERS WHO ARE, OR WHO MAY BECOME, LIABLE FOR THE PAYMENT HEREOF SEVERALLY, IRREVOCABLY AND UNCONDITIONALLY (A) AGREE THAT ANY SUIT, ACTION, OR OTHER LEGAL PROCEEDING ARISING OUT OF OR RELATING TO THIS NOTE OR ANY OTHER AGREEMENT, DOCUMENT OR INSTRUMENT DELIVERED PURSUANT TO, OR IN CONNECTION WITH THIS NOTE SHALL BE BROUGHT AND MAINTAINED IN THE COURTS IN AND FOR HAMILTON COUNTY, OHIO, OR IN THE UNITED STATES DISTRICT COURT FOR THE SOUTHERN DISTRICT OF OHIO; (B) CONSENT TO THE EXCLUSIVE JURISDICTION OF SUCH COURTS IN ANY SUCH SUIT, ACTION OR PROCEEDING; AND (C) WAIVE ANY OBJECTION WHICH IT OR THEY MAY HAVE TO THE LAYING OF VENUE OF ANY SUCH SUIT, ACTION, OR PROCEEDING IN ANY OF SUCH COURTS.</w:t>
      </w:r>
    </w:p>
    <w:p>
      <w:pPr>
        <w:spacing w:after="0" w:line="185" w:lineRule="exact"/>
        <w:rPr>
          <w:sz w:val="20"/>
          <w:szCs w:val="20"/>
          <w:color w:val="auto"/>
        </w:rPr>
      </w:pPr>
    </w:p>
    <w:p>
      <w:pPr>
        <w:ind w:right="60" w:firstLine="270"/>
        <w:spacing w:after="0" w:line="234" w:lineRule="auto"/>
        <w:rPr>
          <w:sz w:val="20"/>
          <w:szCs w:val="20"/>
          <w:color w:val="auto"/>
        </w:rPr>
      </w:pPr>
      <w:r>
        <w:rPr>
          <w:rFonts w:ascii="Arial" w:cs="Arial" w:eastAsia="Arial" w:hAnsi="Arial"/>
          <w:sz w:val="22"/>
          <w:szCs w:val="22"/>
          <w:color w:val="auto"/>
        </w:rPr>
        <w:t xml:space="preserve">12.14 </w:t>
      </w:r>
      <w:r>
        <w:rPr>
          <w:rFonts w:ascii="Arial" w:cs="Arial" w:eastAsia="Arial" w:hAnsi="Arial"/>
          <w:sz w:val="22"/>
          <w:szCs w:val="22"/>
          <w:u w:val="single" w:color="auto"/>
          <w:color w:val="auto"/>
        </w:rPr>
        <w:t>Waiver of Trial by Jury</w:t>
      </w:r>
      <w:r>
        <w:rPr>
          <w:rFonts w:ascii="Arial" w:cs="Arial" w:eastAsia="Arial" w:hAnsi="Arial"/>
          <w:sz w:val="22"/>
          <w:szCs w:val="22"/>
          <w:color w:val="auto"/>
        </w:rPr>
        <w:t>. HOLDER AND BORROWER HEREBY KNOWINGLY, IRREVOCABLY, VOLUNTARILY AND INTENTIONALLY WAIVE ANY RIGHT EITHER MAY HAVE TO A TRIAL BY JURY IN RESPECT OF ANY ACTION, PROCEEDING OR COUNTERCLAIM BASED ON THIS NOTE, OR ARISING OUT OF, UNDER OR IN CONNECTION WITH THIS NOTE OR ANY OTHER DOCUMENT EXECUTED IN CONNECTION THEREWITH, OR ANY COURSE OF CONDUCT, COURSE OF DEALING, STATEMENTS (WHETHER VERBAL OR WRITTEN) OR ACTIONS OF ANY PARTY HERETO. THIS PROVISION IS A MATERIAL INDUCEMENT FOR HOLDER TO MAKE THE LOAN EVIDENCED BY THIS NOTE.</w:t>
      </w:r>
    </w:p>
    <w:p>
      <w:pPr>
        <w:spacing w:after="0" w:line="191"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12.15 This Note is issued, in part, in replacement of the Prior Note. The indebtedness evidenced by the Prior Note has not been paid; instead this Note is issued in substitution for the Prior Note and the unpaid indebtedness evidenced thereby continues to be outstanding and is intended to be evidenced hereby.</w:t>
      </w: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 page follows]</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112523v1</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CECO ENVIRONMENTAL CORP.</w:t>
      </w:r>
    </w:p>
    <w:p>
      <w:pPr>
        <w:spacing w:after="0" w:line="220"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Dennis W. Blazer</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Dennis W. Blazer</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Vice President – Finance and Administration</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and Chief Financial Officer</w:t>
      </w:r>
    </w:p>
    <w:p>
      <w:pPr>
        <w:sectPr>
          <w:pgSz w:w="11900" w:h="16838" w:orient="portrait"/>
          <w:cols w:equalWidth="0" w:num="1">
            <w:col w:w="11360"/>
          </w:cols>
          <w:pgMar w:left="240" w:top="118" w:right="299" w:bottom="29"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Can-Med Technology, Inc. d/b/a Green Diamond Oil Corp.</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Phillip DeZwirek</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President</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112523v1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1"/>
    </w:lvl>
    <w:lvl w:ilvl="1">
      <w:lvlJc w:val="left"/>
      <w:lvlText w:val="%2."/>
      <w:numFmt w:val="decimal"/>
      <w:start w:val="1"/>
    </w:lvl>
  </w:abstractNum>
  <w:abstractNum w:abstractNumId="1">
    <w:nsid w:val="140E0F76"/>
    <w:multiLevelType w:val="hybridMultilevel"/>
    <w:lvl w:ilvl="0">
      <w:lvlJc w:val="left"/>
      <w:lvlText w:val="(%1)"/>
      <w:numFmt w:val="upperLetter"/>
      <w:start w:val="1"/>
    </w:lvl>
    <w:lvl w:ilvl="1">
      <w:lvlJc w:val="left"/>
      <w:lvlText w:val="%2."/>
      <w:numFmt w:val="decimal"/>
      <w:start w:val="2"/>
    </w:lvl>
  </w:abstractNum>
  <w:abstractNum w:abstractNumId="2">
    <w:nsid w:val="3352255A"/>
    <w:multiLevelType w:val="hybridMultilevel"/>
    <w:lvl w:ilvl="0">
      <w:lvlJc w:val="left"/>
      <w:lvlText w:val="%1."/>
      <w:numFmt w:val="decimal"/>
      <w:start w:val="5"/>
    </w:lvl>
  </w:abstractNum>
  <w:abstractNum w:abstractNumId="3">
    <w:nsid w:val="109CF92E"/>
    <w:multiLevelType w:val="hybridMultilevel"/>
    <w:lvl w:ilvl="0">
      <w:lvlJc w:val="left"/>
      <w:lvlText w:val="%1."/>
      <w:numFmt w:val="decimal"/>
      <w:start w:val="6"/>
    </w:lvl>
  </w:abstractNum>
  <w:abstractNum w:abstractNumId="4">
    <w:nsid w:val="DED7263"/>
    <w:multiLevelType w:val="hybridMultilevel"/>
    <w:lvl w:ilvl="0">
      <w:lvlJc w:val="left"/>
      <w:lvlText w:val="%1."/>
      <w:numFmt w:val="decimal"/>
      <w:start w:val="8"/>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2"/>
    </w:lvl>
  </w:abstractNum>
  <w:abstractNum w:abstractNumId="7">
    <w:nsid w:val="41A7C4C9"/>
    <w:multiLevelType w:val="hybridMultilevel"/>
    <w:lvl w:ilvl="0">
      <w:lvlJc w:val="left"/>
      <w:lvlText w:val="(%1)"/>
      <w:numFmt w:val="lowerLetter"/>
      <w:start w:val="5"/>
    </w:lvl>
  </w:abstractNum>
  <w:abstractNum w:abstractNumId="8">
    <w:nsid w:val="6B68079A"/>
    <w:multiLevelType w:val="hybridMultilevel"/>
    <w:lvl w:ilvl="0">
      <w:lvlJc w:val="left"/>
      <w:lvlText w:val="%1."/>
      <w:numFmt w:val="decimal"/>
      <w:start w:val="9"/>
    </w:lvl>
  </w:abstractNum>
  <w:abstractNum w:abstractNumId="9">
    <w:nsid w:val="4E6AFB66"/>
    <w:multiLevelType w:val="hybridMultilevel"/>
    <w:lvl w:ilvl="0">
      <w:lvlJc w:val="left"/>
      <w:lvlText w:val="%1."/>
      <w:numFmt w:val="decimal"/>
      <w:start w:val="10"/>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1"/>
      <w:numFmt w:val="decimal"/>
      <w:start w:val="1"/>
    </w:lvl>
    <w:lvl w:ilvl="1">
      <w:lvlJc w:val="left"/>
      <w:lvlText w:val="%2."/>
      <w:numFmt w:val="decimal"/>
      <w:start w:val="5"/>
    </w:lvl>
  </w:abstractNum>
  <w:abstractNum w:abstractNumId="13">
    <w:nsid w:val="3F2DBA31"/>
    <w:multiLevelType w:val="hybridMultilevel"/>
    <w:lvl w:ilvl="0">
      <w:lvlJc w:val="left"/>
      <w:lvlText w:val="%1."/>
      <w:numFmt w:val="decimal"/>
      <w:start w:val="6"/>
    </w:lvl>
    <w:lvl w:ilvl="1">
      <w:lvlJc w:val="left"/>
      <w:lvlText w:val="%2"/>
      <w:numFmt w:val="decimal"/>
      <w:start w:val="1"/>
    </w:lvl>
  </w:abstractNum>
  <w:abstractNum w:abstractNumId="14">
    <w:nsid w:val="7C83E458"/>
    <w:multiLevelType w:val="hybridMultilevel"/>
    <w:lvl w:ilvl="0">
      <w:lvlJc w:val="left"/>
      <w:lvlText w:val="%1."/>
      <w:numFmt w:val="decimal"/>
      <w:start w:val="7"/>
    </w:lvl>
  </w:abstractNum>
  <w:abstractNum w:abstractNumId="15">
    <w:nsid w:val="257130A3"/>
    <w:multiLevelType w:val="hybridMultilevel"/>
    <w:lvl w:ilvl="0">
      <w:lvlJc w:val="left"/>
      <w:lvlText w:val="%1."/>
      <w:numFmt w:val="decimal"/>
      <w:start w:val="8"/>
    </w:lvl>
  </w:abstractNum>
  <w:abstractNum w:abstractNumId="16">
    <w:nsid w:val="62BBD95A"/>
    <w:multiLevelType w:val="hybridMultilevel"/>
    <w:lvl w:ilvl="0">
      <w:lvlJc w:val="left"/>
      <w:lvlText w:val="%1."/>
      <w:numFmt w:val="decimal"/>
      <w:start w:val="10"/>
    </w:lvl>
  </w:abstractNum>
  <w:abstractNum w:abstractNumId="17">
    <w:nsid w:val="436C6125"/>
    <w:multiLevelType w:val="hybridMultilevel"/>
    <w:lvl w:ilvl="0">
      <w:lvlJc w:val="left"/>
      <w:lvlText w:val="(%1)"/>
      <w:numFmt w:val="lowerLetter"/>
      <w:start w:val="2"/>
    </w:lvl>
  </w:abstractNum>
  <w:abstractNum w:abstractNumId="18">
    <w:nsid w:val="628C895D"/>
    <w:multiLevelType w:val="hybridMultilevel"/>
    <w:lvl w:ilvl="0">
      <w:lvlJc w:val="left"/>
      <w:lvlText w:val="(%1)"/>
      <w:numFmt w:val="lowerLetter"/>
      <w:start w:val="3"/>
    </w:lvl>
  </w:abstractNum>
  <w:abstractNum w:abstractNumId="19">
    <w:nsid w:val="333AB105"/>
    <w:multiLevelType w:val="hybridMultilevel"/>
    <w:lvl w:ilvl="0">
      <w:lvlJc w:val="left"/>
      <w:lvlText w:val="(%1)"/>
      <w:numFmt w:val="lowerLetter"/>
      <w:start w:val="4"/>
    </w:lvl>
  </w:abstractNum>
  <w:abstractNum w:abstractNumId="20">
    <w:nsid w:val="721DA317"/>
    <w:multiLevelType w:val="hybridMultilevel"/>
    <w:lvl w:ilvl="0">
      <w:lvlJc w:val="left"/>
      <w:lvlText w:val="(%1)"/>
      <w:numFmt w:val="lowerLetter"/>
      <w:start w:val="5"/>
    </w:lvl>
  </w:abstractNum>
  <w:abstractNum w:abstractNumId="21">
    <w:nsid w:val="2443A858"/>
    <w:multiLevelType w:val="hybridMultilevel"/>
    <w:lvl w:ilvl="0">
      <w:lvlJc w:val="left"/>
      <w:lvlText w:val="%1."/>
      <w:numFmt w:val="decimal"/>
      <w:start w:val="11"/>
    </w:lvl>
  </w:abstractNum>
  <w:abstractNum w:abstractNumId="22">
    <w:nsid w:val="2D1D5AE9"/>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2020-02-05T04:47:03Z</dcterms:created>
  <dcterms:modified xsi:type="dcterms:W3CDTF">2020-02-05T04:47:03Z</dcterms:modified>
</cp:coreProperties>
</file>