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CECO Environmental Corp.</w:t>
      </w:r>
    </w:p>
    <w:p>
      <w:pPr>
        <w:spacing w:after="0" w:line="3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64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60"/>
              <w:spacing w:after="0"/>
              <w:rPr>
                <w:sz w:val="20"/>
                <w:szCs w:val="20"/>
                <w:color w:val="auto"/>
              </w:rPr>
            </w:pPr>
            <w:r>
              <w:rPr>
                <w:rFonts w:ascii="Arial" w:cs="Arial" w:eastAsia="Arial" w:hAnsi="Arial"/>
                <w:sz w:val="18"/>
                <w:szCs w:val="18"/>
                <w:b w:val="1"/>
                <w:bCs w:val="1"/>
                <w:color w:val="auto"/>
              </w:rPr>
              <w:t>000-07099</w:t>
            </w:r>
          </w:p>
        </w:tc>
        <w:tc>
          <w:tcPr>
            <w:tcW w:w="2860" w:type="dxa"/>
            <w:vAlign w:val="bottom"/>
          </w:tcPr>
          <w:p>
            <w:pPr>
              <w:jc w:val="center"/>
              <w:ind w:left="1661"/>
              <w:spacing w:after="0"/>
              <w:rPr>
                <w:sz w:val="20"/>
                <w:szCs w:val="20"/>
                <w:color w:val="auto"/>
              </w:rPr>
            </w:pPr>
            <w:r>
              <w:rPr>
                <w:rFonts w:ascii="Arial" w:cs="Arial" w:eastAsia="Arial" w:hAnsi="Arial"/>
                <w:sz w:val="18"/>
                <w:szCs w:val="18"/>
                <w:b w:val="1"/>
                <w:bCs w:val="1"/>
                <w:color w:val="auto"/>
                <w:w w:val="91"/>
              </w:rPr>
              <w:t>13-2566064</w:t>
            </w:r>
          </w:p>
        </w:tc>
        <w:tc>
          <w:tcPr>
            <w:tcW w:w="0" w:type="dxa"/>
            <w:vAlign w:val="bottom"/>
          </w:tcPr>
          <w:p>
            <w:pPr>
              <w:spacing w:after="0"/>
              <w:rPr>
                <w:sz w:val="1"/>
                <w:szCs w:val="1"/>
                <w:color w:val="auto"/>
              </w:rPr>
            </w:pPr>
          </w:p>
        </w:tc>
      </w:tr>
      <w:tr>
        <w:trPr>
          <w:trHeight w:val="301"/>
        </w:trPr>
        <w:tc>
          <w:tcPr>
            <w:tcW w:w="3640" w:type="dxa"/>
            <w:vAlign w:val="bottom"/>
          </w:tcPr>
          <w:p>
            <w:pPr>
              <w:jc w:val="center"/>
              <w:ind w:right="1838"/>
              <w:spacing w:after="0"/>
              <w:rPr>
                <w:sz w:val="20"/>
                <w:szCs w:val="20"/>
                <w:color w:val="auto"/>
              </w:rPr>
            </w:pPr>
            <w:r>
              <w:rPr>
                <w:rFonts w:ascii="Arial" w:cs="Arial" w:eastAsia="Arial" w:hAnsi="Arial"/>
                <w:sz w:val="14"/>
                <w:szCs w:val="14"/>
                <w:b w:val="1"/>
                <w:bCs w:val="1"/>
                <w:color w:val="auto"/>
                <w:w w:val="94"/>
              </w:rPr>
              <w:t>(State or Other Jurisdiction</w:t>
            </w: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(Commission</w:t>
            </w:r>
          </w:p>
        </w:tc>
        <w:tc>
          <w:tcPr>
            <w:tcW w:w="2860" w:type="dxa"/>
            <w:vAlign w:val="bottom"/>
          </w:tcPr>
          <w:p>
            <w:pPr>
              <w:jc w:val="center"/>
              <w:ind w:left="1681"/>
              <w:spacing w:after="0"/>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3640" w:type="dxa"/>
            <w:vAlign w:val="bottom"/>
          </w:tcPr>
          <w:p>
            <w:pPr>
              <w:jc w:val="center"/>
              <w:ind w:right="1838"/>
              <w:spacing w:after="0"/>
              <w:rPr>
                <w:sz w:val="20"/>
                <w:szCs w:val="20"/>
                <w:color w:val="auto"/>
              </w:rPr>
            </w:pPr>
            <w:r>
              <w:rPr>
                <w:rFonts w:ascii="Arial" w:cs="Arial" w:eastAsia="Arial" w:hAnsi="Arial"/>
                <w:sz w:val="14"/>
                <w:szCs w:val="14"/>
                <w:b w:val="1"/>
                <w:bCs w:val="1"/>
                <w:color w:val="auto"/>
                <w:w w:val="96"/>
              </w:rPr>
              <w:t>of Incorporation)</w:t>
            </w: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File Number)</w:t>
            </w:r>
          </w:p>
        </w:tc>
        <w:tc>
          <w:tcPr>
            <w:tcW w:w="2860" w:type="dxa"/>
            <w:vAlign w:val="bottom"/>
          </w:tcPr>
          <w:p>
            <w:pPr>
              <w:jc w:val="center"/>
              <w:ind w:left="166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364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14651 North Dallas Parkway</w:t>
            </w:r>
          </w:p>
        </w:tc>
        <w:tc>
          <w:tcPr>
            <w:tcW w:w="2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40" w:type="dxa"/>
            <w:vAlign w:val="bottom"/>
          </w:tcPr>
          <w:p>
            <w:pPr>
              <w:jc w:val="center"/>
              <w:ind w:right="18"/>
              <w:spacing w:after="0" w:line="176" w:lineRule="exact"/>
              <w:rPr>
                <w:sz w:val="20"/>
                <w:szCs w:val="20"/>
                <w:color w:val="auto"/>
              </w:rPr>
            </w:pPr>
            <w:r>
              <w:rPr>
                <w:rFonts w:ascii="Arial" w:cs="Arial" w:eastAsia="Arial" w:hAnsi="Arial"/>
                <w:sz w:val="18"/>
                <w:szCs w:val="18"/>
                <w:b w:val="1"/>
                <w:bCs w:val="1"/>
                <w:color w:val="auto"/>
                <w:w w:val="88"/>
              </w:rPr>
              <w:t>Suite 500</w:t>
            </w:r>
          </w:p>
        </w:tc>
        <w:tc>
          <w:tcPr>
            <w:tcW w:w="2440" w:type="dxa"/>
            <w:vAlign w:val="bottom"/>
          </w:tcPr>
          <w:p>
            <w:pPr>
              <w:spacing w:after="0"/>
              <w:rPr>
                <w:sz w:val="15"/>
                <w:szCs w:val="15"/>
                <w:color w:val="auto"/>
              </w:rPr>
            </w:pPr>
          </w:p>
        </w:tc>
        <w:tc>
          <w:tcPr>
            <w:tcW w:w="2860" w:type="dxa"/>
            <w:vAlign w:val="bottom"/>
            <w:vMerge w:val="restart"/>
          </w:tcPr>
          <w:p>
            <w:pPr>
              <w:jc w:val="right"/>
              <w:ind w:right="1261"/>
              <w:spacing w:after="0"/>
              <w:rPr>
                <w:sz w:val="20"/>
                <w:szCs w:val="20"/>
                <w:color w:val="auto"/>
              </w:rPr>
            </w:pPr>
            <w:r>
              <w:rPr>
                <w:rFonts w:ascii="Arial" w:cs="Arial" w:eastAsia="Arial" w:hAnsi="Arial"/>
                <w:sz w:val="18"/>
                <w:szCs w:val="18"/>
                <w:b w:val="1"/>
                <w:bCs w:val="1"/>
                <w:color w:val="auto"/>
              </w:rPr>
              <w:t>75254</w:t>
            </w:r>
          </w:p>
        </w:tc>
        <w:tc>
          <w:tcPr>
            <w:tcW w:w="0" w:type="dxa"/>
            <w:vAlign w:val="bottom"/>
          </w:tcPr>
          <w:p>
            <w:pPr>
              <w:spacing w:after="0"/>
              <w:rPr>
                <w:sz w:val="1"/>
                <w:szCs w:val="1"/>
                <w:color w:val="auto"/>
              </w:rPr>
            </w:pPr>
          </w:p>
        </w:tc>
      </w:tr>
      <w:tr>
        <w:trPr>
          <w:trHeight w:val="207"/>
        </w:trPr>
        <w:tc>
          <w:tcPr>
            <w:tcW w:w="3640" w:type="dxa"/>
            <w:vAlign w:val="bottom"/>
          </w:tcPr>
          <w:p>
            <w:pPr>
              <w:jc w:val="center"/>
              <w:ind w:right="18"/>
              <w:spacing w:after="0"/>
              <w:rPr>
                <w:sz w:val="20"/>
                <w:szCs w:val="20"/>
                <w:color w:val="auto"/>
              </w:rPr>
            </w:pPr>
            <w:r>
              <w:rPr>
                <w:rFonts w:ascii="Arial" w:cs="Arial" w:eastAsia="Arial" w:hAnsi="Arial"/>
                <w:sz w:val="18"/>
                <w:szCs w:val="18"/>
                <w:b w:val="1"/>
                <w:bCs w:val="1"/>
                <w:color w:val="auto"/>
                <w:w w:val="95"/>
              </w:rPr>
              <w:t>Dallas, TX</w:t>
            </w:r>
          </w:p>
        </w:tc>
        <w:tc>
          <w:tcPr>
            <w:tcW w:w="244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40" w:type="dxa"/>
            <w:vAlign w:val="bottom"/>
          </w:tcPr>
          <w:p>
            <w:pPr>
              <w:spacing w:after="0"/>
              <w:rPr>
                <w:sz w:val="16"/>
                <w:szCs w:val="16"/>
                <w:color w:val="auto"/>
              </w:rPr>
            </w:pPr>
          </w:p>
        </w:tc>
        <w:tc>
          <w:tcPr>
            <w:tcW w:w="2860" w:type="dxa"/>
            <w:vAlign w:val="bottom"/>
          </w:tcPr>
          <w:p>
            <w:pPr>
              <w:jc w:val="center"/>
              <w:ind w:right="18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0"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517"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Trading Symbol(s)</w:t>
            </w:r>
          </w:p>
        </w:tc>
        <w:tc>
          <w:tcPr>
            <w:tcW w:w="338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0.01 per share</w:t>
            </w: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w w:val="89"/>
              </w:rPr>
              <w:t>Common Stock, par value $</w:t>
            </w:r>
          </w:p>
        </w:tc>
        <w:tc>
          <w:tcPr>
            <w:tcW w:w="17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CECE</w:t>
            </w:r>
          </w:p>
        </w:tc>
        <w:tc>
          <w:tcPr>
            <w:tcW w:w="338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w:t>
      </w:r>
    </w:p>
    <w:p>
      <w:pPr>
        <w:spacing w:after="0" w:line="11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364490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68" w:right="499" w:bottom="1440" w:gutter="0" w:footer="0" w:header="0"/>
        </w:sectPr>
      </w:pPr>
    </w:p>
    <w:bookmarkStart w:id="2" w:name="page3"/>
    <w:bookmarkEnd w:id="2"/>
    <w:p>
      <w:pPr>
        <w:ind w:left="20"/>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Regulation FD Disclosure.</w:t>
      </w:r>
    </w:p>
    <w:p>
      <w:pPr>
        <w:spacing w:after="0" w:line="108"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On January 10, 2022, CECO Environmental Corp. (the “Company”) issued a press release announcing that through Effox-Flextor-Mader, Inc. (“EFM”), a joint venture between the Company and Chartwell Investments Entrepreneur &amp; Founder Capital, LLC, it has agreed to definitive terms to acquire General Rubber LLC (“GRC”), a worldwide leader in the engineering and manufacturing of non-metallic (rubber) expansion joints and flow control products.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highlights include:</w:t>
      </w:r>
    </w:p>
    <w:p>
      <w:pPr>
        <w:spacing w:after="0" w:line="104" w:lineRule="exact"/>
        <w:rPr>
          <w:sz w:val="20"/>
          <w:szCs w:val="20"/>
          <w:color w:val="auto"/>
        </w:rPr>
      </w:pPr>
    </w:p>
    <w:p>
      <w:pPr>
        <w:ind w:left="420" w:right="4080"/>
        <w:spacing w:after="0" w:line="360" w:lineRule="auto"/>
        <w:rPr>
          <w:sz w:val="20"/>
          <w:szCs w:val="20"/>
          <w:color w:val="auto"/>
        </w:rPr>
      </w:pPr>
      <w:r>
        <w:rPr>
          <w:rFonts w:ascii="Arial" w:cs="Arial" w:eastAsia="Arial" w:hAnsi="Arial"/>
          <w:sz w:val="18"/>
          <w:szCs w:val="18"/>
          <w:color w:val="auto"/>
        </w:rPr>
        <w:t>Purchase price of approximately $24 million financed using debt, cash, and equity from EFM GRC generated approximately $12 million of revenue in 2021</w:t>
      </w:r>
    </w:p>
    <w:p>
      <w:pPr>
        <w:ind w:right="3440" w:firstLine="417"/>
        <w:spacing w:after="0" w:line="360" w:lineRule="auto"/>
        <w:rPr>
          <w:sz w:val="20"/>
          <w:szCs w:val="20"/>
          <w:color w:val="auto"/>
        </w:rPr>
      </w:pPr>
      <w:r>
        <w:rPr>
          <w:rFonts w:ascii="Arial" w:cs="Arial" w:eastAsia="Arial" w:hAnsi="Arial"/>
          <w:sz w:val="18"/>
          <w:szCs w:val="18"/>
          <w:color w:val="auto"/>
        </w:rPr>
        <w:t>GRC has above-average EBITDA margins and cash flows delivering attractive value for the Company The press release is furnished herewith as Exhibit 99.1.</w:t>
      </w:r>
    </w:p>
    <w:p>
      <w:pPr>
        <w:jc w:val="both"/>
        <w:ind w:right="20"/>
        <w:spacing w:after="0" w:line="248" w:lineRule="auto"/>
        <w:rPr>
          <w:sz w:val="20"/>
          <w:szCs w:val="20"/>
          <w:color w:val="auto"/>
        </w:rPr>
      </w:pPr>
      <w:r>
        <w:rPr>
          <w:rFonts w:ascii="Arial" w:cs="Arial" w:eastAsia="Arial" w:hAnsi="Arial"/>
          <w:sz w:val="18"/>
          <w:szCs w:val="18"/>
          <w:color w:val="auto"/>
        </w:rPr>
        <w:t>The information furnished under Item 7.01 in this Form 8-K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4"/>
          </w:tcPr>
          <w:p>
            <w:pPr>
              <w:ind w:left="80"/>
              <w:spacing w:after="0"/>
              <w:rPr>
                <w:sz w:val="20"/>
                <w:szCs w:val="20"/>
                <w:color w:val="auto"/>
              </w:rPr>
            </w:pPr>
            <w:r>
              <w:rPr>
                <w:rFonts w:ascii="Arial" w:cs="Arial" w:eastAsia="Arial" w:hAnsi="Arial"/>
                <w:sz w:val="18"/>
                <w:szCs w:val="18"/>
                <w:b w:val="1"/>
                <w:bCs w:val="1"/>
                <w:color w:val="auto"/>
              </w:rPr>
              <w:t>Financial Statements and Exhibits.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Press Release dated January 10, 2022.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ind w:left="10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10, 2022</w:t>
      </w:r>
    </w:p>
    <w:p>
      <w:pPr>
        <w:ind w:left="5780"/>
        <w:spacing w:after="0"/>
        <w:rPr>
          <w:sz w:val="20"/>
          <w:szCs w:val="20"/>
          <w:color w:val="auto"/>
        </w:rPr>
      </w:pPr>
      <w:r>
        <w:rPr>
          <w:rFonts w:ascii="Arial" w:cs="Arial" w:eastAsia="Arial" w:hAnsi="Arial"/>
          <w:sz w:val="18"/>
          <w:szCs w:val="18"/>
          <w:color w:val="auto"/>
        </w:rPr>
        <w:t>CECO ENVIRONMENTAL CORP.</w:t>
      </w:r>
    </w:p>
    <w:p>
      <w:pPr>
        <w:spacing w:after="0" w:line="344"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-1905</wp:posOffset>
            </wp:positionV>
            <wp:extent cx="3180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Matthew Eckl</w:t>
      </w:r>
    </w:p>
    <w:p>
      <w:pPr>
        <w:ind w:left="6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4" w:name="page5"/>
    <w:bookmarkEnd w:id="4"/>
    <w:p>
      <w:pPr>
        <w:ind w:left="8480"/>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CECO Environmental to Acquire Industrial Flow Control Leader GRC</w:t>
      </w:r>
    </w:p>
    <w:p>
      <w:pPr>
        <w:spacing w:after="0" w:line="49"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Expands Infrastructure Expansion Joint Addressable Market by $300 million</w:t>
      </w:r>
    </w:p>
    <w:p>
      <w:pPr>
        <w:spacing w:after="0" w:line="200" w:lineRule="exact"/>
        <w:rPr>
          <w:sz w:val="20"/>
          <w:szCs w:val="20"/>
          <w:color w:val="auto"/>
        </w:rPr>
      </w:pPr>
    </w:p>
    <w:p>
      <w:pPr>
        <w:spacing w:after="0" w:line="317"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DALLAS (Jan. 10, 2022) -- CECO Environmental Corp. (Nasdaq: CECE) (“CECO”)</w:t>
      </w:r>
      <w:r>
        <w:rPr>
          <w:rFonts w:ascii="Arial" w:cs="Arial" w:eastAsia="Arial" w:hAnsi="Arial"/>
          <w:sz w:val="20"/>
          <w:szCs w:val="20"/>
          <w:color w:val="auto"/>
        </w:rPr>
        <w:t>, a leading environmentally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diversified industrial company whose solutions protect people, the environment, and industrial equipment, today announced it has agreed to acquire industrial flow control leader GRC. The acquisition will be integrated into the company’s Effox-Flextor-Mader, Inc. (“EFM”) joint venture with Chartwell Investments Entrepreneur &amp; Founder Capital, LLC (“Chief Capital”). The transaction is expected to close by April 2022, subject to customary closing conditions, and will be financed with a mix of cash, debt, and equity from the joint venture.</w:t>
      </w:r>
    </w:p>
    <w:p>
      <w:pPr>
        <w:spacing w:after="0" w:line="196" w:lineRule="exact"/>
        <w:rPr>
          <w:sz w:val="20"/>
          <w:szCs w:val="20"/>
          <w:color w:val="auto"/>
        </w:rPr>
      </w:pPr>
    </w:p>
    <w:p>
      <w:pPr>
        <w:jc w:val="both"/>
        <w:ind w:right="280"/>
        <w:spacing w:after="0" w:line="244" w:lineRule="auto"/>
        <w:rPr>
          <w:sz w:val="20"/>
          <w:szCs w:val="20"/>
          <w:color w:val="auto"/>
        </w:rPr>
      </w:pPr>
      <w:r>
        <w:rPr>
          <w:rFonts w:ascii="Arial" w:cs="Arial" w:eastAsia="Arial" w:hAnsi="Arial"/>
          <w:sz w:val="19"/>
          <w:szCs w:val="19"/>
          <w:color w:val="auto"/>
        </w:rPr>
        <w:t>GRC is a worldwide leader in the engineering and manufacturing of non-metallic (rubber) expansion joints and flow control products with a highly diversified industrial customer base. With the acquisition, CECO expands its existing offering of EFM dampers and metallic expansion joints to include rubber expansion joints, ducting expansion joints, and industrial pinch and duck bill valves. The addition of GRC expands the addressable market size for CECO from $200 million to $500 million.</w:t>
      </w:r>
    </w:p>
    <w:p>
      <w:pPr>
        <w:spacing w:after="0" w:line="191"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“CECO is in the business of protecting people, the environment and industrial equipment, and the acquisition of GRC allows us to significantly enhance these efforts,” said Todd Gleason, CEO of CECO Environmental. “With this acquisition, we will be able to bring turnkey, environmentally-friendly solutions that protect critical infrastructure, piping, and flow controls for the water, wastewater and storm water markets.”</w:t>
      </w:r>
    </w:p>
    <w:p>
      <w:pPr>
        <w:spacing w:after="0" w:line="198" w:lineRule="exact"/>
        <w:rPr>
          <w:sz w:val="20"/>
          <w:szCs w:val="20"/>
          <w:color w:val="auto"/>
        </w:rPr>
      </w:pPr>
    </w:p>
    <w:p>
      <w:pPr>
        <w:jc w:val="both"/>
        <w:ind w:right="160"/>
        <w:spacing w:after="0" w:line="232" w:lineRule="auto"/>
        <w:rPr>
          <w:sz w:val="20"/>
          <w:szCs w:val="20"/>
          <w:color w:val="auto"/>
        </w:rPr>
      </w:pPr>
      <w:r>
        <w:rPr>
          <w:rFonts w:ascii="Arial" w:cs="Arial" w:eastAsia="Arial" w:hAnsi="Arial"/>
          <w:sz w:val="20"/>
          <w:szCs w:val="20"/>
          <w:color w:val="auto"/>
        </w:rPr>
        <w:t>Gleason continued, “The acquisition of GRC also advances CECO’s strategic growth plan to expand into adjacent industrial markets. Additionally, we are excited to work with the GRC management team who will make a strong impact on our focus to deliver environmental solutions for the general infrastructure and water and wastewater sectors.”</w:t>
      </w:r>
    </w:p>
    <w:p>
      <w:pPr>
        <w:spacing w:after="0" w:line="197"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Lloyd Aanonsen, president and CEO, GRC, will be joining CECO as its new vice president and general manager of the newly formed damper and expansion joints platform. “We are excited to join the global and diverse family of CECO companies. With this combination, the platform will offer a full suite of solutions that will benefit from significant investments in infrastructure and well positions us for long-term global growth,” said Aanonsen.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Key highlights of the transaction include:</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20"/>
          <w:szCs w:val="20"/>
          <w:color w:val="auto"/>
        </w:rPr>
        <w:t>Brands Maxi-Joint</w:t>
      </w:r>
      <w:r>
        <w:rPr>
          <w:rFonts w:ascii="Arial" w:cs="Arial" w:eastAsia="Arial" w:hAnsi="Arial"/>
          <w:sz w:val="26"/>
          <w:szCs w:val="26"/>
          <w:color w:val="auto"/>
          <w:vertAlign w:val="superscript"/>
        </w:rPr>
        <w:t>®</w:t>
      </w:r>
      <w:r>
        <w:rPr>
          <w:rFonts w:ascii="Arial" w:cs="Arial" w:eastAsia="Arial" w:hAnsi="Arial"/>
          <w:sz w:val="20"/>
          <w:szCs w:val="20"/>
          <w:color w:val="auto"/>
        </w:rPr>
        <w:t>, Flex-Valve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SoundZorber</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are leaders in infrastructure flow control markets</w:t>
      </w:r>
    </w:p>
    <w:p>
      <w:pPr>
        <w:ind w:left="700"/>
        <w:spacing w:after="0" w:line="225" w:lineRule="auto"/>
        <w:rPr>
          <w:sz w:val="20"/>
          <w:szCs w:val="20"/>
          <w:color w:val="auto"/>
        </w:rPr>
      </w:pPr>
      <w:r>
        <w:rPr>
          <w:rFonts w:ascii="Arial" w:cs="Arial" w:eastAsia="Arial" w:hAnsi="Arial"/>
          <w:sz w:val="20"/>
          <w:szCs w:val="20"/>
          <w:color w:val="auto"/>
        </w:rPr>
        <w:t>With an average order size of ~$100K, GRC increases CECO’s short cycle mix to 27% from 22%</w:t>
      </w:r>
    </w:p>
    <w:p>
      <w:pPr>
        <w:ind w:left="700"/>
        <w:spacing w:after="0" w:line="225" w:lineRule="auto"/>
        <w:rPr>
          <w:sz w:val="20"/>
          <w:szCs w:val="20"/>
          <w:color w:val="auto"/>
        </w:rPr>
      </w:pPr>
      <w:r>
        <w:rPr>
          <w:rFonts w:ascii="Arial" w:cs="Arial" w:eastAsia="Arial" w:hAnsi="Arial"/>
          <w:sz w:val="20"/>
          <w:szCs w:val="20"/>
          <w:color w:val="auto"/>
        </w:rPr>
        <w:t>GRC more than doubles platform addressable market size</w:t>
      </w:r>
    </w:p>
    <w:p>
      <w:pPr>
        <w:spacing w:after="0" w:line="1" w:lineRule="exact"/>
        <w:rPr>
          <w:sz w:val="20"/>
          <w:szCs w:val="20"/>
          <w:color w:val="auto"/>
        </w:rPr>
      </w:pPr>
    </w:p>
    <w:p>
      <w:pPr>
        <w:ind w:left="700" w:right="1780"/>
        <w:spacing w:after="0" w:line="236" w:lineRule="auto"/>
        <w:rPr>
          <w:sz w:val="20"/>
          <w:szCs w:val="20"/>
          <w:color w:val="auto"/>
        </w:rPr>
      </w:pPr>
      <w:r>
        <w:rPr>
          <w:rFonts w:ascii="Arial" w:cs="Arial" w:eastAsia="Arial" w:hAnsi="Arial"/>
          <w:sz w:val="20"/>
          <w:szCs w:val="20"/>
          <w:color w:val="auto"/>
        </w:rPr>
        <w:t>Recent $500 billion US Infrastructure Bill to be a significant tailwind for water and pipeline markets Strong and predictable free cash flow at &gt;90% EBITDA to free cash flow conversion</w:t>
      </w:r>
    </w:p>
    <w:p>
      <w:pPr>
        <w:spacing w:after="0" w:line="196" w:lineRule="exact"/>
        <w:rPr>
          <w:sz w:val="20"/>
          <w:szCs w:val="20"/>
          <w:color w:val="auto"/>
        </w:rPr>
      </w:pPr>
    </w:p>
    <w:p>
      <w:pPr>
        <w:ind w:right="400"/>
        <w:spacing w:after="0" w:line="230" w:lineRule="auto"/>
        <w:rPr>
          <w:sz w:val="20"/>
          <w:szCs w:val="20"/>
          <w:color w:val="auto"/>
        </w:rPr>
      </w:pPr>
      <w:r>
        <w:rPr>
          <w:rFonts w:ascii="Arial" w:cs="Arial" w:eastAsia="Arial" w:hAnsi="Arial"/>
          <w:sz w:val="20"/>
          <w:szCs w:val="20"/>
          <w:color w:val="auto"/>
        </w:rPr>
        <w:t>As noted earlier in this release, under the terms of the agreement, GRC is to be acquired by EFM, a joint venture between CECO Environmental and Chief Capital formed in July 2020 to enhance the profitability and diversify the dampers and expansion joints platform. GRC adds accretive EBITDA margins, greater recurring cash flows and will leverage CECO’s international footprint to broaden industrial and water, wastewater and storm water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58" w:right="5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CECO ENVIRONMENTAL</w:t>
      </w:r>
    </w:p>
    <w:p>
      <w:pPr>
        <w:spacing w:after="0" w:line="10" w:lineRule="exact"/>
        <w:rPr>
          <w:sz w:val="20"/>
          <w:szCs w:val="20"/>
          <w:color w:val="auto"/>
        </w:rPr>
      </w:pPr>
    </w:p>
    <w:p>
      <w:pPr>
        <w:ind w:right="220"/>
        <w:spacing w:after="0"/>
        <w:rPr>
          <w:sz w:val="20"/>
          <w:szCs w:val="20"/>
          <w:color w:val="auto"/>
        </w:rPr>
      </w:pPr>
      <w:r>
        <w:rPr>
          <w:rFonts w:ascii="Arial" w:cs="Arial" w:eastAsia="Arial" w:hAnsi="Arial"/>
          <w:sz w:val="19"/>
          <w:szCs w:val="19"/>
          <w:color w:val="auto"/>
        </w:rPr>
        <w:t>CECO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GRC</w:t>
      </w:r>
    </w:p>
    <w:p>
      <w:pPr>
        <w:spacing w:after="0" w:line="10"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GRC is a worldwide leader in the engineering, manufacturing, and sales of non-metallic (rubber) expansion joints and other rubber flow control products for a worldwide customer base. The company, otherwise known as General Rubber LLC, is widely recognized for its ability to provide engineered solutions for challenging piping and ducting system applications across multiple industries, executing on large-scale new construction capital works projects, as well as facility improvements on a small, medium, and large scale. The company was the first U.S. manufacturer of rubber expansion joints to become ISO 9001 certified. For more information, please visit www.general-rubber.com.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CHIEF CAPITAL</w:t>
      </w:r>
    </w:p>
    <w:p>
      <w:pPr>
        <w:spacing w:after="0" w:line="10" w:lineRule="exact"/>
        <w:rPr>
          <w:sz w:val="20"/>
          <w:szCs w:val="20"/>
          <w:color w:val="auto"/>
        </w:rPr>
      </w:pPr>
    </w:p>
    <w:p>
      <w:pPr>
        <w:ind w:right="360"/>
        <w:spacing w:after="0" w:line="229" w:lineRule="auto"/>
        <w:rPr>
          <w:sz w:val="20"/>
          <w:szCs w:val="20"/>
          <w:color w:val="auto"/>
        </w:rPr>
      </w:pPr>
      <w:r>
        <w:rPr>
          <w:rFonts w:ascii="Arial" w:cs="Arial" w:eastAsia="Arial" w:hAnsi="Arial"/>
          <w:sz w:val="20"/>
          <w:szCs w:val="20"/>
          <w:color w:val="auto"/>
        </w:rPr>
        <w:t>Chief Capital provides flexible private equity for entrepreneurs, family-owned businesses and corporate carve-outs. The firm partners with management owners to help realize their visions and provide long-term capital, resources and expertise to accelerate growth and provide generational liquidity. Chief Capital customizes each investment to meet the objectives of its entrepreneur and family partners. With 40+ years of experience, Chief Capital focuses on niche lower middle market companies with an emphasis on healthcare services, business services and niche manufacturing segments. Please visit www.chiefcap.com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SAFE HARBOR</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and include, but are not limited to statements about CECO’s expectations regarding the closing of the acquisition and integration of General Rubber LLC into EFM; and the expectations regarding the transaction’s impact on CECO’s strategic growth plan.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surrounding the acquisition of EIS that could cause actual results to differ materially include risks regarding the achievement of the anticipated benefits of the acquisition, including synergies. Additional risks and uncertainties are discussed under "Part I – Item 1A. Risk Factors" of the Company's Annual Report on Form 10-K for the fiscal year ended December 31, 2019 and "Part II – Item 1A. Risk Factors" of the Company's Quarterly Report on Form 10-Q for the quarter ended March 31, 2020, and include, but are not limited to: our ability to successfully integrate acquired businesses and realize the synergies from acquisitions, as well as a number of factors related to our business, including economic and financial market conditions generally and economic conditions in CECO's service areas; the ability to expand operations in both new and existing markets;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and the effect of competition in the air quality and fluid handling industries. Many of these risks are beyond management's ability to control or predict. Should one or more of these risks or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spacing w:after="0" w:line="229" w:lineRule="auto"/>
        <w:rPr>
          <w:sz w:val="20"/>
          <w:szCs w:val="20"/>
          <w:color w:val="auto"/>
        </w:rPr>
      </w:pPr>
      <w:r>
        <w:rPr>
          <w:rFonts w:ascii="Arial" w:cs="Arial" w:eastAsia="Arial" w:hAnsi="Arial"/>
          <w:sz w:val="20"/>
          <w:szCs w:val="20"/>
          <w:color w:val="auto"/>
        </w:rPr>
        <w:t>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Contact</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Matthew Eckl, Chief Financial Officer</w:t>
      </w:r>
    </w:p>
    <w:p>
      <w:pPr>
        <w:ind w:right="8200" w:firstLine="8"/>
        <w:spacing w:after="0" w:line="257"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990-6670 investor.relations@onececo.com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News Media</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Kimberly Plaskett, Corporate Communications Director</w:t>
      </w:r>
    </w:p>
    <w:p>
      <w:pPr>
        <w:spacing w:after="0" w:line="225" w:lineRule="auto"/>
        <w:rPr>
          <w:sz w:val="20"/>
          <w:szCs w:val="20"/>
          <w:color w:val="auto"/>
        </w:rPr>
      </w:pPr>
      <w:r>
        <w:rPr>
          <w:rFonts w:ascii="Arial" w:cs="Arial" w:eastAsia="Arial" w:hAnsi="Arial"/>
          <w:sz w:val="20"/>
          <w:szCs w:val="20"/>
          <w:color w:val="auto"/>
        </w:rPr>
        <w:t>(469) 928-1090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CECO-Communications@onececo.com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27" w:right="49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8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2022-01-10T09:02:55Z</dcterms:created>
  <dcterms:modified xsi:type="dcterms:W3CDTF">2022-01-10T09:02:55Z</dcterms:modified>
</cp:coreProperties>
</file>