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Suite 800E</w:t>
      </w:r>
    </w:p>
    <w:p>
      <w:pPr>
        <w:spacing w:after="0" w:line="1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Addison, TX</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October 28, 2025, CECO Environmental Corp. issued a press release announcing its financial results for the third quarter ended September 30, 2025.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Third Quarter 2025 Results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4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Date: October 28,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0553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THIRD QUARTER 2025 RESULTS </w:t>
      </w:r>
      <w:r>
        <w:rPr>
          <w:rFonts w:ascii="Times New Roman" w:cs="Times New Roman" w:eastAsia="Times New Roman" w:hAnsi="Times New Roman"/>
          <w:sz w:val="18"/>
          <w:szCs w:val="18"/>
          <w:i w:val="1"/>
          <w:iCs w:val="1"/>
          <w:color w:val="auto"/>
        </w:rPr>
        <w:t>Continued Strong Orders and Revenue Growth Headline Multiple Performance Records Reaffirms 2025 Full Year Outlook and Introduces 2026 Outlook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ADDISON, TEXAS (October 28, 2025) -- CECO Environmental Corp. (Nasdaq: CECO) ("CECO" or the "Company")</w:t>
      </w:r>
      <w:r>
        <w:rPr>
          <w:rFonts w:ascii="Times New Roman" w:cs="Times New Roman" w:eastAsia="Times New Roman" w:hAnsi="Times New Roman"/>
          <w:sz w:val="18"/>
          <w:szCs w:val="18"/>
          <w:color w:val="auto"/>
        </w:rPr>
        <w:t>, a leading environmentally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diversified industrial company whose solutions protect people, the environment, and industrial equipment, today reported its financial results for the third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Summary</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$232.9 million, up 44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$719.6 million, up 64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$197.6 million, up 46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32.7 percent; Gross profit of $64.6 million, up 43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$1.5 million; non-GAAP net income of $9.3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$0.04; non-GAAP EPS (diluted) of $0.26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$23.2 million, up 62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$19.0 million, up 71 percent</w:t>
      </w:r>
    </w:p>
    <w:p>
      <w:pPr>
        <w:spacing w:after="0" w:line="30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Todd Gleason, CECO's Chief Executive Officer commented, “We delivered another quarter with outstanding growth and multiple financial records, highlighted by another new backlog record, which we achieved along with our highest ever quarterly revenues. Impressively, through three quarters of this year, we already produced more revenue than we did in the entire year 2024, which had previously been a record year. Over the past four quarters, we booked over $950 million in new orders – a testament to our well-positioned and highly diversified portfolio of leading environmental solutions for industrial air, industrial water and energy transition markets. We expect to maintain our consistent growth trajectory as our sales pipeline now exceeds $5.8 billion – which is balanced across our business segments and geographic profile.”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quarter operating income was $9.4 million, up $2.2 million when compared to $7.2 million in the third quarter of 2024. On an adjusted basis, non-GAAP operating income was $17.5 million, up $6.5 million or 59 percent when compared to $11.0 million in the third quarter of 2024. Net income was $1.5 million in the quarter, down $0.6 million compared to $2.1 million in the third quarter of 2024. Non-GAAP net income was $9.3 million, up $4.1 million when compared to $5.2 million in the third quarter of 2024. Adjusted EBITDA of $23.2 million, reflecting an adjusted EBITDA margin of 11.7 percent, was up 62 percent compared to $14.3 million in the third quarter of 2024. Free cash flow in the quarter was $19.0 million, up $7.9 million compared to $11.1 million in the third quarter of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Full Year Guidance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revenue outlook of $725 to $775 million, up approximately 35 percent at the midpoint and its expected range for adjusted EBITDA between $90 to $100 million, up approximately 50% at the midpoint, and a free cash flow outlook of greater than 60 percent conversion of adjusted EBITDA.</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a strong finish to 2025, which we believe could include several significant large orders in the power-generation and natural gas infrastructure markets, as well as new international industrial water opportunities. Depending on the timing of these bookings, our fourth quarter could produce our largest ever booking level. Along with our sustainable commercial programs, we continue to produce meaningful benefits from our operational excellence initiatives that bolster the progress we are making with steady margin expansion. Additionally, I am very proud of our team’s ability to deliver these record-breaking results while continuing to transform our portfolio. Not only have we organically expanded into new markets and improved our IT and ERP infrastructure, but we also successfully divested our Global Pumps business in late Q1 while integrating the back-to-back-to-back acquisitions from late 2024 and early 2025 of EnviroCare International, WK Environmental and Profire Energy,” Gleason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Full Year 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introduced its 2026 full year outlook with revenue between $850 and $950 million, up approximately 20 percent at the midpoint of the range, and adjusted EBITDA between $110 and $130 million, up approximately 30 percent at the midpoint of the range. The Company expects full year free cash flow of between 50% to 60% of adjusted EBITDA.</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Mr. Gleason concluded, “We are pleased to introduce our full year 2026 outlook that projects continued strong growth in the top-line and bottom-line. Our record backlog and growing sales pipeline provide meaningful visibility to our revenue profile as well as tremendous market opportunities. This visibility, along with our operating model that blends strong commercial and operational excellence programs, along with programmatic M&amp;A, gives us a lot of confidence in our outlook. We look forward to a strong finish to 2025 and further driving high-performance results for our customers and shareholders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third quarter 2025 financial results. Please visit the Investor Relations portion of the website (https://investors.cecoenviro.com) to listen to the call via webcast. The conference call may also be accessed by visiting https://edge.media-server.com/mmc/p/ecrhj7k4.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https://edge.media-server.com/mmc/p/ecrhj7k4.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www.cecoenviro.com.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CECO Environmental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Marcio Pinto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Financial Planning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5"/>
                <w:szCs w:val="15"/>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32,787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37,832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$8,496 and $8,863</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159,615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159,572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109,826</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57,712</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42,624</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29,110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6,344</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3,826</w:t>
            </w:r>
          </w:p>
        </w:tc>
      </w:tr>
      <w:tr>
        <w:trPr>
          <w:trHeight w:val="20"/>
        </w:trPr>
        <w:tc>
          <w:tcPr>
            <w:tcW w:w="7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395,480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330,971</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48,037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33,810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27,679</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25,102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292,262</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269,747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100,986</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9,715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16,563</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15,587</w:t>
            </w:r>
          </w:p>
        </w:tc>
      </w:tr>
      <w:tr>
        <w:trPr>
          <w:trHeight w:val="20"/>
        </w:trPr>
        <w:tc>
          <w:tcPr>
            <w:tcW w:w="7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891,884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127,576</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109,671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60,632</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47,528</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107,361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81,501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r>
      <w:tr>
        <w:trPr>
          <w:trHeight w:val="20"/>
        </w:trPr>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298,290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244,662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3,194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218,980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217,230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34,571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23,282</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20,230</w:t>
            </w:r>
          </w:p>
        </w:tc>
      </w:tr>
      <w:tr>
        <w:trPr>
          <w:trHeight w:val="20"/>
        </w:trPr>
        <w:tc>
          <w:tcPr>
            <w:tcW w:w="7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578,317</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507,806</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 shares authorized, none issued</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35,641,031 and</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34,978,009 shares issued and outstanding at September 30, 2025 and December 31, 2024,</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265,786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255,211</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53,563</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6,570</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(10,498)</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r>
      <w:tr>
        <w:trPr>
          <w:trHeight w:val="20"/>
        </w:trPr>
        <w:tc>
          <w:tcPr>
            <w:tcW w:w="7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309,206</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247,689</w:t>
            </w:r>
          </w:p>
        </w:tc>
      </w:tr>
      <w:tr>
        <w:trPr>
          <w:trHeight w:val="216"/>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4,361</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4,204</w:t>
            </w:r>
          </w:p>
        </w:tc>
      </w:tr>
      <w:tr>
        <w:trPr>
          <w:trHeight w:val="20"/>
        </w:trPr>
        <w:tc>
          <w:tcPr>
            <w:tcW w:w="7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313,567</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251,893</w:t>
            </w:r>
          </w:p>
        </w:tc>
      </w:tr>
      <w:tr>
        <w:trPr>
          <w:trHeight w:val="20"/>
        </w:trPr>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891,884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1202"/>
        </w:trPr>
        <w:tc>
          <w:tcPr>
            <w:tcW w:w="744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-5845810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-5845810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-4739640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-2776855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-1388110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-1104900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-813435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-796290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197,599</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559,687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365,838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193,849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sale of Global Pump Solutions business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(63,701)</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6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89,331</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6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35,359,969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34,966,625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35,225,740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34,910,165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36,396,693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36,488,788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36,549,130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1"/>
        </w:trPr>
        <w:tc>
          <w:tcPr>
            <w:tcW w:w="4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-2228215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-2228215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-2228215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-1945640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-1945640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-1945640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-1662430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-1662430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-1662430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-1070610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-1053465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-1070610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-1053465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-1070610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-1053465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48,356</w:t>
            </w:r>
          </w:p>
        </w:tc>
        <w:tc>
          <w:tcPr>
            <w:tcW w:w="160" w:type="dxa"/>
            <w:vAlign w:val="bottom"/>
          </w:tcPr>
          <w:p>
            <w:pPr>
              <w:spacing w:after="0"/>
              <w:rPr>
                <w:sz w:val="17"/>
                <w:szCs w:val="17"/>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10,536</w:t>
            </w:r>
          </w:p>
        </w:tc>
        <w:tc>
          <w:tcPr>
            <w:tcW w:w="100" w:type="dxa"/>
            <w:vAlign w:val="bottom"/>
          </w:tcPr>
          <w:p>
            <w:pPr>
              <w:spacing w:after="0"/>
              <w:rPr>
                <w:sz w:val="17"/>
                <w:szCs w:val="17"/>
                <w:color w:val="auto"/>
              </w:rPr>
            </w:pPr>
          </w:p>
        </w:tc>
      </w:tr>
      <w:tr>
        <w:trPr>
          <w:trHeight w:val="202"/>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(63,701)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Provision for credit loss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(38,605)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(1,498)</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(6,477)</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(4,305)</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(18,059)</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(2,755)</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(1,140)</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(9,330)</w:t>
            </w: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shd w:val="clear" w:color="auto" w:fill="CFF0FC"/>
          </w:tcPr>
          <w:p>
            <w:pPr>
              <w:spacing w:after="0"/>
              <w:rPr>
                <w:sz w:val="17"/>
                <w:szCs w:val="17"/>
                <w:color w:val="auto"/>
              </w:rPr>
            </w:pPr>
          </w:p>
        </w:tc>
      </w:tr>
      <w:tr>
        <w:trPr>
          <w:trHeight w:val="196"/>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(8,673)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(11,237)</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paid for acquisitions, net of cash acquired</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(97,615)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(14,954)</w:t>
            </w:r>
          </w:p>
        </w:tc>
      </w:tr>
      <w:tr>
        <w:trPr>
          <w:trHeight w:val="20"/>
        </w:trPr>
        <w:tc>
          <w:tcPr>
            <w:tcW w:w="7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(26,191)</w:t>
            </w: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58,400</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(183,700)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(54,800)</w:t>
            </w:r>
          </w:p>
        </w:tc>
      </w:tr>
      <w:tr>
        <w:trPr>
          <w:trHeight w:val="202"/>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(7,843)</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(692)</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(2,050)</w:t>
            </w: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Earnout payments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 and exercise of stock options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8"/>
                <w:szCs w:val="18"/>
                <w:color w:val="auto"/>
              </w:rPr>
            </w:pPr>
          </w:p>
        </w:tc>
      </w:tr>
      <w:tr>
        <w:trPr>
          <w:trHeight w:val="205"/>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(1,707)</w:t>
            </w: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(14,518)</w:t>
            </w:r>
          </w:p>
        </w:tc>
      </w:tr>
      <w:tr>
        <w:trPr>
          <w:trHeight w:val="196"/>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Borders>
              <w:top w:val="single" w:sz="8" w:color="CFF0FC"/>
            </w:tcBorders>
          </w:tcPr>
          <w:p>
            <w:pPr>
              <w:spacing w:after="0"/>
              <w:rPr>
                <w:sz w:val="17"/>
                <w:szCs w:val="17"/>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(5,328)</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(16,522)</w:t>
            </w:r>
          </w:p>
        </w:tc>
      </w:tr>
      <w:tr>
        <w:trPr>
          <w:trHeight w:val="20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7"/>
                <w:szCs w:val="17"/>
                <w:color w:val="auto"/>
              </w:rPr>
            </w:pPr>
          </w:p>
        </w:tc>
      </w:tr>
      <w:tr>
        <w:trPr>
          <w:trHeight w:val="23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32,873</w:t>
            </w: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38,926</w:t>
            </w:r>
          </w:p>
        </w:tc>
        <w:tc>
          <w:tcPr>
            <w:tcW w:w="100" w:type="dxa"/>
            <w:vAlign w:val="bottom"/>
            <w:shd w:val="clear" w:color="auto" w:fill="CFF0FC"/>
          </w:tcPr>
          <w:p>
            <w:pPr>
              <w:spacing w:after="0"/>
              <w:rPr>
                <w:sz w:val="20"/>
                <w:szCs w:val="20"/>
                <w:color w:val="auto"/>
              </w:rPr>
            </w:pPr>
          </w:p>
        </w:tc>
      </w:tr>
      <w:tr>
        <w:trPr>
          <w:trHeight w:val="183"/>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0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2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100" w:type="dxa"/>
            <w:vAlign w:val="bottom"/>
            <w:shd w:val="clear" w:color="auto" w:fill="CFF0FC"/>
          </w:tcPr>
          <w:p>
            <w:pPr>
              <w:spacing w:after="0"/>
              <w:rPr>
                <w:sz w:val="19"/>
                <w:szCs w:val="19"/>
                <w:color w:val="auto"/>
              </w:rPr>
            </w:pPr>
          </w:p>
        </w:tc>
      </w:tr>
      <w:tr>
        <w:trPr>
          <w:trHeight w:val="20"/>
        </w:trPr>
        <w:tc>
          <w:tcPr>
            <w:tcW w:w="7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22,424</w:t>
            </w:r>
          </w:p>
        </w:tc>
        <w:tc>
          <w:tcPr>
            <w:tcW w:w="16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tcPr>
          <w:p>
            <w:pPr>
              <w:spacing w:after="0"/>
              <w:rPr>
                <w:sz w:val="15"/>
                <w:szCs w:val="15"/>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9"/>
        </w:trPr>
        <w:tc>
          <w:tcPr>
            <w:tcW w:w="7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-3856990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-3333750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-1636395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-1096645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-1079500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-813435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-796290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6.0%</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(gain) on sale of Global Pump Solutions business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5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760" w:right="140"/>
        <w:spacing w:after="0" w:line="261" w:lineRule="auto"/>
        <w:rPr>
          <w:sz w:val="20"/>
          <w:szCs w:val="20"/>
          <w:color w:val="auto"/>
        </w:rPr>
      </w:pPr>
      <w:r>
        <w:rPr>
          <w:rFonts w:ascii="Times New Roman" w:cs="Times New Roman" w:eastAsia="Times New Roman" w:hAnsi="Times New Roman"/>
          <w:sz w:val="18"/>
          <w:szCs w:val="18"/>
          <w:color w:val="auto"/>
        </w:rPr>
        <w:t>Other operating expense (income), net is comprised of other non-recurring expenses, including fair value adjustment of earn-out liabilities from the acquisitions of WK Group, restructuring expenses primarily relating to severance, facility exits, and associated legal expenses, asbestos litigation expenses relating to future settlement payments, and third party professional consulting fees associated with Enterprise Resource Planning system implementations.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5"/>
                <w:szCs w:val="15"/>
                <w:color w:val="auto"/>
              </w:rPr>
            </w:pPr>
          </w:p>
        </w:tc>
        <w:tc>
          <w:tcPr>
            <w:tcW w:w="32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3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7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expenses</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r>
      <w:tr>
        <w:trPr>
          <w:trHeight w:val="21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8"/>
                <w:szCs w:val="18"/>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r>
      <w:tr>
        <w:trPr>
          <w:trHeight w:val="21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FF0FC"/>
          </w:tcPr>
          <w:p>
            <w:pPr>
              <w:spacing w:after="0"/>
              <w:rPr>
                <w:sz w:val="18"/>
                <w:szCs w:val="18"/>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r>
      <w:tr>
        <w:trPr>
          <w:trHeight w:val="202"/>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36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34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7"/>
                <w:szCs w:val="17"/>
                <w:color w:val="auto"/>
              </w:rPr>
            </w:pPr>
          </w:p>
        </w:tc>
      </w:tr>
      <w:tr>
        <w:trPr>
          <w:trHeight w:val="21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8"/>
                <w:szCs w:val="18"/>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r>
      <w:tr>
        <w:trPr>
          <w:trHeight w:val="21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FF0FC"/>
          </w:tcPr>
          <w:p>
            <w:pPr>
              <w:spacing w:after="0"/>
              <w:rPr>
                <w:sz w:val="18"/>
                <w:szCs w:val="18"/>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FF0FC"/>
          </w:tcPr>
          <w:p>
            <w:pPr>
              <w:spacing w:after="0"/>
              <w:rPr>
                <w:sz w:val="17"/>
                <w:szCs w:val="17"/>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r>
      <w:tr>
        <w:trPr>
          <w:trHeight w:val="19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7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7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7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-2108200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-2108200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-2108200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-2108200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5"/>
                <w:szCs w:val="15"/>
                <w:color w:val="auto"/>
              </w:rPr>
            </w:pPr>
          </w:p>
        </w:tc>
        <w:tc>
          <w:tcPr>
            <w:tcW w:w="32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w:t>
            </w:r>
          </w:p>
        </w:tc>
        <w:tc>
          <w:tcPr>
            <w:tcW w:w="34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Tax payments for the sale of the Global Pump Solutions</w:t>
            </w: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business</w:t>
            </w: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420" w:type="dxa"/>
            <w:vAlign w:val="bottom"/>
            <w:tcBorders>
              <w:bottom w:val="single" w:sz="8" w:color="CFF0FC"/>
            </w:tcBorders>
            <w:vMerge w:val="continue"/>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6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2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6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1"/>
        </w:trPr>
        <w:tc>
          <w:tcPr>
            <w:tcW w:w="3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-770890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-770890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-770890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-770890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acquisition and integration expenses which include legal, accounting, and other expenses, gain on the sale of the Global Pump Solutions business,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acquisition and integration expenses which include legal, accounting, and other expenses, gain on the sale of the Global Pump Solutions business,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"could"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2024 and may be included in subsequently filed Quarterly Reports on Form 10-Q, and include, but are not limited to: the effect of the divestiture of our Global Pump Solutions business on business relationships, operating results, and business generally, disruption of current plans and operations and potential difficulties in employee retention as a result of the transaction, diversion of management’s attention from ongoing business operations in connection with the integration of recent acquisitions, the amount of the costs, fees, expenses and other charges related to the transaction,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 the potential for fluctuations in prices for manufactured components and raw materials, including as a result of tariffs and surcharges, and rising energy costs; inflationary pressures relating to rising raw material costs and the cost of labor;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 considerations;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substantial amount of debt incurred in connection with our strategic transactions and our ability to repay or refinance it or incur additional debt in the future; the impact of federal, state or local government regulations, including with respect to tax policy; our ability to repurchase shares of our common stock and the amounts and timing of repurchases;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2025-10-28T06:18:56Z</dcterms:created>
  <dcterms:modified xsi:type="dcterms:W3CDTF">2025-10-28T06:18:56Z</dcterms:modified>
</cp:coreProperties>
</file>