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863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86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DEZWIREK JASON LOUIS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2300 YONGE STREET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1710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43"/>
          </w:cols>
          <w:pgMar w:left="240" w:top="226" w:right="259" w:bottom="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A6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M4P 1E4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1,015,000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4.17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1,020,000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4.22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1,030,000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4.55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1,035,000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4.6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1,036,000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4.7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1,041,000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4.72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1,043,000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4.73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1,058,000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4.74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1,060,000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173,333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(Ontario)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1,334,360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(Delaware)</w:t>
      </w:r>
      <w:r>
        <w:rPr>
          <w:rFonts w:ascii="Arial" w:cs="Arial" w:eastAsia="Arial" w:hAnsi="Arial"/>
          <w:sz w:val="20"/>
          <w:szCs w:val="20"/>
          <w:color w:val="008000"/>
          <w:vertAlign w:val="superscript"/>
        </w:rPr>
        <w:t>(2)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Icarus Investment Corp., an Ontario corporation and f/k/a/ Can-Med Technology Inc. d/b/a/ Green Diamond Oil Corp. is controlled by Icarus Investment Corp., a Delaware corporation, which is owned 50% by filer. Filer is an indirect beneficial owner of these reported securities.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50% by filer.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Jason DeZwirek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04/12/2010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658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2020-01-29T08:59:03Z</dcterms:created>
  <dcterms:modified xsi:type="dcterms:W3CDTF">2020-01-29T08:59:03Z</dcterms:modified>
</cp:coreProperties>
</file>