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_rels/document.xml.rels" ContentType="application/vnd.openxmlformats-package.relationships+xml"/>
  <Override PartName="/word/settings.xml" ContentType="application/vnd.openxmlformats-officedocument.wordprocessingml.settings+xml"/>
  <Override PartName="/word/styles.xml" ContentType="application/vnd.openxmlformats-officedocument.wordprocessingml.styles+xml"/>
  <Override PartName="/word/document.xml" ContentType="application/vnd.openxmlformats-officedocument.wordprocessingml.document.main+xml"/>
  <Override PartName="/word/numbering.xml" ContentType="application/vnd.openxmlformats-officedocument.wordprocessingml.numbering+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HorizontalLine"/>
        <w:pBdr>
          <w:bottom w:val="single" w:sz="24" w:space="0" w:color="000000"/>
        </w:pBdr>
        <w:rPr/>
      </w:pPr>
      <w:r>
        <w:rPr/>
      </w:r>
      <w:bookmarkStart w:id="0" w:name="rrd95989.htm"/>
      <w:bookmarkStart w:id="1" w:name="ksrrd95989"/>
      <w:bookmarkStart w:id="2" w:name="rrd95989.htm"/>
      <w:bookmarkStart w:id="3" w:name="ksrrd95989"/>
      <w:bookmarkEnd w:id="2"/>
      <w:bookmarkEnd w:id="3"/>
    </w:p>
    <w:p>
      <w:pPr>
        <w:pStyle w:val="TextBody"/>
        <w:spacing w:before="0" w:after="0"/>
        <w:rPr/>
      </w:pPr>
      <w:r>
        <w:rPr/>
        <w:t> </w:t>
      </w:r>
    </w:p>
    <w:p>
      <w:pPr>
        <w:pStyle w:val="TextBody"/>
        <w:spacing w:before="0" w:after="0"/>
        <w:jc w:val="center"/>
        <w:rPr>
          <w:rFonts w:ascii="times New Roman" w:hAnsi="times New Roman"/>
          <w:b/>
          <w:color w:val="000000"/>
          <w:sz w:val="28"/>
        </w:rPr>
      </w:pPr>
      <w:r>
        <w:rPr>
          <w:rFonts w:ascii="times New Roman" w:hAnsi="times New Roman"/>
          <w:b/>
          <w:color w:val="000000"/>
          <w:sz w:val="28"/>
        </w:rPr>
        <w:t xml:space="preserve">UNITED STATES </w:t>
      </w:r>
    </w:p>
    <w:p>
      <w:pPr>
        <w:pStyle w:val="TextBody"/>
        <w:spacing w:before="0" w:after="0"/>
        <w:jc w:val="center"/>
        <w:rPr>
          <w:rFonts w:ascii="times New Roman" w:hAnsi="times New Roman"/>
          <w:b/>
          <w:color w:val="000000"/>
          <w:sz w:val="28"/>
        </w:rPr>
      </w:pPr>
      <w:r>
        <w:rPr>
          <w:rFonts w:ascii="times New Roman" w:hAnsi="times New Roman"/>
          <w:b/>
          <w:color w:val="000000"/>
          <w:sz w:val="28"/>
        </w:rPr>
        <w:t xml:space="preserve">SECURITIES AND EXCHANGE COMMISSION </w:t>
      </w:r>
    </w:p>
    <w:p>
      <w:pPr>
        <w:pStyle w:val="TextBody"/>
        <w:spacing w:before="0" w:after="0"/>
        <w:jc w:val="center"/>
        <w:rPr>
          <w:rFonts w:ascii="times New Roman" w:hAnsi="times New Roman"/>
          <w:b/>
          <w:color w:val="000000"/>
          <w:sz w:val="20"/>
        </w:rPr>
      </w:pPr>
      <w:r>
        <w:rPr>
          <w:rFonts w:ascii="times New Roman" w:hAnsi="times New Roman"/>
          <w:b/>
          <w:color w:val="000000"/>
          <w:sz w:val="20"/>
        </w:rPr>
        <w:t xml:space="preserve">Washington, D.C. 20549 </w:t>
      </w:r>
    </w:p>
    <w:p>
      <w:pPr>
        <w:pStyle w:val="TextBody"/>
        <w:spacing w:before="0" w:after="0"/>
        <w:rPr/>
      </w:pPr>
      <w:r>
        <w:rPr/>
        <w:t> </w:t>
      </w:r>
    </w:p>
    <w:p>
      <w:pPr>
        <w:pStyle w:val="TextBody"/>
        <w:spacing w:before="0" w:after="0"/>
        <w:jc w:val="center"/>
        <w:rPr>
          <w:rFonts w:ascii="times New Roman" w:hAnsi="times New Roman"/>
          <w:b/>
          <w:color w:val="000000"/>
          <w:sz w:val="36"/>
        </w:rPr>
      </w:pPr>
      <w:r>
        <w:rPr>
          <w:rFonts w:ascii="times New Roman" w:hAnsi="times New Roman"/>
          <w:b/>
          <w:color w:val="000000"/>
          <w:sz w:val="36"/>
        </w:rPr>
        <w:t xml:space="preserve">Form 8-K </w:t>
      </w:r>
    </w:p>
    <w:p>
      <w:pPr>
        <w:pStyle w:val="TextBody"/>
        <w:spacing w:before="0" w:after="0"/>
        <w:rPr/>
      </w:pPr>
      <w:r>
        <w:rPr/>
        <w:t> </w:t>
      </w:r>
    </w:p>
    <w:p>
      <w:pPr>
        <w:pStyle w:val="TextBody"/>
        <w:spacing w:before="0" w:after="0"/>
        <w:jc w:val="center"/>
        <w:rPr>
          <w:rFonts w:ascii="times New Roman" w:hAnsi="times New Roman"/>
          <w:b/>
          <w:color w:val="000000"/>
          <w:sz w:val="28"/>
        </w:rPr>
      </w:pPr>
      <w:r>
        <w:rPr>
          <w:rFonts w:ascii="times New Roman" w:hAnsi="times New Roman"/>
          <w:b/>
          <w:color w:val="000000"/>
          <w:sz w:val="28"/>
        </w:rPr>
        <w:t xml:space="preserve">Current Report </w:t>
      </w:r>
    </w:p>
    <w:p>
      <w:pPr>
        <w:pStyle w:val="TextBody"/>
        <w:spacing w:before="0" w:after="0"/>
        <w:jc w:val="center"/>
        <w:rPr>
          <w:rFonts w:ascii="times New Roman" w:hAnsi="times New Roman"/>
          <w:b/>
          <w:color w:val="000000"/>
          <w:sz w:val="28"/>
        </w:rPr>
      </w:pPr>
      <w:r>
        <w:rPr>
          <w:rFonts w:ascii="times New Roman" w:hAnsi="times New Roman"/>
          <w:b/>
          <w:color w:val="000000"/>
          <w:sz w:val="28"/>
        </w:rPr>
        <w:t xml:space="preserve">Pursuant to Section 13 or 15(d) of the Securities Exchange Act of 1934 </w:t>
      </w:r>
    </w:p>
    <w:p>
      <w:pPr>
        <w:pStyle w:val="TextBody"/>
        <w:spacing w:before="0" w:after="0"/>
        <w:rPr/>
      </w:pPr>
      <w:r>
        <w:rPr/>
        <w:t> </w:t>
      </w:r>
    </w:p>
    <w:p>
      <w:pPr>
        <w:pStyle w:val="TextBody"/>
        <w:spacing w:before="0" w:after="0"/>
        <w:jc w:val="center"/>
        <w:rPr>
          <w:rFonts w:ascii="times New Roman" w:hAnsi="times New Roman"/>
          <w:b/>
          <w:color w:val="000000"/>
          <w:sz w:val="24"/>
        </w:rPr>
      </w:pPr>
      <w:r>
        <w:rPr>
          <w:rFonts w:ascii="times New Roman" w:hAnsi="times New Roman"/>
          <w:b/>
          <w:color w:val="000000"/>
          <w:sz w:val="24"/>
        </w:rPr>
        <w:t xml:space="preserve">Date of Report (Date of earliest event reported):  11/09/2005 </w:t>
      </w:r>
    </w:p>
    <w:p>
      <w:pPr>
        <w:pStyle w:val="TextBody"/>
        <w:spacing w:before="0" w:after="0"/>
        <w:rPr/>
      </w:pPr>
      <w:r>
        <w:rPr/>
        <w:t> </w:t>
      </w:r>
    </w:p>
    <w:p>
      <w:pPr>
        <w:pStyle w:val="TextBody"/>
        <w:spacing w:before="0" w:after="0"/>
        <w:jc w:val="center"/>
        <w:rPr>
          <w:rFonts w:ascii="times New Roman" w:hAnsi="times New Roman"/>
          <w:b/>
          <w:color w:val="000000"/>
          <w:sz w:val="36"/>
        </w:rPr>
      </w:pPr>
      <w:r>
        <w:rPr>
          <w:rFonts w:ascii="times New Roman" w:hAnsi="times New Roman"/>
          <w:b/>
          <w:color w:val="000000"/>
          <w:sz w:val="36"/>
        </w:rPr>
        <w:t xml:space="preserve">CECO ENVIRONMENTAL CORP </w:t>
      </w:r>
    </w:p>
    <w:p>
      <w:pPr>
        <w:pStyle w:val="TextBody"/>
        <w:spacing w:before="0" w:after="0"/>
        <w:jc w:val="center"/>
        <w:rPr>
          <w:rFonts w:ascii="times New Roman" w:hAnsi="times New Roman"/>
          <w:b/>
          <w:color w:val="000000"/>
          <w:sz w:val="20"/>
        </w:rPr>
      </w:pPr>
      <w:r>
        <w:rPr>
          <w:rFonts w:ascii="times New Roman" w:hAnsi="times New Roman"/>
          <w:b/>
          <w:color w:val="000000"/>
          <w:sz w:val="20"/>
        </w:rPr>
        <w:t>(Exact name of registrant as specified in its charter)</w:t>
      </w:r>
    </w:p>
    <w:p>
      <w:pPr>
        <w:pStyle w:val="TextBody"/>
        <w:spacing w:before="0" w:after="0"/>
        <w:rPr/>
      </w:pPr>
      <w:r>
        <w:rPr/>
        <w:t> </w:t>
      </w:r>
    </w:p>
    <w:p>
      <w:pPr>
        <w:pStyle w:val="TextBody"/>
        <w:spacing w:before="0" w:after="0"/>
        <w:jc w:val="center"/>
        <w:rPr>
          <w:rFonts w:ascii="times New Roman" w:hAnsi="times New Roman"/>
          <w:b/>
          <w:color w:val="000000"/>
          <w:sz w:val="24"/>
        </w:rPr>
      </w:pPr>
      <w:r>
        <w:rPr>
          <w:rFonts w:ascii="times New Roman" w:hAnsi="times New Roman"/>
          <w:b/>
          <w:color w:val="000000"/>
          <w:sz w:val="24"/>
        </w:rPr>
        <w:t>Commission File Number:  0-7099</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6020"/>
        <w:gridCol w:w="306"/>
        <w:gridCol w:w="3879"/>
      </w:tblGrid>
      <w:tr>
        <w:trPr/>
        <w:tc>
          <w:tcPr>
            <w:tcW w:w="6020" w:type="dxa"/>
            <w:tcBorders/>
            <w:shd w:fill="auto" w:val="clear"/>
            <w:vAlign w:val="bottom"/>
          </w:tcPr>
          <w:p>
            <w:pPr>
              <w:pStyle w:val="TableContents"/>
              <w:spacing w:before="0" w:after="0"/>
              <w:jc w:val="center"/>
              <w:rPr/>
            </w:pPr>
            <w:r>
              <w:rPr>
                <w:rFonts w:ascii="times New Roman" w:hAnsi="times New Roman"/>
                <w:b/>
                <w:color w:val="000000"/>
                <w:sz w:val="24"/>
              </w:rPr>
              <w:t>DE</w:t>
            </w:r>
            <w:r>
              <w:rPr/>
              <w:t xml:space="preserve"> </w:t>
            </w:r>
          </w:p>
        </w:tc>
        <w:tc>
          <w:tcPr>
            <w:tcW w:w="306" w:type="dxa"/>
            <w:tcBorders/>
            <w:shd w:fill="auto" w:val="clear"/>
            <w:vAlign w:val="bottom"/>
          </w:tcPr>
          <w:p>
            <w:pPr>
              <w:pStyle w:val="TableContents"/>
              <w:spacing w:before="0" w:after="283"/>
              <w:rPr/>
            </w:pPr>
            <w:r>
              <w:rPr/>
              <w:t xml:space="preserve">   </w:t>
            </w:r>
          </w:p>
        </w:tc>
        <w:tc>
          <w:tcPr>
            <w:tcW w:w="3879" w:type="dxa"/>
            <w:tcBorders/>
            <w:shd w:fill="auto" w:val="clear"/>
            <w:vAlign w:val="bottom"/>
          </w:tcPr>
          <w:p>
            <w:pPr>
              <w:pStyle w:val="TableContents"/>
              <w:spacing w:before="0" w:after="0"/>
              <w:jc w:val="center"/>
              <w:rPr/>
            </w:pPr>
            <w:r>
              <w:rPr>
                <w:rFonts w:ascii="times New Roman" w:hAnsi="times New Roman"/>
                <w:b/>
                <w:color w:val="000000"/>
                <w:sz w:val="24"/>
              </w:rPr>
              <w:t>13-2566064</w:t>
            </w:r>
            <w:r>
              <w:rPr/>
              <w:t xml:space="preserve"> </w:t>
            </w:r>
          </w:p>
        </w:tc>
      </w:tr>
      <w:tr>
        <w:trPr/>
        <w:tc>
          <w:tcPr>
            <w:tcW w:w="6020" w:type="dxa"/>
            <w:tcBorders/>
            <w:shd w:fill="auto" w:val="clear"/>
          </w:tcPr>
          <w:p>
            <w:pPr>
              <w:pStyle w:val="TableContents"/>
              <w:spacing w:before="0" w:after="0"/>
              <w:jc w:val="center"/>
              <w:rPr/>
            </w:pPr>
            <w:r>
              <w:rPr>
                <w:rFonts w:ascii="times New Roman" w:hAnsi="times New Roman"/>
                <w:b/>
                <w:color w:val="000000"/>
                <w:sz w:val="20"/>
              </w:rPr>
              <w:t>(State or other jurisdiction of</w:t>
            </w:r>
            <w:r>
              <w:rPr/>
              <w:t xml:space="preserve"> </w:t>
            </w:r>
          </w:p>
        </w:tc>
        <w:tc>
          <w:tcPr>
            <w:tcW w:w="306" w:type="dxa"/>
            <w:tcBorders/>
            <w:shd w:fill="auto" w:val="clear"/>
            <w:vAlign w:val="bottom"/>
          </w:tcPr>
          <w:p>
            <w:pPr>
              <w:pStyle w:val="TableContents"/>
              <w:spacing w:before="0" w:after="283"/>
              <w:rPr/>
            </w:pPr>
            <w:r>
              <w:rPr/>
              <w:t xml:space="preserve">   </w:t>
            </w:r>
          </w:p>
        </w:tc>
        <w:tc>
          <w:tcPr>
            <w:tcW w:w="3879" w:type="dxa"/>
            <w:tcBorders/>
            <w:shd w:fill="auto" w:val="clear"/>
            <w:vAlign w:val="bottom"/>
          </w:tcPr>
          <w:p>
            <w:pPr>
              <w:pStyle w:val="TableContents"/>
              <w:spacing w:before="0" w:after="0"/>
              <w:jc w:val="center"/>
              <w:rPr/>
            </w:pPr>
            <w:r>
              <w:rPr>
                <w:rFonts w:ascii="times New Roman" w:hAnsi="times New Roman"/>
                <w:b/>
                <w:color w:val="000000"/>
                <w:sz w:val="20"/>
              </w:rPr>
              <w:t>(IRS Employer</w:t>
            </w:r>
            <w:r>
              <w:rPr/>
              <w:t xml:space="preserve"> </w:t>
            </w:r>
          </w:p>
        </w:tc>
      </w:tr>
      <w:tr>
        <w:trPr/>
        <w:tc>
          <w:tcPr>
            <w:tcW w:w="6020" w:type="dxa"/>
            <w:tcBorders/>
            <w:shd w:fill="auto" w:val="clear"/>
          </w:tcPr>
          <w:p>
            <w:pPr>
              <w:pStyle w:val="TableContents"/>
              <w:spacing w:before="0" w:after="0"/>
              <w:jc w:val="center"/>
              <w:rPr/>
            </w:pPr>
            <w:r>
              <w:rPr>
                <w:rFonts w:ascii="times New Roman" w:hAnsi="times New Roman"/>
                <w:b/>
                <w:color w:val="000000"/>
                <w:sz w:val="20"/>
              </w:rPr>
              <w:t>incorporation)</w:t>
            </w:r>
            <w:r>
              <w:rPr/>
              <w:t xml:space="preserve"> </w:t>
            </w:r>
          </w:p>
        </w:tc>
        <w:tc>
          <w:tcPr>
            <w:tcW w:w="306" w:type="dxa"/>
            <w:tcBorders/>
            <w:shd w:fill="auto" w:val="clear"/>
            <w:vAlign w:val="bottom"/>
          </w:tcPr>
          <w:p>
            <w:pPr>
              <w:pStyle w:val="TableContents"/>
              <w:spacing w:before="0" w:after="283"/>
              <w:rPr/>
            </w:pPr>
            <w:r>
              <w:rPr/>
              <w:t xml:space="preserve">   </w:t>
            </w:r>
          </w:p>
        </w:tc>
        <w:tc>
          <w:tcPr>
            <w:tcW w:w="3879" w:type="dxa"/>
            <w:tcBorders/>
            <w:shd w:fill="auto" w:val="clear"/>
            <w:vAlign w:val="bottom"/>
          </w:tcPr>
          <w:p>
            <w:pPr>
              <w:pStyle w:val="TableContents"/>
              <w:spacing w:before="0" w:after="0"/>
              <w:jc w:val="center"/>
              <w:rPr/>
            </w:pPr>
            <w:r>
              <w:rPr>
                <w:rFonts w:ascii="times New Roman" w:hAnsi="times New Roman"/>
                <w:b/>
                <w:color w:val="000000"/>
                <w:sz w:val="20"/>
              </w:rPr>
              <w:t>Identification No.)</w:t>
            </w:r>
            <w:r>
              <w:rPr/>
              <w:t xml:space="preserve"> </w:t>
            </w:r>
          </w:p>
        </w:tc>
      </w:tr>
    </w:tbl>
    <w:p>
      <w:pPr>
        <w:pStyle w:val="TextBody"/>
        <w:spacing w:before="0" w:after="0"/>
        <w:rPr/>
      </w:pPr>
      <w:r>
        <w:rPr/>
        <w:t> </w:t>
      </w:r>
    </w:p>
    <w:p>
      <w:pPr>
        <w:pStyle w:val="TextBody"/>
        <w:spacing w:before="0" w:after="0"/>
        <w:jc w:val="center"/>
        <w:rPr>
          <w:rFonts w:ascii="times New Roman" w:hAnsi="times New Roman"/>
          <w:b/>
          <w:color w:val="000000"/>
          <w:sz w:val="24"/>
        </w:rPr>
      </w:pPr>
      <w:r>
        <w:rPr>
          <w:rFonts w:ascii="times New Roman" w:hAnsi="times New Roman"/>
          <w:b/>
          <w:color w:val="000000"/>
          <w:sz w:val="24"/>
        </w:rPr>
        <w:t>3120 Forrer Street, Cincinnati, OH 45209</w:t>
      </w:r>
    </w:p>
    <w:p>
      <w:pPr>
        <w:pStyle w:val="TextBody"/>
        <w:spacing w:before="0" w:after="0"/>
        <w:jc w:val="center"/>
        <w:rPr/>
      </w:pPr>
      <w:r>
        <w:rPr>
          <w:rFonts w:ascii="times New Roman" w:hAnsi="times New Roman"/>
          <w:b/>
          <w:color w:val="000000"/>
          <w:sz w:val="20"/>
        </w:rPr>
        <w:t>(Address of principal executive offices, including zip code)</w:t>
      </w:r>
      <w:r>
        <w:rPr/>
        <w:t xml:space="preserve"> </w:t>
      </w:r>
    </w:p>
    <w:p>
      <w:pPr>
        <w:pStyle w:val="TextBody"/>
        <w:spacing w:before="0" w:after="0"/>
        <w:rPr/>
      </w:pPr>
      <w:r>
        <w:rPr/>
        <w:t> </w:t>
      </w:r>
    </w:p>
    <w:p>
      <w:pPr>
        <w:pStyle w:val="TextBody"/>
        <w:spacing w:before="0" w:after="0"/>
        <w:jc w:val="center"/>
        <w:rPr>
          <w:rFonts w:ascii="times New Roman" w:hAnsi="times New Roman"/>
          <w:b/>
          <w:color w:val="000000"/>
          <w:sz w:val="24"/>
        </w:rPr>
      </w:pPr>
      <w:r>
        <w:rPr>
          <w:rFonts w:ascii="times New Roman" w:hAnsi="times New Roman"/>
          <w:b/>
          <w:color w:val="000000"/>
          <w:sz w:val="24"/>
        </w:rPr>
        <w:t xml:space="preserve">(416) 593-6543 </w:t>
      </w:r>
    </w:p>
    <w:p>
      <w:pPr>
        <w:pStyle w:val="TextBody"/>
        <w:spacing w:before="0" w:after="0"/>
        <w:jc w:val="center"/>
        <w:rPr/>
      </w:pPr>
      <w:r>
        <w:rPr>
          <w:rFonts w:ascii="times New Roman" w:hAnsi="times New Roman"/>
          <w:b/>
          <w:color w:val="000000"/>
          <w:sz w:val="20"/>
        </w:rPr>
        <w:t>(Registrants telephone number, including area code)</w:t>
      </w:r>
      <w:r>
        <w:rPr/>
        <w:t xml:space="preserve"> </w:t>
      </w:r>
    </w:p>
    <w:p>
      <w:pPr>
        <w:pStyle w:val="TextBody"/>
        <w:spacing w:before="0" w:after="0"/>
        <w:rPr/>
      </w:pPr>
      <w:r>
        <w:rPr/>
        <w:t> </w:t>
      </w:r>
    </w:p>
    <w:p>
      <w:pPr>
        <w:pStyle w:val="TextBody"/>
        <w:spacing w:before="0" w:after="0"/>
        <w:jc w:val="center"/>
        <w:rPr>
          <w:rFonts w:ascii="times New Roman" w:hAnsi="times New Roman"/>
          <w:b/>
          <w:color w:val="000000"/>
          <w:sz w:val="20"/>
        </w:rPr>
      </w:pPr>
      <w:r>
        <w:rPr>
          <w:rFonts w:ascii="times New Roman" w:hAnsi="times New Roman"/>
          <w:b/>
          <w:color w:val="000000"/>
          <w:sz w:val="20"/>
        </w:rPr>
        <w:t xml:space="preserve">(Former name or former address, if changed since last report) </w:t>
      </w:r>
    </w:p>
    <w:p>
      <w:pPr>
        <w:pStyle w:val="TextBody"/>
        <w:spacing w:before="0" w:after="0"/>
        <w:rPr/>
      </w:pPr>
      <w:r>
        <w:rPr/>
        <w:t xml:space="preserve">  </w:t>
      </w:r>
    </w:p>
    <w:p>
      <w:pPr>
        <w:pStyle w:val="TextBody"/>
        <w:jc w:val="left"/>
        <w:rPr>
          <w:rFonts w:ascii="times New Roman" w:hAnsi="times New Roman"/>
          <w:b/>
          <w:color w:val="000000"/>
          <w:sz w:val="20"/>
        </w:rPr>
      </w:pPr>
      <w:r>
        <w:rPr>
          <w:rFonts w:ascii="times New Roman" w:hAnsi="times New Roman"/>
          <w:b/>
          <w:color w:val="000000"/>
          <w:sz w:val="20"/>
        </w:rPr>
        <w:t>Check the appropriate box below if the Form 8-K filing is intended to simultaneously satisfy the filing obligation of the registrant under any of the following provisions:</w:t>
      </w:r>
    </w:p>
    <w:p>
      <w:pPr>
        <w:pStyle w:val="TextBody"/>
        <w:spacing w:before="0" w:after="0"/>
        <w:jc w:val="left"/>
        <w:rPr>
          <w:rFonts w:ascii="times New Roman" w:hAnsi="times New Roman"/>
          <w:b/>
          <w:color w:val="000000"/>
          <w:sz w:val="20"/>
        </w:rPr>
      </w:pPr>
      <w:r>
        <w:rPr>
          <w:rFonts w:ascii="times New Roman" w:hAnsi="times New Roman"/>
          <w:b/>
          <w:color w:val="000000"/>
          <w:sz w:val="20"/>
        </w:rPr>
        <w:t>[  ]   Written communications pursuant to Rule 425 under the Securities Act (17 CFR 230.425)</w:t>
        <w:br/>
        <w:br/>
        <w:t>[  ]   Soliciting material pursuant to Rule 14a-12 under the Exchange Act (17 CFR 240.14a-12)</w:t>
        <w:br/>
        <w:br/>
        <w:t>[  ]   Pre-commencement communications pursuant to Rule 14d-2(b) under the Exchange Act (17 CFR 240.14d-2(b))</w:t>
        <w:br/>
        <w:br/>
        <w:t xml:space="preserve">[  ]   Pre-commencement communications pursuant to Rule 13e-4(c) under the Exchange Act (17 CFR 240.13e-4(c)) </w:t>
      </w:r>
    </w:p>
    <w:p>
      <w:pPr>
        <w:pStyle w:val="TextBody"/>
        <w:spacing w:before="0" w:after="0"/>
        <w:rPr/>
      </w:pPr>
      <w:r>
        <w:rPr/>
        <w:t xml:space="preserve">  </w:t>
      </w:r>
    </w:p>
    <w:p>
      <w:pPr>
        <w:pStyle w:val="HorizontalLine"/>
        <w:pBdr>
          <w:bottom w:val="single" w:sz="24" w:space="0" w:color="000000"/>
        </w:pBdr>
        <w:rPr/>
      </w:pPr>
      <w:r>
        <w:rPr/>
      </w:r>
      <w:r>
        <w:br w:type="page"/>
      </w:r>
    </w:p>
    <w:p>
      <w:pPr>
        <w:pStyle w:val="TextBody"/>
        <w:spacing w:before="0" w:after="0"/>
        <w:jc w:val="center"/>
        <w:rPr>
          <w:sz w:val="20"/>
        </w:rPr>
      </w:pPr>
      <w:r>
        <w:rPr>
          <w:sz w:val="20"/>
        </w:rPr>
        <w:t xml:space="preserve">Information to be included in the report </w:t>
      </w:r>
    </w:p>
    <w:p>
      <w:pPr>
        <w:pStyle w:val="TextBody"/>
        <w:spacing w:before="0" w:after="0"/>
        <w:rPr/>
      </w:pPr>
      <w:r>
        <w:rPr/>
        <w:t> </w:t>
      </w:r>
    </w:p>
    <w:p>
      <w:pPr>
        <w:pStyle w:val="TextBody"/>
        <w:spacing w:before="0" w:after="0"/>
        <w:jc w:val="left"/>
        <w:rPr/>
      </w:pPr>
      <w:r>
        <w:rPr>
          <w:rFonts w:ascii="times New Roman" w:hAnsi="times New Roman"/>
          <w:b/>
          <w:color w:val="000000"/>
          <w:sz w:val="20"/>
        </w:rPr>
        <w:t>Item 4.01.    Changes in Registrant's Certifying Accountant</w:t>
      </w:r>
      <w:r>
        <w:rPr/>
        <w:t xml:space="preserve"> </w:t>
      </w:r>
    </w:p>
    <w:p>
      <w:pPr>
        <w:pStyle w:val="TextBody"/>
        <w:spacing w:before="0" w:after="0"/>
        <w:rPr/>
      </w:pPr>
      <w:r>
        <w:rPr/>
        <w:t xml:space="preserve">  </w:t>
      </w:r>
    </w:p>
    <w:p>
      <w:pPr>
        <w:pStyle w:val="TextBody"/>
        <w:jc w:val="left"/>
        <w:rPr>
          <w:color w:val="000000"/>
        </w:rPr>
      </w:pPr>
      <w:r>
        <w:rPr>
          <w:color w:val="000000"/>
        </w:rPr>
        <w:t xml:space="preserve">On November 9, 2005, the Audit Committee of the Board of Directors of CECO Environmental Corp.(the "Company") dismissed Deloitte &amp; Touche LLP ("Deloitte") as the Company's independent registered public accounting firm. </w:t>
      </w:r>
    </w:p>
    <w:p>
      <w:pPr>
        <w:pStyle w:val="TextBody"/>
        <w:jc w:val="left"/>
        <w:rPr>
          <w:color w:val="000000"/>
        </w:rPr>
      </w:pPr>
      <w:r>
        <w:rPr>
          <w:color w:val="000000"/>
        </w:rPr>
        <w:t xml:space="preserve">The audit reports of Deloitte on the consolidated financial statements of the Company and its subsidiaries as of and for the years ended December 31, 2004 and 2003 did not contain an adverse opinion or disclaimer of opinion, and were not qualified or modified as to uncertainty, audit scope or accounting principles. </w:t>
      </w:r>
    </w:p>
    <w:p>
      <w:pPr>
        <w:pStyle w:val="TextBody"/>
        <w:jc w:val="left"/>
        <w:rPr>
          <w:color w:val="000000"/>
        </w:rPr>
      </w:pPr>
      <w:r>
        <w:rPr>
          <w:color w:val="000000"/>
        </w:rPr>
        <w:t>During the Company's two most recent fiscal years and through November 9, 2005, there were no disagreements between the Company and Deloitte on any matters of accounting principles or practices, financial statement disclosure, or auditing scope or procedure, which disagreement, if not resolved to the satisfaction of Deloitte, would have caused Deloitte to make reference to the subject matter of the disagreement in connection with its reports. There were no reportable events, a s defined in Item 304(a)(1)(v) of Regulation S-K, that occurred during the Company's most recent two fiscal years and through November 9, 2005.</w:t>
      </w:r>
    </w:p>
    <w:p>
      <w:pPr>
        <w:pStyle w:val="TextBody"/>
        <w:jc w:val="left"/>
        <w:rPr>
          <w:color w:val="000000"/>
        </w:rPr>
      </w:pPr>
      <w:r>
        <w:rPr>
          <w:color w:val="000000"/>
        </w:rPr>
        <w:t xml:space="preserve">As required by Item 304(a)(3) of Regulation S-K, the Company has provided Deloitte a copy of the disclosures contained in this Report on Form 8-K and has requested that Deloitte furnish the Company with a letter addressed to the Securities and Exchange Commission stating whether Deloitte agrees with the statements made by the Company in this Report on Form 8-K and, if not, stating the respects in which it does not agree. Such letter is filed as an Exhibit to this Report on Form 8-K. </w:t>
      </w:r>
    </w:p>
    <w:p>
      <w:pPr>
        <w:pStyle w:val="TextBody"/>
        <w:spacing w:before="0" w:after="0"/>
        <w:jc w:val="left"/>
        <w:rPr/>
      </w:pPr>
      <w:r>
        <w:rPr>
          <w:rFonts w:ascii="times New Roman" w:hAnsi="times New Roman"/>
          <w:color w:val="000000"/>
          <w:sz w:val="20"/>
        </w:rPr>
        <w:t>On November 9, 2005, the Company engaged Battelle &amp; Battelle LLP as its new independent registered public accounting firm to conduct the audit of the Company's financial statements as of and for the year ended December 31, 2005. The decision to engage Battelle &amp; Battelle LLP was made and approved by the Audit Committee of the Company's B oard of Directors. During the two most recent fiscal years and through November 9, 2005, the Company has not consulted with Battelle &amp; Battelle LLP regarding (i) the application of accounting principles to a specified transaction, either completed or proposed; or the type of audit opinion that might be rendered on the Company's financial statements; or (ii) any matter that was either the subject of a disagreement, as that term is defined in Item 304 (a)(1)(iv) of Regulation S-K and the related instructions to Item 304 of Regulation S-K, or a reportable event, as that term is described in Item 304(a)(1)(v) of Regulation S-K.</w:t>
      </w:r>
      <w:r>
        <w:rPr/>
        <w:t xml:space="preserve"> </w:t>
      </w:r>
    </w:p>
    <w:p>
      <w:pPr>
        <w:pStyle w:val="TextBody"/>
        <w:spacing w:before="0" w:after="0"/>
        <w:rPr/>
      </w:pPr>
      <w:r>
        <w:rPr/>
        <w:t> </w:t>
      </w:r>
    </w:p>
    <w:p>
      <w:pPr>
        <w:pStyle w:val="TextBody"/>
        <w:spacing w:before="0" w:after="0"/>
        <w:rPr/>
      </w:pPr>
      <w:r>
        <w:rPr/>
        <w:t> </w:t>
      </w:r>
    </w:p>
    <w:p>
      <w:pPr>
        <w:pStyle w:val="TextBody"/>
        <w:spacing w:before="0" w:after="0"/>
        <w:jc w:val="left"/>
        <w:rPr/>
      </w:pPr>
      <w:r>
        <w:rPr>
          <w:rFonts w:ascii="times New Roman" w:hAnsi="times New Roman"/>
          <w:b/>
          <w:color w:val="000000"/>
          <w:sz w:val="20"/>
        </w:rPr>
        <w:t>Item 9.01.    Financial Statements and Exhibits</w:t>
      </w:r>
      <w:r>
        <w:rPr/>
        <w:t xml:space="preserve"> </w:t>
      </w:r>
    </w:p>
    <w:p>
      <w:pPr>
        <w:pStyle w:val="TextBody"/>
        <w:spacing w:before="0" w:after="0"/>
        <w:rPr/>
      </w:pPr>
      <w:r>
        <w:rPr/>
        <w:t xml:space="preserve">  </w:t>
      </w:r>
    </w:p>
    <w:p>
      <w:pPr>
        <w:pStyle w:val="TextBody"/>
        <w:spacing w:before="0" w:after="0"/>
        <w:jc w:val="left"/>
        <w:rPr>
          <w:color w:val="000000"/>
        </w:rPr>
      </w:pPr>
      <w:r>
        <w:rPr>
          <w:color w:val="000000"/>
        </w:rPr>
        <w:t>Exhibit 16.1 Letter from Deloitte &amp; Touche LLP</w:t>
      </w:r>
    </w:p>
    <w:p>
      <w:pPr>
        <w:pStyle w:val="TextBody"/>
        <w:spacing w:before="0" w:after="0"/>
        <w:rPr/>
      </w:pPr>
      <w:r>
        <w:rPr/>
        <w:t> </w:t>
      </w:r>
    </w:p>
    <w:p>
      <w:pPr>
        <w:pStyle w:val="HorizontalLine"/>
        <w:pBdr>
          <w:bottom w:val="double" w:sz="6" w:space="0" w:color="CCEEFF"/>
        </w:pBdr>
        <w:rPr/>
      </w:pPr>
      <w:r>
        <w:rPr/>
      </w:r>
    </w:p>
    <w:p>
      <w:pPr>
        <w:pStyle w:val="TextBody"/>
        <w:spacing w:before="0" w:after="0"/>
        <w:jc w:val="center"/>
        <w:rPr/>
      </w:pPr>
      <w:r>
        <w:rPr/>
        <w:t xml:space="preserve">  </w:t>
      </w:r>
    </w:p>
    <w:p>
      <w:pPr>
        <w:pStyle w:val="TextBody"/>
        <w:spacing w:before="0" w:after="0"/>
        <w:jc w:val="center"/>
        <w:rPr>
          <w:rFonts w:ascii="times New Roman" w:hAnsi="times New Roman"/>
          <w:b/>
          <w:color w:val="000000"/>
          <w:sz w:val="20"/>
        </w:rPr>
      </w:pPr>
      <w:r>
        <w:rPr>
          <w:rFonts w:ascii="times New Roman" w:hAnsi="times New Roman"/>
          <w:b/>
          <w:color w:val="000000"/>
          <w:sz w:val="20"/>
        </w:rPr>
        <w:t xml:space="preserve">Signature(s) </w:t>
      </w:r>
    </w:p>
    <w:p>
      <w:pPr>
        <w:pStyle w:val="TextBody"/>
        <w:spacing w:before="0" w:after="0"/>
        <w:rPr/>
      </w:pPr>
      <w:r>
        <w:rPr/>
        <w:t> </w:t>
      </w:r>
    </w:p>
    <w:p>
      <w:pPr>
        <w:pStyle w:val="TextBody"/>
        <w:spacing w:before="0" w:after="0"/>
        <w:jc w:val="left"/>
        <w:rPr>
          <w:rFonts w:ascii="times New Roman" w:hAnsi="times New Roman"/>
          <w:color w:val="000000"/>
          <w:sz w:val="20"/>
        </w:rPr>
      </w:pPr>
      <w:r>
        <w:rPr>
          <w:rFonts w:ascii="times New Roman" w:hAnsi="times New Roman"/>
          <w:color w:val="000000"/>
          <w:sz w:val="20"/>
        </w:rPr>
        <w:t xml:space="preserve">Pursuant to the requirements of the Securities Exchange Act of 1934, the registrant has duly caused this report to be signed on its behalf by the undersigned hereunto duly authorized.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457"/>
        <w:gridCol w:w="313"/>
        <w:gridCol w:w="1458"/>
        <w:gridCol w:w="312"/>
        <w:gridCol w:w="208"/>
        <w:gridCol w:w="313"/>
        <w:gridCol w:w="312"/>
        <w:gridCol w:w="312"/>
        <w:gridCol w:w="5520"/>
      </w:tblGrid>
      <w:tr>
        <w:trPr/>
        <w:tc>
          <w:tcPr>
            <w:tcW w:w="3228" w:type="dxa"/>
            <w:gridSpan w:val="3"/>
            <w:tcBorders/>
            <w:shd w:fill="auto" w:val="clear"/>
          </w:tcPr>
          <w:p>
            <w:pPr>
              <w:pStyle w:val="TableContents"/>
              <w:spacing w:before="0" w:after="283"/>
              <w:rPr>
                <w:sz w:val="4"/>
                <w:szCs w:val="4"/>
              </w:rPr>
            </w:pPr>
            <w:r>
              <w:rPr>
                <w:sz w:val="4"/>
                <w:szCs w:val="4"/>
              </w:rPr>
            </w:r>
          </w:p>
        </w:tc>
        <w:tc>
          <w:tcPr>
            <w:tcW w:w="312" w:type="dxa"/>
            <w:tcBorders/>
            <w:shd w:fill="auto" w:val="clear"/>
            <w:vAlign w:val="bottom"/>
          </w:tcPr>
          <w:p>
            <w:pPr>
              <w:pStyle w:val="TableContents"/>
              <w:spacing w:before="0" w:after="283"/>
              <w:rPr/>
            </w:pPr>
            <w:r>
              <w:rPr/>
              <w:t xml:space="preserve">  </w:t>
            </w:r>
          </w:p>
        </w:tc>
        <w:tc>
          <w:tcPr>
            <w:tcW w:w="208" w:type="dxa"/>
            <w:tcBorders/>
            <w:shd w:fill="auto" w:val="clear"/>
            <w:vAlign w:val="center"/>
          </w:tcPr>
          <w:p>
            <w:pPr>
              <w:pStyle w:val="TableContents"/>
              <w:spacing w:before="0" w:after="283"/>
              <w:rPr/>
            </w:pPr>
            <w:r>
              <w:rPr/>
              <w:t xml:space="preserve">  </w:t>
            </w:r>
          </w:p>
        </w:tc>
        <w:tc>
          <w:tcPr>
            <w:tcW w:w="313" w:type="dxa"/>
            <w:tcBorders/>
            <w:shd w:fill="auto" w:val="clear"/>
            <w:vAlign w:val="bottom"/>
          </w:tcPr>
          <w:p>
            <w:pPr>
              <w:pStyle w:val="TableContents"/>
              <w:spacing w:before="0" w:after="283"/>
              <w:rPr/>
            </w:pPr>
            <w:r>
              <w:rPr/>
              <w:t xml:space="preserve">  </w:t>
            </w:r>
          </w:p>
        </w:tc>
        <w:tc>
          <w:tcPr>
            <w:tcW w:w="312" w:type="dxa"/>
            <w:tcBorders/>
            <w:shd w:fill="auto" w:val="clear"/>
          </w:tcPr>
          <w:p>
            <w:pPr>
              <w:pStyle w:val="TableContents"/>
              <w:spacing w:before="0" w:after="283"/>
              <w:rPr>
                <w:sz w:val="4"/>
                <w:szCs w:val="4"/>
              </w:rPr>
            </w:pPr>
            <w:r>
              <w:rPr>
                <w:sz w:val="4"/>
                <w:szCs w:val="4"/>
              </w:rPr>
            </w:r>
          </w:p>
        </w:tc>
        <w:tc>
          <w:tcPr>
            <w:tcW w:w="312" w:type="dxa"/>
            <w:tcBorders/>
            <w:shd w:fill="auto" w:val="clear"/>
            <w:vAlign w:val="bottom"/>
          </w:tcPr>
          <w:p>
            <w:pPr>
              <w:pStyle w:val="TableContents"/>
              <w:spacing w:before="0" w:after="283"/>
              <w:rPr/>
            </w:pPr>
            <w:r>
              <w:rPr/>
              <w:t> </w:t>
            </w:r>
          </w:p>
        </w:tc>
        <w:tc>
          <w:tcPr>
            <w:tcW w:w="5520" w:type="dxa"/>
            <w:tcBorders/>
            <w:shd w:fill="auto" w:val="clear"/>
          </w:tcPr>
          <w:p>
            <w:pPr>
              <w:pStyle w:val="TableContents"/>
              <w:spacing w:before="0" w:after="0"/>
              <w:rPr/>
            </w:pPr>
            <w:r>
              <w:rPr>
                <w:rFonts w:ascii="times New Roman" w:hAnsi="times New Roman"/>
                <w:color w:val="000000"/>
                <w:sz w:val="20"/>
              </w:rPr>
              <w:t>CECO ENVIRONMENTAL CORP</w:t>
            </w:r>
            <w:r>
              <w:rPr/>
              <w:t xml:space="preserve"> </w:t>
            </w:r>
          </w:p>
        </w:tc>
      </w:tr>
      <w:tr>
        <w:trPr/>
        <w:tc>
          <w:tcPr>
            <w:tcW w:w="1457" w:type="dxa"/>
            <w:tcBorders/>
            <w:shd w:fill="auto" w:val="clear"/>
            <w:vAlign w:val="center"/>
          </w:tcPr>
          <w:p>
            <w:pPr>
              <w:pStyle w:val="TableContents"/>
              <w:spacing w:before="0" w:after="283"/>
              <w:rPr/>
            </w:pPr>
            <w:r>
              <w:rPr/>
              <w:t> </w:t>
            </w:r>
          </w:p>
        </w:tc>
        <w:tc>
          <w:tcPr>
            <w:tcW w:w="8748" w:type="dxa"/>
            <w:gridSpan w:val="8"/>
            <w:tcBorders/>
            <w:shd w:fill="auto" w:val="clear"/>
          </w:tcPr>
          <w:p>
            <w:pPr>
              <w:pStyle w:val="TableContents"/>
              <w:spacing w:before="0" w:after="283"/>
              <w:rPr>
                <w:sz w:val="4"/>
                <w:szCs w:val="4"/>
              </w:rPr>
            </w:pPr>
            <w:r>
              <w:rPr>
                <w:sz w:val="4"/>
                <w:szCs w:val="4"/>
              </w:rPr>
            </w:r>
          </w:p>
        </w:tc>
      </w:tr>
      <w:tr>
        <w:trPr/>
        <w:tc>
          <w:tcPr>
            <w:tcW w:w="1457" w:type="dxa"/>
            <w:tcBorders/>
            <w:shd w:fill="auto" w:val="clear"/>
            <w:vAlign w:val="center"/>
          </w:tcPr>
          <w:p>
            <w:pPr>
              <w:pStyle w:val="TableContents"/>
              <w:spacing w:before="0" w:after="283"/>
              <w:rPr/>
            </w:pPr>
            <w:r>
              <w:rPr/>
              <w:t> </w:t>
            </w:r>
          </w:p>
        </w:tc>
        <w:tc>
          <w:tcPr>
            <w:tcW w:w="8748" w:type="dxa"/>
            <w:gridSpan w:val="8"/>
            <w:tcBorders/>
            <w:shd w:fill="auto" w:val="clear"/>
          </w:tcPr>
          <w:p>
            <w:pPr>
              <w:pStyle w:val="TableContents"/>
              <w:spacing w:before="0" w:after="283"/>
              <w:rPr>
                <w:sz w:val="4"/>
                <w:szCs w:val="4"/>
              </w:rPr>
            </w:pPr>
            <w:r>
              <w:rPr>
                <w:sz w:val="4"/>
                <w:szCs w:val="4"/>
              </w:rPr>
            </w:r>
          </w:p>
        </w:tc>
      </w:tr>
      <w:tr>
        <w:trPr/>
        <w:tc>
          <w:tcPr>
            <w:tcW w:w="3228" w:type="dxa"/>
            <w:gridSpan w:val="3"/>
            <w:tcBorders/>
            <w:shd w:fill="auto" w:val="clear"/>
          </w:tcPr>
          <w:p>
            <w:pPr>
              <w:pStyle w:val="TableContents"/>
              <w:spacing w:before="0" w:after="0"/>
              <w:rPr/>
            </w:pPr>
            <w:r>
              <w:rPr>
                <w:rFonts w:ascii="times New Roman" w:hAnsi="times New Roman"/>
                <w:color w:val="000000"/>
                <w:sz w:val="20"/>
              </w:rPr>
              <w:t>Date: November 14, 2005</w:t>
            </w:r>
            <w:r>
              <w:rPr/>
              <w:t xml:space="preserve"> </w:t>
            </w:r>
          </w:p>
        </w:tc>
        <w:tc>
          <w:tcPr>
            <w:tcW w:w="312" w:type="dxa"/>
            <w:tcBorders/>
            <w:shd w:fill="auto" w:val="clear"/>
            <w:vAlign w:val="bottom"/>
          </w:tcPr>
          <w:p>
            <w:pPr>
              <w:pStyle w:val="TableContents"/>
              <w:spacing w:before="0" w:after="283"/>
              <w:rPr/>
            </w:pPr>
            <w:r>
              <w:rPr/>
              <w:t xml:space="preserve">  </w:t>
            </w:r>
          </w:p>
        </w:tc>
        <w:tc>
          <w:tcPr>
            <w:tcW w:w="208" w:type="dxa"/>
            <w:tcBorders/>
            <w:shd w:fill="auto" w:val="clear"/>
            <w:vAlign w:val="center"/>
          </w:tcPr>
          <w:p>
            <w:pPr>
              <w:pStyle w:val="TableContents"/>
              <w:spacing w:before="0" w:after="283"/>
              <w:rPr/>
            </w:pPr>
            <w:r>
              <w:rPr/>
              <w:t xml:space="preserve">  </w:t>
            </w:r>
          </w:p>
        </w:tc>
        <w:tc>
          <w:tcPr>
            <w:tcW w:w="313" w:type="dxa"/>
            <w:tcBorders/>
            <w:shd w:fill="auto" w:val="clear"/>
            <w:vAlign w:val="bottom"/>
          </w:tcPr>
          <w:p>
            <w:pPr>
              <w:pStyle w:val="TableContents"/>
              <w:spacing w:before="0" w:after="283"/>
              <w:rPr/>
            </w:pPr>
            <w:r>
              <w:rPr/>
              <w:t xml:space="preserve">  </w:t>
            </w:r>
          </w:p>
        </w:tc>
        <w:tc>
          <w:tcPr>
            <w:tcW w:w="312" w:type="dxa"/>
            <w:tcBorders/>
            <w:shd w:fill="auto" w:val="clear"/>
          </w:tcPr>
          <w:p>
            <w:pPr>
              <w:pStyle w:val="TableContents"/>
              <w:spacing w:before="0" w:after="0"/>
              <w:jc w:val="center"/>
              <w:rPr/>
            </w:pPr>
            <w:r>
              <w:rPr>
                <w:rFonts w:ascii="times New Roman" w:hAnsi="times New Roman"/>
                <w:color w:val="000000"/>
                <w:sz w:val="20"/>
              </w:rPr>
              <w:t>By:</w:t>
            </w:r>
            <w:r>
              <w:rPr/>
              <w:t xml:space="preserve"> </w:t>
            </w:r>
          </w:p>
        </w:tc>
        <w:tc>
          <w:tcPr>
            <w:tcW w:w="312" w:type="dxa"/>
            <w:tcBorders/>
            <w:shd w:fill="auto" w:val="clear"/>
            <w:vAlign w:val="bottom"/>
          </w:tcPr>
          <w:p>
            <w:pPr>
              <w:pStyle w:val="TableContents"/>
              <w:spacing w:before="0" w:after="283"/>
              <w:rPr/>
            </w:pPr>
            <w:r>
              <w:rPr/>
              <w:t> </w:t>
            </w:r>
          </w:p>
        </w:tc>
        <w:tc>
          <w:tcPr>
            <w:tcW w:w="5520" w:type="dxa"/>
            <w:tcBorders/>
            <w:shd w:fill="auto" w:val="clear"/>
          </w:tcPr>
          <w:p>
            <w:pPr>
              <w:pStyle w:val="TableContents"/>
              <w:spacing w:before="0" w:after="0"/>
              <w:rPr/>
            </w:pPr>
            <w:r>
              <w:rPr>
                <w:rFonts w:ascii="times New Roman" w:hAnsi="times New Roman"/>
                <w:color w:val="000000"/>
                <w:sz w:val="20"/>
              </w:rPr>
              <w:t>/s/    /Dennis W. Blazer/</w:t>
            </w:r>
            <w:r>
              <w:rPr/>
              <w:t xml:space="preserve"> </w:t>
            </w:r>
          </w:p>
          <w:p>
            <w:pPr>
              <w:pStyle w:val="HorizontalLine"/>
              <w:pBdr>
                <w:bottom w:val="single" w:sz="20" w:space="0" w:color="000000"/>
              </w:pBdr>
              <w:spacing w:before="0" w:after="283"/>
              <w:rPr/>
            </w:pPr>
            <w:r>
              <w:rPr/>
            </w:r>
          </w:p>
        </w:tc>
      </w:tr>
      <w:tr>
        <w:trPr/>
        <w:tc>
          <w:tcPr>
            <w:tcW w:w="1457" w:type="dxa"/>
            <w:tcBorders/>
            <w:shd w:fill="auto" w:val="clear"/>
            <w:vAlign w:val="center"/>
          </w:tcPr>
          <w:p>
            <w:pPr>
              <w:pStyle w:val="TableContents"/>
              <w:spacing w:before="0" w:after="283"/>
              <w:rPr/>
            </w:pPr>
            <w:r>
              <w:rPr/>
              <w:t> </w:t>
            </w:r>
          </w:p>
        </w:tc>
        <w:tc>
          <w:tcPr>
            <w:tcW w:w="313" w:type="dxa"/>
            <w:tcBorders/>
            <w:shd w:fill="auto" w:val="clear"/>
            <w:vAlign w:val="bottom"/>
          </w:tcPr>
          <w:p>
            <w:pPr>
              <w:pStyle w:val="TableContents"/>
              <w:spacing w:before="0" w:after="283"/>
              <w:rPr/>
            </w:pPr>
            <w:r>
              <w:rPr/>
              <w:t> </w:t>
            </w:r>
          </w:p>
        </w:tc>
        <w:tc>
          <w:tcPr>
            <w:tcW w:w="1458" w:type="dxa"/>
            <w:tcBorders/>
            <w:shd w:fill="auto" w:val="clear"/>
            <w:vAlign w:val="center"/>
          </w:tcPr>
          <w:p>
            <w:pPr>
              <w:pStyle w:val="TableContents"/>
              <w:spacing w:before="0" w:after="283"/>
              <w:rPr/>
            </w:pPr>
            <w:r>
              <w:rPr/>
              <w:t> </w:t>
            </w:r>
          </w:p>
        </w:tc>
        <w:tc>
          <w:tcPr>
            <w:tcW w:w="312" w:type="dxa"/>
            <w:tcBorders/>
            <w:shd w:fill="auto" w:val="clear"/>
            <w:vAlign w:val="bottom"/>
          </w:tcPr>
          <w:p>
            <w:pPr>
              <w:pStyle w:val="TableContents"/>
              <w:spacing w:before="0" w:after="283"/>
              <w:rPr/>
            </w:pPr>
            <w:r>
              <w:rPr/>
              <w:t> </w:t>
            </w:r>
          </w:p>
        </w:tc>
        <w:tc>
          <w:tcPr>
            <w:tcW w:w="208" w:type="dxa"/>
            <w:tcBorders/>
            <w:shd w:fill="auto" w:val="clear"/>
            <w:vAlign w:val="center"/>
          </w:tcPr>
          <w:p>
            <w:pPr>
              <w:pStyle w:val="TableContents"/>
              <w:spacing w:before="0" w:after="283"/>
              <w:rPr/>
            </w:pPr>
            <w:r>
              <w:rPr/>
              <w:t> </w:t>
            </w:r>
          </w:p>
        </w:tc>
        <w:tc>
          <w:tcPr>
            <w:tcW w:w="313" w:type="dxa"/>
            <w:tcBorders/>
            <w:shd w:fill="auto" w:val="clear"/>
            <w:vAlign w:val="bottom"/>
          </w:tcPr>
          <w:p>
            <w:pPr>
              <w:pStyle w:val="TableContents"/>
              <w:spacing w:before="0" w:after="283"/>
              <w:rPr/>
            </w:pPr>
            <w:r>
              <w:rPr/>
              <w:t> </w:t>
            </w:r>
          </w:p>
        </w:tc>
        <w:tc>
          <w:tcPr>
            <w:tcW w:w="312" w:type="dxa"/>
            <w:tcBorders/>
            <w:shd w:fill="auto" w:val="clear"/>
            <w:vAlign w:val="center"/>
          </w:tcPr>
          <w:p>
            <w:pPr>
              <w:pStyle w:val="TableContents"/>
              <w:spacing w:before="0" w:after="283"/>
              <w:rPr/>
            </w:pPr>
            <w:r>
              <w:rPr/>
              <w:t> </w:t>
            </w:r>
          </w:p>
        </w:tc>
        <w:tc>
          <w:tcPr>
            <w:tcW w:w="312" w:type="dxa"/>
            <w:tcBorders/>
            <w:shd w:fill="auto" w:val="clear"/>
            <w:vAlign w:val="bottom"/>
          </w:tcPr>
          <w:p>
            <w:pPr>
              <w:pStyle w:val="TableContents"/>
              <w:spacing w:before="0" w:after="283"/>
              <w:rPr/>
            </w:pPr>
            <w:r>
              <w:rPr/>
              <w:t> </w:t>
            </w:r>
          </w:p>
        </w:tc>
        <w:tc>
          <w:tcPr>
            <w:tcW w:w="5520" w:type="dxa"/>
            <w:tcBorders/>
            <w:shd w:fill="auto" w:val="clear"/>
            <w:vAlign w:val="bottom"/>
          </w:tcPr>
          <w:p>
            <w:pPr>
              <w:pStyle w:val="TableContents"/>
              <w:spacing w:before="0" w:after="0"/>
              <w:rPr/>
            </w:pPr>
            <w:r>
              <w:rPr>
                <w:rFonts w:ascii="times New Roman" w:hAnsi="times New Roman"/>
                <w:color w:val="000000"/>
                <w:sz w:val="20"/>
              </w:rPr>
              <w:t>Dennis W. Blazer</w:t>
            </w:r>
            <w:r>
              <w:rPr/>
              <w:t xml:space="preserve"> </w:t>
            </w:r>
          </w:p>
        </w:tc>
      </w:tr>
      <w:tr>
        <w:trPr/>
        <w:tc>
          <w:tcPr>
            <w:tcW w:w="1457" w:type="dxa"/>
            <w:tcBorders/>
            <w:shd w:fill="auto" w:val="clear"/>
            <w:vAlign w:val="center"/>
          </w:tcPr>
          <w:p>
            <w:pPr>
              <w:pStyle w:val="TableContents"/>
              <w:spacing w:before="0" w:after="283"/>
              <w:rPr/>
            </w:pPr>
            <w:r>
              <w:rPr/>
              <w:t> </w:t>
            </w:r>
          </w:p>
        </w:tc>
        <w:tc>
          <w:tcPr>
            <w:tcW w:w="313" w:type="dxa"/>
            <w:tcBorders/>
            <w:shd w:fill="auto" w:val="clear"/>
            <w:vAlign w:val="bottom"/>
          </w:tcPr>
          <w:p>
            <w:pPr>
              <w:pStyle w:val="TableContents"/>
              <w:spacing w:before="0" w:after="283"/>
              <w:rPr/>
            </w:pPr>
            <w:r>
              <w:rPr/>
              <w:t> </w:t>
            </w:r>
          </w:p>
        </w:tc>
        <w:tc>
          <w:tcPr>
            <w:tcW w:w="1458" w:type="dxa"/>
            <w:tcBorders/>
            <w:shd w:fill="auto" w:val="clear"/>
            <w:vAlign w:val="center"/>
          </w:tcPr>
          <w:p>
            <w:pPr>
              <w:pStyle w:val="TableContents"/>
              <w:spacing w:before="0" w:after="283"/>
              <w:rPr/>
            </w:pPr>
            <w:r>
              <w:rPr/>
              <w:t> </w:t>
            </w:r>
          </w:p>
        </w:tc>
        <w:tc>
          <w:tcPr>
            <w:tcW w:w="312" w:type="dxa"/>
            <w:tcBorders/>
            <w:shd w:fill="auto" w:val="clear"/>
            <w:vAlign w:val="bottom"/>
          </w:tcPr>
          <w:p>
            <w:pPr>
              <w:pStyle w:val="TableContents"/>
              <w:spacing w:before="0" w:after="283"/>
              <w:rPr/>
            </w:pPr>
            <w:r>
              <w:rPr/>
              <w:t> </w:t>
            </w:r>
          </w:p>
        </w:tc>
        <w:tc>
          <w:tcPr>
            <w:tcW w:w="208" w:type="dxa"/>
            <w:tcBorders/>
            <w:shd w:fill="auto" w:val="clear"/>
            <w:vAlign w:val="center"/>
          </w:tcPr>
          <w:p>
            <w:pPr>
              <w:pStyle w:val="TableContents"/>
              <w:spacing w:before="0" w:after="283"/>
              <w:rPr/>
            </w:pPr>
            <w:r>
              <w:rPr/>
              <w:t> </w:t>
            </w:r>
          </w:p>
        </w:tc>
        <w:tc>
          <w:tcPr>
            <w:tcW w:w="313" w:type="dxa"/>
            <w:tcBorders/>
            <w:shd w:fill="auto" w:val="clear"/>
            <w:vAlign w:val="bottom"/>
          </w:tcPr>
          <w:p>
            <w:pPr>
              <w:pStyle w:val="TableContents"/>
              <w:spacing w:before="0" w:after="283"/>
              <w:rPr/>
            </w:pPr>
            <w:r>
              <w:rPr/>
              <w:t> </w:t>
            </w:r>
          </w:p>
        </w:tc>
        <w:tc>
          <w:tcPr>
            <w:tcW w:w="312" w:type="dxa"/>
            <w:tcBorders/>
            <w:shd w:fill="auto" w:val="clear"/>
            <w:vAlign w:val="center"/>
          </w:tcPr>
          <w:p>
            <w:pPr>
              <w:pStyle w:val="TableContents"/>
              <w:spacing w:before="0" w:after="283"/>
              <w:rPr/>
            </w:pPr>
            <w:r>
              <w:rPr/>
              <w:t> </w:t>
            </w:r>
          </w:p>
        </w:tc>
        <w:tc>
          <w:tcPr>
            <w:tcW w:w="312" w:type="dxa"/>
            <w:tcBorders/>
            <w:shd w:fill="auto" w:val="clear"/>
            <w:vAlign w:val="bottom"/>
          </w:tcPr>
          <w:p>
            <w:pPr>
              <w:pStyle w:val="TableContents"/>
              <w:spacing w:before="0" w:after="283"/>
              <w:rPr/>
            </w:pPr>
            <w:r>
              <w:rPr/>
              <w:t> </w:t>
            </w:r>
          </w:p>
        </w:tc>
        <w:tc>
          <w:tcPr>
            <w:tcW w:w="5520" w:type="dxa"/>
            <w:tcBorders/>
            <w:shd w:fill="auto" w:val="clear"/>
            <w:vAlign w:val="bottom"/>
          </w:tcPr>
          <w:p>
            <w:pPr>
              <w:pStyle w:val="TableContents"/>
              <w:spacing w:before="0" w:after="0"/>
              <w:rPr/>
            </w:pPr>
            <w:r>
              <w:rPr>
                <w:rFonts w:ascii="times New Roman" w:hAnsi="times New Roman"/>
                <w:color w:val="000000"/>
                <w:sz w:val="20"/>
              </w:rPr>
              <w:t>Vice President--Finance and Administration and Chief Financial Officer</w:t>
            </w:r>
            <w:r>
              <w:rPr/>
              <w:t xml:space="preserve"> </w:t>
            </w:r>
          </w:p>
        </w:tc>
      </w:tr>
      <w:tr>
        <w:trPr/>
        <w:tc>
          <w:tcPr>
            <w:tcW w:w="1457" w:type="dxa"/>
            <w:tcBorders/>
            <w:shd w:fill="auto" w:val="clear"/>
            <w:vAlign w:val="center"/>
          </w:tcPr>
          <w:p>
            <w:pPr>
              <w:pStyle w:val="TableContents"/>
              <w:spacing w:before="0" w:after="283"/>
              <w:rPr/>
            </w:pPr>
            <w:r>
              <w:rPr/>
              <w:t> </w:t>
            </w:r>
          </w:p>
        </w:tc>
        <w:tc>
          <w:tcPr>
            <w:tcW w:w="8748" w:type="dxa"/>
            <w:gridSpan w:val="8"/>
            <w:tcBorders/>
            <w:shd w:fill="auto" w:val="clear"/>
          </w:tcPr>
          <w:p>
            <w:pPr>
              <w:pStyle w:val="TableContents"/>
              <w:spacing w:before="0" w:after="283"/>
              <w:rPr>
                <w:sz w:val="4"/>
                <w:szCs w:val="4"/>
              </w:rPr>
            </w:pPr>
            <w:r>
              <w:rPr>
                <w:sz w:val="4"/>
                <w:szCs w:val="4"/>
              </w:rPr>
            </w:r>
          </w:p>
        </w:tc>
      </w:tr>
      <w:tr>
        <w:trPr/>
        <w:tc>
          <w:tcPr>
            <w:tcW w:w="1457" w:type="dxa"/>
            <w:tcBorders/>
            <w:shd w:fill="auto" w:val="clear"/>
            <w:vAlign w:val="center"/>
          </w:tcPr>
          <w:p>
            <w:pPr>
              <w:pStyle w:val="TableContents"/>
              <w:spacing w:before="0" w:after="283"/>
              <w:rPr/>
            </w:pPr>
            <w:r>
              <w:rPr/>
              <w:t> </w:t>
            </w:r>
          </w:p>
        </w:tc>
        <w:tc>
          <w:tcPr>
            <w:tcW w:w="8748" w:type="dxa"/>
            <w:gridSpan w:val="8"/>
            <w:tcBorders/>
            <w:shd w:fill="auto" w:val="clear"/>
          </w:tcPr>
          <w:p>
            <w:pPr>
              <w:pStyle w:val="TableContents"/>
              <w:spacing w:before="0" w:after="283"/>
              <w:rPr>
                <w:sz w:val="4"/>
                <w:szCs w:val="4"/>
              </w:rPr>
            </w:pPr>
            <w:r>
              <w:rPr>
                <w:sz w:val="4"/>
                <w:szCs w:val="4"/>
              </w:rPr>
            </w:r>
          </w:p>
        </w:tc>
      </w:tr>
    </w:tbl>
    <w:p>
      <w:pPr>
        <w:pStyle w:val="HorizontalLine"/>
        <w:pBdr>
          <w:bottom w:val="double" w:sz="6" w:space="0" w:color="CCEEFF"/>
        </w:pBdr>
        <w:rPr/>
      </w:pPr>
      <w:r>
        <w:br w:type="page"/>
      </w:r>
      <w:r>
        <w:rPr/>
      </w:r>
    </w:p>
    <w:p>
      <w:pPr>
        <w:pStyle w:val="TextBody"/>
        <w:spacing w:before="0" w:after="0"/>
        <w:jc w:val="center"/>
        <w:rPr/>
      </w:pPr>
      <w:r>
        <w:rPr/>
        <w:t xml:space="preserve">  </w:t>
      </w:r>
    </w:p>
    <w:p>
      <w:pPr>
        <w:pStyle w:val="TextBody"/>
        <w:spacing w:before="0" w:after="0"/>
        <w:jc w:val="center"/>
        <w:rPr>
          <w:rFonts w:ascii="times New Roman" w:hAnsi="times New Roman"/>
          <w:b/>
          <w:color w:val="000000"/>
          <w:sz w:val="24"/>
        </w:rPr>
      </w:pPr>
      <w:r>
        <w:rPr>
          <w:rFonts w:ascii="times New Roman" w:hAnsi="times New Roman"/>
          <w:b/>
          <w:color w:val="000000"/>
          <w:sz w:val="24"/>
        </w:rPr>
        <w:t xml:space="preserve">Exhibit Index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980"/>
        <w:gridCol w:w="274"/>
        <w:gridCol w:w="8951"/>
      </w:tblGrid>
      <w:tr>
        <w:trPr/>
        <w:tc>
          <w:tcPr>
            <w:tcW w:w="980" w:type="dxa"/>
            <w:tcBorders/>
            <w:shd w:fill="auto" w:val="clear"/>
          </w:tcPr>
          <w:p>
            <w:pPr>
              <w:pStyle w:val="TableContents"/>
              <w:spacing w:before="0" w:after="0"/>
              <w:jc w:val="left"/>
              <w:rPr/>
            </w:pPr>
            <w:r>
              <w:rPr>
                <w:rFonts w:ascii="times New Roman" w:hAnsi="times New Roman"/>
                <w:b/>
                <w:color w:val="000000"/>
                <w:sz w:val="20"/>
              </w:rPr>
              <w:t>Exhibit No.</w:t>
            </w:r>
            <w:r>
              <w:rPr/>
              <w:t xml:space="preserve"> </w:t>
            </w:r>
          </w:p>
          <w:p>
            <w:pPr>
              <w:pStyle w:val="HorizontalLine"/>
              <w:pBdr>
                <w:bottom w:val="single" w:sz="12" w:space="0" w:color="000000"/>
              </w:pBdr>
              <w:spacing w:before="0" w:after="283"/>
              <w:rPr/>
            </w:pPr>
            <w:r>
              <w:rPr/>
            </w:r>
          </w:p>
        </w:tc>
        <w:tc>
          <w:tcPr>
            <w:tcW w:w="274" w:type="dxa"/>
            <w:tcBorders/>
            <w:shd w:fill="auto" w:val="clear"/>
          </w:tcPr>
          <w:p>
            <w:pPr>
              <w:pStyle w:val="TableContents"/>
              <w:spacing w:before="0" w:after="283"/>
              <w:jc w:val="left"/>
              <w:rPr/>
            </w:pPr>
            <w:r>
              <w:rPr/>
              <w:t>  </w:t>
            </w:r>
          </w:p>
        </w:tc>
        <w:tc>
          <w:tcPr>
            <w:tcW w:w="8951" w:type="dxa"/>
            <w:tcBorders/>
            <w:shd w:fill="auto" w:val="clear"/>
          </w:tcPr>
          <w:p>
            <w:pPr>
              <w:pStyle w:val="TableContents"/>
              <w:spacing w:before="0" w:after="0"/>
              <w:jc w:val="left"/>
              <w:rPr/>
            </w:pPr>
            <w:r>
              <w:rPr>
                <w:rFonts w:ascii="times New Roman" w:hAnsi="times New Roman"/>
                <w:b/>
                <w:color w:val="000000"/>
                <w:sz w:val="20"/>
              </w:rPr>
              <w:t>Description</w:t>
            </w:r>
            <w:r>
              <w:rPr/>
              <w:t xml:space="preserve"> </w:t>
            </w:r>
          </w:p>
          <w:p>
            <w:pPr>
              <w:pStyle w:val="HorizontalLine"/>
              <w:pBdr>
                <w:bottom w:val="single" w:sz="12" w:space="0" w:color="000000"/>
              </w:pBdr>
              <w:spacing w:before="0" w:after="283"/>
              <w:rPr/>
            </w:pPr>
            <w:r>
              <w:rPr/>
            </w:r>
          </w:p>
        </w:tc>
      </w:tr>
      <w:tr>
        <w:trPr/>
        <w:tc>
          <w:tcPr>
            <w:tcW w:w="980" w:type="dxa"/>
            <w:tcBorders/>
            <w:shd w:fill="auto" w:val="clear"/>
          </w:tcPr>
          <w:p>
            <w:pPr>
              <w:pStyle w:val="TableContents"/>
              <w:spacing w:before="0" w:after="0"/>
              <w:jc w:val="left"/>
              <w:rPr/>
            </w:pPr>
            <w:r>
              <w:rPr>
                <w:rFonts w:ascii="times New Roman" w:hAnsi="times New Roman"/>
                <w:color w:val="000000"/>
                <w:sz w:val="14"/>
              </w:rPr>
              <w:t>EX-16.1</w:t>
            </w:r>
            <w:r>
              <w:rPr/>
              <w:t xml:space="preserve"> </w:t>
            </w:r>
          </w:p>
        </w:tc>
        <w:tc>
          <w:tcPr>
            <w:tcW w:w="274" w:type="dxa"/>
            <w:tcBorders/>
            <w:shd w:fill="auto" w:val="clear"/>
          </w:tcPr>
          <w:p>
            <w:pPr>
              <w:pStyle w:val="TableContents"/>
              <w:spacing w:before="0" w:after="283"/>
              <w:jc w:val="left"/>
              <w:rPr/>
            </w:pPr>
            <w:r>
              <w:rPr/>
              <w:t>  </w:t>
            </w:r>
          </w:p>
        </w:tc>
        <w:tc>
          <w:tcPr>
            <w:tcW w:w="8951" w:type="dxa"/>
            <w:tcBorders/>
            <w:shd w:fill="auto" w:val="clear"/>
          </w:tcPr>
          <w:p>
            <w:pPr>
              <w:pStyle w:val="TableContents"/>
              <w:spacing w:before="0" w:after="0"/>
              <w:jc w:val="left"/>
              <w:rPr/>
            </w:pPr>
            <w:r>
              <w:rPr>
                <w:rFonts w:ascii="times New Roman" w:hAnsi="times New Roman"/>
                <w:color w:val="000000"/>
                <w:sz w:val="20"/>
              </w:rPr>
              <w:t>Deloitte Letter</w:t>
            </w:r>
            <w:r>
              <w:rPr/>
              <w:t xml:space="preserve"> </w:t>
            </w:r>
          </w:p>
        </w:tc>
      </w:tr>
    </w:tbl>
    <w:p>
      <w:pPr>
        <w:pStyle w:val="TextBody"/>
        <w:jc w:val="right"/>
        <w:rPr/>
      </w:pPr>
      <w:r>
        <w:br w:type="page"/>
      </w:r>
      <w:bookmarkStart w:id="4" w:name="rrd95989_9734.htm"/>
      <w:bookmarkStart w:id="5" w:name="ksrrd95989_9734"/>
      <w:bookmarkEnd w:id="4"/>
      <w:bookmarkEnd w:id="5"/>
      <w:r>
        <w:rPr/>
        <w:t>Deloitte &amp; Touche LLP</w:t>
      </w:r>
    </w:p>
    <w:p>
      <w:pPr>
        <w:pStyle w:val="TextBody"/>
        <w:jc w:val="right"/>
        <w:rPr/>
      </w:pPr>
      <w:r>
        <w:rPr/>
        <w:t>250 East Fifth Street</w:t>
      </w:r>
    </w:p>
    <w:p>
      <w:pPr>
        <w:pStyle w:val="TextBody"/>
        <w:jc w:val="right"/>
        <w:rPr/>
      </w:pPr>
      <w:r>
        <w:rPr/>
        <w:t>Suite 1900</w:t>
      </w:r>
    </w:p>
    <w:p>
      <w:pPr>
        <w:pStyle w:val="TextBody"/>
        <w:jc w:val="right"/>
        <w:rPr/>
      </w:pPr>
      <w:r>
        <w:rPr/>
        <w:t>P.O. Box 5340</w:t>
      </w:r>
    </w:p>
    <w:p>
      <w:pPr>
        <w:pStyle w:val="TextBody"/>
        <w:jc w:val="right"/>
        <w:rPr/>
      </w:pPr>
      <w:r>
        <w:rPr/>
        <w:t>Cincinnati, OH 45201-5340</w:t>
      </w:r>
    </w:p>
    <w:p>
      <w:pPr>
        <w:pStyle w:val="TextBody"/>
        <w:jc w:val="right"/>
        <w:rPr/>
      </w:pPr>
      <w:r>
        <w:rPr/>
        <w:t>USA</w:t>
      </w:r>
    </w:p>
    <w:p>
      <w:pPr>
        <w:pStyle w:val="TextBody"/>
        <w:jc w:val="right"/>
        <w:rPr/>
      </w:pPr>
      <w:r>
        <w:rPr/>
        <w:t>Tel: +1 513 784 7100</w:t>
      </w:r>
    </w:p>
    <w:p>
      <w:pPr>
        <w:pStyle w:val="TextBody"/>
        <w:jc w:val="right"/>
        <w:rPr/>
      </w:pPr>
      <w:r>
        <w:rPr/>
        <w:t>www.deloitte.com</w:t>
      </w:r>
    </w:p>
    <w:p>
      <w:pPr>
        <w:pStyle w:val="TextBody"/>
        <w:jc w:val="center"/>
        <w:rPr/>
      </w:pPr>
      <w:r>
        <w:rPr/>
        <w:t> </w:t>
      </w:r>
    </w:p>
    <w:p>
      <w:pPr>
        <w:pStyle w:val="TextBody"/>
        <w:jc w:val="center"/>
        <w:rPr/>
      </w:pPr>
      <w:r>
        <w:rPr/>
        <w:t> </w:t>
      </w:r>
    </w:p>
    <w:p>
      <w:pPr>
        <w:pStyle w:val="TextBody"/>
        <w:jc w:val="center"/>
        <w:rPr/>
      </w:pPr>
      <w:r>
        <w:rPr/>
        <w:t> </w:t>
      </w:r>
    </w:p>
    <w:p>
      <w:pPr>
        <w:pStyle w:val="TextBody"/>
        <w:jc w:val="center"/>
        <w:rPr/>
      </w:pPr>
      <w:r>
        <w:rPr/>
        <w:t> </w:t>
      </w:r>
    </w:p>
    <w:p>
      <w:pPr>
        <w:pStyle w:val="TextBody"/>
        <w:jc w:val="center"/>
        <w:rPr/>
      </w:pPr>
      <w:r>
        <w:rPr/>
        <w:t>November 14, 2005</w:t>
      </w:r>
    </w:p>
    <w:p>
      <w:pPr>
        <w:pStyle w:val="TextBody"/>
        <w:jc w:val="center"/>
        <w:rPr/>
      </w:pPr>
      <w:r>
        <w:rPr/>
        <w:t>Securities and Exchange Commission</w:t>
      </w:r>
    </w:p>
    <w:p>
      <w:pPr>
        <w:pStyle w:val="TextBody"/>
        <w:jc w:val="center"/>
        <w:rPr/>
      </w:pPr>
      <w:r>
        <w:rPr/>
        <w:t>100 F Street, N.E.</w:t>
      </w:r>
    </w:p>
    <w:p>
      <w:pPr>
        <w:pStyle w:val="TextBody"/>
        <w:jc w:val="center"/>
        <w:rPr/>
      </w:pPr>
      <w:r>
        <w:rPr/>
        <w:t>Washington, D.C. 20549-7561</w:t>
      </w:r>
    </w:p>
    <w:p>
      <w:pPr>
        <w:pStyle w:val="TextBody"/>
        <w:jc w:val="center"/>
        <w:rPr/>
      </w:pPr>
      <w:r>
        <w:rPr/>
        <w:t>Dear Sirs/Madams:</w:t>
      </w:r>
    </w:p>
    <w:p>
      <w:pPr>
        <w:pStyle w:val="TextBody"/>
        <w:jc w:val="center"/>
        <w:rPr/>
      </w:pPr>
      <w:r>
        <w:rPr/>
        <w:t>We have read Item 4.01 of CECO Environmental Corp's Form 8-K dated November 14, 2005, and have the following comments:</w:t>
      </w:r>
    </w:p>
    <w:p>
      <w:pPr>
        <w:pStyle w:val="TextBody"/>
        <w:numPr>
          <w:ilvl w:val="0"/>
          <w:numId w:val="0"/>
        </w:numPr>
        <w:ind w:left="1414" w:hanging="0"/>
        <w:jc w:val="center"/>
        <w:rPr/>
      </w:pPr>
      <w:r>
        <w:rPr/>
        <w:t>1.We agree with the statements made in the first four paragraphs of Item 4.01 concerning our Firm.</w:t>
      </w:r>
    </w:p>
    <w:p>
      <w:pPr>
        <w:pStyle w:val="TextBody"/>
        <w:numPr>
          <w:ilvl w:val="0"/>
          <w:numId w:val="0"/>
        </w:numPr>
        <w:ind w:left="1414" w:hanging="0"/>
        <w:jc w:val="center"/>
        <w:rPr/>
      </w:pPr>
      <w:r>
        <w:rPr/>
        <w:t>2.We have no basis on which to agree or disagree with the statements made in the last paragraph of Item 4.01 with respect to information regarding the new accounting firm contained therein.</w:t>
      </w:r>
    </w:p>
    <w:p>
      <w:pPr>
        <w:pStyle w:val="TextBody"/>
        <w:jc w:val="center"/>
        <w:rPr/>
      </w:pPr>
      <w:r>
        <w:rPr/>
        <w:t>Yours truly,</w:t>
      </w:r>
    </w:p>
    <w:p>
      <w:pPr>
        <w:pStyle w:val="TextBody"/>
        <w:jc w:val="center"/>
        <w:rPr/>
      </w:pPr>
      <w:r>
        <w:rPr/>
        <w:t>/Deloitte &amp; Touche LLP/</w:t>
      </w:r>
    </w:p>
    <w:p>
      <w:pPr>
        <w:pStyle w:val="TextBody"/>
        <w:spacing w:before="0" w:after="283"/>
        <w:jc w:val="center"/>
        <w:rPr/>
      </w:pPr>
      <w:r>
        <w:rPr/>
        <w:t> </w:t>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OpenSymbol">
    <w:altName w:val="Arial Unicode MS"/>
    <w:charset w:val="02"/>
    <w:family w:val="auto"/>
    <w:pitch w:val="default"/>
  </w:font>
  <w:font w:name="Liberation Sans">
    <w:altName w:val="Arial"/>
    <w:charset w:val="00"/>
    <w:family w:val="swiss"/>
    <w:pitch w:val="variable"/>
  </w:font>
  <w:font w:name="times New Roman">
    <w:charset w:val="00"/>
    <w:family w:val="auto"/>
    <w:pitch w:val="default"/>
  </w:font>
  <w:font w:name="Symbol">
    <w:charset w:val="02"/>
    <w:family w:val="auto"/>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abstractNum w:abstractNumId="2">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num w:numId="1">
    <w:abstractNumId w:val="1"/>
  </w:num>
  <w:num w:numId="2">
    <w:abstractNumId w:val="2"/>
  </w:num>
</w:numbering>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character" w:styleId="Bullets">
    <w:name w:val="Bullets"/>
    <w:qFormat/>
    <w:rPr>
      <w:rFonts w:ascii="OpenSymbol" w:hAnsi="OpenSymbol" w:eastAsia="OpenSymbol" w:cs="OpenSymbol"/>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4</Pages>
  <Words>817</Words>
  <CharactersWithSpaces>5251</CharactersWithSpaces>
  <Paragraphs>124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Deloitte &amp; Touche LLP</dc:title>
</cp:coreProperties>
</file>