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KNOWLING ROBERT E JR</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8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06/01/2026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Pr>
          <w:p>
            <w:pPr>
              <w:spacing w:after="0"/>
              <w:rPr>
                <w:sz w:val="22"/>
                <w:szCs w:val="22"/>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2,215</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13,077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20,311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w w:val="94"/>
              </w:rPr>
              <w:t>20,311</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under the CECO Environmental Corp. Deferred Compensation Plan for Non-Employee Directors. Each restricted stock unit represents a contingent right to receive one share of the Company's common stock.</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and distribution of such stock under the Deferred Compensation Plan is deferred until termination of service as a Company director.</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Robert E.</w:t>
      </w:r>
      <w:r>
        <w:rPr>
          <w:sz w:val="20"/>
          <w:szCs w:val="20"/>
          <w:color w:val="auto"/>
        </w:rPr>
        <w:tab/>
      </w: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894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-14605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Knowling,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581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81660"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CECO ENVIRONMENTAL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LIMITED POWER OF ATTORNEY FOR SECTION 16 REPORTING OBLIGATIONS</w:t>
      </w:r>
    </w:p>
    <w:p>
      <w:pPr>
        <w:spacing w:after="0" w:line="115" w:lineRule="exact"/>
        <w:rPr>
          <w:sz w:val="20"/>
          <w:szCs w:val="20"/>
          <w:color w:val="auto"/>
        </w:rPr>
      </w:pPr>
    </w:p>
    <w:p>
      <w:pPr>
        <w:ind w:right="300" w:firstLine="424"/>
        <w:spacing w:after="0" w:line="246" w:lineRule="auto"/>
        <w:rPr>
          <w:sz w:val="20"/>
          <w:szCs w:val="20"/>
          <w:color w:val="auto"/>
        </w:rPr>
      </w:pPr>
      <w:r>
        <w:rPr>
          <w:rFonts w:ascii="Arial" w:cs="Arial" w:eastAsia="Arial" w:hAnsi="Arial"/>
          <w:sz w:val="19"/>
          <w:szCs w:val="19"/>
          <w:color w:val="auto"/>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spacing w:after="0" w:line="83" w:lineRule="exact"/>
        <w:rPr>
          <w:sz w:val="20"/>
          <w:szCs w:val="20"/>
          <w:color w:val="auto"/>
        </w:rPr>
      </w:pPr>
    </w:p>
    <w:p>
      <w:pPr>
        <w:ind w:right="140" w:firstLine="4"/>
        <w:spacing w:after="0" w:line="246" w:lineRule="auto"/>
        <w:tabs>
          <w:tab w:leader="none" w:pos="424"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of CECO Environmental Corp., a Delaware corporation (the "Company"), Forms 3, 4 and 5 (and any amendments thereto) in accordance with Section 16(a) of the Securities Exchange Act of 1934, as amended (the "Exchange Act"), and the rules thereunder;</w:t>
      </w:r>
    </w:p>
    <w:p>
      <w:pPr>
        <w:spacing w:after="0" w:line="96" w:lineRule="exact"/>
        <w:rPr>
          <w:rFonts w:ascii="Arial" w:cs="Arial" w:eastAsia="Arial" w:hAnsi="Arial"/>
          <w:sz w:val="19"/>
          <w:szCs w:val="19"/>
          <w:color w:val="auto"/>
        </w:rPr>
      </w:pPr>
    </w:p>
    <w:p>
      <w:pPr>
        <w:ind w:right="140" w:firstLine="4"/>
        <w:spacing w:after="0" w:line="246" w:lineRule="auto"/>
        <w:tabs>
          <w:tab w:leader="none" w:pos="424"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96" w:lineRule="exact"/>
        <w:rPr>
          <w:rFonts w:ascii="Arial" w:cs="Arial" w:eastAsia="Arial" w:hAnsi="Arial"/>
          <w:sz w:val="19"/>
          <w:szCs w:val="19"/>
          <w:color w:val="auto"/>
        </w:rPr>
      </w:pPr>
    </w:p>
    <w:p>
      <w:pPr>
        <w:ind w:right="120" w:firstLine="4"/>
        <w:spacing w:after="0" w:line="246" w:lineRule="auto"/>
        <w:tabs>
          <w:tab w:leader="none" w:pos="424"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83" w:lineRule="exact"/>
        <w:rPr>
          <w:rFonts w:ascii="Arial" w:cs="Arial" w:eastAsia="Arial" w:hAnsi="Arial"/>
          <w:sz w:val="19"/>
          <w:szCs w:val="19"/>
          <w:color w:val="auto"/>
        </w:rPr>
      </w:pPr>
    </w:p>
    <w:p>
      <w:pPr>
        <w:ind w:right="140" w:firstLine="4"/>
        <w:spacing w:after="0"/>
        <w:tabs>
          <w:tab w:leader="none" w:pos="498"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02" w:lineRule="exact"/>
        <w:rPr>
          <w:sz w:val="20"/>
          <w:szCs w:val="20"/>
          <w:color w:val="auto"/>
        </w:rPr>
      </w:pPr>
    </w:p>
    <w:p>
      <w:pPr>
        <w:ind w:firstLine="731"/>
        <w:spacing w:after="0" w:line="23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01" w:lineRule="exact"/>
        <w:rPr>
          <w:sz w:val="20"/>
          <w:szCs w:val="20"/>
          <w:color w:val="auto"/>
        </w:rPr>
      </w:pPr>
    </w:p>
    <w:p>
      <w:pPr>
        <w:jc w:val="both"/>
        <w:ind w:right="160" w:firstLine="636"/>
        <w:spacing w:after="0" w:line="246" w:lineRule="auto"/>
        <w:rPr>
          <w:sz w:val="20"/>
          <w:szCs w:val="20"/>
          <w:color w:val="auto"/>
        </w:rPr>
      </w:pPr>
      <w:r>
        <w:rPr>
          <w:rFonts w:ascii="Arial" w:cs="Arial" w:eastAsia="Arial" w:hAnsi="Arial"/>
          <w:sz w:val="19"/>
          <w:szCs w:val="19"/>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Limited Power of Attorney shall be governed by and construed in accordance with the laws of the State of Delaware.</w:t>
      </w:r>
    </w:p>
    <w:p>
      <w:pPr>
        <w:spacing w:after="0" w:line="133" w:lineRule="exact"/>
        <w:rPr>
          <w:sz w:val="20"/>
          <w:szCs w:val="20"/>
          <w:color w:val="auto"/>
        </w:rPr>
      </w:pPr>
    </w:p>
    <w:p>
      <w:pPr>
        <w:ind w:right="60" w:firstLine="731"/>
        <w:spacing w:after="0" w:line="246" w:lineRule="auto"/>
        <w:rPr>
          <w:sz w:val="20"/>
          <w:szCs w:val="20"/>
          <w:color w:val="auto"/>
        </w:rPr>
      </w:pPr>
      <w:r>
        <w:rPr>
          <w:rFonts w:ascii="Arial" w:cs="Arial" w:eastAsia="Arial" w:hAnsi="Arial"/>
          <w:sz w:val="19"/>
          <w:szCs w:val="19"/>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921385</wp:posOffset>
            </wp:positionV>
            <wp:extent cx="699262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60"/>
          </w:cols>
          <w:pgMar w:left="460" w:top="1365" w:right="479" w:bottom="1440" w:gutter="0" w:footer="0" w:header="0"/>
        </w:sectPr>
      </w:pPr>
    </w:p>
    <w:bookmarkStart w:id="2" w:name="page3"/>
    <w:bookmarkEnd w:id="2"/>
    <w:p>
      <w:pPr>
        <w:ind w:left="740"/>
        <w:spacing w:after="0"/>
        <w:rPr>
          <w:sz w:val="20"/>
          <w:szCs w:val="20"/>
          <w:color w:val="auto"/>
        </w:rPr>
      </w:pPr>
      <w:r>
        <w:rPr>
          <w:rFonts w:ascii="Arial" w:cs="Arial" w:eastAsia="Arial" w:hAnsi="Arial"/>
          <w:sz w:val="19"/>
          <w:szCs w:val="19"/>
          <w:color w:val="auto"/>
        </w:rPr>
        <w:t>This Limited Power of Attorney may be executed by electronic signature, which shall be deemed an original.</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Date: January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Signature: </w:t>
      </w:r>
      <w:r>
        <w:rPr>
          <w:rFonts w:ascii="Arial" w:cs="Arial" w:eastAsia="Arial" w:hAnsi="Arial"/>
          <w:sz w:val="19"/>
          <w:szCs w:val="19"/>
          <w:u w:val="single" w:color="auto"/>
          <w:color w:val="auto"/>
        </w:rPr>
        <w:t>_/s/ Robert Knowling</w:t>
      </w:r>
      <w:r>
        <w:rPr>
          <w:rFonts w:ascii="Arial" w:cs="Arial" w:eastAsia="Arial" w:hAnsi="Arial"/>
          <w:sz w:val="19"/>
          <w:szCs w:val="19"/>
          <w:color w:val="auto"/>
        </w:rPr>
        <w:t>________________</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Name: _</w:t>
      </w:r>
      <w:r>
        <w:rPr>
          <w:rFonts w:ascii="Arial" w:cs="Arial" w:eastAsia="Arial" w:hAnsi="Arial"/>
          <w:sz w:val="19"/>
          <w:szCs w:val="19"/>
          <w:u w:val="single" w:color="auto"/>
          <w:color w:val="auto"/>
        </w:rPr>
        <w:t>Robert Knowling</w:t>
      </w:r>
      <w:r>
        <w:rPr>
          <w:rFonts w:ascii="Arial" w:cs="Arial" w:eastAsia="Arial" w:hAnsi="Arial"/>
          <w:sz w:val="19"/>
          <w:szCs w:val="19"/>
          <w:color w:val="auto"/>
        </w:rPr>
        <w:t>______________________</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944880</wp:posOffset>
            </wp:positionV>
            <wp:extent cx="699262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9999"/>
      </w:cols>
      <w:pgMar w:left="460" w:top="1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207632"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2026-06-03T18:10:47Z</dcterms:created>
  <dcterms:modified xsi:type="dcterms:W3CDTF">2026-06-03T18:10:47Z</dcterms:modified>
</cp:coreProperties>
</file>