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3"/>
          <w:szCs w:val="43"/>
          <w:b w:val="1"/>
          <w:bCs w:val="1"/>
          <w:color w:val="auto"/>
        </w:rPr>
        <w:t>CECO ENVIRONMENTAL CORP.</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48" w:right="1440"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000-07099</w:t>
      </w:r>
    </w:p>
    <w:p>
      <w:pPr>
        <w:spacing w:after="0" w:line="48" w:lineRule="exact"/>
        <w:rPr>
          <w:sz w:val="24"/>
          <w:szCs w:val="24"/>
          <w:color w:val="auto"/>
        </w:rPr>
      </w:pPr>
    </w:p>
    <w:p>
      <w:pPr>
        <w:sectPr>
          <w:pgSz w:w="11900" w:h="16838" w:orient="portrait"/>
          <w:cols w:equalWidth="0" w:num="2">
            <w:col w:w="8300" w:space="720"/>
            <w:col w:w="1119"/>
          </w:cols>
          <w:pgMar w:left="320" w:top="848" w:right="1440" w:bottom="1440" w:gutter="0" w:footer="0" w:header="0"/>
          <w:type w:val="continuous"/>
        </w:sectPr>
      </w:pPr>
    </w:p>
    <w:p>
      <w:pPr>
        <w:ind w:left="84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11" w:lineRule="exact"/>
        <w:rPr>
          <w:sz w:val="24"/>
          <w:szCs w:val="24"/>
          <w:color w:val="auto"/>
        </w:rPr>
      </w:pPr>
    </w:p>
    <w:p>
      <w:pPr>
        <w:sectPr>
          <w:pgSz w:w="11900" w:h="16838" w:orient="portrait"/>
          <w:cols w:equalWidth="0" w:num="2">
            <w:col w:w="8180" w:space="720"/>
            <w:col w:w="1239"/>
          </w:cols>
          <w:pgMar w:left="320" w:top="848" w:right="1440" w:bottom="1440" w:gutter="0" w:footer="0" w:header="0"/>
          <w:type w:val="continuous"/>
        </w:sectPr>
      </w:pPr>
    </w:p>
    <w:p>
      <w:pPr>
        <w:spacing w:after="0" w:line="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14651 North Dallas Parkway</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Dallas, Texas 75254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 (Zip Code)</w:t>
      </w:r>
    </w:p>
    <w:p>
      <w:pPr>
        <w:sectPr>
          <w:pgSz w:w="11900" w:h="16838" w:orient="portrait"/>
          <w:cols w:equalWidth="0" w:num="1">
            <w:col w:w="10139"/>
          </w:cols>
          <w:pgMar w:left="320" w:top="848" w:right="1440" w:bottom="1440" w:gutter="0" w:footer="0" w:header="0"/>
          <w:type w:val="continuous"/>
        </w:sectPr>
      </w:pPr>
    </w:p>
    <w:p>
      <w:pPr>
        <w:spacing w:after="0" w:line="21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Kiril Kovachev</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Chief Accounting Officer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(214) 357-6181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280" w:hanging="259"/>
        <w:spacing w:after="0"/>
        <w:tabs>
          <w:tab w:leader="none" w:pos="2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13p-1 under the Securities Exchange Act (17 CFR 240.13p-1) for the reporting period from January 1 to December 31, 2023.</w:t>
      </w:r>
    </w:p>
    <w:p>
      <w:pPr>
        <w:spacing w:after="0" w:line="169" w:lineRule="exact"/>
        <w:rPr>
          <w:sz w:val="24"/>
          <w:szCs w:val="24"/>
          <w:color w:val="auto"/>
        </w:rPr>
      </w:pPr>
    </w:p>
    <w:p>
      <w:pPr>
        <w:ind w:left="280" w:hanging="259"/>
        <w:spacing w:after="0"/>
        <w:tabs>
          <w:tab w:leader="none" w:pos="2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December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48" w:right="1440" w:bottom="1440" w:gutter="0" w:footer="0" w:header="0"/>
          <w:type w:val="continuous"/>
        </w:sectPr>
      </w:pPr>
    </w:p>
    <w:bookmarkStart w:id="1" w:name="page2"/>
    <w:bookmarkEnd w:id="1"/>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225" w:lineRule="exact"/>
        <w:rPr>
          <w:sz w:val="20"/>
          <w:szCs w:val="20"/>
          <w:color w:val="auto"/>
        </w:rPr>
      </w:pPr>
    </w:p>
    <w:p>
      <w:pPr>
        <w:jc w:val="both"/>
        <w:ind w:firstLine="749"/>
        <w:spacing w:after="0" w:line="286" w:lineRule="auto"/>
        <w:rPr>
          <w:sz w:val="20"/>
          <w:szCs w:val="20"/>
          <w:color w:val="auto"/>
        </w:rPr>
      </w:pPr>
      <w:r>
        <w:rPr>
          <w:rFonts w:ascii="Times New Roman" w:cs="Times New Roman" w:eastAsia="Times New Roman" w:hAnsi="Times New Roman"/>
          <w:sz w:val="18"/>
          <w:szCs w:val="18"/>
          <w:color w:val="auto"/>
        </w:rPr>
        <w:t>CECO Environmental Corp. (including its consolidated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 filing this Form SD pursuant to Rule 13p-1 under the Securities Exchange Act of 1934 for the reporting period from January 1, 2023 to December 31, 2023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w:t>
      </w:r>
      <w:r>
        <w:rPr>
          <w:rFonts w:ascii="Times New Roman" w:cs="Times New Roman" w:eastAsia="Times New Roman" w:hAnsi="Times New Roman"/>
          <w:sz w:val="18"/>
          <w:szCs w:val="18"/>
          <w:b w:val="1"/>
          <w:bCs w:val="1"/>
          <w:color w:val="auto"/>
        </w:rPr>
        <w:t>conflict minerals</w:t>
      </w:r>
      <w:r>
        <w:rPr>
          <w:rFonts w:ascii="Times New Roman" w:cs="Times New Roman" w:eastAsia="Times New Roman" w:hAnsi="Times New Roman"/>
          <w:sz w:val="18"/>
          <w:szCs w:val="18"/>
          <w:color w:val="auto"/>
        </w:rPr>
        <w:t>” (as defined below) are necessary to the functionality or production of such products. Form SD defines “conflict minerals” as: (i)(a) columbite-tantalite (or coltan, the metal ore from which tantalum is extracted), (b) cassiterite (the metal ore from which tin is extracted),</w:t>
      </w:r>
    </w:p>
    <w:p>
      <w:pPr>
        <w:spacing w:after="0" w:line="1" w:lineRule="exact"/>
        <w:rPr>
          <w:sz w:val="20"/>
          <w:szCs w:val="20"/>
          <w:color w:val="auto"/>
        </w:rPr>
      </w:pPr>
    </w:p>
    <w:p>
      <w:pPr>
        <w:jc w:val="both"/>
        <w:ind w:firstLine="8"/>
        <w:spacing w:after="0" w:line="255" w:lineRule="auto"/>
        <w:tabs>
          <w:tab w:leader="none" w:pos="2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color w:val="auto"/>
        </w:rPr>
        <w:t>Covered Countries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Company’s operations may at times manufacture, or contract to manufacture, products for which conflict minerals are necessary to the functionality or production of those products (collectively, the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As required by Form SD, the Company has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its products during the Reporting Period, which the Company refers to as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its additional due diligence regarding the sources of such Subject Minerals, are contained in the Company’s Conflict Minerals Report, a copy of which is filed as Exhibit 1.01 to this Form SD, and is publicly available at https://investors.cecoenviro.com/sec-filings. The content on, or accessible through, any website referred to in this Form SD is not incorporated by reference into this Form SD unless expressly noted.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Conflict Minerals Report required by Item 1.01 is filed as Exhibit 1.01 to this Form SD.</w:t>
      </w:r>
    </w:p>
    <w:p>
      <w:pPr>
        <w:spacing w:after="0" w:line="2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Section 2.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 is filed as part of this Form SD.</w:t>
      </w:r>
    </w:p>
    <w:p>
      <w:pPr>
        <w:spacing w:after="0" w:line="200" w:lineRule="exact"/>
        <w:rPr>
          <w:sz w:val="20"/>
          <w:szCs w:val="20"/>
          <w:color w:val="auto"/>
        </w:rPr>
      </w:pPr>
    </w:p>
    <w:p>
      <w:pPr>
        <w:spacing w:after="0" w:line="21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5715</wp:posOffset>
            </wp:positionV>
            <wp:extent cx="70123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160" w:lineRule="exact"/>
        <w:rPr>
          <w:sz w:val="20"/>
          <w:szCs w:val="20"/>
          <w:color w:val="auto"/>
        </w:rPr>
      </w:pPr>
    </w:p>
    <w:p>
      <w:pPr>
        <w:ind w:left="400"/>
        <w:spacing w:after="0"/>
        <w:tabs>
          <w:tab w:leader="none" w:pos="162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FF"/>
        </w:rPr>
        <w:t>Conflict Minerals Report of 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0"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  /s/ Kiril Kovachev</w:t>
            </w:r>
          </w:p>
        </w:tc>
        <w:tc>
          <w:tcPr>
            <w:tcW w:w="1880" w:type="dxa"/>
            <w:vAlign w:val="bottom"/>
          </w:tcPr>
          <w:p>
            <w:pPr>
              <w:spacing w:after="0"/>
              <w:rPr>
                <w:sz w:val="20"/>
                <w:szCs w:val="20"/>
                <w:color w:val="auto"/>
              </w:rPr>
            </w:pPr>
          </w:p>
        </w:tc>
        <w:tc>
          <w:tcPr>
            <w:tcW w:w="4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30, 2024</w:t>
            </w:r>
          </w:p>
        </w:tc>
        <w:tc>
          <w:tcPr>
            <w:tcW w:w="20" w:type="dxa"/>
            <w:vAlign w:val="bottom"/>
          </w:tcPr>
          <w:p>
            <w:pPr>
              <w:spacing w:after="0"/>
              <w:rPr>
                <w:sz w:val="20"/>
                <w:szCs w:val="20"/>
                <w:color w:val="auto"/>
              </w:rPr>
            </w:pPr>
          </w:p>
        </w:tc>
      </w:tr>
      <w:tr>
        <w:trPr>
          <w:trHeight w:val="245"/>
        </w:trPr>
        <w:tc>
          <w:tcPr>
            <w:tcW w:w="480" w:type="dxa"/>
            <w:vAlign w:val="bottom"/>
          </w:tcPr>
          <w:p>
            <w:pPr>
              <w:spacing w:after="0"/>
              <w:rPr>
                <w:sz w:val="21"/>
                <w:szCs w:val="21"/>
                <w:color w:val="auto"/>
              </w:rPr>
            </w:pPr>
          </w:p>
        </w:tc>
        <w:tc>
          <w:tcPr>
            <w:tcW w:w="4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Kiril Kovachev</w:t>
            </w:r>
          </w:p>
        </w:tc>
        <w:tc>
          <w:tcPr>
            <w:tcW w:w="1880" w:type="dxa"/>
            <w:vAlign w:val="bottom"/>
          </w:tcPr>
          <w:p>
            <w:pPr>
              <w:spacing w:after="0"/>
              <w:rPr>
                <w:sz w:val="21"/>
                <w:szCs w:val="21"/>
                <w:color w:val="auto"/>
              </w:rPr>
            </w:pPr>
          </w:p>
        </w:tc>
        <w:tc>
          <w:tcPr>
            <w:tcW w:w="4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(Date)</w:t>
            </w:r>
          </w:p>
        </w:tc>
        <w:tc>
          <w:tcPr>
            <w:tcW w:w="20" w:type="dxa"/>
            <w:vAlign w:val="bottom"/>
          </w:tcPr>
          <w:p>
            <w:pPr>
              <w:spacing w:after="0"/>
              <w:rPr>
                <w:sz w:val="21"/>
                <w:szCs w:val="21"/>
                <w:color w:val="auto"/>
              </w:rPr>
            </w:pPr>
          </w:p>
        </w:tc>
      </w:tr>
      <w:tr>
        <w:trPr>
          <w:trHeight w:val="234"/>
        </w:trPr>
        <w:tc>
          <w:tcPr>
            <w:tcW w:w="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w:t>
            </w:r>
          </w:p>
        </w:tc>
        <w:tc>
          <w:tcPr>
            <w:tcW w:w="18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640"/>
        </w:trPr>
        <w:tc>
          <w:tcPr>
            <w:tcW w:w="4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2023 to December 31, 2023</w:t>
      </w:r>
    </w:p>
    <w:p>
      <w:pPr>
        <w:spacing w:after="0" w:line="185" w:lineRule="exact"/>
        <w:rPr>
          <w:sz w:val="20"/>
          <w:szCs w:val="20"/>
          <w:color w:val="auto"/>
        </w:rPr>
      </w:pPr>
    </w:p>
    <w:p>
      <w:pPr>
        <w:ind w:right="40" w:firstLine="749"/>
        <w:spacing w:after="0" w:line="268" w:lineRule="auto"/>
        <w:rPr>
          <w:sz w:val="20"/>
          <w:szCs w:val="20"/>
          <w:color w:val="auto"/>
        </w:rPr>
      </w:pPr>
      <w:r>
        <w:rPr>
          <w:rFonts w:ascii="Times New Roman" w:cs="Times New Roman" w:eastAsia="Times New Roman" w:hAnsi="Times New Roman"/>
          <w:sz w:val="18"/>
          <w:szCs w:val="18"/>
          <w:color w:val="auto"/>
        </w:rPr>
        <w:t>This Conflict Minerals Report (this “</w:t>
      </w:r>
      <w:r>
        <w:rPr>
          <w:rFonts w:ascii="Times New Roman" w:cs="Times New Roman" w:eastAsia="Times New Roman" w:hAnsi="Times New Roman"/>
          <w:sz w:val="18"/>
          <w:szCs w:val="18"/>
          <w:b w:val="1"/>
          <w:bCs w:val="1"/>
          <w:i w:val="1"/>
          <w:iCs w:val="1"/>
          <w:color w:val="auto"/>
        </w:rPr>
        <w:t>Report</w:t>
      </w:r>
      <w:r>
        <w:rPr>
          <w:rFonts w:ascii="Times New Roman" w:cs="Times New Roman" w:eastAsia="Times New Roman" w:hAnsi="Times New Roman"/>
          <w:sz w:val="18"/>
          <w:szCs w:val="18"/>
          <w:color w:val="auto"/>
        </w:rPr>
        <w:t>”) of CECO Environmental Corp. (including its consolidated subsidiaries,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xml:space="preserve"> “) has been prepared pursuant to Rule 13p-1 and Form SD promulgated under the Securities Exchange Act of 1934 for the reporting period from January 1, 2023 to December 31, 2023 (the “</w:t>
      </w:r>
      <w:r>
        <w:rPr>
          <w:rFonts w:ascii="Times New Roman" w:cs="Times New Roman" w:eastAsia="Times New Roman" w:hAnsi="Times New Roman"/>
          <w:sz w:val="18"/>
          <w:szCs w:val="18"/>
          <w:b w:val="1"/>
          <w:bCs w:val="1"/>
          <w:i w:val="1"/>
          <w:iCs w:val="1"/>
          <w:color w:val="auto"/>
        </w:rPr>
        <w:t>Reporting Period</w:t>
      </w:r>
      <w:r>
        <w:rPr>
          <w:rFonts w:ascii="Times New Roman" w:cs="Times New Roman" w:eastAsia="Times New Roman" w:hAnsi="Times New Roman"/>
          <w:sz w:val="18"/>
          <w:szCs w:val="18"/>
          <w:color w:val="auto"/>
        </w:rPr>
        <w:t>”).</w:t>
      </w:r>
    </w:p>
    <w:p>
      <w:pPr>
        <w:spacing w:after="0" w:line="148"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Rule 13p-1, through Form SD, requires the disclosure of certain information if a company manufactures or contracts to manufacture products for which certain “conflict minerals” (as defined later) are necessary to the functionality or production of such products. Form SD defines “</w:t>
      </w:r>
      <w:r>
        <w:rPr>
          <w:rFonts w:ascii="Times New Roman" w:cs="Times New Roman" w:eastAsia="Times New Roman" w:hAnsi="Times New Roman"/>
          <w:sz w:val="18"/>
          <w:szCs w:val="18"/>
          <w:b w:val="1"/>
          <w:bCs w:val="1"/>
          <w:i w:val="1"/>
          <w:iCs w:val="1"/>
          <w:color w:val="auto"/>
        </w:rPr>
        <w:t>conflict minerals</w:t>
      </w:r>
      <w:r>
        <w:rPr>
          <w:rFonts w:ascii="Times New Roman" w:cs="Times New Roman" w:eastAsia="Times New Roman" w:hAnsi="Times New Roman"/>
          <w:sz w:val="18"/>
          <w:szCs w:val="18"/>
          <w:color w:val="auto"/>
        </w:rPr>
        <w:t>” as: (i)(a) columbite-tantalite (or coltan, the metal ore from which tantalum is extracted), (b) cassiterite (the metal ore from which tin is extracted), (c) gold and (d) wolframite (the metal ore from which tungsten is extracted), or their derivatives, which are currently limited to tantalum, tin and tungsten; or (ii) any other mineral or its derivatives determined by the U.S. Secretary of State to be financing conflict in the Democratic Republic of the Congo or an “adjoining country,” as such term is defined in Form SD (collectively, the “</w:t>
      </w:r>
      <w:r>
        <w:rPr>
          <w:rFonts w:ascii="Times New Roman" w:cs="Times New Roman" w:eastAsia="Times New Roman" w:hAnsi="Times New Roman"/>
          <w:sz w:val="18"/>
          <w:szCs w:val="18"/>
          <w:b w:val="1"/>
          <w:bCs w:val="1"/>
          <w:i w:val="1"/>
          <w:iCs w:val="1"/>
          <w:color w:val="auto"/>
        </w:rPr>
        <w:t>Covered Countries</w:t>
      </w:r>
      <w:r>
        <w:rPr>
          <w:rFonts w:ascii="Times New Roman" w:cs="Times New Roman" w:eastAsia="Times New Roman" w:hAnsi="Times New Roman"/>
          <w:sz w:val="18"/>
          <w:szCs w:val="18"/>
          <w:color w:val="auto"/>
        </w:rPr>
        <w:t>”).</w:t>
      </w:r>
    </w:p>
    <w:p>
      <w:pPr>
        <w:spacing w:after="0" w:line="145"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i w:val="1"/>
          <w:iCs w:val="1"/>
          <w:color w:val="auto"/>
        </w:rPr>
        <w:t>Forward-looking statements contained in this Report are made based on known events and circumstances at the time of release, and as such, are subject in the future to unforeseen uncertainties and risks. Statements in this Report which express a belief, expectation or intention, as well as those that are not historical fact, are forward-looking statements, including statements related to the Company’s compliance efforts and expected actions identified in this Report. These forward-looking statements are subject to various risks, uncertainties and assumptions, including, among other matters, the Company’s customers’ requirements to use certain suppliers, the Company’s suppliers’ responsiveness and cooperation with the Company’s due diligence efforts, the Company’s ability to implement improvements in its conflict minerals program and the Company’s ability to identify and mitigate related risks in its supply chain. If one or more of these or other risks materialize, actual results may materially vary from those expressed. For a more complete discussion of these and other risk factors, see the Company’s other filings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i w:val="1"/>
          <w:iCs w:val="1"/>
          <w:color w:val="auto"/>
        </w:rPr>
        <w:t>”), including its Annual Report on Form 10-K for the year ended December 31, 2023 and subsequent Quarterly Reports on Form 10-Q. The Company makes these statements as of the date of this disclosure and undertakes no obligation to update them unless otherwise required by law.</w:t>
      </w:r>
    </w:p>
    <w:p>
      <w:pPr>
        <w:spacing w:after="0" w:line="147"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The Company’s operations may at times manufacture, or contract to manufacture, products for which conflict minerals are necessary to the functionality or production of those products (collectively, the “</w:t>
      </w:r>
      <w:r>
        <w:rPr>
          <w:rFonts w:ascii="Times New Roman" w:cs="Times New Roman" w:eastAsia="Times New Roman" w:hAnsi="Times New Roman"/>
          <w:sz w:val="18"/>
          <w:szCs w:val="18"/>
          <w:b w:val="1"/>
          <w:bCs w:val="1"/>
          <w:i w:val="1"/>
          <w:iCs w:val="1"/>
          <w:color w:val="auto"/>
        </w:rPr>
        <w:t>products</w:t>
      </w:r>
      <w:r>
        <w:rPr>
          <w:rFonts w:ascii="Times New Roman" w:cs="Times New Roman" w:eastAsia="Times New Roman" w:hAnsi="Times New Roman"/>
          <w:sz w:val="18"/>
          <w:szCs w:val="18"/>
          <w:color w:val="auto"/>
        </w:rPr>
        <w:t>”). As required by Form SD, the Company has conducted a good faith reasonable country of origin inquiry (“</w:t>
      </w:r>
      <w:r>
        <w:rPr>
          <w:rFonts w:ascii="Times New Roman" w:cs="Times New Roman" w:eastAsia="Times New Roman" w:hAnsi="Times New Roman"/>
          <w:sz w:val="18"/>
          <w:szCs w:val="18"/>
          <w:b w:val="1"/>
          <w:bCs w:val="1"/>
          <w:i w:val="1"/>
          <w:iCs w:val="1"/>
          <w:color w:val="auto"/>
        </w:rPr>
        <w:t>RCOI</w:t>
      </w:r>
      <w:r>
        <w:rPr>
          <w:rFonts w:ascii="Times New Roman" w:cs="Times New Roman" w:eastAsia="Times New Roman" w:hAnsi="Times New Roman"/>
          <w:sz w:val="18"/>
          <w:szCs w:val="18"/>
          <w:color w:val="auto"/>
        </w:rPr>
        <w:t>”) regarding the conflict minerals included in the products during the Reporting Period, which the Company refers to as the “</w:t>
      </w:r>
      <w:r>
        <w:rPr>
          <w:rFonts w:ascii="Times New Roman" w:cs="Times New Roman" w:eastAsia="Times New Roman" w:hAnsi="Times New Roman"/>
          <w:sz w:val="18"/>
          <w:szCs w:val="18"/>
          <w:b w:val="1"/>
          <w:bCs w:val="1"/>
          <w:i w:val="1"/>
          <w:iCs w:val="1"/>
          <w:color w:val="auto"/>
        </w:rPr>
        <w:t>Subject Minerals</w:t>
      </w:r>
      <w:r>
        <w:rPr>
          <w:rFonts w:ascii="Times New Roman" w:cs="Times New Roman" w:eastAsia="Times New Roman" w:hAnsi="Times New Roman"/>
          <w:sz w:val="18"/>
          <w:szCs w:val="18"/>
          <w:color w:val="auto"/>
        </w:rPr>
        <w:t>,” to determine whether any such Subject Minerals originated in the Covered Countries and/or whether any of the Subject Minerals were from recycled or scrap sources. Where applicable, the Company has conducted additional due diligence regarding the sources of the Subject Minerals. The results of the Company’s RCOI regarding the Subject Minerals, as well as the Company’s additional due diligence regarding the sources of such Subject Minerals, are contained in this Report, which is publicly available at https://investors.cecoenviro.com/sec-filings. The content on, or accessible through, any website referred to in this Report is not incorporated by reference into this Report unless expressly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995045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line="190"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RCOI and Due Diligence Process.</w:t>
      </w:r>
    </w:p>
    <w:p>
      <w:pPr>
        <w:spacing w:after="0" w:line="229" w:lineRule="exact"/>
        <w:rPr>
          <w:sz w:val="20"/>
          <w:szCs w:val="20"/>
          <w:color w:val="auto"/>
        </w:rPr>
      </w:pPr>
    </w:p>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The Company has conducted a good faith RCOI regarding the Subject Minerals. This good faith RCOI was reasonably designed to determine whether any of the Subject Minerals originated in the Covered Countries and whether any of the Subject Minerals may be from recycled or scrap sources, in accordance with Form SD and related guidance provided by the SEC. The Company also exercised due diligence on the source and chain of custody of the Subject Minerals. The Company’s due diligence measures have been designed to conform to the framework in the Organization for Economic Co-operation and Development Due Diligence Guidance for Responsible Supply Chain of Minerals from Conflict-Affected and High Risk Areas: Third Edition, including the related supplements on gold, tin, tantalum and tungsten (the “</w:t>
      </w:r>
      <w:r>
        <w:rPr>
          <w:rFonts w:ascii="Times New Roman" w:cs="Times New Roman" w:eastAsia="Times New Roman" w:hAnsi="Times New Roman"/>
          <w:sz w:val="18"/>
          <w:szCs w:val="18"/>
          <w:b w:val="1"/>
          <w:bCs w:val="1"/>
          <w:i w:val="1"/>
          <w:iCs w:val="1"/>
          <w:color w:val="auto"/>
        </w:rPr>
        <w:t>OECD Guidelines</w:t>
      </w:r>
      <w:r>
        <w:rPr>
          <w:rFonts w:ascii="Times New Roman" w:cs="Times New Roman" w:eastAsia="Times New Roman" w:hAnsi="Times New Roman"/>
          <w:sz w:val="18"/>
          <w:szCs w:val="18"/>
          <w:color w:val="auto"/>
        </w:rPr>
        <w: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RCOI</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Company’s global supply chain is complex. In the course of its business operations, the Company may purchase materials and components containing conflict minerals. These materials and components may, in turn, be included in the Company’s products. Because the Company does not purchase conflict minerals directly from mines, smelters or refiners, there are many third parties in the supply chain between the Company and the original sources of conflict minerals. As a result, the Company relies on its direct suppliers to provide information regarding the origin of any conflict minerals that are included in its products. In accordance with the OECD Guidelines and related guidance provided by the SEC, the Company worked with its direct suppliers to identify, where possible, the smelters and/or refiners and countries of origin of the Subject Minerals.</w:t>
      </w:r>
    </w:p>
    <w:p>
      <w:pPr>
        <w:spacing w:after="0" w:line="160" w:lineRule="exact"/>
        <w:rPr>
          <w:sz w:val="20"/>
          <w:szCs w:val="20"/>
          <w:color w:val="auto"/>
        </w:rPr>
      </w:pPr>
    </w:p>
    <w:p>
      <w:pPr>
        <w:ind w:right="300" w:firstLine="749"/>
        <w:spacing w:after="0" w:line="256" w:lineRule="auto"/>
        <w:rPr>
          <w:sz w:val="20"/>
          <w:szCs w:val="20"/>
          <w:color w:val="auto"/>
        </w:rPr>
      </w:pPr>
      <w:r>
        <w:rPr>
          <w:rFonts w:ascii="Times New Roman" w:cs="Times New Roman" w:eastAsia="Times New Roman" w:hAnsi="Times New Roman"/>
          <w:sz w:val="18"/>
          <w:szCs w:val="18"/>
          <w:color w:val="auto"/>
        </w:rPr>
        <w:t>The Company worked to identify direct suppliers that it believed potentially provided materials or components containing Subject Minerals (collectively, the “</w:t>
      </w:r>
      <w:r>
        <w:rPr>
          <w:rFonts w:ascii="Times New Roman" w:cs="Times New Roman" w:eastAsia="Times New Roman" w:hAnsi="Times New Roman"/>
          <w:sz w:val="18"/>
          <w:szCs w:val="18"/>
          <w:b w:val="1"/>
          <w:bCs w:val="1"/>
          <w:i w:val="1"/>
          <w:iCs w:val="1"/>
          <w:color w:val="auto"/>
        </w:rPr>
        <w:t>Covered Suppliers</w:t>
      </w:r>
      <w:r>
        <w:rPr>
          <w:rFonts w:ascii="Times New Roman" w:cs="Times New Roman" w:eastAsia="Times New Roman" w:hAnsi="Times New Roman"/>
          <w:sz w:val="18"/>
          <w:szCs w:val="18"/>
          <w:color w:val="auto"/>
        </w:rPr>
        <w:t>”) during the Reporting Period. The Company then included additional questions regarding conflict minerals in its Supplier Questionnaire on Conflict Minerals, which the Company refers to as the “</w:t>
      </w:r>
      <w:r>
        <w:rPr>
          <w:rFonts w:ascii="Times New Roman" w:cs="Times New Roman" w:eastAsia="Times New Roman" w:hAnsi="Times New Roman"/>
          <w:sz w:val="18"/>
          <w:szCs w:val="18"/>
          <w:b w:val="1"/>
          <w:bCs w:val="1"/>
          <w:i w:val="1"/>
          <w:iCs w:val="1"/>
          <w:color w:val="auto"/>
        </w:rPr>
        <w:t>Supplier Questionnaire</w:t>
      </w:r>
      <w:r>
        <w:rPr>
          <w:rFonts w:ascii="Times New Roman" w:cs="Times New Roman" w:eastAsia="Times New Roman" w:hAnsi="Times New Roman"/>
          <w:sz w:val="18"/>
          <w:szCs w:val="18"/>
          <w:color w:val="auto"/>
        </w:rPr>
        <w:t>,” to determine whether each such Covered Supplier was supplying materials or components to the Company that contained Subject Minerals and, if so, to determine the source of such Subject Minerals. The Company’s Supplier Questionnaire requires suppliers, including potential suppliers, to, among other matters, confirm the source of any conflict minerals contained in materials or components supplied to the Company during the Reporting Period.</w:t>
      </w:r>
    </w:p>
    <w:p>
      <w:pPr>
        <w:spacing w:after="0" w:line="14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Company operates as a leading global provider of engineered technologies focused on critical solutions in the engineered systems and industrial process solutions segments. The Company, with respect to the Reporting Period, reasonably determined that both of its segments’ product groups contained Subject Minerals.</w:t>
      </w:r>
    </w:p>
    <w:p>
      <w:pPr>
        <w:spacing w:after="0" w:line="135" w:lineRule="exact"/>
        <w:rPr>
          <w:sz w:val="20"/>
          <w:szCs w:val="20"/>
          <w:color w:val="auto"/>
        </w:rPr>
      </w:pPr>
    </w:p>
    <w:p>
      <w:pPr>
        <w:ind w:right="180" w:firstLine="749"/>
        <w:spacing w:after="0" w:line="254" w:lineRule="auto"/>
        <w:rPr>
          <w:sz w:val="20"/>
          <w:szCs w:val="20"/>
          <w:color w:val="auto"/>
        </w:rPr>
      </w:pPr>
      <w:r>
        <w:rPr>
          <w:rFonts w:ascii="Times New Roman" w:cs="Times New Roman" w:eastAsia="Times New Roman" w:hAnsi="Times New Roman"/>
          <w:sz w:val="18"/>
          <w:szCs w:val="18"/>
          <w:color w:val="auto"/>
        </w:rPr>
        <w:t>Given the size and complexity of the Company’s global supply chain, the Company focused on its largest Covered Suppliers, ranked by the amount the Company spends with each such Covered Supplier, and Covered Suppliers that had the highest probability of supplying the Company with materials or components containing Subject Minerals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electronics). An escalation process was initiated with Covered Suppliers who continued to be non-responsive after the above contacts were made, or whose initial (or subsequent) response was not complete or otherwise warranted clarification or confirmation. Using a risk-based approach, the Company evaluated responses from the Covered Suppliers for plausibility, consistency and gaps both in terms of which materials or components were stated to contain or not contain Subject Minerals, as well as the origin of those Subject Minerals. The Company engaged certain Covered Suppliers, holding discussions and reviewing the results of their internal due diligence efforts, to ensure that the Company’s inquiries regarding conflict minerals were understood and complied with.</w:t>
      </w:r>
    </w:p>
    <w:p>
      <w:pPr>
        <w:spacing w:after="0" w:line="165" w:lineRule="exact"/>
        <w:rPr>
          <w:sz w:val="20"/>
          <w:szCs w:val="20"/>
          <w:color w:val="auto"/>
        </w:rPr>
      </w:pPr>
    </w:p>
    <w:p>
      <w:pPr>
        <w:ind w:right="200" w:firstLine="749"/>
        <w:spacing w:after="0" w:line="266" w:lineRule="auto"/>
        <w:rPr>
          <w:sz w:val="20"/>
          <w:szCs w:val="20"/>
          <w:color w:val="auto"/>
        </w:rPr>
      </w:pPr>
      <w:r>
        <w:rPr>
          <w:rFonts w:ascii="Times New Roman" w:cs="Times New Roman" w:eastAsia="Times New Roman" w:hAnsi="Times New Roman"/>
          <w:sz w:val="18"/>
          <w:szCs w:val="18"/>
          <w:color w:val="auto"/>
        </w:rPr>
        <w:t>In general, the Company obtained completed Supplier Questionnaires or similar representations from Covered Suppliers. Such representations included, from certain Covered Suppliers, the Responsible Minerals Initiative (“RMI”) Conflict Minerals Reporting Template, indicating the facility at which the Subject Minerals were processed.</w:t>
      </w:r>
    </w:p>
    <w:p>
      <w:pPr>
        <w:spacing w:after="0" w:line="135"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18"/>
          <w:szCs w:val="18"/>
          <w:color w:val="auto"/>
        </w:rPr>
        <w:t>Of the Covered Suppliers that completed Supplier Questionnaires or provided similar representations, a substantial majority reported that the Subject Minerals are not necessary to the functionality or production of their products supplied to the Company. In addition, of the Covered Suppliers that completed Supplier Questionnaires or provided similar representations, a minimal amount reported that the Subject Minerals are necessary to the functionality or production of their products supplied to the Company. Although the Company received completed Supplier Questionnaires or similar representations from Covered Suppliers that listed smelter or refiner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spacing w:after="0" w:line="255" w:lineRule="auto"/>
        <w:rPr>
          <w:sz w:val="20"/>
          <w:szCs w:val="20"/>
          <w:color w:val="auto"/>
        </w:rPr>
      </w:pPr>
      <w:r>
        <w:rPr>
          <w:rFonts w:ascii="Times New Roman" w:cs="Times New Roman" w:eastAsia="Times New Roman" w:hAnsi="Times New Roman"/>
          <w:sz w:val="18"/>
          <w:szCs w:val="18"/>
          <w:color w:val="auto"/>
        </w:rPr>
        <w:t>and/or countries of origin for the Subject Minerals, such Covered Suppliers were unable to accurately report which specific smelters or refiners and/or countries of origin were part of the supply chain for the Subject Minerals. For example, the majority of Covered Suppliers reported their sourcing results on a company-wide basis, rather than on a product-specific basis, or were unable to determine the smelter or refiner and/or countries of origin for the Subject Minerals. A Covered Supplier’s failure to identify a specific smelter or refiner and/or country of origin at any point in its supply chain will drive an equivalent response for the Company and, therefore, the Company is unable to report any known smelters or refiners or countries of origin for the Subject Minerals at this time. The Company’s RCOI procedures are an evolving process. See “</w:t>
      </w:r>
      <w:r>
        <w:rPr>
          <w:rFonts w:ascii="Times New Roman" w:cs="Times New Roman" w:eastAsia="Times New Roman" w:hAnsi="Times New Roman"/>
          <w:sz w:val="18"/>
          <w:szCs w:val="18"/>
          <w:i w:val="1"/>
          <w:iCs w:val="1"/>
          <w:color w:val="auto"/>
        </w:rPr>
        <w:t>Additional Due Diligence and Risk Mitigation</w:t>
      </w:r>
      <w:r>
        <w:rPr>
          <w:rFonts w:ascii="Times New Roman" w:cs="Times New Roman" w:eastAsia="Times New Roman" w:hAnsi="Times New Roman"/>
          <w:sz w:val="18"/>
          <w:szCs w:val="18"/>
          <w:color w:val="auto"/>
        </w:rPr>
        <w:t>” below for additional detail.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due diligence process is based on the OECD Guidelines. Due diligence measures undertaken by the Company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Period included the following: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Establish Strong Company Management Systems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Team to Support Supply Chain Due Diligence.</w:t>
      </w:r>
    </w:p>
    <w:p>
      <w:pPr>
        <w:spacing w:after="0" w:line="227"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Company has established an internal team to manage conflict minerals engagement with its suppliers. During the Reporting Period, the Company held meetings with legal advisors, the Company’s executive management, and with senior members of the Company’s supply chain management department and environmental/health/safety department to educate the Company’s procurement and compliance personnel on the SEC’s rules regarding conflict minerals and to ensure the timely implementation of the Company’s conflict minerals programs. This center-led team of subject matter experts is responsible for working with the Company’s employees to provide training and guidance, implement reporting systems and facilitate communication between departments with respect to compliance with the SEC’s reporting requirements regarding conflict minerals.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Measures Taken to Strengthen Engagement with Suppliers.</w:t>
      </w:r>
    </w:p>
    <w:p>
      <w:pPr>
        <w:spacing w:after="0" w:line="227"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Company’s conflict minerals reporting compliance measures are managed at the division level where the supplier relationship exists. Each division is responsible for managing the conflict minerals, if any, provided by its supply base and for identifying, where possible, the supplier of such conflict minerals in the Company’s materials or components. Using the Supplier Questionnaire, the Company engages suppliers of conflict minerals, communicates its reporting obligations with respect to conflict minerals and follows up with such suppliers to ensure ongoing compliance.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Adoption of Conflict Minerals Policy.</w:t>
      </w:r>
    </w:p>
    <w:p>
      <w:pPr>
        <w:spacing w:after="0" w:line="227" w:lineRule="exact"/>
        <w:rPr>
          <w:sz w:val="20"/>
          <w:szCs w:val="20"/>
          <w:color w:val="auto"/>
        </w:rPr>
      </w:pPr>
    </w:p>
    <w:p>
      <w:pPr>
        <w:ind w:right="300" w:firstLine="749"/>
        <w:spacing w:after="0" w:line="289" w:lineRule="auto"/>
        <w:rPr>
          <w:sz w:val="20"/>
          <w:szCs w:val="20"/>
          <w:color w:val="auto"/>
        </w:rPr>
      </w:pPr>
      <w:r>
        <w:rPr>
          <w:rFonts w:ascii="Times New Roman" w:cs="Times New Roman" w:eastAsia="Times New Roman" w:hAnsi="Times New Roman"/>
          <w:sz w:val="17"/>
          <w:szCs w:val="17"/>
          <w:color w:val="auto"/>
        </w:rPr>
        <w:t>Within the Company’s supplier relationships, the Company seeks to ethically manage its sourcing processes and hold the Company and its suppliers to high standards of behavior. This means that the Company is committed to working with its suppliers to encourage responsible practices throughout the supply network. The Company’s conflict minerals policy is publicly available at https://investors.cecoenviro.com/corporate-governance.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Identify and Assess Risks in the Supply Chain</w:t>
      </w:r>
    </w:p>
    <w:p>
      <w:pPr>
        <w:spacing w:after="0" w:line="229" w:lineRule="exact"/>
        <w:rPr>
          <w:sz w:val="20"/>
          <w:szCs w:val="20"/>
          <w:color w:val="auto"/>
        </w:rPr>
      </w:pPr>
    </w:p>
    <w:p>
      <w:pPr>
        <w:ind w:right="500" w:firstLine="749"/>
        <w:spacing w:after="0" w:line="282" w:lineRule="auto"/>
        <w:rPr>
          <w:sz w:val="20"/>
          <w:szCs w:val="20"/>
          <w:color w:val="auto"/>
        </w:rPr>
      </w:pPr>
      <w:r>
        <w:rPr>
          <w:rFonts w:ascii="Times New Roman" w:cs="Times New Roman" w:eastAsia="Times New Roman" w:hAnsi="Times New Roman"/>
          <w:sz w:val="18"/>
          <w:szCs w:val="18"/>
          <w:color w:val="auto"/>
        </w:rPr>
        <w:t>As discussed above, the Company continues to assess its supply chain risks and work with its suppliers in developing greater supply chain transparency. This includes surveying various procurement and supply chain personnel for Conflict Mineral policy compliance.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and Implement a Strategy to Respond to Identified Risks</w:t>
      </w:r>
    </w:p>
    <w:p>
      <w:pPr>
        <w:spacing w:after="0" w:line="22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is committed to maintaining high standards of corporate responsibility through its compliance with Form SD. As required by Form SD, the Company is reporting the findings of its RCOI and additional due diligence measures through the preparation of this Report. The Company’s internal team that manages conflict minerals engagement with the Company’s suppliers also works to address any significant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976630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color w:val="auto"/>
        </w:rPr>
        <w:t>diligence findings as they arise. For example, as noted above, the Company conducted additional due diligence for certain Covered Suppliers who provided inadequate or incomplete initial responses to the Company’s RCOI. The Company uses its Supplier Questionnaires to monitor the use of conflict minerals in its supply chain. Data from the Supplier Questionnaires is used at the corporate, group and division levels to oversee the Company’s supplier base. In addition, the questionnaires provide key metrics to decision makers to assist with the Company’s conflict minerals reporting compliance and provide meaningful comparisons regarding supply chain transparency across the Company.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Carry Out Independent Third-Party Audit of Smelter’s / Refiner’s Due Diligence Practices</w:t>
      </w:r>
    </w:p>
    <w:p>
      <w:pPr>
        <w:spacing w:after="0" w:line="229"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Where possible, the Company has relied on third-party assurances and certifications. For example, the Company accepts as reliable any smelter that is compliant with the RMI Responsible Mineral Assurance Process standards. To the extent that other audited supplier certifications are provided to the Company, the Company may consider reliance on a case-by-case basis.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 Annually on Supply Chain Due Diligence</w:t>
      </w:r>
    </w:p>
    <w:p>
      <w:pPr>
        <w:spacing w:after="0" w:line="229" w:lineRule="exact"/>
        <w:rPr>
          <w:sz w:val="20"/>
          <w:szCs w:val="20"/>
          <w:color w:val="auto"/>
        </w:rPr>
      </w:pPr>
    </w:p>
    <w:p>
      <w:pPr>
        <w:ind w:right="1000" w:firstLine="749"/>
        <w:spacing w:after="0" w:line="282" w:lineRule="auto"/>
        <w:rPr>
          <w:sz w:val="20"/>
          <w:szCs w:val="20"/>
          <w:color w:val="auto"/>
        </w:rPr>
      </w:pPr>
      <w:r>
        <w:rPr>
          <w:rFonts w:ascii="Times New Roman" w:cs="Times New Roman" w:eastAsia="Times New Roman" w:hAnsi="Times New Roman"/>
          <w:sz w:val="18"/>
          <w:szCs w:val="18"/>
          <w:color w:val="auto"/>
        </w:rPr>
        <w:t>The Form SD and this Report are publicly available at https://investors.cecoenviro.com/sec-filings and meet the OECD Guidelines’ recommendation to report annually on supply chain due diligence.</w:t>
      </w:r>
    </w:p>
    <w:p>
      <w:pPr>
        <w:spacing w:after="0" w:line="158" w:lineRule="exact"/>
        <w:rPr>
          <w:sz w:val="20"/>
          <w:szCs w:val="20"/>
          <w:color w:val="auto"/>
        </w:rPr>
      </w:pPr>
    </w:p>
    <w:p>
      <w:pPr>
        <w:ind w:left="960" w:hanging="443"/>
        <w:spacing w:after="0"/>
        <w:tabs>
          <w:tab w:leader="none" w:pos="9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Due Diligence Results.</w:t>
      </w:r>
    </w:p>
    <w:p>
      <w:pPr>
        <w:spacing w:after="0" w:line="229"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Based on the information obtained pursuant to the Supplier Questionnaires, RCOI and due diligence process described above, the Company does not have sufficient information, with respect to the Reporting Period, to determine the known facility/smelter or country of origin of any of the Subject Minerals. The Company expects to continue to implement and refine its conflict minerals program to improve its supply chain transparency by obtaining more accurate and more complete information from its suppliers. See “Additional Due Diligence and Risk Mitigation” below for additional detail.</w:t>
      </w:r>
    </w:p>
    <w:p>
      <w:pPr>
        <w:spacing w:after="0" w:line="176" w:lineRule="exact"/>
        <w:rPr>
          <w:sz w:val="20"/>
          <w:szCs w:val="20"/>
          <w:color w:val="auto"/>
        </w:rPr>
      </w:pPr>
    </w:p>
    <w:p>
      <w:pPr>
        <w:ind w:left="920" w:hanging="403"/>
        <w:spacing w:after="0"/>
        <w:tabs>
          <w:tab w:leader="none" w:pos="9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Additional Due Diligence and Risk Mitigation.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expects to take the following steps, among others, to improve its RCOI process and due diligence measures: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Terms and Conditions / Supplier Code of Conduct</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The Company is continuing to strengthen its commitment to the responsible sourcing of conflict minerals through the use of specific terms and conditions in certain supply agreements and purchase orders. When engaging certain suppliers who may supply the Company with materials or components containing conflict minerals, the Company may in the future include terms and conditions in certain supply agreements and purchase orders that require, among other matters, that no materials or components supplied under such contract may contain any conflict minerals that directly or indirectly finance any armed group that has been identified as a perpetrator of human rights abuses. The Company has established a supplier code of conduct to prohibit suppliers from supplying the Company with certain conflict minerals originating in the Covered Countries.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Continuous Improvement of Supply Chain Due Diligence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Company expects to continue to improve its supply chain due diligence efforts. Such measures may include, but are not limited to:</w:t>
      </w:r>
    </w:p>
    <w:p>
      <w:pPr>
        <w:spacing w:after="0" w:line="198"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presence of conflict minerals in its supply chain;</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clearly communicating expectations with regard to transparency of supplier sourcing of conflict minerals;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response rate for the RCOI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7" w:name="page8"/>
    <w:bookmarkEnd w:id="7"/>
    <w:p>
      <w:pPr>
        <w:ind w:left="378" w:hanging="378"/>
        <w:spacing w:after="0"/>
        <w:tabs>
          <w:tab w:leader="none" w:pos="3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surveying various internal procurement and supply chain personnel for Conflict Mineral policy compliance;</w:t>
      </w:r>
    </w:p>
    <w:p>
      <w:pPr>
        <w:spacing w:after="0" w:line="184" w:lineRule="exact"/>
        <w:rPr>
          <w:rFonts w:ascii="Times New Roman" w:cs="Times New Roman" w:eastAsia="Times New Roman" w:hAnsi="Times New Roman"/>
          <w:sz w:val="18"/>
          <w:szCs w:val="18"/>
          <w:color w:val="auto"/>
        </w:rPr>
      </w:pPr>
    </w:p>
    <w:p>
      <w:pPr>
        <w:ind w:left="378" w:right="60" w:hanging="378"/>
        <w:spacing w:after="0" w:line="282" w:lineRule="auto"/>
        <w:tabs>
          <w:tab w:leader="none" w:pos="3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compare RCOI results to information collected via independent conflict free smelter validation programs such as the RMI Responsible Mineral Assurance Process standards; and</w:t>
      </w:r>
    </w:p>
    <w:p>
      <w:pPr>
        <w:spacing w:after="0" w:line="134" w:lineRule="exact"/>
        <w:rPr>
          <w:rFonts w:ascii="Times New Roman" w:cs="Times New Roman" w:eastAsia="Times New Roman" w:hAnsi="Times New Roman"/>
          <w:sz w:val="18"/>
          <w:szCs w:val="18"/>
          <w:color w:val="auto"/>
        </w:rPr>
      </w:pPr>
    </w:p>
    <w:p>
      <w:pPr>
        <w:ind w:left="378" w:hanging="378"/>
        <w:spacing w:after="0" w:line="282" w:lineRule="auto"/>
        <w:tabs>
          <w:tab w:leader="none" w:pos="3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contacting smelters identified as a result of the RCOI process and requesting their compliance with an industry program such as the RMI Responsible Mineral Assurance Process standards.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967105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0218"/>
      </w:cols>
      <w:pgMar w:left="702" w:top="141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Letter"/>
      <w:start w:val="3"/>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2024-05-30T12:50:02Z</dcterms:created>
  <dcterms:modified xsi:type="dcterms:W3CDTF">2024-05-30T12:50:02Z</dcterms:modified>
</cp:coreProperties>
</file>