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September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149225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00"/>
          </w:cols>
          <w:pgMar w:left="320" w:top="1424" w:right="47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000-7099</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12" w:lineRule="exact"/>
        <w:rPr>
          <w:sz w:val="24"/>
          <w:szCs w:val="24"/>
          <w:color w:val="auto"/>
        </w:rPr>
      </w:pPr>
    </w:p>
    <w:p>
      <w:pPr>
        <w:sectPr>
          <w:pgSz w:w="11900" w:h="16838" w:orient="portrait"/>
          <w:cols w:equalWidth="0" w:num="3">
            <w:col w:w="4580" w:space="720"/>
            <w:col w:w="2980" w:space="720"/>
            <w:col w:w="2100"/>
          </w:cols>
          <w:pgMar w:left="320" w:top="1424" w:right="4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0" w:space="720"/>
            <w:col w:w="2940" w:space="720"/>
            <w:col w:w="2220"/>
          </w:cols>
          <w:pgMar w:left="320" w:top="1424" w:right="479" w:bottom="1440" w:gutter="0" w:footer="0" w:header="0"/>
          <w:type w:val="continuous"/>
        </w:sect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Suite 800E</w:t>
      </w:r>
    </w:p>
    <w:p>
      <w:pPr>
        <w:spacing w:after="0" w:line="9"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Addison,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75001</w:t>
      </w:r>
    </w:p>
    <w:p>
      <w:pPr>
        <w:spacing w:after="0" w:line="31" w:lineRule="exact"/>
        <w:rPr>
          <w:sz w:val="24"/>
          <w:szCs w:val="24"/>
          <w:color w:val="auto"/>
        </w:rPr>
      </w:pPr>
    </w:p>
    <w:p>
      <w:pPr>
        <w:sectPr>
          <w:pgSz w:w="11900" w:h="16838" w:orient="portrait"/>
          <w:cols w:equalWidth="0" w:num="2">
            <w:col w:w="7540" w:space="720"/>
            <w:col w:w="2840"/>
          </w:cols>
          <w:pgMar w:left="320" w:top="1424" w:right="4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440" w:space="720"/>
            <w:col w:w="2940"/>
          </w:cols>
          <w:pgMar w:left="320" w:top="1424"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75" w:lineRule="exact"/>
        <w:rPr>
          <w:sz w:val="24"/>
          <w:szCs w:val="24"/>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4" w:right="479" w:bottom="1440" w:gutter="0" w:footer="0" w:header="0"/>
          <w:type w:val="continuous"/>
        </w:sectPr>
      </w:pPr>
    </w:p>
    <w:bookmarkStart w:id="1" w:name="page2"/>
    <w:bookmarkEnd w:id="1"/>
    <w:p>
      <w:pPr>
        <w:ind w:right="1080"/>
        <w:spacing w:after="0" w:line="273"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5.02. Departure of Directors or Certain Officers; Election of Directors; Appointment of Certain Officers; Compensatory Arrangements of Certain Officers.</w:t>
      </w:r>
    </w:p>
    <w:p>
      <w:pPr>
        <w:spacing w:after="0" w:line="16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September 12, 2025, Peter K. Johansson, the Chief Financial Officer of CECO Environmental Corp. (the "Company") received an equity grant of 30,000 performance-based restricted stock units (“PSUs”) under the Company’s 2021 Equity and Incentive Compensation Plan. The PSUs will vest four years from the grant date only if (i) Mr. Johansson is still employed by the Company at the vest date, and (ii) the Company’s stock price reaches at least $60.00 (with additional payouts up to a maximum of 200% if the Company's stock price reaches additional stock price targets as outlined in the Equity Award Agreement, as defined herein) for 20 or more consecutive trading days during the four-year performance period. The terms of the PSU award are documented within an equity award agreement between the Company and Mr. Johansson, dated September 12, 2025 (the “Equity Award Agreement”).</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Equity Award Agreement is a summary only and is qualified in its entirety by reference to the full text of the Equity Award Agreement, which is filed as Exhibit 10.1 to this Current Report on Form 8-K and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9.01. Financial Statements and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352"/>
        </w:trPr>
        <w:tc>
          <w:tcPr>
            <w:tcW w:w="100" w:type="dxa"/>
            <w:vAlign w:val="bottom"/>
          </w:tcPr>
          <w:p>
            <w:pPr>
              <w:spacing w:after="0"/>
              <w:rPr>
                <w:sz w:val="24"/>
                <w:szCs w:val="24"/>
                <w:color w:val="auto"/>
              </w:rPr>
            </w:pPr>
          </w:p>
        </w:tc>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Pr>
          <w:p>
            <w:pPr>
              <w:spacing w:after="0"/>
              <w:rPr>
                <w:sz w:val="24"/>
                <w:szCs w:val="24"/>
                <w:color w:val="auto"/>
              </w:rPr>
            </w:pPr>
          </w:p>
        </w:tc>
        <w:tc>
          <w:tcPr>
            <w:tcW w:w="9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4"/>
                <w:szCs w:val="24"/>
                <w:color w:val="auto"/>
              </w:rPr>
            </w:pPr>
          </w:p>
        </w:tc>
      </w:tr>
      <w:tr>
        <w:trPr>
          <w:trHeight w:val="391"/>
        </w:trPr>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Equity award agreement between the Company and Peter K. Johansson, dated September 12, 2025.</w:t>
            </w:r>
          </w:p>
        </w:tc>
        <w:tc>
          <w:tcPr>
            <w:tcW w:w="2400" w:type="dxa"/>
            <w:vAlign w:val="bottom"/>
            <w:gridSpan w:val="2"/>
          </w:tcPr>
          <w:p>
            <w:pPr>
              <w:spacing w:after="0"/>
              <w:rPr>
                <w:sz w:val="24"/>
                <w:szCs w:val="24"/>
                <w:color w:val="auto"/>
              </w:rPr>
            </w:pPr>
          </w:p>
        </w:tc>
      </w:tr>
      <w:tr>
        <w:trPr>
          <w:trHeight w:val="453"/>
        </w:trPr>
        <w:tc>
          <w:tcPr>
            <w:tcW w:w="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11"/>
        </w:trPr>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640" w:val="left"/>
        </w:tabs>
        <w:rPr>
          <w:sz w:val="20"/>
          <w:szCs w:val="20"/>
          <w:color w:val="auto"/>
        </w:rPr>
      </w:pPr>
      <w:r>
        <w:rPr>
          <w:rFonts w:ascii="Times New Roman" w:cs="Times New Roman" w:eastAsia="Times New Roman" w:hAnsi="Times New Roman"/>
          <w:sz w:val="18"/>
          <w:szCs w:val="18"/>
          <w:color w:val="auto"/>
        </w:rPr>
        <w:t>Date: September 16,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0" w:right="379" w:bottom="1440" w:gutter="0" w:footer="0" w:header="0"/>
        </w:sectPr>
      </w:pPr>
    </w:p>
    <w:bookmarkStart w:id="3" w:name="page4"/>
    <w:bookmarkEnd w:id="3"/>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39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1140" w:type="dxa"/>
            <w:vAlign w:val="bottom"/>
            <w:tcBorders>
              <w:top w:val="single" w:sz="8" w:color="auto"/>
              <w:right w:val="single" w:sz="8" w:color="auto"/>
            </w:tcBorders>
          </w:tcPr>
          <w:p>
            <w:pPr>
              <w:spacing w:after="0"/>
              <w:rPr>
                <w:sz w:val="24"/>
                <w:szCs w:val="24"/>
                <w:color w:val="auto"/>
              </w:rPr>
            </w:pPr>
          </w:p>
        </w:tc>
        <w:tc>
          <w:tcPr>
            <w:tcW w:w="612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Peter K. Johansson</w:t>
            </w:r>
          </w:p>
        </w:tc>
      </w:tr>
      <w:tr>
        <w:trPr>
          <w:trHeight w:val="58"/>
        </w:trPr>
        <w:tc>
          <w:tcPr>
            <w:tcW w:w="3980" w:type="dxa"/>
            <w:vAlign w:val="bottom"/>
            <w:tcBorders>
              <w:left w:val="single" w:sz="8" w:color="auto"/>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r>
      <w:tr>
        <w:trPr>
          <w:trHeight w:val="300"/>
        </w:trPr>
        <w:tc>
          <w:tcPr>
            <w:tcW w:w="3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Number of Restricted Stock Units “PRSUs”:</w:t>
            </w:r>
          </w:p>
        </w:tc>
        <w:tc>
          <w:tcPr>
            <w:tcW w:w="1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30,000</w:t>
            </w:r>
          </w:p>
        </w:tc>
      </w:tr>
      <w:tr>
        <w:trPr>
          <w:trHeight w:val="75"/>
        </w:trPr>
        <w:tc>
          <w:tcPr>
            <w:tcW w:w="3980" w:type="dxa"/>
            <w:vAlign w:val="bottom"/>
            <w:tcBorders>
              <w:left w:val="single" w:sz="8" w:color="auto"/>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6120" w:type="dxa"/>
            <w:vAlign w:val="bottom"/>
            <w:tcBorders>
              <w:bottom w:val="single" w:sz="8" w:color="auto"/>
              <w:right w:val="single" w:sz="8" w:color="auto"/>
            </w:tcBorders>
          </w:tcPr>
          <w:p>
            <w:pPr>
              <w:spacing w:after="0"/>
              <w:rPr>
                <w:sz w:val="6"/>
                <w:szCs w:val="6"/>
                <w:color w:val="auto"/>
              </w:rPr>
            </w:pPr>
          </w:p>
        </w:tc>
      </w:tr>
      <w:tr>
        <w:trPr>
          <w:trHeight w:val="297"/>
        </w:trPr>
        <w:tc>
          <w:tcPr>
            <w:tcW w:w="3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1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September 12, 2025</w:t>
            </w:r>
          </w:p>
        </w:tc>
      </w:tr>
      <w:tr>
        <w:trPr>
          <w:trHeight w:val="75"/>
        </w:trPr>
        <w:tc>
          <w:tcPr>
            <w:tcW w:w="3980" w:type="dxa"/>
            <w:vAlign w:val="bottom"/>
            <w:tcBorders>
              <w:left w:val="single" w:sz="8" w:color="auto"/>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6120" w:type="dxa"/>
            <w:vAlign w:val="bottom"/>
            <w:tcBorders>
              <w:bottom w:val="single" w:sz="8" w:color="auto"/>
              <w:right w:val="single" w:sz="8" w:color="auto"/>
            </w:tcBorders>
          </w:tcPr>
          <w:p>
            <w:pPr>
              <w:spacing w:after="0"/>
              <w:rPr>
                <w:sz w:val="6"/>
                <w:szCs w:val="6"/>
                <w:color w:val="auto"/>
              </w:rPr>
            </w:pPr>
          </w:p>
        </w:tc>
      </w:tr>
      <w:tr>
        <w:trPr>
          <w:trHeight w:val="323"/>
        </w:trPr>
        <w:tc>
          <w:tcPr>
            <w:tcW w:w="39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Vesting Date:</w:t>
            </w:r>
          </w:p>
        </w:tc>
        <w:tc>
          <w:tcPr>
            <w:tcW w:w="1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September 12, 2029</w:t>
            </w:r>
          </w:p>
        </w:tc>
      </w:tr>
      <w:tr>
        <w:trPr>
          <w:trHeight w:val="48"/>
        </w:trPr>
        <w:tc>
          <w:tcPr>
            <w:tcW w:w="3980" w:type="dxa"/>
            <w:vAlign w:val="bottom"/>
            <w:tcBorders>
              <w:left w:val="single" w:sz="8" w:color="auto"/>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r>
      <w:tr>
        <w:trPr>
          <w:trHeight w:val="458"/>
        </w:trPr>
        <w:tc>
          <w:tcPr>
            <w:tcW w:w="3980" w:type="dxa"/>
            <w:vAlign w:val="bottom"/>
          </w:tcPr>
          <w:p>
            <w:pPr>
              <w:spacing w:after="0"/>
              <w:rPr>
                <w:sz w:val="24"/>
                <w:szCs w:val="24"/>
                <w:color w:val="auto"/>
              </w:rPr>
            </w:pPr>
          </w:p>
        </w:tc>
        <w:tc>
          <w:tcPr>
            <w:tcW w:w="726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CECO ENVIRONMENTAL CORP.</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Performance-Based Restricted Stock Units Agreement</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This PERFORMANCE-BASED RESTRICTED STOCK UNITS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as of the date set forth above (the “</w:t>
      </w:r>
      <w:r>
        <w:rPr>
          <w:rFonts w:ascii="Times New Roman" w:cs="Times New Roman" w:eastAsia="Times New Roman" w:hAnsi="Times New Roman"/>
          <w:sz w:val="20"/>
          <w:szCs w:val="20"/>
          <w:b w:val="1"/>
          <w:bCs w:val="1"/>
          <w:i w:val="1"/>
          <w:iCs w:val="1"/>
          <w:color w:val="auto"/>
        </w:rPr>
        <w:t>Date of Grant</w:t>
      </w:r>
      <w:r>
        <w:rPr>
          <w:rFonts w:ascii="Times New Roman" w:cs="Times New Roman" w:eastAsia="Times New Roman" w:hAnsi="Times New Roman"/>
          <w:sz w:val="20"/>
          <w:szCs w:val="20"/>
          <w:color w:val="auto"/>
        </w:rPr>
        <w:t>”) by and between CECO Environmental Corp.,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individual named above (the “</w:t>
      </w:r>
      <w:r>
        <w:rPr>
          <w:rFonts w:ascii="Times New Roman" w:cs="Times New Roman" w:eastAsia="Times New Roman" w:hAnsi="Times New Roman"/>
          <w:sz w:val="20"/>
          <w:szCs w:val="20"/>
          <w:b w:val="1"/>
          <w:bCs w:val="1"/>
          <w:i w:val="1"/>
          <w:iCs w:val="1"/>
          <w:color w:val="auto"/>
        </w:rPr>
        <w:t>Grantee</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right="20" w:firstLine="757"/>
        <w:spacing w:after="0" w:line="249"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color w:val="auto"/>
        </w:rPr>
        <w:t>. Capitalized terms used, but not otherwise defined, in this Agreement will have the meanings given to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in the CECO Environmental Corp. 2021 Equity and Incentive Compensation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Grant of PRSUs</w:t>
      </w:r>
      <w:r>
        <w:rPr>
          <w:rFonts w:ascii="Times New Roman" w:cs="Times New Roman" w:eastAsia="Times New Roman" w:hAnsi="Times New Roman"/>
          <w:sz w:val="20"/>
          <w:szCs w:val="20"/>
          <w:color w:val="auto"/>
        </w:rPr>
        <w:t>. Subject to and upon the terms, conditions and restrictions set forth in this Agreement and in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authorization under resolutions of the Committee, the Company has granted to the Grantee as of the Date of Grant the number of performance-based Restricted Stock Units (“</w:t>
      </w:r>
      <w:r>
        <w:rPr>
          <w:rFonts w:ascii="Times New Roman" w:cs="Times New Roman" w:eastAsia="Times New Roman" w:hAnsi="Times New Roman"/>
          <w:sz w:val="20"/>
          <w:szCs w:val="20"/>
          <w:b w:val="1"/>
          <w:bCs w:val="1"/>
          <w:i w:val="1"/>
          <w:iCs w:val="1"/>
          <w:color w:val="auto"/>
        </w:rPr>
        <w:t>PRSUs</w:t>
      </w:r>
      <w:r>
        <w:rPr>
          <w:rFonts w:ascii="Times New Roman" w:cs="Times New Roman" w:eastAsia="Times New Roman" w:hAnsi="Times New Roman"/>
          <w:sz w:val="20"/>
          <w:szCs w:val="20"/>
          <w:color w:val="auto"/>
        </w:rPr>
        <w:t xml:space="preserve">”) as set forth above. The Grantee may earn a percentage of the PRSUs based on the level of achievement of the Performance Goals as described in </w:t>
      </w:r>
      <w:r>
        <w:rPr>
          <w:rFonts w:ascii="Times New Roman" w:cs="Times New Roman" w:eastAsia="Times New Roman" w:hAnsi="Times New Roman"/>
          <w:sz w:val="20"/>
          <w:szCs w:val="20"/>
          <w:b w:val="1"/>
          <w:bCs w:val="1"/>
          <w:color w:val="auto"/>
        </w:rPr>
        <w:t>Section 5</w:t>
      </w:r>
      <w:r>
        <w:rPr>
          <w:rFonts w:ascii="Times New Roman" w:cs="Times New Roman" w:eastAsia="Times New Roman" w:hAnsi="Times New Roman"/>
          <w:sz w:val="20"/>
          <w:szCs w:val="20"/>
          <w:color w:val="auto"/>
        </w:rPr>
        <w:t>. Each PRSU so earned shall then represent the right of the Grantee to receive one share of Common Stock subject to and upon the terms and conditions of this Agreement.</w:t>
      </w:r>
    </w:p>
    <w:p>
      <w:pPr>
        <w:spacing w:after="0" w:line="199"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Payment of PRSUs</w:t>
      </w:r>
      <w:r>
        <w:rPr>
          <w:rFonts w:ascii="Times New Roman" w:cs="Times New Roman" w:eastAsia="Times New Roman" w:hAnsi="Times New Roman"/>
          <w:sz w:val="20"/>
          <w:szCs w:val="20"/>
          <w:color w:val="auto"/>
        </w:rPr>
        <w:t>. The PRSUs will become payable in accordance with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Section 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if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Restriction Period lapses and Grantee’s right to receive payment for the PRSUs becomes nonforfeitable (“</w:t>
      </w:r>
      <w:r>
        <w:rPr>
          <w:rFonts w:ascii="Times New Roman" w:cs="Times New Roman" w:eastAsia="Times New Roman" w:hAnsi="Times New Roman"/>
          <w:sz w:val="20"/>
          <w:szCs w:val="20"/>
          <w:b w:val="1"/>
          <w:bCs w:val="1"/>
          <w:i w:val="1"/>
          <w:iCs w:val="1"/>
          <w:color w:val="auto"/>
        </w:rPr>
        <w:t>Vest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Vesting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Vested</w:t>
      </w:r>
      <w:r>
        <w:rPr>
          <w:rFonts w:ascii="Times New Roman" w:cs="Times New Roman" w:eastAsia="Times New Roman" w:hAnsi="Times New Roman"/>
          <w:sz w:val="20"/>
          <w:szCs w:val="20"/>
          <w:color w:val="auto"/>
        </w:rPr>
        <w:t xml:space="preserve">”) in accordance with </w:t>
      </w:r>
      <w:r>
        <w:rPr>
          <w:rFonts w:ascii="Times New Roman" w:cs="Times New Roman" w:eastAsia="Times New Roman" w:hAnsi="Times New Roman"/>
          <w:sz w:val="20"/>
          <w:szCs w:val="20"/>
          <w:b w:val="1"/>
          <w:bCs w:val="1"/>
          <w:u w:val="single" w:color="auto"/>
          <w:color w:val="auto"/>
        </w:rPr>
        <w:t>Section 5</w:t>
      </w:r>
      <w:r>
        <w:rPr>
          <w:rFonts w:ascii="Times New Roman" w:cs="Times New Roman" w:eastAsia="Times New Roman" w:hAnsi="Times New Roman"/>
          <w:sz w:val="20"/>
          <w:szCs w:val="20"/>
          <w:color w:val="auto"/>
        </w:rPr>
        <w:t xml:space="preserve"> of this Agreement.</w:t>
      </w:r>
    </w:p>
    <w:p>
      <w:pPr>
        <w:spacing w:after="0" w:line="19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Restrictions on Transfer of PRSUs</w:t>
      </w:r>
      <w:r>
        <w:rPr>
          <w:rFonts w:ascii="Times New Roman" w:cs="Times New Roman" w:eastAsia="Times New Roman" w:hAnsi="Times New Roman"/>
          <w:sz w:val="20"/>
          <w:szCs w:val="20"/>
          <w:color w:val="auto"/>
        </w:rPr>
        <w:t>. Subject to Section 15 of the Plan, neither the PRSUs evidenced hereby nor any 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therein or in the Common Stock underlying such PRSUs shall be transferable prior to payment to the Grantee pursuant to </w:t>
      </w:r>
      <w:r>
        <w:rPr>
          <w:rFonts w:ascii="Times New Roman" w:cs="Times New Roman" w:eastAsia="Times New Roman" w:hAnsi="Times New Roman"/>
          <w:sz w:val="20"/>
          <w:szCs w:val="20"/>
          <w:b w:val="1"/>
          <w:bCs w:val="1"/>
          <w:u w:val="single" w:color="auto"/>
          <w:color w:val="auto"/>
        </w:rPr>
        <w:t>Section 6</w:t>
      </w:r>
      <w:r>
        <w:rPr>
          <w:rFonts w:ascii="Times New Roman" w:cs="Times New Roman" w:eastAsia="Times New Roman" w:hAnsi="Times New Roman"/>
          <w:sz w:val="20"/>
          <w:szCs w:val="20"/>
          <w:color w:val="auto"/>
        </w:rPr>
        <w:t xml:space="preserve"> hereof other than by will or pursuant to the laws of descent and distribution.</w:t>
      </w:r>
    </w:p>
    <w:p>
      <w:pPr>
        <w:spacing w:after="0" w:line="19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Vesting of PRSUs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left="1500" w:hanging="743"/>
        <w:spacing w:after="0" w:line="241" w:lineRule="auto"/>
        <w:tabs>
          <w:tab w:leader="none" w:pos="15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PRSUs covered by this Agreement shall Vest on the Vesting Date to the extent that the following performance goals for the performance period, as described below (collectively, the “</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are achieved, once determined and certified by the Committee in its sole discretion, conditioned upon the Grantee’s continuous employment with the Company or a Subsidiary through the Vesting Date.</w:t>
      </w:r>
    </w:p>
    <w:p>
      <w:pPr>
        <w:spacing w:after="0" w:line="187" w:lineRule="exact"/>
        <w:rPr>
          <w:rFonts w:ascii="Times New Roman" w:cs="Times New Roman" w:eastAsia="Times New Roman" w:hAnsi="Times New Roman"/>
          <w:sz w:val="22"/>
          <w:szCs w:val="22"/>
          <w:color w:val="auto"/>
        </w:rPr>
      </w:pPr>
    </w:p>
    <w:p>
      <w:pPr>
        <w:ind w:left="1500" w:right="20"/>
        <w:spacing w:after="0" w:line="26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performance period commences on the Date of Grant and ends on (and is inclusive of) the Vesting Date. If the closing price for a share of Company stock as reported on the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left="743"/>
        <w:spacing w:after="0" w:line="254" w:lineRule="auto"/>
        <w:rPr>
          <w:sz w:val="20"/>
          <w:szCs w:val="20"/>
          <w:color w:val="auto"/>
        </w:rPr>
      </w:pPr>
      <w:r>
        <w:rPr>
          <w:rFonts w:ascii="Times New Roman" w:cs="Times New Roman" w:eastAsia="Times New Roman" w:hAnsi="Times New Roman"/>
          <w:sz w:val="20"/>
          <w:szCs w:val="20"/>
          <w:color w:val="auto"/>
        </w:rPr>
        <w:t>exchange on which the Company’s shares are then listed equals or exceeds one of the stock prices set forth below for twenty (20) or more consecutive trading days during the performance period, then the number of PRSUs that are earned shall be as follows:</w:t>
      </w:r>
    </w:p>
    <w:p>
      <w:pPr>
        <w:spacing w:after="0" w:line="174" w:lineRule="exact"/>
        <w:rPr>
          <w:sz w:val="20"/>
          <w:szCs w:val="20"/>
          <w:color w:val="auto"/>
        </w:rPr>
      </w:pPr>
    </w:p>
    <w:tbl>
      <w:tblPr>
        <w:tblLayout w:type="fixed"/>
        <w:tblInd w:w="753" w:type="dxa"/>
        <w:tblCellMar>
          <w:top w:w="0" w:type="dxa"/>
          <w:left w:w="0" w:type="dxa"/>
          <w:bottom w:w="0" w:type="dxa"/>
          <w:right w:w="0" w:type="dxa"/>
        </w:tblCellMar>
      </w:tblPr>
      <w:tr>
        <w:trPr>
          <w:trHeight w:val="278"/>
        </w:trPr>
        <w:tc>
          <w:tcPr>
            <w:tcW w:w="31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Stock Price*</w:t>
            </w:r>
          </w:p>
        </w:tc>
        <w:tc>
          <w:tcPr>
            <w:tcW w:w="3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 of PRSUs Earned**</w:t>
            </w:r>
          </w:p>
        </w:tc>
      </w:tr>
      <w:tr>
        <w:trPr>
          <w:trHeight w:val="221"/>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spacing w:after="0"/>
              <w:rPr>
                <w:sz w:val="19"/>
                <w:szCs w:val="19"/>
                <w:color w:val="auto"/>
              </w:rPr>
            </w:pPr>
          </w:p>
        </w:tc>
      </w:tr>
      <w:tr>
        <w:trPr>
          <w:trHeight w:val="218"/>
        </w:trPr>
        <w:tc>
          <w:tcPr>
            <w:tcW w:w="3180" w:type="dxa"/>
            <w:vAlign w:val="bottom"/>
            <w:tcBorders>
              <w:right w:val="single" w:sz="8" w:color="auto"/>
            </w:tcBorders>
          </w:tcPr>
          <w:p>
            <w:pPr>
              <w:ind w:left="120"/>
              <w:spacing w:after="0" w:line="218" w:lineRule="exact"/>
              <w:rPr>
                <w:sz w:val="20"/>
                <w:szCs w:val="20"/>
                <w:color w:val="auto"/>
              </w:rPr>
            </w:pPr>
            <w:r>
              <w:rPr>
                <w:rFonts w:ascii="Times New Roman" w:cs="Times New Roman" w:eastAsia="Times New Roman" w:hAnsi="Times New Roman"/>
                <w:sz w:val="20"/>
                <w:szCs w:val="20"/>
                <w:color w:val="auto"/>
              </w:rPr>
              <w:t>Less than $60.00</w:t>
            </w:r>
          </w:p>
        </w:tc>
        <w:tc>
          <w:tcPr>
            <w:tcW w:w="3240" w:type="dxa"/>
            <w:vAlign w:val="bottom"/>
            <w:tcBorders>
              <w:right w:val="single" w:sz="8" w:color="auto"/>
            </w:tcBorders>
          </w:tcPr>
          <w:p>
            <w:pPr>
              <w:ind w:left="100"/>
              <w:spacing w:after="0" w:line="218" w:lineRule="exact"/>
              <w:rPr>
                <w:sz w:val="20"/>
                <w:szCs w:val="20"/>
                <w:color w:val="auto"/>
              </w:rPr>
            </w:pPr>
            <w:r>
              <w:rPr>
                <w:rFonts w:ascii="Times New Roman" w:cs="Times New Roman" w:eastAsia="Times New Roman" w:hAnsi="Times New Roman"/>
                <w:sz w:val="20"/>
                <w:szCs w:val="20"/>
                <w:color w:val="auto"/>
              </w:rPr>
              <w:t>0%</w:t>
            </w:r>
          </w:p>
        </w:tc>
      </w:tr>
      <w:tr>
        <w:trPr>
          <w:trHeight w:val="184"/>
        </w:trPr>
        <w:tc>
          <w:tcPr>
            <w:tcW w:w="3180" w:type="dxa"/>
            <w:vAlign w:val="bottom"/>
            <w:tcBorders>
              <w:bottom w:val="single" w:sz="8" w:color="auto"/>
              <w:right w:val="single" w:sz="8" w:color="auto"/>
            </w:tcBorders>
          </w:tcPr>
          <w:p>
            <w:pPr>
              <w:spacing w:after="0"/>
              <w:rPr>
                <w:sz w:val="15"/>
                <w:szCs w:val="15"/>
                <w:color w:val="auto"/>
              </w:rPr>
            </w:pPr>
          </w:p>
        </w:tc>
        <w:tc>
          <w:tcPr>
            <w:tcW w:w="3240" w:type="dxa"/>
            <w:vAlign w:val="bottom"/>
            <w:tcBorders>
              <w:bottom w:val="single" w:sz="8" w:color="auto"/>
              <w:right w:val="single" w:sz="8" w:color="auto"/>
            </w:tcBorders>
          </w:tcPr>
          <w:p>
            <w:pPr>
              <w:spacing w:after="0"/>
              <w:rPr>
                <w:sz w:val="15"/>
                <w:szCs w:val="15"/>
                <w:color w:val="auto"/>
              </w:rPr>
            </w:pPr>
          </w:p>
        </w:tc>
      </w:tr>
      <w:tr>
        <w:trPr>
          <w:trHeight w:val="252"/>
        </w:trPr>
        <w:tc>
          <w:tcPr>
            <w:tcW w:w="3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$60.00</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100%</w:t>
            </w:r>
          </w:p>
        </w:tc>
      </w:tr>
      <w:tr>
        <w:trPr>
          <w:trHeight w:val="187"/>
        </w:trPr>
        <w:tc>
          <w:tcPr>
            <w:tcW w:w="3180" w:type="dxa"/>
            <w:vAlign w:val="bottom"/>
            <w:tcBorders>
              <w:bottom w:val="single" w:sz="8" w:color="auto"/>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r>
      <w:tr>
        <w:trPr>
          <w:trHeight w:val="252"/>
        </w:trPr>
        <w:tc>
          <w:tcPr>
            <w:tcW w:w="3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$70.00</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125%</w:t>
            </w:r>
          </w:p>
        </w:tc>
      </w:tr>
      <w:tr>
        <w:trPr>
          <w:trHeight w:val="187"/>
        </w:trPr>
        <w:tc>
          <w:tcPr>
            <w:tcW w:w="3180" w:type="dxa"/>
            <w:vAlign w:val="bottom"/>
            <w:tcBorders>
              <w:bottom w:val="single" w:sz="8" w:color="auto"/>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r>
      <w:tr>
        <w:trPr>
          <w:trHeight w:val="252"/>
        </w:trPr>
        <w:tc>
          <w:tcPr>
            <w:tcW w:w="3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$80.00</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150%</w:t>
            </w:r>
          </w:p>
        </w:tc>
      </w:tr>
      <w:tr>
        <w:trPr>
          <w:trHeight w:val="187"/>
        </w:trPr>
        <w:tc>
          <w:tcPr>
            <w:tcW w:w="3180" w:type="dxa"/>
            <w:vAlign w:val="bottom"/>
            <w:tcBorders>
              <w:bottom w:val="single" w:sz="8" w:color="auto"/>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r>
      <w:tr>
        <w:trPr>
          <w:trHeight w:val="252"/>
        </w:trPr>
        <w:tc>
          <w:tcPr>
            <w:tcW w:w="3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$90.00</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175%</w:t>
            </w:r>
          </w:p>
        </w:tc>
      </w:tr>
      <w:tr>
        <w:trPr>
          <w:trHeight w:val="187"/>
        </w:trPr>
        <w:tc>
          <w:tcPr>
            <w:tcW w:w="3180" w:type="dxa"/>
            <w:vAlign w:val="bottom"/>
            <w:tcBorders>
              <w:bottom w:val="single" w:sz="8" w:color="auto"/>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r>
      <w:tr>
        <w:trPr>
          <w:trHeight w:val="252"/>
        </w:trPr>
        <w:tc>
          <w:tcPr>
            <w:tcW w:w="3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$100.00</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200%</w:t>
            </w:r>
          </w:p>
        </w:tc>
      </w:tr>
      <w:tr>
        <w:trPr>
          <w:trHeight w:val="187"/>
        </w:trPr>
        <w:tc>
          <w:tcPr>
            <w:tcW w:w="3180" w:type="dxa"/>
            <w:vAlign w:val="bottom"/>
            <w:tcBorders>
              <w:bottom w:val="single" w:sz="8" w:color="auto"/>
              <w:right w:val="single" w:sz="8" w:color="auto"/>
            </w:tcBorders>
          </w:tcPr>
          <w:p>
            <w:pPr>
              <w:spacing w:after="0"/>
              <w:rPr>
                <w:sz w:val="16"/>
                <w:szCs w:val="16"/>
                <w:color w:val="auto"/>
              </w:rPr>
            </w:pPr>
          </w:p>
        </w:tc>
        <w:tc>
          <w:tcPr>
            <w:tcW w:w="32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23" w:lineRule="exact"/>
        <w:rPr>
          <w:sz w:val="20"/>
          <w:szCs w:val="20"/>
          <w:color w:val="auto"/>
        </w:rPr>
      </w:pPr>
    </w:p>
    <w:p>
      <w:pPr>
        <w:jc w:val="both"/>
        <w:ind w:left="743"/>
        <w:spacing w:after="0" w:line="269" w:lineRule="auto"/>
        <w:rPr>
          <w:sz w:val="20"/>
          <w:szCs w:val="20"/>
          <w:color w:val="auto"/>
        </w:rPr>
      </w:pPr>
      <w:r>
        <w:rPr>
          <w:rFonts w:ascii="Times New Roman" w:cs="Times New Roman" w:eastAsia="Times New Roman" w:hAnsi="Times New Roman"/>
          <w:sz w:val="20"/>
          <w:szCs w:val="20"/>
          <w:color w:val="auto"/>
        </w:rPr>
        <w:t>*There is no payout interpolation between stock prices. For example, if the highest stock price during a period of twenty (20) consecutive trading days is $97.23, then 175% of the number of PRSUs shall be earned.</w:t>
      </w:r>
    </w:p>
    <w:p>
      <w:pPr>
        <w:spacing w:after="0" w:line="159" w:lineRule="exact"/>
        <w:rPr>
          <w:sz w:val="20"/>
          <w:szCs w:val="20"/>
          <w:color w:val="auto"/>
        </w:rPr>
      </w:pPr>
    </w:p>
    <w:p>
      <w:pPr>
        <w:jc w:val="both"/>
        <w:ind w:left="743"/>
        <w:spacing w:after="0" w:line="244" w:lineRule="auto"/>
        <w:rPr>
          <w:sz w:val="20"/>
          <w:szCs w:val="20"/>
          <w:color w:val="auto"/>
        </w:rPr>
      </w:pPr>
      <w:r>
        <w:rPr>
          <w:rFonts w:ascii="Times New Roman" w:cs="Times New Roman" w:eastAsia="Times New Roman" w:hAnsi="Times New Roman"/>
          <w:sz w:val="20"/>
          <w:szCs w:val="20"/>
          <w:color w:val="auto"/>
        </w:rPr>
        <w:t>**Any PRSUs that do not so Vest will be forfeited, including if the Grantee ceases to be continuously employed by the Company or a Subsidiary prior to the Vesting Date. To the extent that, after certifying the achievement of the applicable Performance Goals, the Committee determines that the PRSUs were not earned, the PRSUs shall be immediately forfeited.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or authorized leaves of absences.</w:t>
      </w:r>
    </w:p>
    <w:p>
      <w:pPr>
        <w:spacing w:after="0" w:line="195" w:lineRule="exact"/>
        <w:rPr>
          <w:sz w:val="20"/>
          <w:szCs w:val="20"/>
          <w:color w:val="auto"/>
        </w:rPr>
      </w:pPr>
    </w:p>
    <w:p>
      <w:pPr>
        <w:jc w:val="both"/>
        <w:ind w:left="1503" w:hanging="1503"/>
        <w:spacing w:after="0" w:line="241" w:lineRule="auto"/>
        <w:tabs>
          <w:tab w:leader="none" w:pos="15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 Notwithstanding </w:t>
      </w:r>
      <w:r>
        <w:rPr>
          <w:rFonts w:ascii="Times New Roman" w:cs="Times New Roman" w:eastAsia="Times New Roman" w:hAnsi="Times New Roman"/>
          <w:sz w:val="20"/>
          <w:szCs w:val="20"/>
          <w:b w:val="1"/>
          <w:bCs w:val="1"/>
          <w:u w:val="single" w:color="auto"/>
          <w:color w:val="auto"/>
        </w:rPr>
        <w:t>Section 5(a)</w:t>
      </w:r>
      <w:r>
        <w:rPr>
          <w:rFonts w:ascii="Times New Roman" w:cs="Times New Roman" w:eastAsia="Times New Roman" w:hAnsi="Times New Roman"/>
          <w:sz w:val="20"/>
          <w:szCs w:val="20"/>
          <w:color w:val="auto"/>
        </w:rPr>
        <w:t xml:space="preserve"> above, if at any time before the Vesting Date, and while the Grantee is continuously employed by the Company or a Subsidiary, a Change in Control occurs, then the date of the Change in Control shall be treated as the last day of the performance period and the PRSUs will vest, if at all, based on the level of achievement of the Performance Goals as of such date, except to the extent that a Replacement Award (as defined below) is issued with respect to the PRSUs. PRSUs that Vest in accordance with this </w:t>
      </w:r>
      <w:r>
        <w:rPr>
          <w:rFonts w:ascii="Times New Roman" w:cs="Times New Roman" w:eastAsia="Times New Roman" w:hAnsi="Times New Roman"/>
          <w:sz w:val="20"/>
          <w:szCs w:val="20"/>
          <w:b w:val="1"/>
          <w:bCs w:val="1"/>
          <w:u w:val="single" w:color="auto"/>
          <w:color w:val="auto"/>
        </w:rPr>
        <w:t>Section 5(b)(i)</w:t>
      </w:r>
      <w:r>
        <w:rPr>
          <w:rFonts w:ascii="Times New Roman" w:cs="Times New Roman" w:eastAsia="Times New Roman" w:hAnsi="Times New Roman"/>
          <w:sz w:val="20"/>
          <w:szCs w:val="20"/>
          <w:color w:val="auto"/>
        </w:rPr>
        <w:t xml:space="preserve"> will be paid as provided for in </w:t>
      </w:r>
      <w:r>
        <w:rPr>
          <w:rFonts w:ascii="Times New Roman" w:cs="Times New Roman" w:eastAsia="Times New Roman" w:hAnsi="Times New Roman"/>
          <w:sz w:val="20"/>
          <w:szCs w:val="20"/>
          <w:b w:val="1"/>
          <w:bCs w:val="1"/>
          <w:u w:val="single" w:color="auto"/>
          <w:color w:val="auto"/>
        </w:rPr>
        <w:t>Section 6</w:t>
      </w:r>
      <w:r>
        <w:rPr>
          <w:rFonts w:ascii="Times New Roman" w:cs="Times New Roman" w:eastAsia="Times New Roman" w:hAnsi="Times New Roman"/>
          <w:sz w:val="20"/>
          <w:szCs w:val="20"/>
          <w:color w:val="auto"/>
        </w:rPr>
        <w:t xml:space="preserve"> of this Agreement, and any PRSUs that do not vest will be forfeited.</w:t>
      </w:r>
    </w:p>
    <w:p>
      <w:pPr>
        <w:spacing w:after="0" w:line="196" w:lineRule="exact"/>
        <w:rPr>
          <w:rFonts w:ascii="Times New Roman" w:cs="Times New Roman" w:eastAsia="Times New Roman" w:hAnsi="Times New Roman"/>
          <w:sz w:val="22"/>
          <w:szCs w:val="22"/>
          <w:color w:val="auto"/>
        </w:rPr>
      </w:pPr>
    </w:p>
    <w:p>
      <w:pPr>
        <w:jc w:val="both"/>
        <w:ind w:left="1503" w:hanging="755"/>
        <w:spacing w:after="0" w:line="241" w:lineRule="auto"/>
        <w:tabs>
          <w:tab w:leader="none" w:pos="1503"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purposes of this Agreement, a “</w:t>
      </w:r>
      <w:r>
        <w:rPr>
          <w:rFonts w:ascii="Times New Roman" w:cs="Times New Roman" w:eastAsia="Times New Roman" w:hAnsi="Times New Roman"/>
          <w:sz w:val="20"/>
          <w:szCs w:val="20"/>
          <w:b w:val="1"/>
          <w:bCs w:val="1"/>
          <w:i w:val="1"/>
          <w:iCs w:val="1"/>
          <w:color w:val="auto"/>
        </w:rPr>
        <w:t>Replacement Award</w:t>
      </w:r>
      <w:r>
        <w:rPr>
          <w:rFonts w:ascii="Times New Roman" w:cs="Times New Roman" w:eastAsia="Times New Roman" w:hAnsi="Times New Roman"/>
          <w:sz w:val="20"/>
          <w:szCs w:val="20"/>
          <w:color w:val="auto"/>
        </w:rPr>
        <w:t xml:space="preserve">” means an award (A) of time-based restricted stock units, (B) that has a value at the time of grant or adjustment at least equal to the value of the PRSUs that would Vest under </w:t>
      </w:r>
      <w:r>
        <w:rPr>
          <w:rFonts w:ascii="Times New Roman" w:cs="Times New Roman" w:eastAsia="Times New Roman" w:hAnsi="Times New Roman"/>
          <w:sz w:val="20"/>
          <w:szCs w:val="20"/>
          <w:b w:val="1"/>
          <w:bCs w:val="1"/>
          <w:u w:val="single" w:color="auto"/>
          <w:color w:val="auto"/>
        </w:rPr>
        <w:t>Section 5(b)(i)</w:t>
      </w:r>
      <w:r>
        <w:rPr>
          <w:rFonts w:ascii="Times New Roman" w:cs="Times New Roman" w:eastAsia="Times New Roman" w:hAnsi="Times New Roman"/>
          <w:sz w:val="20"/>
          <w:szCs w:val="20"/>
          <w:color w:val="auto"/>
        </w:rPr>
        <w:t xml:space="preserve"> if there were no Replacement Award, (C) that relates to publicly traded equity securities of the Company or its successor in the Change in Control or another entity that is affiliated with the Company or its successor following the Change in Control, (D) if the Grantee is subject to U.S. federal income tax under</w:t>
      </w:r>
    </w:p>
    <w:p>
      <w:pPr>
        <w:spacing w:after="0" w:line="193"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775970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5" w:name="page6"/>
    <w:bookmarkEnd w:id="5"/>
    <w:p>
      <w:pPr>
        <w:jc w:val="both"/>
        <w:ind w:left="1140"/>
        <w:spacing w:after="0" w:line="242" w:lineRule="auto"/>
        <w:rPr>
          <w:sz w:val="20"/>
          <w:szCs w:val="20"/>
          <w:color w:val="auto"/>
        </w:rPr>
      </w:pPr>
      <w:r>
        <w:rPr>
          <w:rFonts w:ascii="Times New Roman" w:cs="Times New Roman" w:eastAsia="Times New Roman" w:hAnsi="Times New Roman"/>
          <w:sz w:val="20"/>
          <w:szCs w:val="20"/>
          <w:color w:val="auto"/>
        </w:rPr>
        <w:t xml:space="preserve">the Code, the tax consequences of which to such Grantee under the Code are not less favorable to such Grantee than the tax consequences of this award, (E) that Vests subject to continuous employment through the Vesting Date and (F) the other terms and conditions of which are not less favorable to the Grantee holding the Replacement Award than the terms and conditions of this Agreement (including the provisions that would apply in the event of a subsequent Change in Control). A Replacement Award may be granted only to the extent it does not result in the PRSUs granted hereunder or the Replacement Award failing to comply with or be exempt from Section 409A of the Code. Without limiting the generality of the foregoing, the Replacement Award may take the form of a continuation of the PRSUs as time-based restricted stock units if the requirements of the two preceding sentences are satisfied. The determination of whether the conditions of this </w:t>
      </w:r>
      <w:r>
        <w:rPr>
          <w:rFonts w:ascii="Times New Roman" w:cs="Times New Roman" w:eastAsia="Times New Roman" w:hAnsi="Times New Roman"/>
          <w:sz w:val="20"/>
          <w:szCs w:val="20"/>
          <w:b w:val="1"/>
          <w:bCs w:val="1"/>
          <w:u w:val="single" w:color="auto"/>
          <w:color w:val="auto"/>
        </w:rPr>
        <w:t>Section 5(b)(ii)</w:t>
      </w:r>
      <w:r>
        <w:rPr>
          <w:rFonts w:ascii="Times New Roman" w:cs="Times New Roman" w:eastAsia="Times New Roman" w:hAnsi="Times New Roman"/>
          <w:sz w:val="20"/>
          <w:szCs w:val="20"/>
          <w:color w:val="auto"/>
        </w:rPr>
        <w:t xml:space="preserve"> are satisfied will be made by the Committee, as constituted immediately before the Change in Control, in its sole discretion.</w:t>
      </w:r>
    </w:p>
    <w:p>
      <w:pPr>
        <w:spacing w:after="0" w:line="203" w:lineRule="exact"/>
        <w:rPr>
          <w:sz w:val="20"/>
          <w:szCs w:val="20"/>
          <w:color w:val="auto"/>
        </w:rPr>
      </w:pPr>
    </w:p>
    <w:p>
      <w:pPr>
        <w:jc w:val="both"/>
        <w:ind w:left="1140" w:hanging="755"/>
        <w:spacing w:after="0"/>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after receiving a Replacement Award, the Grantee experiences a termination of employment with the Company or a Subsidiary (or any of their successors) (as applicable, the “</w:t>
      </w:r>
      <w:r>
        <w:rPr>
          <w:rFonts w:ascii="Times New Roman" w:cs="Times New Roman" w:eastAsia="Times New Roman" w:hAnsi="Times New Roman"/>
          <w:sz w:val="20"/>
          <w:szCs w:val="20"/>
          <w:b w:val="1"/>
          <w:bCs w:val="1"/>
          <w:i w:val="1"/>
          <w:iCs w:val="1"/>
          <w:color w:val="auto"/>
        </w:rPr>
        <w:t>Successor</w:t>
      </w:r>
      <w:r>
        <w:rPr>
          <w:rFonts w:ascii="Times New Roman" w:cs="Times New Roman" w:eastAsia="Times New Roman" w:hAnsi="Times New Roman"/>
          <w:sz w:val="20"/>
          <w:szCs w:val="20"/>
          <w:color w:val="auto"/>
        </w:rPr>
        <w:t>”) by reason of a termination by the Successor without Cause or by the Grantee for Good Reason, in each case within a period of two years after the Change in Control and during the remaining vesting period for the Replacement Award, 100% of the Replacement Award shall become nonforfeitable and payable with respect to the restricted stock units covered by such Replacement Award upon such termination.</w:t>
      </w:r>
    </w:p>
    <w:p>
      <w:pPr>
        <w:spacing w:after="0" w:line="203" w:lineRule="exact"/>
        <w:rPr>
          <w:rFonts w:ascii="Times New Roman" w:cs="Times New Roman" w:eastAsia="Times New Roman" w:hAnsi="Times New Roman"/>
          <w:sz w:val="22"/>
          <w:szCs w:val="22"/>
          <w:color w:val="auto"/>
        </w:rPr>
      </w:pPr>
    </w:p>
    <w:p>
      <w:pPr>
        <w:jc w:val="both"/>
        <w:ind w:left="1140" w:hanging="755"/>
        <w:spacing w:after="0" w:line="241" w:lineRule="auto"/>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If a Replacement Award is provided, notwithstanding anything in this Agreement to the contrary, any outstanding PRSUs that at the time of the Change in Control are not subject to a “substantial risk of forfeiture” (within the meaning of Section 409A of the Code) will be deemed to be Vested at the time of such Change in Control and will be paid as provided for in </w:t>
      </w:r>
      <w:r>
        <w:rPr>
          <w:rFonts w:ascii="Times New Roman" w:cs="Times New Roman" w:eastAsia="Times New Roman" w:hAnsi="Times New Roman"/>
          <w:sz w:val="20"/>
          <w:szCs w:val="20"/>
          <w:b w:val="1"/>
          <w:bCs w:val="1"/>
          <w:u w:val="single" w:color="auto"/>
          <w:color w:val="auto"/>
        </w:rPr>
        <w:t>Section 6</w:t>
      </w:r>
      <w:r>
        <w:rPr>
          <w:rFonts w:ascii="Times New Roman" w:cs="Times New Roman" w:eastAsia="Times New Roman" w:hAnsi="Times New Roman"/>
          <w:sz w:val="20"/>
          <w:szCs w:val="20"/>
          <w:color w:val="auto"/>
        </w:rPr>
        <w:t xml:space="preserve"> of this Agreement.</w:t>
      </w:r>
    </w:p>
    <w:p>
      <w:pPr>
        <w:spacing w:after="0" w:line="196" w:lineRule="exact"/>
        <w:rPr>
          <w:rFonts w:ascii="Times New Roman" w:cs="Times New Roman" w:eastAsia="Times New Roman" w:hAnsi="Times New Roman"/>
          <w:sz w:val="22"/>
          <w:szCs w:val="22"/>
          <w:color w:val="auto"/>
        </w:rPr>
      </w:pPr>
    </w:p>
    <w:p>
      <w:pPr>
        <w:jc w:val="both"/>
        <w:ind w:left="1140" w:hanging="755"/>
        <w:spacing w:after="0"/>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mean (A) “Cause” as defined in an individual employment agreement then in effect between the Grantee and the Company (an “</w:t>
      </w:r>
      <w:r>
        <w:rPr>
          <w:rFonts w:ascii="Times New Roman" w:cs="Times New Roman" w:eastAsia="Times New Roman" w:hAnsi="Times New Roman"/>
          <w:sz w:val="20"/>
          <w:szCs w:val="20"/>
          <w:b w:val="1"/>
          <w:bCs w:val="1"/>
          <w:i w:val="1"/>
          <w:iCs w:val="1"/>
          <w:color w:val="auto"/>
        </w:rPr>
        <w:t>Employment Agreement</w:t>
      </w:r>
      <w:r>
        <w:rPr>
          <w:rFonts w:ascii="Times New Roman" w:cs="Times New Roman" w:eastAsia="Times New Roman" w:hAnsi="Times New Roman"/>
          <w:sz w:val="20"/>
          <w:szCs w:val="20"/>
          <w:color w:val="auto"/>
        </w:rPr>
        <w:t>”), if any, or (B) if the Grantee does not have an Employment Agreement or such Employment Agreement does not define “Cause,” then: (1) any use or misappropriation by the Grantee of the Company’s, its parent’s, an affiliate’s, or a subsidiary’s funds, assets, or property for any personal or other improper purpose; (2) any act of moral turpitude, dishonesty, or fraud by or felony conviction of the Grantee whether or not such acts were committed in connection with the Company’s, an affiliate’s, or a subsidiary’s business; (3) any failure by the Grantee substantially to perform the lawful instructions of the person(s) to whom the Grantee reports (other than as a result of total or partial incapacity due to physical or mental illness) following written notice by the Company to the Grantee of such failure and 15 days within which to cure such failure; (4) any willful or gross misconduct by the Grantee in connection with the Grantee’s duties to the Company which, in the reasonable good faith judgment of the Board, could reasonably be expected to be materially injurious to the financial condition or business reputation of the Company, its subsidiaries, or affiliates; (5) any failure by the Grantee to follow a material Company policy; or (6) any material breach by the Grantee of the Employment Agreement following written notice by the Company to the Grantee of such breach and 15 days within which to cure such breach. Any failure by the Company or a Subsidiary to notify</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775970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 w:name="page7"/>
    <w:bookmarkEnd w:id="6"/>
    <w:p>
      <w:pPr>
        <w:ind w:left="1503" w:right="20"/>
        <w:spacing w:after="0" w:line="269" w:lineRule="auto"/>
        <w:rPr>
          <w:sz w:val="20"/>
          <w:szCs w:val="20"/>
          <w:color w:val="auto"/>
        </w:rPr>
      </w:pPr>
      <w:r>
        <w:rPr>
          <w:rFonts w:ascii="Times New Roman" w:cs="Times New Roman" w:eastAsia="Times New Roman" w:hAnsi="Times New Roman"/>
          <w:sz w:val="20"/>
          <w:szCs w:val="20"/>
          <w:color w:val="auto"/>
        </w:rPr>
        <w:t>the Grantee after the first occurrence of an event constituting Cause shall not preclude any subsequent occurrences of such event (or a similar event) from constituting Cause.</w:t>
      </w:r>
    </w:p>
    <w:p>
      <w:pPr>
        <w:spacing w:after="0" w:line="169" w:lineRule="exact"/>
        <w:rPr>
          <w:sz w:val="20"/>
          <w:szCs w:val="20"/>
          <w:color w:val="auto"/>
        </w:rPr>
      </w:pPr>
    </w:p>
    <w:p>
      <w:pPr>
        <w:ind w:left="1503" w:hanging="755"/>
        <w:spacing w:after="0"/>
        <w:tabs>
          <w:tab w:leader="none" w:pos="1503"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(A) “Good Reason” as defined in the Grantee’s Employment Agreement, if any, or (B) if the Grantee does not have an Employment Agreement or such Employment Agreement does not define “Good Reason,” then the occurrence of any of the following without the prior written consent of the Grantee: (1) a material diminution in the Grantee’s duties, authorities, or responsibilities; (2) a material reduction of the Grantee’s annual base salary or incentive opportunity under the Company’s short-term incentive program, provided, however, that any reduction that is part of a reduction applicable to all Company executives who report directly to the Company’s Chief Executive Officer shall not be deemed “Good Reason” hereunder; (3) relocation of the Grantee’s primary workplace beyond a 50-mile radius from its current location; or (4) any material breach by the Company of an Employment Agreement with the Grantee; provided, however, that for purposes of subsection (B) the Grantee’s termination of employment shall not be deemed to be for Good Reason unless (x) the Grantee has notified the Company in writing describing the occurrence of one or more Good Reason events within 90 days of such occurrence, (y) the Company fails to cure such Good Reason event within 30 days after its receipt of such written notice, and (z) the termination of employment occurs within 180 days after the occurrence of the applicable Good Reason event. The Grantee may not invoke termination for Good Reason if Cause exists at the time of such termination.</w:t>
      </w:r>
    </w:p>
    <w:p>
      <w:pPr>
        <w:spacing w:after="0" w:line="199" w:lineRule="exact"/>
        <w:rPr>
          <w:rFonts w:ascii="Times New Roman" w:cs="Times New Roman" w:eastAsia="Times New Roman" w:hAnsi="Times New Roman"/>
          <w:sz w:val="22"/>
          <w:szCs w:val="22"/>
          <w:color w:val="auto"/>
        </w:rPr>
      </w:pPr>
    </w:p>
    <w:p>
      <w:pPr>
        <w:jc w:val="both"/>
        <w:ind w:left="743" w:hanging="743"/>
        <w:spacing w:after="0" w:line="244" w:lineRule="auto"/>
        <w:tabs>
          <w:tab w:leader="none" w:pos="74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Any PRSUs that have not Vested pursuant to this </w:t>
      </w:r>
      <w:r>
        <w:rPr>
          <w:rFonts w:ascii="Times New Roman" w:cs="Times New Roman" w:eastAsia="Times New Roman" w:hAnsi="Times New Roman"/>
          <w:sz w:val="20"/>
          <w:szCs w:val="20"/>
          <w:b w:val="1"/>
          <w:bCs w:val="1"/>
          <w:u w:val="single" w:color="auto"/>
          <w:color w:val="auto"/>
        </w:rPr>
        <w:t>Section 5</w:t>
      </w:r>
      <w:r>
        <w:rPr>
          <w:rFonts w:ascii="Times New Roman" w:cs="Times New Roman" w:eastAsia="Times New Roman" w:hAnsi="Times New Roman"/>
          <w:sz w:val="20"/>
          <w:szCs w:val="20"/>
          <w:color w:val="auto"/>
        </w:rPr>
        <w:t xml:space="preserve"> by the Vesting Date will be forfeited automatically and without further notice on the Vesting Date (or earlier if, and on such date that, Grantee ceases to be an employee of the Company or a Subsidiary prior to the Vesting Date).</w:t>
      </w:r>
    </w:p>
    <w:p>
      <w:pPr>
        <w:spacing w:after="0" w:line="193" w:lineRule="exact"/>
        <w:rPr>
          <w:sz w:val="20"/>
          <w:szCs w:val="20"/>
          <w:color w:val="auto"/>
        </w:rPr>
      </w:pPr>
    </w:p>
    <w:p>
      <w:pPr>
        <w:ind w:left="263" w:hanging="263"/>
        <w:spacing w:after="0"/>
        <w:tabs>
          <w:tab w:leader="none" w:pos="26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Form and Time of Payment of PRSUs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ind w:left="743" w:hanging="743"/>
        <w:spacing w:after="0" w:line="245"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Payment for the PRSUs, after and to the extent they have Vested, shall be made in the form of Common Stock. Except as provided in </w:t>
      </w:r>
      <w:r>
        <w:rPr>
          <w:rFonts w:ascii="Times New Roman" w:cs="Times New Roman" w:eastAsia="Times New Roman" w:hAnsi="Times New Roman"/>
          <w:sz w:val="20"/>
          <w:szCs w:val="20"/>
          <w:b w:val="1"/>
          <w:bCs w:val="1"/>
          <w:u w:val="single" w:color="auto"/>
          <w:color w:val="auto"/>
        </w:rPr>
        <w:t>Section 6(b)</w:t>
      </w:r>
      <w:r>
        <w:rPr>
          <w:rFonts w:ascii="Times New Roman" w:cs="Times New Roman" w:eastAsia="Times New Roman" w:hAnsi="Times New Roman"/>
          <w:sz w:val="20"/>
          <w:szCs w:val="20"/>
          <w:color w:val="auto"/>
        </w:rPr>
        <w:t>, payment shall be made on (or as soon as practicable after) the Vesting Date.</w:t>
      </w:r>
    </w:p>
    <w:p>
      <w:pPr>
        <w:spacing w:after="0" w:line="191" w:lineRule="exact"/>
        <w:rPr>
          <w:rFonts w:ascii="Times New Roman" w:cs="Times New Roman" w:eastAsia="Times New Roman" w:hAnsi="Times New Roman"/>
          <w:sz w:val="22"/>
          <w:szCs w:val="22"/>
          <w:color w:val="auto"/>
        </w:rPr>
      </w:pPr>
    </w:p>
    <w:p>
      <w:pPr>
        <w:jc w:val="both"/>
        <w:ind w:left="743" w:hanging="743"/>
        <w:spacing w:after="0" w:line="244"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b w:val="1"/>
          <w:bCs w:val="1"/>
          <w:u w:val="single" w:color="auto"/>
          <w:color w:val="auto"/>
        </w:rPr>
        <w:t>Section 6(a)</w:t>
      </w:r>
      <w:r>
        <w:rPr>
          <w:rFonts w:ascii="Times New Roman" w:cs="Times New Roman" w:eastAsia="Times New Roman" w:hAnsi="Times New Roman"/>
          <w:sz w:val="20"/>
          <w:szCs w:val="20"/>
          <w:color w:val="auto"/>
        </w:rPr>
        <w:t>, to the extent that the PRSUs are Vested on the date of a Change in Control, Grantee will receive payment for Vested PRSUs on the Change in Control in Common Stock or other form of consideration paid to shareholders of the Company’s Common Stock in connection with such Change in Control.</w:t>
      </w:r>
    </w:p>
    <w:p>
      <w:pPr>
        <w:spacing w:after="0" w:line="197" w:lineRule="exact"/>
        <w:rPr>
          <w:rFonts w:ascii="Times New Roman" w:cs="Times New Roman" w:eastAsia="Times New Roman" w:hAnsi="Times New Roman"/>
          <w:sz w:val="22"/>
          <w:szCs w:val="22"/>
          <w:color w:val="auto"/>
        </w:rPr>
      </w:pPr>
    </w:p>
    <w:p>
      <w:pPr>
        <w:jc w:val="both"/>
        <w:ind w:left="743" w:hanging="743"/>
        <w:spacing w:after="0" w:line="241"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to the extent permissible under Section 409A of the Code and permitted by the Committee, no Common Stock may be issued to the Grantee at a time earlier than otherwise expressly provided in this Agreement. Notwithstanding anything herein to the contrary, the PRSUs will in all events be paid within the short-term deferral period for purposes of Section 409A of the Code.</w:t>
      </w:r>
    </w:p>
    <w:p>
      <w:pPr>
        <w:spacing w:after="0" w:line="200" w:lineRule="exact"/>
        <w:rPr>
          <w:rFonts w:ascii="Times New Roman" w:cs="Times New Roman" w:eastAsia="Times New Roman" w:hAnsi="Times New Roman"/>
          <w:sz w:val="22"/>
          <w:szCs w:val="22"/>
          <w:color w:val="auto"/>
        </w:rPr>
      </w:pPr>
    </w:p>
    <w:p>
      <w:pPr>
        <w:ind w:left="743" w:hanging="743"/>
        <w:spacing w:after="0" w:line="245" w:lineRule="auto"/>
        <w:tabs>
          <w:tab w:leader="none" w:pos="74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Company’s obligations to the Grantee with respect to the Vested PRSUs will be satisfied in full upon the issuance of Common Stock or other consideration paid corresponding to such Vested PRSUs.</w:t>
      </w:r>
    </w:p>
    <w:p>
      <w:pPr>
        <w:spacing w:after="0" w:line="186"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775970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7" w:name="page8"/>
    <w:bookmarkEnd w:id="7"/>
    <w:p>
      <w:pPr>
        <w:jc w:val="both"/>
        <w:ind w:left="1500" w:hanging="743"/>
        <w:spacing w:after="0" w:line="241" w:lineRule="auto"/>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anything herein to the contrary, except as permitted by Section 9, Common Stock paid to the Grantee pursuant to this Agreement may not be sold, assigned, transferred, pledged, hypothecated or otherwise disposed of by the Grantee prior to the first anniversary of the date such Common Stock is paid to the Grantee, unless the Grantee’s employment with the Company and its Subsidiaries is terminated or a Change in Control occurs.</w:t>
      </w:r>
    </w:p>
    <w:p>
      <w:pPr>
        <w:spacing w:after="0" w:line="197" w:lineRule="exact"/>
        <w:rPr>
          <w:sz w:val="20"/>
          <w:szCs w:val="20"/>
          <w:color w:val="auto"/>
        </w:rPr>
      </w:pPr>
    </w:p>
    <w:p>
      <w:pPr>
        <w:ind w:left="1020" w:hanging="263"/>
        <w:spacing w:after="0"/>
        <w:tabs>
          <w:tab w:leader="none" w:pos="10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Dividend Equivalents; Voting and Other Rights</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jc w:val="both"/>
        <w:ind w:left="1500" w:hanging="743"/>
        <w:spacing w:after="0" w:line="242" w:lineRule="auto"/>
        <w:tabs>
          <w:tab w:leader="none" w:pos="1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Grantee shall have no rights of ownership in the Common Stock underlying the PRSUs and no right to vote the Common Stock underlying the PRSUs until the date on which the Common Stock underlying the PRSUs is issued or transferred to the Grantee pursuant to </w:t>
      </w:r>
      <w:r>
        <w:rPr>
          <w:rFonts w:ascii="Times New Roman" w:cs="Times New Roman" w:eastAsia="Times New Roman" w:hAnsi="Times New Roman"/>
          <w:sz w:val="20"/>
          <w:szCs w:val="20"/>
          <w:b w:val="1"/>
          <w:bCs w:val="1"/>
          <w:u w:val="single" w:color="auto"/>
          <w:color w:val="auto"/>
        </w:rPr>
        <w:t>Section 6</w:t>
      </w:r>
      <w:r>
        <w:rPr>
          <w:rFonts w:ascii="Times New Roman" w:cs="Times New Roman" w:eastAsia="Times New Roman" w:hAnsi="Times New Roman"/>
          <w:sz w:val="20"/>
          <w:szCs w:val="20"/>
          <w:color w:val="auto"/>
        </w:rPr>
        <w:t xml:space="preserve"> above.</w:t>
      </w:r>
    </w:p>
    <w:p>
      <w:pPr>
        <w:spacing w:after="0" w:line="199" w:lineRule="exact"/>
        <w:rPr>
          <w:rFonts w:ascii="Times New Roman" w:cs="Times New Roman" w:eastAsia="Times New Roman" w:hAnsi="Times New Roman"/>
          <w:sz w:val="22"/>
          <w:szCs w:val="22"/>
          <w:color w:val="auto"/>
        </w:rPr>
      </w:pPr>
    </w:p>
    <w:p>
      <w:pPr>
        <w:jc w:val="both"/>
        <w:ind w:left="1500" w:hanging="743"/>
        <w:spacing w:after="0"/>
        <w:tabs>
          <w:tab w:leader="none" w:pos="1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From and after the Date of Grant and until the earlier of (i) the time when applicable PRSUs Vest in accordance with </w:t>
      </w:r>
      <w:r>
        <w:rPr>
          <w:rFonts w:ascii="Times New Roman" w:cs="Times New Roman" w:eastAsia="Times New Roman" w:hAnsi="Times New Roman"/>
          <w:sz w:val="20"/>
          <w:szCs w:val="20"/>
          <w:b w:val="1"/>
          <w:bCs w:val="1"/>
          <w:u w:val="single" w:color="auto"/>
          <w:color w:val="auto"/>
        </w:rPr>
        <w:t>Section 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 or (ii) the time when the Grantee’s right to receive payment of applicable PRSUs is forfeited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b w:val="1"/>
          <w:bCs w:val="1"/>
          <w:u w:val="single" w:color="auto"/>
          <w:color w:val="auto"/>
        </w:rPr>
        <w:t>Section 5</w:t>
      </w:r>
      <w:r>
        <w:rPr>
          <w:rFonts w:ascii="Times New Roman" w:cs="Times New Roman" w:eastAsia="Times New Roman" w:hAnsi="Times New Roman"/>
          <w:sz w:val="20"/>
          <w:szCs w:val="20"/>
          <w:color w:val="auto"/>
        </w:rPr>
        <w:t xml:space="preserve"> hereof, on the date that the Company pays a cash dividend (if any) to holders of Common Stock generally, the Grantee shall be credited with cash per outstanding PRSU equal to the amount of such dividend. Any amounts credited pursuant to the immediately preceding sentence shall be subject to the same applicable terms and conditions (including Vesting, payment, application of the payout percentage, and forfeitability) as apply to the PRSUs based on which the dividend equivalents were credited, and such amounts shall be paid in cash at the same time as the PRSUs to which they relate are settled.</w:t>
      </w:r>
    </w:p>
    <w:p>
      <w:pPr>
        <w:spacing w:after="0" w:line="202"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obligations of the Company under this Agreement will be merely that of an unfunded and unsecured promise of the Company to deliver Common Stock or other payment in the future, and the rights of the Grantee will be no greater than that of an unsecured general creditor. No assets of the Company will be held or set aside as security for the obligations of the Company under this Agreement.</w:t>
      </w:r>
    </w:p>
    <w:p>
      <w:pPr>
        <w:spacing w:after="0" w:line="197" w:lineRule="exact"/>
        <w:rPr>
          <w:sz w:val="20"/>
          <w:szCs w:val="20"/>
          <w:color w:val="auto"/>
        </w:rPr>
      </w:pPr>
    </w:p>
    <w:p>
      <w:pPr>
        <w:ind w:firstLine="757"/>
        <w:spacing w:after="0" w:line="249" w:lineRule="auto"/>
        <w:tabs>
          <w:tab w:leader="none" w:pos="10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Adjustments</w:t>
      </w:r>
      <w:r>
        <w:rPr>
          <w:rFonts w:ascii="Times New Roman" w:cs="Times New Roman" w:eastAsia="Times New Roman" w:hAnsi="Times New Roman"/>
          <w:sz w:val="20"/>
          <w:szCs w:val="20"/>
          <w:color w:val="auto"/>
        </w:rPr>
        <w:t>. The PRSUs and the number of shares of Common Stock issuable for each PRSU, and the other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the grant evidenced by this Agreement, are subject to mandatory adjustment, including as provided in Section 11 of the Plan.</w:t>
      </w:r>
    </w:p>
    <w:p>
      <w:pPr>
        <w:spacing w:after="0" w:line="187" w:lineRule="exact"/>
        <w:rPr>
          <w:rFonts w:ascii="Times New Roman" w:cs="Times New Roman" w:eastAsia="Times New Roman" w:hAnsi="Times New Roman"/>
          <w:sz w:val="22"/>
          <w:szCs w:val="22"/>
          <w:color w:val="auto"/>
        </w:rPr>
      </w:pPr>
    </w:p>
    <w:p>
      <w:pPr>
        <w:jc w:val="both"/>
        <w:ind w:firstLine="757"/>
        <w:spacing w:after="0"/>
        <w:tabs>
          <w:tab w:leader="none" w:pos="101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Withholding Taxes</w:t>
      </w:r>
      <w:r>
        <w:rPr>
          <w:rFonts w:ascii="Times New Roman" w:cs="Times New Roman" w:eastAsia="Times New Roman" w:hAnsi="Times New Roman"/>
          <w:sz w:val="20"/>
          <w:szCs w:val="20"/>
          <w:color w:val="auto"/>
        </w:rPr>
        <w:t>. To the extent that the Company is required to withhold federal, state, local or foreign taxes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amounts in connection with the delivery to the Grantee of Common Stock or any other payment to the Grantee or any other payment or vesting event under this Agreement, the Grantee agrees that the Company will withhold any taxes or other amounts required to be withheld by the Company under federal, state, local or foreign law as a result of the settlement of the PRSUs in an amount sufficient to satisfy the such withholding obligations. If permitted by applicable law, the Company shall retain such number of shares of Common Stock otherwise deliverable hereunder in satisfaction of all or any portion of such taxes. The shares so retained shall be credited against any such withholding requirement at the market value of such Common Stock on the date of such delivery. In no event will the market value of the Common Shares to be withheld and/or delivered pursuant to this </w:t>
      </w:r>
      <w:r>
        <w:rPr>
          <w:rFonts w:ascii="Times New Roman" w:cs="Times New Roman" w:eastAsia="Times New Roman" w:hAnsi="Times New Roman"/>
          <w:sz w:val="20"/>
          <w:szCs w:val="20"/>
          <w:b w:val="1"/>
          <w:bCs w:val="1"/>
          <w:u w:val="single" w:color="auto"/>
          <w:color w:val="auto"/>
        </w:rPr>
        <w:t>Section 9</w:t>
      </w:r>
      <w:r>
        <w:rPr>
          <w:rFonts w:ascii="Times New Roman" w:cs="Times New Roman" w:eastAsia="Times New Roman" w:hAnsi="Times New Roman"/>
          <w:sz w:val="20"/>
          <w:szCs w:val="20"/>
          <w:color w:val="auto"/>
        </w:rPr>
        <w:t xml:space="preserve"> to satisfy applicable withholding taxes exceed the maximum statutory amount of taxes that could be required to be withheld. To the extent the Company is unable to withhold shares in an amount sufficient to satisfy the Grantee’s tax withholding obligations, then the Company may deduct such taxes from cash payments due hereunder or from other compensation owed to the Grantee, or the Company may require the Grantee to make arrangements satisfactory to the Company for payment of the balance of such taxes or other amounts required to be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color w:val="auto"/>
        </w:rPr>
        <w:t>withheld as a condition to the obligation of the Company to make any delivery of Common Stock or payment hereunder.</w:t>
      </w:r>
    </w:p>
    <w:p>
      <w:pPr>
        <w:spacing w:after="0" w:line="211"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9"/>
          <w:szCs w:val="19"/>
          <w:b w:val="1"/>
          <w:bCs w:val="1"/>
          <w:u w:val="single" w:color="auto"/>
          <w:color w:val="auto"/>
        </w:rPr>
        <w:t>Compliance With Law</w:t>
      </w:r>
      <w:r>
        <w:rPr>
          <w:rFonts w:ascii="Times New Roman" w:cs="Times New Roman" w:eastAsia="Times New Roman" w:hAnsi="Times New Roman"/>
          <w:sz w:val="19"/>
          <w:szCs w:val="19"/>
          <w:color w:val="auto"/>
        </w:rPr>
        <w:t>. The Company shall make reasonable efforts to comply with all applicable federal and state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6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19"/>
          <w:szCs w:val="19"/>
          <w:b w:val="1"/>
          <w:bCs w:val="1"/>
          <w:u w:val="single" w:color="auto"/>
          <w:color w:val="auto"/>
        </w:rPr>
        <w:t>Compliance With or Exemption From Section 409A of the Code</w:t>
      </w:r>
      <w:r>
        <w:rPr>
          <w:rFonts w:ascii="Times New Roman" w:cs="Times New Roman" w:eastAsia="Times New Roman" w:hAnsi="Times New Roman"/>
          <w:sz w:val="19"/>
          <w:szCs w:val="19"/>
          <w:color w:val="auto"/>
        </w:rPr>
        <w:t>. To the extent applicable, it is intended that this Agreement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70" w:lineRule="exact"/>
        <w:rPr>
          <w:sz w:val="20"/>
          <w:szCs w:val="20"/>
          <w:color w:val="auto"/>
        </w:rPr>
      </w:pPr>
    </w:p>
    <w:p>
      <w:pPr>
        <w:jc w:val="both"/>
        <w:ind w:right="20" w:firstLine="749"/>
        <w:spacing w:after="0" w:line="263"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19"/>
          <w:szCs w:val="19"/>
          <w:b w:val="1"/>
          <w:bCs w:val="1"/>
          <w:u w:val="single" w:color="auto"/>
          <w:color w:val="auto"/>
        </w:rPr>
        <w:t>Interpretation</w:t>
      </w:r>
      <w:r>
        <w:rPr>
          <w:rFonts w:ascii="Times New Roman" w:cs="Times New Roman" w:eastAsia="Times New Roman" w:hAnsi="Times New Roman"/>
          <w:sz w:val="19"/>
          <w:szCs w:val="19"/>
          <w:color w:val="auto"/>
        </w:rPr>
        <w:t>. Any reference in this Agreement to Section 409A of the Code will also include any proposed, temporary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final regulations, or any other guidance, promulgated with respect to such Section by the U.S. Department of the Treasury or the Internal Revenue Service.</w:t>
      </w:r>
    </w:p>
    <w:p>
      <w:pPr>
        <w:spacing w:after="0" w:line="16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19"/>
          <w:szCs w:val="19"/>
          <w:b w:val="1"/>
          <w:bCs w:val="1"/>
          <w:u w:val="single" w:color="auto"/>
          <w:color w:val="auto"/>
        </w:rPr>
        <w:t>No Right to Future Awards or Employment</w:t>
      </w:r>
      <w:r>
        <w:rPr>
          <w:rFonts w:ascii="Times New Roman" w:cs="Times New Roman" w:eastAsia="Times New Roman" w:hAnsi="Times New Roman"/>
          <w:sz w:val="19"/>
          <w:szCs w:val="19"/>
          <w:color w:val="auto"/>
        </w:rPr>
        <w:t>. The grant of the PRSUs under this Agreement to the Grantee is a voluntary,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discretionary award being made on a one-time basis and it does not constitute a commitment to make any future awards.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200" w:lineRule="exact"/>
        <w:rPr>
          <w:sz w:val="20"/>
          <w:szCs w:val="20"/>
          <w:color w:val="auto"/>
        </w:rPr>
      </w:pPr>
    </w:p>
    <w:p>
      <w:pPr>
        <w:spacing w:after="0" w:line="21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19"/>
          <w:szCs w:val="19"/>
          <w:b w:val="1"/>
          <w:bCs w:val="1"/>
          <w:u w:val="single" w:color="auto"/>
          <w:color w:val="auto"/>
        </w:rPr>
        <w:t>Relation to Other Benefits</w:t>
      </w:r>
      <w:r>
        <w:rPr>
          <w:rFonts w:ascii="Times New Roman" w:cs="Times New Roman" w:eastAsia="Times New Roman" w:hAnsi="Times New Roman"/>
          <w:sz w:val="19"/>
          <w:szCs w:val="19"/>
          <w:color w:val="auto"/>
        </w:rPr>
        <w:t>. Any economic or other benefit to the Grantee under this Agreement or the Plan shall not be taken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 The grant of the PRSUs and any payments made hereunder will not be considered salary or other compensation for purposes of any severance pay or similar allowance, except as otherwise required by law.</w:t>
      </w:r>
    </w:p>
    <w:p>
      <w:pPr>
        <w:spacing w:after="0" w:line="17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19"/>
          <w:szCs w:val="19"/>
          <w:b w:val="1"/>
          <w:bCs w:val="1"/>
          <w:u w:val="single" w:color="auto"/>
          <w:color w:val="auto"/>
        </w:rPr>
        <w:t>Amendments</w:t>
      </w:r>
      <w:r>
        <w:rPr>
          <w:rFonts w:ascii="Times New Roman" w:cs="Times New Roman" w:eastAsia="Times New Roman" w:hAnsi="Times New Roman"/>
          <w:sz w:val="19"/>
          <w:szCs w:val="19"/>
          <w:color w:val="auto"/>
        </w:rPr>
        <w:t>. Any amendment to the Plan shall be deemed to be an amendment to this Agreement to the extent that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amendment is applicable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except as permitted by the Plan or the terms of this Agreement,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-36830</wp:posOffset>
            </wp:positionV>
            <wp:extent cx="31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color w:val="auto"/>
        </w:rPr>
        <w:t>. In the event that one or more of the provisions of this Agreement shall be invalidated for any reason by a court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competent jurisdiction, any provision so invalidated shall be deemed amended to the minimum extent needed to cause such provision to be valid, or if such amendment is not possible, then such provision shall be deemed separable from the other provisions hereof, and the remaining provisions hereof shall continue to be valid and fully enforceable.</w:t>
      </w:r>
    </w:p>
    <w:p>
      <w:pPr>
        <w:spacing w:after="0" w:line="177" w:lineRule="exact"/>
        <w:rPr>
          <w:sz w:val="20"/>
          <w:szCs w:val="20"/>
          <w:color w:val="auto"/>
        </w:rPr>
      </w:pPr>
    </w:p>
    <w:p>
      <w:pPr>
        <w:jc w:val="both"/>
        <w:ind w:right="20" w:firstLine="749"/>
        <w:spacing w:after="0" w:line="277"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19"/>
          <w:szCs w:val="19"/>
          <w:b w:val="1"/>
          <w:bCs w:val="1"/>
          <w:u w:val="single" w:color="auto"/>
          <w:color w:val="auto"/>
        </w:rPr>
        <w:t>Relation to Plan</w:t>
      </w:r>
      <w:r>
        <w:rPr>
          <w:rFonts w:ascii="Times New Roman" w:cs="Times New Roman" w:eastAsia="Times New Roman" w:hAnsi="Times New Roman"/>
          <w:sz w:val="19"/>
          <w:szCs w:val="19"/>
          <w:color w:val="auto"/>
        </w:rPr>
        <w:t>. This Agreement is subject to the terms and conditions of the Plan. In the event of any inconsistency between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provisions of this Agreement and the Plan, the Plan shall govern.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both"/>
        <w:spacing w:after="0" w:line="243" w:lineRule="auto"/>
        <w:rPr>
          <w:sz w:val="20"/>
          <w:szCs w:val="20"/>
          <w:color w:val="auto"/>
        </w:rPr>
      </w:pPr>
      <w:r>
        <w:rPr>
          <w:rFonts w:ascii="Times New Roman" w:cs="Times New Roman" w:eastAsia="Times New Roman" w:hAnsi="Times New Roman"/>
          <w:sz w:val="20"/>
          <w:szCs w:val="20"/>
          <w:color w:val="auto"/>
        </w:rPr>
        <w:t>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Times New Roman" w:cs="Times New Roman" w:eastAsia="Times New Roman" w:hAnsi="Times New Roman"/>
          <w:sz w:val="20"/>
          <w:szCs w:val="20"/>
          <w:b w:val="1"/>
          <w:bCs w:val="1"/>
          <w:i w:val="1"/>
          <w:iCs w:val="1"/>
          <w:color w:val="auto"/>
        </w:rPr>
        <w:t>Compensation Recovery Policy</w:t>
      </w:r>
      <w:r>
        <w:rPr>
          <w:rFonts w:ascii="Times New Roman" w:cs="Times New Roman" w:eastAsia="Times New Roman" w:hAnsi="Times New Roman"/>
          <w:sz w:val="20"/>
          <w:szCs w:val="20"/>
          <w:color w:val="auto"/>
        </w:rPr>
        <w:t>”), and that relevant sections of this Agreement shall be deemed superseded by and subject to the terms and conditions of the Compensation Recovery Policy from and after the effective date thereof.</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19"/>
          <w:szCs w:val="19"/>
          <w:b w:val="1"/>
          <w:bCs w:val="1"/>
          <w:u w:val="single" w:color="auto"/>
          <w:color w:val="auto"/>
        </w:rPr>
        <w:t>Electronic Delivery</w:t>
      </w:r>
      <w:r>
        <w:rPr>
          <w:rFonts w:ascii="Times New Roman" w:cs="Times New Roman" w:eastAsia="Times New Roman" w:hAnsi="Times New Roman"/>
          <w:sz w:val="19"/>
          <w:szCs w:val="19"/>
          <w:color w:val="auto"/>
        </w:rPr>
        <w:t>. The Company may, in its sole discretion, deliver any documents related to the PRSUs and the Grantee’s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18" w:lineRule="exact"/>
        <w:rPr>
          <w:sz w:val="20"/>
          <w:szCs w:val="20"/>
          <w:color w:val="auto"/>
        </w:rPr>
      </w:pPr>
    </w:p>
    <w:p>
      <w:pPr>
        <w:jc w:val="both"/>
        <w:ind w:firstLine="749"/>
        <w:spacing w:after="0" w:line="277"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This Agreement shall be governed by and construed with the internal substantive laws of the State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Delaware, without giving effect to any principle of law that would result in the application of the law of any other jurisdiction.</w:t>
      </w:r>
    </w:p>
    <w:p>
      <w:pPr>
        <w:spacing w:after="0" w:line="14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 Without limiting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hereof, the provisions of this Agreement shall inure to the benefit of,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 binding upon, the successors, administrators, heirs, legal representatives and assigns of the Grantee, and the successors and assigns of the Company.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19"/>
          <w:szCs w:val="19"/>
          <w:b w:val="1"/>
          <w:bCs w:val="1"/>
          <w:u w:val="single" w:color="auto"/>
          <w:color w:val="auto"/>
        </w:rPr>
        <w:t>Acknowledgement</w:t>
      </w:r>
      <w:r>
        <w:rPr>
          <w:rFonts w:ascii="Times New Roman" w:cs="Times New Roman" w:eastAsia="Times New Roman" w:hAnsi="Times New Roman"/>
          <w:sz w:val="19"/>
          <w:szCs w:val="19"/>
          <w:color w:val="auto"/>
        </w:rPr>
        <w:t>. The Grantee acknowledges that the Grantee (a) has received a copy of the Plan and the Plan’s prospectus,</w:t>
      </w:r>
    </w:p>
    <w:p>
      <w:pPr>
        <w:spacing w:after="0" w:line="17" w:lineRule="exact"/>
        <w:rPr>
          <w:sz w:val="20"/>
          <w:szCs w:val="20"/>
          <w:color w:val="auto"/>
        </w:rPr>
      </w:pPr>
    </w:p>
    <w:p>
      <w:pPr>
        <w:ind w:firstLine="8"/>
        <w:spacing w:after="0" w:line="246" w:lineRule="auto"/>
        <w:tabs>
          <w:tab w:leader="none" w:pos="29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had an opportunity to review the terms of this Agreement and the Plan, (c) understands the terms and conditions of this Agreement and the Plan and (d) agrees to such terms and conditions.</w:t>
      </w:r>
    </w:p>
    <w:p>
      <w:pPr>
        <w:spacing w:after="0" w:line="177" w:lineRule="exact"/>
        <w:rPr>
          <w:sz w:val="20"/>
          <w:szCs w:val="20"/>
          <w:color w:val="auto"/>
        </w:rPr>
      </w:pPr>
    </w:p>
    <w:p>
      <w:pPr>
        <w:ind w:firstLine="749"/>
        <w:spacing w:after="0" w:line="277"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19"/>
          <w:szCs w:val="19"/>
          <w:b w:val="1"/>
          <w:bCs w:val="1"/>
          <w:u w:val="single" w:color="auto"/>
          <w:color w:val="auto"/>
        </w:rPr>
        <w:t>Counterparts</w:t>
      </w:r>
      <w:r>
        <w:rPr>
          <w:rFonts w:ascii="Times New Roman" w:cs="Times New Roman" w:eastAsia="Times New Roman" w:hAnsi="Times New Roman"/>
          <w:sz w:val="19"/>
          <w:szCs w:val="19"/>
          <w:color w:val="auto"/>
        </w:rPr>
        <w:t>. This Agreement may be executed in one or more counterparts, each of which shall be deemed to be an 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but all of which together will constitute one and the same agreement.</w:t>
      </w:r>
    </w:p>
    <w:p>
      <w:pPr>
        <w:spacing w:after="0" w:line="1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Alyson Richter</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b w:val="1"/>
          <w:bCs w:val="1"/>
          <w:color w:val="auto"/>
        </w:rPr>
        <w:t>Alyson Richter</w:t>
      </w:r>
    </w:p>
    <w:p>
      <w:pPr>
        <w:ind w:left="488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b w:val="1"/>
          <w:bCs w:val="1"/>
          <w:color w:val="auto"/>
        </w:rPr>
        <w:t>Acting General Counsel and Corporate Secretary</w:t>
      </w: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Grantee Acknowledgment and Acceptance</w:t>
      </w: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K. Johansson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2"/>
    </w:lvl>
    <w:lvl w:ilvl="1">
      <w:lvlJc w:val="left"/>
      <w:lvlText w:val="(%2)"/>
      <w:numFmt w:val="lowerRoman"/>
      <w:start w:val="1"/>
    </w:lvl>
  </w:abstractNum>
  <w:abstractNum w:abstractNumId="4">
    <w:nsid w:val="12200854"/>
    <w:multiLevelType w:val="hybridMultilevel"/>
    <w:lvl w:ilvl="0">
      <w:lvlJc w:val="left"/>
      <w:lvlText w:val="(%1)"/>
      <w:numFmt w:val="lowerRoman"/>
      <w:start w:val="2"/>
    </w:lvl>
  </w:abstractNum>
  <w:abstractNum w:abstractNumId="5">
    <w:nsid w:val="4DB127F8"/>
    <w:multiLevelType w:val="hybridMultilevel"/>
    <w:lvl w:ilvl="0">
      <w:lvlJc w:val="left"/>
      <w:lvlText w:val="%1"/>
      <w:numFmt w:val="lowerLetter"/>
      <w:start w:val="1"/>
    </w:lvl>
    <w:lvl w:ilvl="1">
      <w:lvlJc w:val="left"/>
      <w:lvlText w:val="(%2)"/>
      <w:numFmt w:val="lowerLetter"/>
      <w:start w:val="22"/>
    </w:lvl>
  </w:abstractNum>
  <w:abstractNum w:abstractNumId="6">
    <w:nsid w:val="216231B"/>
    <w:multiLevelType w:val="hybridMultilevel"/>
    <w:lvl w:ilvl="0">
      <w:lvlJc w:val="left"/>
      <w:lvlText w:val="(%1)"/>
      <w:numFmt w:val="lowerLetter"/>
      <w:start w:val="3"/>
    </w:lvl>
    <w:lvl w:ilvl="1">
      <w:lvlJc w:val="left"/>
      <w:lvlText w:val="%2"/>
      <w:numFmt w:val="lowerLetter"/>
      <w:start w:val="1"/>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5"/>
    </w:lvl>
  </w:abstractNum>
  <w:abstractNum w:abstractNumId="10">
    <w:nsid w:val="140E0F76"/>
    <w:multiLevelType w:val="hybridMultilevel"/>
    <w:lvl w:ilvl="0">
      <w:lvlJc w:val="left"/>
      <w:lvlText w:val="%1."/>
      <w:numFmt w:val="decimal"/>
      <w:start w:val="7"/>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8"/>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2025-09-16T11:22:30Z</dcterms:created>
  <dcterms:modified xsi:type="dcterms:W3CDTF">2025-09-16T11:22:30Z</dcterms:modified>
</cp:coreProperties>
</file>