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8"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300" w:type="dxa"/>
        <w:tblCellMar>
          <w:top w:w="0" w:type="dxa"/>
          <w:left w:w="0" w:type="dxa"/>
          <w:bottom w:w="0" w:type="dxa"/>
          <w:right w:w="0" w:type="dxa"/>
        </w:tblCellMar>
      </w:tblPr>
      <w:tr>
        <w:trPr>
          <w:trHeight w:val="229"/>
        </w:trPr>
        <w:tc>
          <w:tcPr>
            <w:tcW w:w="292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000-07099</w:t>
            </w:r>
          </w:p>
        </w:tc>
        <w:tc>
          <w:tcPr>
            <w:tcW w:w="218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13-2566064</w:t>
            </w:r>
          </w:p>
        </w:tc>
      </w:tr>
      <w:tr>
        <w:trPr>
          <w:trHeight w:val="216"/>
        </w:trPr>
        <w:tc>
          <w:tcPr>
            <w:tcW w:w="292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(State or other jurisdiction of</w:t>
            </w:r>
          </w:p>
        </w:tc>
        <w:tc>
          <w:tcPr>
            <w:tcW w:w="2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(Commission</w:t>
            </w:r>
          </w:p>
        </w:tc>
        <w:tc>
          <w:tcPr>
            <w:tcW w:w="2180" w:type="dxa"/>
            <w:vAlign w:val="bottom"/>
          </w:tcPr>
          <w:p>
            <w:pPr>
              <w:jc w:val="center"/>
              <w:ind w:left="6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92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incorporation or organization)</w:t>
            </w:r>
          </w:p>
        </w:tc>
        <w:tc>
          <w:tcPr>
            <w:tcW w:w="2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File Number)</w:t>
            </w:r>
          </w:p>
        </w:tc>
        <w:tc>
          <w:tcPr>
            <w:tcW w:w="218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1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14651 North Dallas Parkway</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0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Matthew Eckl</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(214) 357-6181</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520" w:right="2320" w:hanging="512"/>
        <w:spacing w:after="0" w:line="277"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sectPr>
      </w:pPr>
    </w:p>
    <w:bookmarkStart w:id="1" w:name="page2"/>
    <w:bookmarkEnd w:id="1"/>
    <w:p>
      <w:pPr>
        <w:ind w:left="3840"/>
        <w:spacing w:after="0"/>
        <w:tabs>
          <w:tab w:leader="none" w:pos="52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Conflict Minerals Disclosure</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Conflict Minerals Disclosure</w:t>
      </w:r>
    </w:p>
    <w:p>
      <w:pPr>
        <w:spacing w:after="0" w:line="229" w:lineRule="exact"/>
        <w:rPr>
          <w:sz w:val="20"/>
          <w:szCs w:val="20"/>
          <w:color w:val="auto"/>
        </w:rPr>
      </w:pPr>
    </w:p>
    <w:p>
      <w:pPr>
        <w:ind w:right="140" w:firstLine="864"/>
        <w:spacing w:after="0" w:line="308" w:lineRule="auto"/>
        <w:rPr>
          <w:sz w:val="20"/>
          <w:szCs w:val="20"/>
          <w:color w:val="auto"/>
        </w:rPr>
      </w:pPr>
      <w:r>
        <w:rPr>
          <w:rFonts w:ascii="Arial" w:cs="Arial" w:eastAsia="Arial" w:hAnsi="Arial"/>
          <w:sz w:val="17"/>
          <w:szCs w:val="17"/>
          <w:color w:val="auto"/>
        </w:rPr>
        <w:t>CECO Environmental Corp.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2020 to December 31, 2020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06"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w:t>
      </w:r>
      <w:r>
        <w:rPr>
          <w:rFonts w:ascii="Arial" w:cs="Arial" w:eastAsia="Arial" w:hAnsi="Arial"/>
          <w:sz w:val="16"/>
          <w:szCs w:val="16"/>
          <w:b w:val="1"/>
          <w:bCs w:val="1"/>
          <w:color w:val="auto"/>
        </w:rPr>
        <w:t>conflict minerals</w:t>
      </w:r>
      <w:r>
        <w:rPr>
          <w:rFonts w:ascii="Arial" w:cs="Arial" w:eastAsia="Arial" w:hAnsi="Arial"/>
          <w:sz w:val="16"/>
          <w:szCs w:val="16"/>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2" w:lineRule="exact"/>
        <w:rPr>
          <w:sz w:val="20"/>
          <w:szCs w:val="20"/>
          <w:color w:val="auto"/>
        </w:rPr>
      </w:pPr>
    </w:p>
    <w:p>
      <w:pPr>
        <w:jc w:val="both"/>
        <w:ind w:right="60" w:firstLine="8"/>
        <w:spacing w:after="0" w:line="255"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w:t>
      </w:r>
    </w:p>
    <w:p>
      <w:pPr>
        <w:spacing w:after="0" w:line="163"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http://www.cecoenviro.com/sec-filings. The content on, or accessible through, any website referred to in this Form SD is not incorporated by reference into this Form SD unless expressly noted.</w:t>
      </w:r>
    </w:p>
    <w:p>
      <w:pPr>
        <w:spacing w:after="0" w:line="13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181" w:lineRule="exact"/>
        <w:rPr>
          <w:sz w:val="20"/>
          <w:szCs w:val="20"/>
          <w:color w:val="auto"/>
        </w:rPr>
      </w:pPr>
    </w:p>
    <w:p>
      <w:pPr>
        <w:ind w:left="4620"/>
        <w:spacing w:after="0"/>
        <w:tabs>
          <w:tab w:leader="none" w:pos="59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exhibit is filed as part of this Form SD.</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3" w:lineRule="exact"/>
        <w:rPr>
          <w:sz w:val="20"/>
          <w:szCs w:val="20"/>
          <w:color w:val="auto"/>
        </w:rPr>
      </w:pPr>
    </w:p>
    <w:p>
      <w:pPr>
        <w:ind w:left="260"/>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Conflict Minerals Report of CECO Environmental Corp.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00" w:type="dxa"/>
            <w:vAlign w:val="bottom"/>
            <w:gridSpan w:val="2"/>
          </w:tcPr>
          <w:p>
            <w:pPr>
              <w:jc w:val="right"/>
              <w:ind w:right="2030"/>
              <w:spacing w:after="0"/>
              <w:rPr>
                <w:sz w:val="20"/>
                <w:szCs w:val="20"/>
                <w:color w:val="auto"/>
              </w:rPr>
            </w:pPr>
            <w:r>
              <w:rPr>
                <w:rFonts w:ascii="Arial" w:cs="Arial" w:eastAsia="Arial" w:hAnsi="Arial"/>
                <w:sz w:val="18"/>
                <w:szCs w:val="18"/>
                <w:color w:val="auto"/>
                <w:w w:val="96"/>
              </w:rPr>
              <w:t>By: /s/ Matthew Eckl</w:t>
            </w:r>
          </w:p>
        </w:tc>
        <w:tc>
          <w:tcPr>
            <w:tcW w:w="138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May 27, 2021</w:t>
            </w:r>
          </w:p>
        </w:tc>
      </w:tr>
      <w:tr>
        <w:trPr>
          <w:trHeight w:val="236"/>
        </w:trPr>
        <w:tc>
          <w:tcPr>
            <w:tcW w:w="34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Eckl</w:t>
            </w:r>
          </w:p>
        </w:tc>
        <w:tc>
          <w:tcPr>
            <w:tcW w:w="138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30"/>
        </w:trPr>
        <w:tc>
          <w:tcPr>
            <w:tcW w:w="3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656"/>
        </w:trPr>
        <w:tc>
          <w:tcPr>
            <w:tcW w:w="3700" w:type="dxa"/>
            <w:vAlign w:val="bottom"/>
            <w:gridSpan w:val="2"/>
          </w:tcPr>
          <w:p>
            <w:pPr>
              <w:jc w:val="right"/>
              <w:ind w:right="2430"/>
              <w:spacing w:after="0"/>
              <w:rPr>
                <w:sz w:val="20"/>
                <w:szCs w:val="20"/>
                <w:color w:val="auto"/>
              </w:rPr>
            </w:pPr>
            <w:r>
              <w:rPr>
                <w:rFonts w:ascii="Arial" w:cs="Arial" w:eastAsia="Arial" w:hAnsi="Arial"/>
                <w:sz w:val="18"/>
                <w:szCs w:val="18"/>
                <w:color w:val="auto"/>
              </w:rPr>
              <w:t>- 3 -</w:t>
            </w:r>
          </w:p>
        </w:tc>
        <w:tc>
          <w:tcPr>
            <w:tcW w:w="13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2"/>
        </w:trPr>
        <w:tc>
          <w:tcPr>
            <w:tcW w:w="3700" w:type="dxa"/>
            <w:vAlign w:val="bottom"/>
            <w:gridSpan w:val="2"/>
          </w:tcPr>
          <w:p>
            <w:pPr>
              <w:jc w:val="right"/>
              <w:ind w:right="2430"/>
              <w:spacing w:after="0"/>
              <w:rPr>
                <w:sz w:val="20"/>
                <w:szCs w:val="20"/>
                <w:color w:val="auto"/>
              </w:rPr>
            </w:pPr>
            <w:r>
              <w:rPr>
                <w:rFonts w:ascii="Arial" w:cs="Arial" w:eastAsia="Arial" w:hAnsi="Arial"/>
                <w:sz w:val="14"/>
                <w:szCs w:val="14"/>
                <w:color w:val="auto"/>
                <w:w w:val="96"/>
              </w:rPr>
              <w:t>NAI-1517762963v1</w:t>
            </w:r>
          </w:p>
        </w:tc>
        <w:tc>
          <w:tcPr>
            <w:tcW w:w="1380" w:type="dxa"/>
            <w:vAlign w:val="bottom"/>
          </w:tcPr>
          <w:p>
            <w:pPr>
              <w:spacing w:after="0"/>
              <w:rPr>
                <w:sz w:val="15"/>
                <w:szCs w:val="15"/>
                <w:color w:val="auto"/>
              </w:rPr>
            </w:pPr>
          </w:p>
        </w:tc>
        <w:tc>
          <w:tcPr>
            <w:tcW w:w="3360" w:type="dxa"/>
            <w:vAlign w:val="bottom"/>
          </w:tcPr>
          <w:p>
            <w:pPr>
              <w:spacing w:after="0"/>
              <w:rPr>
                <w:sz w:val="15"/>
                <w:szCs w:val="15"/>
                <w:color w:val="auto"/>
              </w:rPr>
            </w:pPr>
          </w:p>
        </w:tc>
      </w:tr>
    </w:tbl>
    <w:p>
      <w:pPr>
        <w:sectPr>
          <w:pgSz w:w="11900" w:h="16838" w:orient="portrait"/>
          <w:cols w:equalWidth="0" w:num="1">
            <w:col w:w="11140"/>
          </w:cols>
          <w:pgMar w:left="320" w:top="432"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2020 to December 31, 2020</w:t>
      </w:r>
    </w:p>
    <w:p>
      <w:pPr>
        <w:spacing w:after="0" w:line="170" w:lineRule="exact"/>
        <w:rPr>
          <w:sz w:val="20"/>
          <w:szCs w:val="20"/>
          <w:color w:val="auto"/>
        </w:rPr>
      </w:pPr>
    </w:p>
    <w:p>
      <w:pPr>
        <w:ind w:right="100" w:firstLine="864"/>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 has been prepared pursuant to Rule 13p-1 and Form SD promulgated under the Securities Exchange Act of 1934 for the reporting period from January 1, 2020 to December 31, 2020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57"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(or coltan, the metal ore from which tantalum is extracted), (b) cassiterite (the metal ore from which tin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37" w:lineRule="exact"/>
        <w:rPr>
          <w:sz w:val="20"/>
          <w:szCs w:val="20"/>
          <w:color w:val="auto"/>
        </w:rPr>
      </w:pPr>
    </w:p>
    <w:p>
      <w:pPr>
        <w:ind w:right="40" w:firstLine="864"/>
        <w:spacing w:after="0" w:line="288"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including its Annual Report on Form 10-K for the year ended December 31, 2020 and subsequent Quarterly Reports on Form 10-Q. The Company makes these statements as of the date of this disclosure, and undertakes no obligation to update them unless otherwise required by law.</w:t>
      </w:r>
    </w:p>
    <w:p>
      <w:pPr>
        <w:spacing w:after="0" w:line="128" w:lineRule="exact"/>
        <w:rPr>
          <w:sz w:val="20"/>
          <w:szCs w:val="20"/>
          <w:color w:val="auto"/>
        </w:rPr>
      </w:pPr>
    </w:p>
    <w:p>
      <w:pPr>
        <w:ind w:right="20" w:firstLine="864"/>
        <w:spacing w:after="0" w:line="271"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the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www.cecoenviro.com/sec-filings. The content on, or accessible through, any website referred to in this Report is not incorporated by reference into this Report unless expressly noted.</w:t>
      </w:r>
    </w:p>
    <w:p>
      <w:pPr>
        <w:spacing w:after="0" w:line="147"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RCOI and Due Diligence Process.</w:t>
      </w:r>
    </w:p>
    <w:p>
      <w:pPr>
        <w:spacing w:after="0" w:line="229" w:lineRule="exact"/>
        <w:rPr>
          <w:sz w:val="20"/>
          <w:szCs w:val="20"/>
          <w:color w:val="auto"/>
        </w:rPr>
      </w:pPr>
    </w:p>
    <w:p>
      <w:pPr>
        <w:ind w:right="160" w:firstLine="864"/>
        <w:spacing w:after="0" w:line="257" w:lineRule="auto"/>
        <w:rPr>
          <w:sz w:val="20"/>
          <w:szCs w:val="20"/>
          <w:color w:val="auto"/>
        </w:rPr>
      </w:pPr>
      <w:r>
        <w:rPr>
          <w:rFonts w:ascii="Arial" w:cs="Arial" w:eastAsia="Arial" w:hAnsi="Arial"/>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Responsible Supply Chain of Minerals from Conflict-Affected and High Risk Areas: Third Edition, including the related supplements on gold, tin, tantalum and tungsten (the “</w:t>
      </w:r>
      <w:r>
        <w:rPr>
          <w:rFonts w:ascii="Arial" w:cs="Arial" w:eastAsia="Arial" w:hAnsi="Arial"/>
          <w:sz w:val="18"/>
          <w:szCs w:val="18"/>
          <w:b w:val="1"/>
          <w:bCs w:val="1"/>
          <w:i w:val="1"/>
          <w:iCs w:val="1"/>
          <w:color w:val="auto"/>
        </w:rPr>
        <w:t>OECD Guidelines</w:t>
      </w:r>
      <w:r>
        <w:rPr>
          <w:rFonts w:ascii="Arial" w:cs="Arial" w:eastAsia="Arial" w:hAnsi="Arial"/>
          <w:sz w:val="18"/>
          <w:szCs w:val="18"/>
          <w:color w:val="auto"/>
        </w:rPr>
        <w:t>”).</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RCOI</w:t>
      </w:r>
    </w:p>
    <w:p>
      <w:pPr>
        <w:spacing w:after="0" w:line="229" w:lineRule="exact"/>
        <w:rPr>
          <w:sz w:val="20"/>
          <w:szCs w:val="20"/>
          <w:color w:val="auto"/>
        </w:rPr>
      </w:pPr>
    </w:p>
    <w:p>
      <w:pPr>
        <w:ind w:right="40" w:firstLine="864"/>
        <w:spacing w:after="0" w:line="273"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51" w:lineRule="exact"/>
        <w:rPr>
          <w:sz w:val="20"/>
          <w:szCs w:val="20"/>
          <w:color w:val="auto"/>
        </w:rPr>
      </w:pPr>
    </w:p>
    <w:p>
      <w:pPr>
        <w:ind w:right="320" w:firstLine="864"/>
        <w:spacing w:after="0" w:line="273"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the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37" w:lineRule="exact"/>
        <w:rPr>
          <w:sz w:val="20"/>
          <w:szCs w:val="20"/>
          <w:color w:val="auto"/>
        </w:rPr>
      </w:pPr>
    </w:p>
    <w:p>
      <w:pPr>
        <w:jc w:val="both"/>
        <w:ind w:right="180" w:firstLine="864"/>
        <w:spacing w:after="0" w:line="263" w:lineRule="auto"/>
        <w:rPr>
          <w:sz w:val="20"/>
          <w:szCs w:val="20"/>
          <w:color w:val="auto"/>
        </w:rPr>
      </w:pPr>
      <w:r>
        <w:rPr>
          <w:rFonts w:ascii="Arial" w:cs="Arial" w:eastAsia="Arial" w:hAnsi="Arial"/>
          <w:sz w:val="18"/>
          <w:szCs w:val="18"/>
          <w:color w:val="auto"/>
        </w:rPr>
        <w:t>The Company operates as a leading global provider of engineered technologies focused on critical solutions in the energy, industrial and fluid handling segments. The Company, with respect to the Reporting Period, reasonably determined that all of its segments’ product groups contained Subject Minerals.</w:t>
      </w:r>
    </w:p>
    <w:p>
      <w:pPr>
        <w:spacing w:after="0" w:line="143" w:lineRule="exact"/>
        <w:rPr>
          <w:sz w:val="20"/>
          <w:szCs w:val="20"/>
          <w:color w:val="auto"/>
        </w:rPr>
      </w:pPr>
    </w:p>
    <w:p>
      <w:pPr>
        <w:ind w:right="220" w:firstLine="864"/>
        <w:spacing w:after="0" w:line="271"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51" w:lineRule="exact"/>
        <w:rPr>
          <w:sz w:val="20"/>
          <w:szCs w:val="20"/>
          <w:color w:val="auto"/>
        </w:rPr>
      </w:pPr>
    </w:p>
    <w:p>
      <w:pPr>
        <w:ind w:right="120" w:firstLine="864"/>
        <w:spacing w:after="0" w:line="263"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43" w:lineRule="exact"/>
        <w:rPr>
          <w:sz w:val="20"/>
          <w:szCs w:val="20"/>
          <w:color w:val="auto"/>
        </w:rPr>
      </w:pPr>
    </w:p>
    <w:p>
      <w:pPr>
        <w:ind w:right="20" w:firstLine="864"/>
        <w:spacing w:after="0" w:line="288" w:lineRule="auto"/>
        <w:rPr>
          <w:sz w:val="20"/>
          <w:szCs w:val="20"/>
          <w:color w:val="auto"/>
        </w:rPr>
      </w:pPr>
      <w:r>
        <w:rPr>
          <w:rFonts w:ascii="Arial" w:cs="Arial" w:eastAsia="Arial" w:hAnsi="Arial"/>
          <w:sz w:val="16"/>
          <w:szCs w:val="16"/>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RCOI procedures are an evolving process.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Due Diligence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Company’s due diligence process is based on the OECD Guidelines. Due diligence measures undertaken by the Company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225" w:lineRule="exact"/>
        <w:rPr>
          <w:sz w:val="20"/>
          <w:szCs w:val="20"/>
          <w:color w:val="auto"/>
        </w:rPr>
      </w:pPr>
    </w:p>
    <w:p>
      <w:pPr>
        <w:ind w:right="40" w:firstLine="864"/>
        <w:spacing w:after="0" w:line="273" w:lineRule="auto"/>
        <w:rPr>
          <w:sz w:val="20"/>
          <w:szCs w:val="20"/>
          <w:color w:val="auto"/>
        </w:rPr>
      </w:pPr>
      <w:r>
        <w:rPr>
          <w:rFonts w:ascii="Arial" w:cs="Arial" w:eastAsia="Arial" w:hAnsi="Arial"/>
          <w:sz w:val="17"/>
          <w:szCs w:val="17"/>
          <w:color w:val="auto"/>
        </w:rPr>
        <w:t>The Company has established an internal team to manage conflict minerals engagement with its suppliers. During the Reporting Period, the Company held meetings with legal advisors, the Company’s Chief Financial Officer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Internal Measures Taken to Strengthen Engagement with Suppliers.</w:t>
      </w:r>
    </w:p>
    <w:p>
      <w:pPr>
        <w:spacing w:after="0" w:line="225" w:lineRule="exact"/>
        <w:rPr>
          <w:sz w:val="20"/>
          <w:szCs w:val="20"/>
          <w:color w:val="auto"/>
        </w:rPr>
      </w:pPr>
    </w:p>
    <w:p>
      <w:pPr>
        <w:ind w:right="40" w:firstLine="864"/>
        <w:spacing w:after="0" w:line="279" w:lineRule="auto"/>
        <w:rPr>
          <w:sz w:val="20"/>
          <w:szCs w:val="20"/>
          <w:color w:val="auto"/>
        </w:rPr>
      </w:pPr>
      <w:r>
        <w:rPr>
          <w:rFonts w:ascii="Arial" w:cs="Arial" w:eastAsia="Arial" w:hAnsi="Arial"/>
          <w:sz w:val="17"/>
          <w:szCs w:val="17"/>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Adoption of Conflict Minerals Policy.</w:t>
      </w:r>
    </w:p>
    <w:p>
      <w:pPr>
        <w:spacing w:after="0" w:line="225" w:lineRule="exact"/>
        <w:rPr>
          <w:sz w:val="20"/>
          <w:szCs w:val="20"/>
          <w:color w:val="auto"/>
        </w:rPr>
      </w:pPr>
    </w:p>
    <w:p>
      <w:pPr>
        <w:ind w:right="120" w:firstLine="864"/>
        <w:spacing w:after="0" w:line="311" w:lineRule="auto"/>
        <w:rPr>
          <w:sz w:val="20"/>
          <w:szCs w:val="20"/>
          <w:color w:val="auto"/>
        </w:rPr>
      </w:pPr>
      <w:r>
        <w:rPr>
          <w:rFonts w:ascii="Arial" w:cs="Arial" w:eastAsia="Arial" w:hAnsi="Arial"/>
          <w:sz w:val="16"/>
          <w:szCs w:val="16"/>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https://investors.cecoenviro.com/conflict-minerals-policy.</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25" w:lineRule="exact"/>
        <w:rPr>
          <w:sz w:val="20"/>
          <w:szCs w:val="20"/>
          <w:color w:val="auto"/>
        </w:rPr>
      </w:pPr>
    </w:p>
    <w:p>
      <w:pPr>
        <w:ind w:right="380" w:firstLine="864"/>
        <w:spacing w:after="0" w:line="308" w:lineRule="auto"/>
        <w:rPr>
          <w:sz w:val="20"/>
          <w:szCs w:val="20"/>
          <w:color w:val="auto"/>
        </w:rPr>
      </w:pPr>
      <w:r>
        <w:rPr>
          <w:rFonts w:ascii="Arial" w:cs="Arial" w:eastAsia="Arial" w:hAnsi="Arial"/>
          <w:sz w:val="17"/>
          <w:szCs w:val="17"/>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25"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minerals reporting compliance and provide meaningful comparisons regarding supply chain transparency across the Company.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2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25"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The Form SD and this Report are publicly available at www.cecoenviro.com/sec-filings and meet the OECD Guidelines’ recommendation to report annually on supply chain due diligence.</w:t>
      </w:r>
    </w:p>
    <w:p>
      <w:pPr>
        <w:spacing w:after="0" w:line="126"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29"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13"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Due Diligence and Risk Mitigation.</w:t>
      </w:r>
    </w:p>
    <w:p>
      <w:pPr>
        <w:spacing w:after="0" w:line="229"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198"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Additional Terms and Conditions / Supplier Code of Conduct</w:t>
      </w:r>
    </w:p>
    <w:p>
      <w:pPr>
        <w:spacing w:after="0" w:line="225"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may establish a supplier code of conduct to prohibit suppliers from supplying the Company with certain conflict minerals originating in the Covered Countries.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expects to continue to improve its supply chain due diligence efforts. Such measures may include, but are not limited to:</w:t>
      </w:r>
    </w:p>
    <w:p>
      <w:pPr>
        <w:spacing w:after="0" w:line="196"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response rate for the RCOI process;</w:t>
      </w:r>
    </w:p>
    <w:p>
      <w:pPr>
        <w:spacing w:after="0" w:line="184" w:lineRule="exact"/>
        <w:rPr>
          <w:rFonts w:ascii="Arial" w:cs="Arial" w:eastAsia="Arial" w:hAnsi="Arial"/>
          <w:sz w:val="18"/>
          <w:szCs w:val="18"/>
          <w:color w:val="auto"/>
        </w:rPr>
      </w:pPr>
    </w:p>
    <w:p>
      <w:pPr>
        <w:ind w:left="880" w:right="400" w:hanging="440"/>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surveying various internal procurement and supply chain personnel for Conflict Mineral policy compliance; continuing to compare RCOI results to information collected via independent conflict free smelter validation programs such as the RMI Responsible Mineral Assurance Process standards; and</w:t>
      </w:r>
    </w:p>
    <w:p>
      <w:pPr>
        <w:spacing w:after="0" w:line="143" w:lineRule="exact"/>
        <w:rPr>
          <w:rFonts w:ascii="Arial" w:cs="Arial" w:eastAsia="Arial" w:hAnsi="Arial"/>
          <w:sz w:val="18"/>
          <w:szCs w:val="18"/>
          <w:color w:val="auto"/>
        </w:rPr>
      </w:pPr>
    </w:p>
    <w:p>
      <w:pPr>
        <w:ind w:left="880" w:right="52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requesting their compliance with an industry program such as the RMI Responsible Mineral Assurance Process standards.</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2021-05-27T11:02:56Z</dcterms:created>
  <dcterms:modified xsi:type="dcterms:W3CDTF">2021-05-27T11:02:56Z</dcterms:modified>
</cp:coreProperties>
</file>