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207645</wp:posOffset>
            </wp:positionH>
            <wp:positionV relativeFrom="page">
              <wp:posOffset>191135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207645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2750820</wp:posOffset>
            </wp:positionH>
            <wp:positionV relativeFrom="paragraph">
              <wp:posOffset>129540</wp:posOffset>
            </wp:positionV>
            <wp:extent cx="1640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2750820</wp:posOffset>
            </wp:positionH>
            <wp:positionV relativeFrom="paragraph">
              <wp:posOffset>148590</wp:posOffset>
            </wp:positionV>
            <wp:extent cx="1640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pacing w:after="0" w:line="361"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CURRENT REPORT</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Pursuant to Section 13 or 15(d)</w:t>
      </w:r>
    </w:p>
    <w:p>
      <w:pPr>
        <w:jc w:val="center"/>
        <w:ind w:right="-3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56"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Date of Report (Date of earliest event reported): May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2750820</wp:posOffset>
            </wp:positionH>
            <wp:positionV relativeFrom="paragraph">
              <wp:posOffset>144780</wp:posOffset>
            </wp:positionV>
            <wp:extent cx="1640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pacing w:after="0" w:line="34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CECO ENVIRONMENTAL CORP.</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2750820</wp:posOffset>
            </wp:positionH>
            <wp:positionV relativeFrom="paragraph">
              <wp:posOffset>130810</wp:posOffset>
            </wp:positionV>
            <wp:extent cx="1640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ectPr>
          <w:pgSz w:w="11900" w:h="16838" w:orient="portrait"/>
          <w:cols w:equalWidth="0" w:num="1">
            <w:col w:w="11200"/>
          </w:cols>
          <w:pgMar w:left="320" w:top="389" w:right="379" w:bottom="1440" w:gutter="0" w:footer="0" w:header="0"/>
        </w:sectPr>
      </w:pPr>
    </w:p>
    <w:p>
      <w:pPr>
        <w:spacing w:after="0" w:line="200" w:lineRule="exact"/>
        <w:rPr>
          <w:sz w:val="24"/>
          <w:szCs w:val="24"/>
          <w:color w:val="auto"/>
        </w:rPr>
      </w:pPr>
    </w:p>
    <w:p>
      <w:pPr>
        <w:spacing w:after="0" w:line="202"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28" w:lineRule="exact"/>
        <w:rPr>
          <w:sz w:val="24"/>
          <w:szCs w:val="24"/>
          <w:color w:val="auto"/>
        </w:rPr>
      </w:pPr>
    </w:p>
    <w:p>
      <w:pPr>
        <w:sectPr>
          <w:pgSz w:w="11900" w:h="16838" w:orient="portrait"/>
          <w:cols w:equalWidth="0" w:num="3">
            <w:col w:w="4580" w:space="720"/>
            <w:col w:w="3000" w:space="720"/>
            <w:col w:w="2180"/>
          </w:cols>
          <w:pgMar w:left="320" w:top="389" w:right="379" w:bottom="1440" w:gutter="0" w:footer="0" w:header="0"/>
          <w:type w:val="continuous"/>
        </w:sectPr>
      </w:pPr>
    </w:p>
    <w:p>
      <w:pPr>
        <w:spacing w:after="0" w:line="19" w:lineRule="exact"/>
        <w:rPr>
          <w:sz w:val="24"/>
          <w:szCs w:val="24"/>
          <w:color w:val="auto"/>
        </w:rPr>
      </w:pPr>
    </w:p>
    <w:p>
      <w:pPr>
        <w:jc w:val="center"/>
        <w:ind w:right="880"/>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8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940" w:space="720"/>
            <w:col w:w="2320"/>
          </w:cols>
          <w:pgMar w:left="320" w:top="389" w:right="379" w:bottom="1440" w:gutter="0" w:footer="0" w:header="0"/>
          <w:type w:val="continuous"/>
        </w:sectPr>
      </w:pPr>
    </w:p>
    <w:p>
      <w:pPr>
        <w:jc w:val="center"/>
        <w:ind w:right="5680"/>
        <w:spacing w:after="0"/>
        <w:rPr>
          <w:sz w:val="20"/>
          <w:szCs w:val="20"/>
          <w:color w:val="auto"/>
        </w:rPr>
      </w:pPr>
      <w:r>
        <w:rPr>
          <w:rFonts w:ascii="Arial" w:cs="Arial" w:eastAsia="Arial" w:hAnsi="Arial"/>
          <w:sz w:val="16"/>
          <w:szCs w:val="16"/>
          <w:b w:val="1"/>
          <w:bCs w:val="1"/>
          <w:color w:val="auto"/>
        </w:rPr>
        <w:t>14651 North Dallas Parkway</w:t>
      </w:r>
    </w:p>
    <w:p>
      <w:pPr>
        <w:spacing w:after="0" w:line="47" w:lineRule="exact"/>
        <w:rPr>
          <w:sz w:val="24"/>
          <w:szCs w:val="24"/>
          <w:color w:val="auto"/>
        </w:rPr>
      </w:pPr>
    </w:p>
    <w:p>
      <w:pPr>
        <w:jc w:val="center"/>
        <w:ind w:right="5680"/>
        <w:spacing w:after="0"/>
        <w:rPr>
          <w:sz w:val="20"/>
          <w:szCs w:val="20"/>
          <w:color w:val="auto"/>
        </w:rPr>
      </w:pPr>
      <w:r>
        <w:rPr>
          <w:rFonts w:ascii="Arial" w:cs="Arial" w:eastAsia="Arial" w:hAnsi="Arial"/>
          <w:sz w:val="18"/>
          <w:szCs w:val="18"/>
          <w:b w:val="1"/>
          <w:bCs w:val="1"/>
          <w:color w:val="auto"/>
        </w:rPr>
        <w:t>Suite 500</w:t>
      </w:r>
    </w:p>
    <w:p>
      <w:pPr>
        <w:sectPr>
          <w:pgSz w:w="11900" w:h="16838" w:orient="portrait"/>
          <w:cols w:equalWidth="0" w:num="1">
            <w:col w:w="11200"/>
          </w:cols>
          <w:pgMar w:left="320" w:top="389" w:right="379" w:bottom="1440" w:gutter="0" w:footer="0" w:header="0"/>
          <w:type w:val="continuous"/>
        </w:sectPr>
      </w:pPr>
    </w:p>
    <w:p>
      <w:pPr>
        <w:spacing w:after="0" w:line="7" w:lineRule="exact"/>
        <w:rPr>
          <w:sz w:val="24"/>
          <w:szCs w:val="24"/>
          <w:color w:val="auto"/>
        </w:rPr>
      </w:pPr>
    </w:p>
    <w:p>
      <w:pPr>
        <w:ind w:left="2340"/>
        <w:spacing w:after="0"/>
        <w:rPr>
          <w:sz w:val="20"/>
          <w:szCs w:val="20"/>
          <w:color w:val="auto"/>
        </w:rPr>
      </w:pPr>
      <w:r>
        <w:rPr>
          <w:rFonts w:ascii="Arial" w:cs="Arial" w:eastAsia="Arial" w:hAnsi="Arial"/>
          <w:sz w:val="17"/>
          <w:szCs w:val="17"/>
          <w:b w:val="1"/>
          <w:bCs w:val="1"/>
          <w:color w:val="auto"/>
        </w:rPr>
        <w:t>Dallas</w:t>
      </w:r>
      <w:r>
        <w:rPr>
          <w:rFonts w:ascii="Arial" w:cs="Arial" w:eastAsia="Arial" w:hAnsi="Arial"/>
          <w:sz w:val="18"/>
          <w:szCs w:val="18"/>
          <w:b w:val="1"/>
          <w:bCs w:val="1"/>
          <w:color w:val="auto"/>
        </w:rPr>
        <w:t>, 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75254</w:t>
      </w:r>
    </w:p>
    <w:p>
      <w:pPr>
        <w:spacing w:after="0" w:line="49" w:lineRule="exact"/>
        <w:rPr>
          <w:sz w:val="24"/>
          <w:szCs w:val="24"/>
          <w:color w:val="auto"/>
        </w:rPr>
      </w:pPr>
    </w:p>
    <w:p>
      <w:pPr>
        <w:sectPr>
          <w:pgSz w:w="11900" w:h="16838" w:orient="portrait"/>
          <w:cols w:equalWidth="0" w:num="2">
            <w:col w:w="7540" w:space="720"/>
            <w:col w:w="2940"/>
          </w:cols>
          <w:pgMar w:left="320" w:top="389" w:right="37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36" w:lineRule="exact"/>
        <w:rPr>
          <w:sz w:val="24"/>
          <w:szCs w:val="24"/>
          <w:color w:val="auto"/>
        </w:rPr>
      </w:pPr>
    </w:p>
    <w:p>
      <w:pPr>
        <w:sectPr>
          <w:pgSz w:w="11900" w:h="16838" w:orient="portrait"/>
          <w:cols w:equalWidth="0" w:num="2">
            <w:col w:w="7440" w:space="720"/>
            <w:col w:w="3040"/>
          </w:cols>
          <w:pgMar w:left="320" w:top="389" w:right="3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2"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5" w:lineRule="exact"/>
        <w:rPr>
          <w:sz w:val="24"/>
          <w:szCs w:val="24"/>
          <w:color w:val="auto"/>
        </w:rPr>
      </w:pPr>
    </w:p>
    <w:p>
      <w:pPr>
        <w:ind w:left="580" w:hanging="57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0" w:lineRule="exact"/>
        <w:rPr>
          <w:rFonts w:ascii="MS PGothic" w:cs="MS PGothic" w:eastAsia="MS PGothic" w:hAnsi="MS PGothic"/>
          <w:sz w:val="18"/>
          <w:szCs w:val="18"/>
          <w:color w:val="auto"/>
        </w:rPr>
      </w:pPr>
    </w:p>
    <w:p>
      <w:pPr>
        <w:ind w:left="580" w:hanging="57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0" w:lineRule="exact"/>
        <w:rPr>
          <w:rFonts w:ascii="MS PGothic" w:cs="MS PGothic" w:eastAsia="MS PGothic" w:hAnsi="MS PGothic"/>
          <w:sz w:val="18"/>
          <w:szCs w:val="18"/>
          <w:color w:val="auto"/>
        </w:rPr>
      </w:pPr>
    </w:p>
    <w:p>
      <w:pPr>
        <w:ind w:left="580" w:hanging="57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0" w:lineRule="exact"/>
        <w:rPr>
          <w:rFonts w:ascii="MS PGothic" w:cs="MS PGothic" w:eastAsia="MS PGothic" w:hAnsi="MS PGothic"/>
          <w:sz w:val="18"/>
          <w:szCs w:val="18"/>
          <w:color w:val="auto"/>
        </w:rPr>
      </w:pPr>
    </w:p>
    <w:p>
      <w:pPr>
        <w:ind w:left="3560" w:right="2640" w:hanging="3553"/>
        <w:spacing w:after="0" w:line="425" w:lineRule="auto"/>
        <w:tabs>
          <w:tab w:leader="none" w:pos="57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100" w:type="dxa"/>
        <w:tblCellMar>
          <w:top w:w="0" w:type="dxa"/>
          <w:left w:w="0" w:type="dxa"/>
          <w:bottom w:w="0" w:type="dxa"/>
          <w:right w:w="0" w:type="dxa"/>
        </w:tblCellMar>
      </w:tblPr>
      <w:tr>
        <w:trPr>
          <w:trHeight w:val="181"/>
        </w:trPr>
        <w:tc>
          <w:tcPr>
            <w:tcW w:w="3080" w:type="dxa"/>
            <w:vAlign w:val="bottom"/>
          </w:tcPr>
          <w:p>
            <w:pPr>
              <w:jc w:val="center"/>
              <w:ind w:right="589"/>
              <w:spacing w:after="0"/>
              <w:rPr>
                <w:sz w:val="20"/>
                <w:szCs w:val="20"/>
                <w:color w:val="auto"/>
              </w:rPr>
            </w:pPr>
            <w:r>
              <w:rPr>
                <w:rFonts w:ascii="Arial" w:cs="Arial" w:eastAsia="Arial" w:hAnsi="Arial"/>
                <w:sz w:val="14"/>
                <w:szCs w:val="14"/>
                <w:color w:val="auto"/>
                <w:w w:val="90"/>
              </w:rPr>
              <w:t>Title of each class</w:t>
            </w:r>
          </w:p>
        </w:tc>
        <w:tc>
          <w:tcPr>
            <w:tcW w:w="2400" w:type="dxa"/>
            <w:vAlign w:val="bottom"/>
          </w:tcPr>
          <w:p>
            <w:pPr>
              <w:jc w:val="center"/>
              <w:ind w:right="49"/>
              <w:spacing w:after="0"/>
              <w:rPr>
                <w:sz w:val="20"/>
                <w:szCs w:val="20"/>
                <w:color w:val="auto"/>
              </w:rPr>
            </w:pPr>
            <w:r>
              <w:rPr>
                <w:rFonts w:ascii="Arial" w:cs="Arial" w:eastAsia="Arial" w:hAnsi="Arial"/>
                <w:sz w:val="14"/>
                <w:szCs w:val="14"/>
                <w:color w:val="auto"/>
                <w:w w:val="93"/>
              </w:rPr>
              <w:t>Trading Symbol</w:t>
            </w:r>
          </w:p>
        </w:tc>
        <w:tc>
          <w:tcPr>
            <w:tcW w:w="3320" w:type="dxa"/>
            <w:vAlign w:val="bottom"/>
          </w:tcPr>
          <w:p>
            <w:pPr>
              <w:jc w:val="center"/>
              <w:ind w:left="729"/>
              <w:spacing w:after="0"/>
              <w:rPr>
                <w:sz w:val="20"/>
                <w:szCs w:val="20"/>
                <w:color w:val="auto"/>
              </w:rPr>
            </w:pPr>
            <w:r>
              <w:rPr>
                <w:rFonts w:ascii="Arial" w:cs="Arial" w:eastAsia="Arial" w:hAnsi="Arial"/>
                <w:sz w:val="14"/>
                <w:szCs w:val="14"/>
                <w:color w:val="auto"/>
                <w:w w:val="90"/>
              </w:rPr>
              <w:t>Name of each exchange on which registered</w:t>
            </w:r>
          </w:p>
        </w:tc>
      </w:tr>
      <w:tr>
        <w:trPr>
          <w:trHeight w:val="201"/>
        </w:trPr>
        <w:tc>
          <w:tcPr>
            <w:tcW w:w="3080" w:type="dxa"/>
            <w:vAlign w:val="bottom"/>
          </w:tcPr>
          <w:p>
            <w:pPr>
              <w:jc w:val="center"/>
              <w:ind w:right="589"/>
              <w:spacing w:after="0"/>
              <w:rPr>
                <w:sz w:val="20"/>
                <w:szCs w:val="20"/>
                <w:color w:val="auto"/>
              </w:rPr>
            </w:pPr>
            <w:r>
              <w:rPr>
                <w:rFonts w:ascii="Arial" w:cs="Arial" w:eastAsia="Arial" w:hAnsi="Arial"/>
                <w:sz w:val="14"/>
                <w:szCs w:val="14"/>
                <w:color w:val="auto"/>
                <w:w w:val="91"/>
              </w:rPr>
              <w:t>Common Stock, par value $0.01 per share</w:t>
            </w:r>
          </w:p>
        </w:tc>
        <w:tc>
          <w:tcPr>
            <w:tcW w:w="2400" w:type="dxa"/>
            <w:vAlign w:val="bottom"/>
          </w:tcPr>
          <w:p>
            <w:pPr>
              <w:jc w:val="center"/>
              <w:ind w:right="49"/>
              <w:spacing w:after="0"/>
              <w:rPr>
                <w:sz w:val="20"/>
                <w:szCs w:val="20"/>
                <w:color w:val="auto"/>
              </w:rPr>
            </w:pPr>
            <w:r>
              <w:rPr>
                <w:rFonts w:ascii="Arial" w:cs="Arial" w:eastAsia="Arial" w:hAnsi="Arial"/>
                <w:sz w:val="14"/>
                <w:szCs w:val="14"/>
                <w:color w:val="auto"/>
                <w:w w:val="92"/>
              </w:rPr>
              <w:t>CECE</w:t>
            </w:r>
          </w:p>
        </w:tc>
        <w:tc>
          <w:tcPr>
            <w:tcW w:w="3320" w:type="dxa"/>
            <w:vAlign w:val="bottom"/>
          </w:tcPr>
          <w:p>
            <w:pPr>
              <w:jc w:val="center"/>
              <w:ind w:left="729"/>
              <w:spacing w:after="0"/>
              <w:rPr>
                <w:sz w:val="20"/>
                <w:szCs w:val="20"/>
                <w:color w:val="auto"/>
              </w:rPr>
            </w:pPr>
            <w:r>
              <w:rPr>
                <w:rFonts w:ascii="Arial" w:cs="Arial" w:eastAsia="Arial" w:hAnsi="Arial"/>
                <w:sz w:val="14"/>
                <w:szCs w:val="14"/>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-238760</wp:posOffset>
            </wp:positionV>
            <wp:extent cx="6725285" cy="263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5285" cy="263525"/>
                    </a:xfrm>
                    <a:prstGeom prst="rect">
                      <a:avLst/>
                    </a:prstGeom>
                    <a:noFill/>
                  </pic:spPr>
                </pic:pic>
              </a:graphicData>
            </a:graphic>
          </wp:anchor>
        </w:drawing>
      </w:r>
    </w:p>
    <w:p>
      <w:pPr>
        <w:spacing w:after="0" w:line="165" w:lineRule="exact"/>
        <w:rPr>
          <w:sz w:val="24"/>
          <w:szCs w:val="24"/>
          <w:color w:val="auto"/>
        </w:rPr>
      </w:pPr>
    </w:p>
    <w:p>
      <w:pPr>
        <w:ind w:right="52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1" w:lineRule="exact"/>
        <w:rPr>
          <w:sz w:val="24"/>
          <w:szCs w:val="24"/>
          <w:color w:val="auto"/>
        </w:rPr>
      </w:pPr>
    </w:p>
    <w:p>
      <w:pPr>
        <w:ind w:right="20"/>
        <w:spacing w:after="0" w:line="237"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295275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358775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89" w:right="379" w:bottom="1440" w:gutter="0" w:footer="0" w:header="0"/>
          <w:type w:val="continuous"/>
        </w:sectPr>
      </w:pPr>
    </w:p>
    <w:bookmarkStart w:id="1" w:name="page2"/>
    <w:bookmarkEnd w:id="1"/>
    <w:p>
      <w:pPr>
        <w:ind w:right="1180"/>
        <w:spacing w:after="0" w:line="263" w:lineRule="auto"/>
        <w:rPr>
          <w:sz w:val="20"/>
          <w:szCs w:val="20"/>
          <w:color w:val="auto"/>
        </w:rPr>
      </w:pPr>
      <w:r>
        <w:rPr>
          <w:rFonts w:ascii="Arial" w:cs="Arial" w:eastAsia="Arial" w:hAnsi="Arial"/>
          <w:sz w:val="20"/>
          <w:szCs w:val="20"/>
          <w:b w:val="1"/>
          <w:bCs w:val="1"/>
          <w:color w:val="auto"/>
        </w:rPr>
        <w:t>5.02. Departure of Directors or Certain Officers; Election of Directors; Appointment of Certain Officers; Compensatory Arrangements of Certain Officers.</w:t>
      </w:r>
    </w:p>
    <w:p>
      <w:pPr>
        <w:spacing w:after="0" w:line="171"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On May 25, 2021, CECO Environmental Corp.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held its 2021 Annual Meeting of Stockholders (the “</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At the Annual Meeting, the stockholders of the Company approved the CECO Environmental Corp. 2021 Equity and Incentive Compensation Plan (the “</w:t>
      </w:r>
      <w:r>
        <w:rPr>
          <w:rFonts w:ascii="Arial" w:cs="Arial" w:eastAsia="Arial" w:hAnsi="Arial"/>
          <w:sz w:val="17"/>
          <w:szCs w:val="17"/>
          <w:b w:val="1"/>
          <w:bCs w:val="1"/>
          <w:i w:val="1"/>
          <w:iCs w:val="1"/>
          <w:color w:val="auto"/>
        </w:rPr>
        <w:t>2021 Plan</w:t>
      </w:r>
      <w:r>
        <w:rPr>
          <w:rFonts w:ascii="Arial" w:cs="Arial" w:eastAsia="Arial" w:hAnsi="Arial"/>
          <w:sz w:val="17"/>
          <w:szCs w:val="17"/>
          <w:color w:val="auto"/>
        </w:rPr>
        <w:t>”), effective as of the date of the Annual Meeting. The following description of the 2021 Plan is qualified in its entirety by reference to the 2021 Plan, which is filed as Exhibit 10.1 to this Current Report on Form 8-K and incorporated herein by reference.</w:t>
      </w:r>
    </w:p>
    <w:p>
      <w:pPr>
        <w:spacing w:after="0" w:line="144"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In general, the 2021 Plan will be administered by the Compensation Committee (the “</w:t>
      </w: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of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The Compensation Committee may delegate authority under the 2021 Plan to a subcommittee, and the Board may grant awards under the 2021 Plan to non-employee Board members and administer the 2021 Plan regarding such awards. The 2021 Plan will enable the Compensation Committee to grant awards to non-employee Board members, officers and other employees of the Company and its subsidiaries, and certain consultants to the Company and its subsidiaries as incentives and rewards for service or performance. These potential awards include stock options, stock appreciation rights, restricted stock, restricted stock units, performance shares, performance units, dividend equivalents, other stock-based awards and cash incentive awards, all upon terms and conditions as further described in the 2021 Plan.</w:t>
      </w:r>
    </w:p>
    <w:p>
      <w:pPr>
        <w:spacing w:after="0" w:line="154"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Subject to adjustment as described in the 2021 Plan, there are 1,675,000 new shares of common stock, par value $0.01 per share, of the Company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available under the 2021 Plan, plus 905,698 shares that remained available for future grant under the CECO Environmental Corp. 2017 Equity and Incentive Compensation Plan (the “</w:t>
      </w:r>
      <w:r>
        <w:rPr>
          <w:rFonts w:ascii="Arial" w:cs="Arial" w:eastAsia="Arial" w:hAnsi="Arial"/>
          <w:sz w:val="17"/>
          <w:szCs w:val="17"/>
          <w:b w:val="1"/>
          <w:bCs w:val="1"/>
          <w:i w:val="1"/>
          <w:iCs w:val="1"/>
          <w:color w:val="auto"/>
        </w:rPr>
        <w:t>2017 Plan</w:t>
      </w:r>
      <w:r>
        <w:rPr>
          <w:rFonts w:ascii="Arial" w:cs="Arial" w:eastAsia="Arial" w:hAnsi="Arial"/>
          <w:sz w:val="17"/>
          <w:szCs w:val="17"/>
          <w:color w:val="auto"/>
        </w:rPr>
        <w:t>”) as of the effective date of the 2021 Plan, plus shares subject to awards granted under the 2021 Plan or the 2017 Plan that are canceled or forfeited, expire, are settled for cash, or are unearned to the extent of such cancellation, forfeiture, expiration, cash settlement or unearned amount, as further described in the 2021 Plan. These shares may be shares of original issuance or treasury shares, or a combination of both. The aggregate number of shares available under the 2021 Plan will generally be reduced by one share for every one share subject to an award granted under the 2021 Plan. The 2021 Plan also provides that, subject to adjustment as described in the 2021 Plan, the aggregate number of shares actually issued or transferred upon the exercise of incentive stock options will not exceed 1,675,000 shares. The 2021 Plan provides that in no event will any non-employee Board member, in any one calendar year, be granted compensation for such service having an aggregate maximum value (measured at the date of grant, as applicable, and calculating the value of any awards based on the grant date fair value for financial reporting purposes) in excess of $600,000. The 2021 Plan succeeds the 2017 Plan.</w:t>
      </w:r>
    </w:p>
    <w:p>
      <w:pPr>
        <w:spacing w:after="0" w:line="39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2021 Plan permits the Compensation Committee to make certain performance-based awards to participants, which awards will be earned based upon the achievement of management objectives. A non-exhaustive list of performance measures that could be used for such performance-based awards includes the following: profits (for example, gross profit, gross profit growth, operating income, EBITDA, net income, consolidated net income, net earnings, net sales, cost of sales, earnings per share, residual or economic earnings, net operating profit or economic profit); cash flow (for example, actual or adjusted EBITDA (including EBIT), free cash flow, free cash flow with or without specific capital expenditure target or range, including or excluding divestments and/or acquisitions, operating cash flow, total cash flow, cash flow in excess of cost of capital or residual cash flow or cash flow return on investment); returns (for example, profits or cash flow returns on: assets, investment, capital, invested capital, net capital employed, equity or sales); working capital (for example, working capital targets, working capital divided by sales, days’ sales outstanding, days’ sales inventory and days’ sales in payables); profit margins (for example, profits divided by revenues, gross margins and material margins divided by revenues); liquidity measures (for example, debt-to-capital, debt-to-EBITDA or total debt ratio); sales growth, gross margin growth, cost initiative and stock price metrics (for example, revenues, net revenues, revenue growth, net revenue growth, gross margin and gross margin growth, material margin and material margin growth, stock price appreciation, total return to stockholders, sales and administrative costs divided by sales and sales and administrative costs divided by profits); and strategic initiatives (for example, product development, strategic partnering, research and development, vitality index,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2" w:name="page3"/>
    <w:bookmarkEnd w:id="2"/>
    <w:p>
      <w:pPr>
        <w:ind w:right="100"/>
        <w:spacing w:after="0" w:line="296" w:lineRule="auto"/>
        <w:rPr>
          <w:sz w:val="20"/>
          <w:szCs w:val="20"/>
          <w:color w:val="auto"/>
        </w:rPr>
      </w:pPr>
      <w:r>
        <w:rPr>
          <w:rFonts w:ascii="Arial" w:cs="Arial" w:eastAsia="Arial" w:hAnsi="Arial"/>
          <w:sz w:val="17"/>
          <w:szCs w:val="17"/>
          <w:color w:val="auto"/>
        </w:rPr>
        <w:t>penetration, market share, geographic business expansion goals, expense targets or cost reduction goals, general and administrative expense savings, selling, general and administrative expenses, client/customer satisfaction, employee satisfaction, employee retention, management of employment practices and employee benefits, supervision of litigation and information technology, productivity ratios, economic value added (or another measure of profitability that considers the cost of capital employed), product quality, sales of new products or goals relating to acquisitions or divestitures of subsidiaries, affiliates and joint ventures).</w:t>
      </w:r>
    </w:p>
    <w:p>
      <w:pPr>
        <w:spacing w:after="0" w:line="148" w:lineRule="exact"/>
        <w:rPr>
          <w:sz w:val="20"/>
          <w:szCs w:val="20"/>
          <w:color w:val="auto"/>
        </w:rPr>
      </w:pPr>
    </w:p>
    <w:p>
      <w:pPr>
        <w:ind w:right="180"/>
        <w:spacing w:after="0" w:line="292" w:lineRule="auto"/>
        <w:rPr>
          <w:sz w:val="20"/>
          <w:szCs w:val="20"/>
          <w:color w:val="auto"/>
        </w:rPr>
      </w:pPr>
      <w:r>
        <w:rPr>
          <w:rFonts w:ascii="Arial" w:cs="Arial" w:eastAsia="Arial" w:hAnsi="Arial"/>
          <w:sz w:val="17"/>
          <w:szCs w:val="17"/>
          <w:color w:val="auto"/>
        </w:rPr>
        <w:t>Management objectives may be established on an absolute or relative basis, and if the Compensation Committee determines that a change in the business, operations, corporate structure or capital structure of the Company, or the manner in which it conducts its business, or other events or circumstances render the management objectives unsuitable, the Compensation Committee may in its discretion modify such management objectives or the goals or actual levels of achievement regarding the management objectives, in whole or in part, as the Compensation Committee deems appropriate and equitable. The Board generally will be able to amend the 2021 Plan, subject to stockholder approval in certain circumstances as described in the 2021 Plan. No grants may be made under the 2021 Plan after May 24, 2031.</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5.07 Submission of Matters to a Vote of Security Holders.</w:t>
      </w:r>
    </w:p>
    <w:p>
      <w:pPr>
        <w:spacing w:after="0" w:line="218" w:lineRule="exact"/>
        <w:rPr>
          <w:sz w:val="20"/>
          <w:szCs w:val="20"/>
          <w:color w:val="auto"/>
        </w:rPr>
      </w:pPr>
    </w:p>
    <w:p>
      <w:pPr>
        <w:ind w:right="180"/>
        <w:spacing w:after="0" w:line="261" w:lineRule="auto"/>
        <w:rPr>
          <w:sz w:val="20"/>
          <w:szCs w:val="20"/>
          <w:color w:val="auto"/>
        </w:rPr>
      </w:pPr>
      <w:r>
        <w:rPr>
          <w:rFonts w:ascii="Arial" w:cs="Arial" w:eastAsia="Arial" w:hAnsi="Arial"/>
          <w:sz w:val="19"/>
          <w:szCs w:val="19"/>
          <w:color w:val="auto"/>
        </w:rPr>
        <w:t>At the Annual Meeting, on May 25, 2021, the stockholders of the Company considered: 1) the election of the eight director nominees named in the proxy statement; 2) an advisory vote to approve the Company’s named executive officer compensation; 3) approval of the 2021 Plan; and 4) the ratification of the Company’s independent registered public accounting firm for fiscal 2021. The voting results at the Annual Meeting with respect to each of the matters described above were as follows:</w:t>
      </w:r>
    </w:p>
    <w:p>
      <w:pPr>
        <w:spacing w:after="0" w:line="174" w:lineRule="exact"/>
        <w:rPr>
          <w:sz w:val="20"/>
          <w:szCs w:val="20"/>
          <w:color w:val="auto"/>
        </w:rPr>
      </w:pPr>
    </w:p>
    <w:p>
      <w:pPr>
        <w:ind w:left="440" w:hanging="433"/>
        <w:spacing w:after="0"/>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eight director nominees named in the proxy statement and standing for election were elected based upon the following votes: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DIRECTOR NOMINEE</w:t>
            </w:r>
          </w:p>
        </w:tc>
        <w:tc>
          <w:tcPr>
            <w:tcW w:w="2140" w:type="dxa"/>
            <w:vAlign w:val="bottom"/>
            <w:gridSpan w:val="2"/>
          </w:tcPr>
          <w:p>
            <w:pPr>
              <w:ind w:left="760"/>
              <w:spacing w:after="0"/>
              <w:rPr>
                <w:sz w:val="20"/>
                <w:szCs w:val="20"/>
                <w:color w:val="auto"/>
              </w:rPr>
            </w:pPr>
            <w:r>
              <w:rPr>
                <w:rFonts w:ascii="Arial" w:cs="Arial" w:eastAsia="Arial" w:hAnsi="Arial"/>
                <w:sz w:val="14"/>
                <w:szCs w:val="14"/>
                <w:b w:val="1"/>
                <w:bCs w:val="1"/>
                <w:color w:val="auto"/>
              </w:rPr>
              <w:t>FOR</w:t>
            </w:r>
          </w:p>
        </w:tc>
        <w:tc>
          <w:tcPr>
            <w:tcW w:w="2120" w:type="dxa"/>
            <w:vAlign w:val="bottom"/>
            <w:gridSpan w:val="2"/>
          </w:tcPr>
          <w:p>
            <w:pPr>
              <w:ind w:left="500"/>
              <w:spacing w:after="0"/>
              <w:rPr>
                <w:sz w:val="20"/>
                <w:szCs w:val="20"/>
                <w:color w:val="auto"/>
              </w:rPr>
            </w:pPr>
            <w:r>
              <w:rPr>
                <w:rFonts w:ascii="Arial" w:cs="Arial" w:eastAsia="Arial" w:hAnsi="Arial"/>
                <w:sz w:val="14"/>
                <w:szCs w:val="14"/>
                <w:b w:val="1"/>
                <w:bCs w:val="1"/>
                <w:color w:val="auto"/>
              </w:rPr>
              <w:t>WITHHELD</w:t>
            </w:r>
          </w:p>
        </w:tc>
        <w:tc>
          <w:tcPr>
            <w:tcW w:w="1980" w:type="dxa"/>
            <w:vAlign w:val="bottom"/>
          </w:tcPr>
          <w:p>
            <w:pPr>
              <w:jc w:val="right"/>
              <w:ind w:right="213"/>
              <w:spacing w:after="0"/>
              <w:rPr>
                <w:sz w:val="20"/>
                <w:szCs w:val="20"/>
                <w:color w:val="auto"/>
              </w:rPr>
            </w:pPr>
            <w:r>
              <w:rPr>
                <w:rFonts w:ascii="Arial" w:cs="Arial" w:eastAsia="Arial" w:hAnsi="Arial"/>
                <w:sz w:val="14"/>
                <w:szCs w:val="14"/>
                <w:b w:val="1"/>
                <w:bCs w:val="1"/>
                <w:color w:val="auto"/>
              </w:rPr>
              <w:t>BROKER NON-VOTES</w:t>
            </w:r>
          </w:p>
        </w:tc>
      </w:tr>
      <w:tr>
        <w:trPr>
          <w:trHeight w:val="221"/>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Jason DeZwirek</w:t>
            </w:r>
          </w:p>
        </w:tc>
        <w:tc>
          <w:tcPr>
            <w:tcW w:w="18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right"/>
              <w:ind w:right="493"/>
              <w:spacing w:after="0"/>
              <w:rPr>
                <w:sz w:val="20"/>
                <w:szCs w:val="20"/>
                <w:color w:val="auto"/>
              </w:rPr>
            </w:pPr>
            <w:r>
              <w:rPr>
                <w:rFonts w:ascii="Arial" w:cs="Arial" w:eastAsia="Arial" w:hAnsi="Arial"/>
                <w:sz w:val="18"/>
                <w:szCs w:val="18"/>
                <w:color w:val="auto"/>
              </w:rPr>
              <w:t>26,026,146</w:t>
            </w:r>
          </w:p>
        </w:tc>
        <w:tc>
          <w:tcPr>
            <w:tcW w:w="180" w:type="dxa"/>
            <w:vAlign w:val="bottom"/>
            <w:tcBorders>
              <w:top w:val="single" w:sz="8" w:color="CFF0FC"/>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1,911,675</w:t>
            </w:r>
          </w:p>
        </w:tc>
        <w:tc>
          <w:tcPr>
            <w:tcW w:w="18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ind w:right="553"/>
              <w:spacing w:after="0"/>
              <w:rPr>
                <w:sz w:val="20"/>
                <w:szCs w:val="20"/>
                <w:color w:val="auto"/>
              </w:rPr>
            </w:pPr>
            <w:r>
              <w:rPr>
                <w:rFonts w:ascii="Arial" w:cs="Arial" w:eastAsia="Arial" w:hAnsi="Arial"/>
                <w:sz w:val="18"/>
                <w:szCs w:val="18"/>
                <w:color w:val="auto"/>
              </w:rPr>
              <w:t>3,199,684</w:t>
            </w:r>
          </w:p>
        </w:tc>
      </w:tr>
      <w:tr>
        <w:trPr>
          <w:trHeight w:val="227"/>
        </w:trPr>
        <w:tc>
          <w:tcPr>
            <w:tcW w:w="5000" w:type="dxa"/>
            <w:vAlign w:val="bottom"/>
            <w:gridSpan w:val="2"/>
          </w:tcPr>
          <w:p>
            <w:pPr>
              <w:spacing w:after="0"/>
              <w:rPr>
                <w:sz w:val="20"/>
                <w:szCs w:val="20"/>
                <w:color w:val="auto"/>
              </w:rPr>
            </w:pPr>
            <w:r>
              <w:rPr>
                <w:rFonts w:ascii="Arial" w:cs="Arial" w:eastAsia="Arial" w:hAnsi="Arial"/>
                <w:sz w:val="18"/>
                <w:szCs w:val="18"/>
                <w:color w:val="auto"/>
              </w:rPr>
              <w:t>Todd Gleason</w:t>
            </w:r>
          </w:p>
        </w:tc>
        <w:tc>
          <w:tcPr>
            <w:tcW w:w="1960" w:type="dxa"/>
            <w:vAlign w:val="bottom"/>
          </w:tcPr>
          <w:p>
            <w:pPr>
              <w:jc w:val="right"/>
              <w:ind w:right="493"/>
              <w:spacing w:after="0"/>
              <w:rPr>
                <w:sz w:val="20"/>
                <w:szCs w:val="20"/>
                <w:color w:val="auto"/>
              </w:rPr>
            </w:pPr>
            <w:r>
              <w:rPr>
                <w:rFonts w:ascii="Arial" w:cs="Arial" w:eastAsia="Arial" w:hAnsi="Arial"/>
                <w:sz w:val="18"/>
                <w:szCs w:val="18"/>
                <w:color w:val="auto"/>
              </w:rPr>
              <w:t>27,611,332</w:t>
            </w:r>
          </w:p>
        </w:tc>
        <w:tc>
          <w:tcPr>
            <w:tcW w:w="1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326,489</w:t>
            </w:r>
          </w:p>
        </w:tc>
        <w:tc>
          <w:tcPr>
            <w:tcW w:w="180" w:type="dxa"/>
            <w:vAlign w:val="bottom"/>
          </w:tcPr>
          <w:p>
            <w:pPr>
              <w:spacing w:after="0"/>
              <w:rPr>
                <w:sz w:val="19"/>
                <w:szCs w:val="19"/>
                <w:color w:val="auto"/>
              </w:rPr>
            </w:pPr>
          </w:p>
        </w:tc>
        <w:tc>
          <w:tcPr>
            <w:tcW w:w="1980" w:type="dxa"/>
            <w:vAlign w:val="bottom"/>
          </w:tcPr>
          <w:p>
            <w:pPr>
              <w:jc w:val="right"/>
              <w:ind w:right="553"/>
              <w:spacing w:after="0"/>
              <w:rPr>
                <w:sz w:val="20"/>
                <w:szCs w:val="20"/>
                <w:color w:val="auto"/>
              </w:rPr>
            </w:pPr>
            <w:r>
              <w:rPr>
                <w:rFonts w:ascii="Arial" w:cs="Arial" w:eastAsia="Arial" w:hAnsi="Arial"/>
                <w:sz w:val="18"/>
                <w:szCs w:val="18"/>
                <w:color w:val="auto"/>
              </w:rPr>
              <w:t>3,199,684</w:t>
            </w:r>
          </w:p>
        </w:tc>
      </w:tr>
      <w:tr>
        <w:trPr>
          <w:trHeight w:val="228"/>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Eric M. Goldberg</w:t>
            </w:r>
          </w:p>
        </w:tc>
        <w:tc>
          <w:tcPr>
            <w:tcW w:w="1960" w:type="dxa"/>
            <w:vAlign w:val="bottom"/>
            <w:shd w:val="clear" w:color="auto" w:fill="CFF0FC"/>
          </w:tcPr>
          <w:p>
            <w:pPr>
              <w:jc w:val="right"/>
              <w:ind w:right="493"/>
              <w:spacing w:after="0"/>
              <w:rPr>
                <w:sz w:val="20"/>
                <w:szCs w:val="20"/>
                <w:color w:val="auto"/>
              </w:rPr>
            </w:pPr>
            <w:r>
              <w:rPr>
                <w:rFonts w:ascii="Arial" w:cs="Arial" w:eastAsia="Arial" w:hAnsi="Arial"/>
                <w:sz w:val="18"/>
                <w:szCs w:val="18"/>
                <w:color w:val="auto"/>
              </w:rPr>
              <w:t>27,638,429</w:t>
            </w: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299,392</w:t>
            </w:r>
          </w:p>
        </w:tc>
        <w:tc>
          <w:tcPr>
            <w:tcW w:w="180" w:type="dxa"/>
            <w:vAlign w:val="bottom"/>
            <w:shd w:val="clear" w:color="auto" w:fill="CFF0FC"/>
          </w:tcPr>
          <w:p>
            <w:pPr>
              <w:spacing w:after="0"/>
              <w:rPr>
                <w:sz w:val="19"/>
                <w:szCs w:val="19"/>
                <w:color w:val="auto"/>
              </w:rPr>
            </w:pPr>
          </w:p>
        </w:tc>
        <w:tc>
          <w:tcPr>
            <w:tcW w:w="1980" w:type="dxa"/>
            <w:vAlign w:val="bottom"/>
            <w:shd w:val="clear" w:color="auto" w:fill="CFF0FC"/>
          </w:tcPr>
          <w:p>
            <w:pPr>
              <w:jc w:val="right"/>
              <w:ind w:right="553"/>
              <w:spacing w:after="0"/>
              <w:rPr>
                <w:sz w:val="20"/>
                <w:szCs w:val="20"/>
                <w:color w:val="auto"/>
              </w:rPr>
            </w:pPr>
            <w:r>
              <w:rPr>
                <w:rFonts w:ascii="Arial" w:cs="Arial" w:eastAsia="Arial" w:hAnsi="Arial"/>
                <w:sz w:val="18"/>
                <w:szCs w:val="18"/>
                <w:color w:val="auto"/>
              </w:rPr>
              <w:t>3,199,684</w:t>
            </w:r>
          </w:p>
        </w:tc>
      </w:tr>
      <w:tr>
        <w:trPr>
          <w:trHeight w:val="227"/>
        </w:trPr>
        <w:tc>
          <w:tcPr>
            <w:tcW w:w="5000" w:type="dxa"/>
            <w:vAlign w:val="bottom"/>
            <w:gridSpan w:val="2"/>
          </w:tcPr>
          <w:p>
            <w:pPr>
              <w:spacing w:after="0"/>
              <w:rPr>
                <w:sz w:val="20"/>
                <w:szCs w:val="20"/>
                <w:color w:val="auto"/>
              </w:rPr>
            </w:pPr>
            <w:r>
              <w:rPr>
                <w:rFonts w:ascii="Arial" w:cs="Arial" w:eastAsia="Arial" w:hAnsi="Arial"/>
                <w:sz w:val="18"/>
                <w:szCs w:val="18"/>
                <w:color w:val="auto"/>
              </w:rPr>
              <w:t>David B. Liner</w:t>
            </w:r>
          </w:p>
        </w:tc>
        <w:tc>
          <w:tcPr>
            <w:tcW w:w="1960" w:type="dxa"/>
            <w:vAlign w:val="bottom"/>
          </w:tcPr>
          <w:p>
            <w:pPr>
              <w:jc w:val="right"/>
              <w:ind w:right="493"/>
              <w:spacing w:after="0"/>
              <w:rPr>
                <w:sz w:val="20"/>
                <w:szCs w:val="20"/>
                <w:color w:val="auto"/>
              </w:rPr>
            </w:pPr>
            <w:r>
              <w:rPr>
                <w:rFonts w:ascii="Arial" w:cs="Arial" w:eastAsia="Arial" w:hAnsi="Arial"/>
                <w:sz w:val="18"/>
                <w:szCs w:val="18"/>
                <w:color w:val="auto"/>
              </w:rPr>
              <w:t>23,292,674</w:t>
            </w:r>
          </w:p>
        </w:tc>
        <w:tc>
          <w:tcPr>
            <w:tcW w:w="1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4,645,147</w:t>
            </w:r>
          </w:p>
        </w:tc>
        <w:tc>
          <w:tcPr>
            <w:tcW w:w="180" w:type="dxa"/>
            <w:vAlign w:val="bottom"/>
          </w:tcPr>
          <w:p>
            <w:pPr>
              <w:spacing w:after="0"/>
              <w:rPr>
                <w:sz w:val="19"/>
                <w:szCs w:val="19"/>
                <w:color w:val="auto"/>
              </w:rPr>
            </w:pPr>
          </w:p>
        </w:tc>
        <w:tc>
          <w:tcPr>
            <w:tcW w:w="1980" w:type="dxa"/>
            <w:vAlign w:val="bottom"/>
          </w:tcPr>
          <w:p>
            <w:pPr>
              <w:jc w:val="right"/>
              <w:ind w:right="553"/>
              <w:spacing w:after="0"/>
              <w:rPr>
                <w:sz w:val="20"/>
                <w:szCs w:val="20"/>
                <w:color w:val="auto"/>
              </w:rPr>
            </w:pPr>
            <w:r>
              <w:rPr>
                <w:rFonts w:ascii="Arial" w:cs="Arial" w:eastAsia="Arial" w:hAnsi="Arial"/>
                <w:sz w:val="18"/>
                <w:szCs w:val="18"/>
                <w:color w:val="auto"/>
              </w:rPr>
              <w:t>3,199,684</w:t>
            </w:r>
          </w:p>
        </w:tc>
      </w:tr>
      <w:tr>
        <w:trPr>
          <w:trHeight w:val="228"/>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Claudio A. Mannarino</w:t>
            </w:r>
          </w:p>
        </w:tc>
        <w:tc>
          <w:tcPr>
            <w:tcW w:w="1960" w:type="dxa"/>
            <w:vAlign w:val="bottom"/>
            <w:shd w:val="clear" w:color="auto" w:fill="CFF0FC"/>
          </w:tcPr>
          <w:p>
            <w:pPr>
              <w:jc w:val="right"/>
              <w:ind w:right="493"/>
              <w:spacing w:after="0"/>
              <w:rPr>
                <w:sz w:val="20"/>
                <w:szCs w:val="20"/>
                <w:color w:val="auto"/>
              </w:rPr>
            </w:pPr>
            <w:r>
              <w:rPr>
                <w:rFonts w:ascii="Arial" w:cs="Arial" w:eastAsia="Arial" w:hAnsi="Arial"/>
                <w:sz w:val="18"/>
                <w:szCs w:val="18"/>
                <w:color w:val="auto"/>
              </w:rPr>
              <w:t>24,885,720</w:t>
            </w: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3,052,101</w:t>
            </w:r>
          </w:p>
        </w:tc>
        <w:tc>
          <w:tcPr>
            <w:tcW w:w="180" w:type="dxa"/>
            <w:vAlign w:val="bottom"/>
            <w:shd w:val="clear" w:color="auto" w:fill="CFF0FC"/>
          </w:tcPr>
          <w:p>
            <w:pPr>
              <w:spacing w:after="0"/>
              <w:rPr>
                <w:sz w:val="19"/>
                <w:szCs w:val="19"/>
                <w:color w:val="auto"/>
              </w:rPr>
            </w:pPr>
          </w:p>
        </w:tc>
        <w:tc>
          <w:tcPr>
            <w:tcW w:w="1980" w:type="dxa"/>
            <w:vAlign w:val="bottom"/>
            <w:shd w:val="clear" w:color="auto" w:fill="CFF0FC"/>
          </w:tcPr>
          <w:p>
            <w:pPr>
              <w:jc w:val="right"/>
              <w:ind w:right="553"/>
              <w:spacing w:after="0"/>
              <w:rPr>
                <w:sz w:val="20"/>
                <w:szCs w:val="20"/>
                <w:color w:val="auto"/>
              </w:rPr>
            </w:pPr>
            <w:r>
              <w:rPr>
                <w:rFonts w:ascii="Arial" w:cs="Arial" w:eastAsia="Arial" w:hAnsi="Arial"/>
                <w:sz w:val="18"/>
                <w:szCs w:val="18"/>
                <w:color w:val="auto"/>
              </w:rPr>
              <w:t>3,199,684</w:t>
            </w:r>
          </w:p>
        </w:tc>
      </w:tr>
      <w:tr>
        <w:trPr>
          <w:trHeight w:val="227"/>
        </w:trPr>
        <w:tc>
          <w:tcPr>
            <w:tcW w:w="5000" w:type="dxa"/>
            <w:vAlign w:val="bottom"/>
            <w:gridSpan w:val="2"/>
          </w:tcPr>
          <w:p>
            <w:pPr>
              <w:spacing w:after="0"/>
              <w:rPr>
                <w:sz w:val="20"/>
                <w:szCs w:val="20"/>
                <w:color w:val="auto"/>
              </w:rPr>
            </w:pPr>
            <w:r>
              <w:rPr>
                <w:rFonts w:ascii="Arial" w:cs="Arial" w:eastAsia="Arial" w:hAnsi="Arial"/>
                <w:sz w:val="18"/>
                <w:szCs w:val="18"/>
                <w:color w:val="auto"/>
              </w:rPr>
              <w:t>Munish Nanda</w:t>
            </w:r>
          </w:p>
        </w:tc>
        <w:tc>
          <w:tcPr>
            <w:tcW w:w="1960" w:type="dxa"/>
            <w:vAlign w:val="bottom"/>
          </w:tcPr>
          <w:p>
            <w:pPr>
              <w:jc w:val="right"/>
              <w:ind w:right="493"/>
              <w:spacing w:after="0"/>
              <w:rPr>
                <w:sz w:val="20"/>
                <w:szCs w:val="20"/>
                <w:color w:val="auto"/>
              </w:rPr>
            </w:pPr>
            <w:r>
              <w:rPr>
                <w:rFonts w:ascii="Arial" w:cs="Arial" w:eastAsia="Arial" w:hAnsi="Arial"/>
                <w:sz w:val="18"/>
                <w:szCs w:val="18"/>
                <w:color w:val="auto"/>
              </w:rPr>
              <w:t>27,687,193</w:t>
            </w:r>
          </w:p>
        </w:tc>
        <w:tc>
          <w:tcPr>
            <w:tcW w:w="1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250,628</w:t>
            </w:r>
          </w:p>
        </w:tc>
        <w:tc>
          <w:tcPr>
            <w:tcW w:w="180" w:type="dxa"/>
            <w:vAlign w:val="bottom"/>
          </w:tcPr>
          <w:p>
            <w:pPr>
              <w:spacing w:after="0"/>
              <w:rPr>
                <w:sz w:val="19"/>
                <w:szCs w:val="19"/>
                <w:color w:val="auto"/>
              </w:rPr>
            </w:pPr>
          </w:p>
        </w:tc>
        <w:tc>
          <w:tcPr>
            <w:tcW w:w="1980" w:type="dxa"/>
            <w:vAlign w:val="bottom"/>
          </w:tcPr>
          <w:p>
            <w:pPr>
              <w:jc w:val="right"/>
              <w:ind w:right="553"/>
              <w:spacing w:after="0"/>
              <w:rPr>
                <w:sz w:val="20"/>
                <w:szCs w:val="20"/>
                <w:color w:val="auto"/>
              </w:rPr>
            </w:pPr>
            <w:r>
              <w:rPr>
                <w:rFonts w:ascii="Arial" w:cs="Arial" w:eastAsia="Arial" w:hAnsi="Arial"/>
                <w:sz w:val="18"/>
                <w:szCs w:val="18"/>
                <w:color w:val="auto"/>
              </w:rPr>
              <w:t>3,199,684</w:t>
            </w:r>
          </w:p>
        </w:tc>
      </w:tr>
      <w:tr>
        <w:trPr>
          <w:trHeight w:val="228"/>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Jonathan Pollack</w:t>
            </w:r>
          </w:p>
        </w:tc>
        <w:tc>
          <w:tcPr>
            <w:tcW w:w="1960" w:type="dxa"/>
            <w:vAlign w:val="bottom"/>
            <w:shd w:val="clear" w:color="auto" w:fill="CFF0FC"/>
          </w:tcPr>
          <w:p>
            <w:pPr>
              <w:jc w:val="right"/>
              <w:ind w:right="493"/>
              <w:spacing w:after="0"/>
              <w:rPr>
                <w:sz w:val="20"/>
                <w:szCs w:val="20"/>
                <w:color w:val="auto"/>
              </w:rPr>
            </w:pPr>
            <w:r>
              <w:rPr>
                <w:rFonts w:ascii="Arial" w:cs="Arial" w:eastAsia="Arial" w:hAnsi="Arial"/>
                <w:sz w:val="18"/>
                <w:szCs w:val="18"/>
                <w:color w:val="auto"/>
              </w:rPr>
              <w:t>26,337,136</w:t>
            </w: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1,600,685</w:t>
            </w:r>
          </w:p>
        </w:tc>
        <w:tc>
          <w:tcPr>
            <w:tcW w:w="180" w:type="dxa"/>
            <w:vAlign w:val="bottom"/>
            <w:shd w:val="clear" w:color="auto" w:fill="CFF0FC"/>
          </w:tcPr>
          <w:p>
            <w:pPr>
              <w:spacing w:after="0"/>
              <w:rPr>
                <w:sz w:val="19"/>
                <w:szCs w:val="19"/>
                <w:color w:val="auto"/>
              </w:rPr>
            </w:pPr>
          </w:p>
        </w:tc>
        <w:tc>
          <w:tcPr>
            <w:tcW w:w="1980" w:type="dxa"/>
            <w:vAlign w:val="bottom"/>
            <w:shd w:val="clear" w:color="auto" w:fill="CFF0FC"/>
          </w:tcPr>
          <w:p>
            <w:pPr>
              <w:jc w:val="right"/>
              <w:ind w:right="553"/>
              <w:spacing w:after="0"/>
              <w:rPr>
                <w:sz w:val="20"/>
                <w:szCs w:val="20"/>
                <w:color w:val="auto"/>
              </w:rPr>
            </w:pPr>
            <w:r>
              <w:rPr>
                <w:rFonts w:ascii="Arial" w:cs="Arial" w:eastAsia="Arial" w:hAnsi="Arial"/>
                <w:sz w:val="18"/>
                <w:szCs w:val="18"/>
                <w:color w:val="auto"/>
              </w:rPr>
              <w:t>3,199,684</w:t>
            </w:r>
          </w:p>
        </w:tc>
      </w:tr>
      <w:tr>
        <w:trPr>
          <w:trHeight w:val="227"/>
        </w:trPr>
        <w:tc>
          <w:tcPr>
            <w:tcW w:w="5000" w:type="dxa"/>
            <w:vAlign w:val="bottom"/>
            <w:gridSpan w:val="2"/>
          </w:tcPr>
          <w:p>
            <w:pPr>
              <w:spacing w:after="0"/>
              <w:rPr>
                <w:sz w:val="20"/>
                <w:szCs w:val="20"/>
                <w:color w:val="auto"/>
              </w:rPr>
            </w:pPr>
            <w:r>
              <w:rPr>
                <w:rFonts w:ascii="Arial" w:cs="Arial" w:eastAsia="Arial" w:hAnsi="Arial"/>
                <w:sz w:val="18"/>
                <w:szCs w:val="18"/>
                <w:color w:val="auto"/>
              </w:rPr>
              <w:t>Valerie Gentile Sachs</w:t>
            </w:r>
          </w:p>
        </w:tc>
        <w:tc>
          <w:tcPr>
            <w:tcW w:w="1960" w:type="dxa"/>
            <w:vAlign w:val="bottom"/>
          </w:tcPr>
          <w:p>
            <w:pPr>
              <w:jc w:val="right"/>
              <w:ind w:right="493"/>
              <w:spacing w:after="0"/>
              <w:rPr>
                <w:sz w:val="20"/>
                <w:szCs w:val="20"/>
                <w:color w:val="auto"/>
              </w:rPr>
            </w:pPr>
            <w:r>
              <w:rPr>
                <w:rFonts w:ascii="Arial" w:cs="Arial" w:eastAsia="Arial" w:hAnsi="Arial"/>
                <w:sz w:val="18"/>
                <w:szCs w:val="18"/>
                <w:color w:val="auto"/>
              </w:rPr>
              <w:t>27,235,769</w:t>
            </w:r>
          </w:p>
        </w:tc>
        <w:tc>
          <w:tcPr>
            <w:tcW w:w="1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702,052</w:t>
            </w:r>
          </w:p>
        </w:tc>
        <w:tc>
          <w:tcPr>
            <w:tcW w:w="180" w:type="dxa"/>
            <w:vAlign w:val="bottom"/>
          </w:tcPr>
          <w:p>
            <w:pPr>
              <w:spacing w:after="0"/>
              <w:rPr>
                <w:sz w:val="19"/>
                <w:szCs w:val="19"/>
                <w:color w:val="auto"/>
              </w:rPr>
            </w:pPr>
          </w:p>
        </w:tc>
        <w:tc>
          <w:tcPr>
            <w:tcW w:w="1980" w:type="dxa"/>
            <w:vAlign w:val="bottom"/>
          </w:tcPr>
          <w:p>
            <w:pPr>
              <w:jc w:val="right"/>
              <w:ind w:right="553"/>
              <w:spacing w:after="0"/>
              <w:rPr>
                <w:sz w:val="20"/>
                <w:szCs w:val="20"/>
                <w:color w:val="auto"/>
              </w:rPr>
            </w:pPr>
            <w:r>
              <w:rPr>
                <w:rFonts w:ascii="Arial" w:cs="Arial" w:eastAsia="Arial" w:hAnsi="Arial"/>
                <w:sz w:val="18"/>
                <w:szCs w:val="18"/>
                <w:color w:val="auto"/>
              </w:rPr>
              <w:t>3,199,684</w:t>
            </w:r>
          </w:p>
        </w:tc>
      </w:tr>
    </w:tbl>
    <w:p>
      <w:pPr>
        <w:spacing w:after="0" w:line="200" w:lineRule="exact"/>
        <w:rPr>
          <w:sz w:val="20"/>
          <w:szCs w:val="20"/>
          <w:color w:val="auto"/>
        </w:rPr>
      </w:pPr>
    </w:p>
    <w:p>
      <w:pPr>
        <w:spacing w:after="0" w:line="221" w:lineRule="exact"/>
        <w:rPr>
          <w:sz w:val="20"/>
          <w:szCs w:val="20"/>
          <w:color w:val="auto"/>
        </w:rPr>
      </w:pPr>
    </w:p>
    <w:p>
      <w:pPr>
        <w:ind w:left="440" w:hanging="433"/>
        <w:spacing w:after="0"/>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The Company’s </w:t>
      </w:r>
      <w:r>
        <w:rPr>
          <w:rFonts w:ascii="Arial" w:cs="Arial" w:eastAsia="Arial" w:hAnsi="Arial"/>
          <w:sz w:val="21"/>
          <w:szCs w:val="21"/>
          <w:color w:val="auto"/>
        </w:rPr>
        <w:t>named executive officer compensation was approved on an advisory basis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gridSpan w:val="2"/>
          </w:tcPr>
          <w:p>
            <w:pPr>
              <w:ind w:left="1120"/>
              <w:spacing w:after="0"/>
              <w:rPr>
                <w:sz w:val="20"/>
                <w:szCs w:val="20"/>
                <w:color w:val="auto"/>
              </w:rPr>
            </w:pPr>
            <w:r>
              <w:rPr>
                <w:rFonts w:ascii="Arial" w:cs="Arial" w:eastAsia="Arial" w:hAnsi="Arial"/>
                <w:sz w:val="14"/>
                <w:szCs w:val="14"/>
                <w:b w:val="1"/>
                <w:bCs w:val="1"/>
                <w:color w:val="auto"/>
              </w:rPr>
              <w:t>FOR</w:t>
            </w:r>
          </w:p>
        </w:tc>
        <w:tc>
          <w:tcPr>
            <w:tcW w:w="2860" w:type="dxa"/>
            <w:vAlign w:val="bottom"/>
            <w:gridSpan w:val="2"/>
          </w:tcPr>
          <w:p>
            <w:pPr>
              <w:ind w:left="94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ind w:left="940"/>
              <w:spacing w:after="0"/>
              <w:rPr>
                <w:sz w:val="20"/>
                <w:szCs w:val="20"/>
                <w:color w:val="auto"/>
              </w:rPr>
            </w:pPr>
            <w:r>
              <w:rPr>
                <w:rFonts w:ascii="Arial" w:cs="Arial" w:eastAsia="Arial" w:hAnsi="Arial"/>
                <w:sz w:val="14"/>
                <w:szCs w:val="14"/>
                <w:b w:val="1"/>
                <w:bCs w:val="1"/>
                <w:color w:val="auto"/>
              </w:rPr>
              <w:t>ABSTAIN</w:t>
            </w:r>
          </w:p>
        </w:tc>
        <w:tc>
          <w:tcPr>
            <w:tcW w:w="2660" w:type="dxa"/>
            <w:vAlign w:val="bottom"/>
          </w:tcPr>
          <w:p>
            <w:pPr>
              <w:jc w:val="right"/>
              <w:ind w:right="560"/>
              <w:spacing w:after="0"/>
              <w:rPr>
                <w:sz w:val="20"/>
                <w:szCs w:val="20"/>
                <w:color w:val="auto"/>
              </w:rPr>
            </w:pPr>
            <w:r>
              <w:rPr>
                <w:rFonts w:ascii="Arial" w:cs="Arial" w:eastAsia="Arial" w:hAnsi="Arial"/>
                <w:sz w:val="14"/>
                <w:szCs w:val="14"/>
                <w:b w:val="1"/>
                <w:bCs w:val="1"/>
                <w:color w:val="auto"/>
              </w:rPr>
              <w:t>BROKER NON-VOTES</w:t>
            </w:r>
          </w:p>
        </w:tc>
      </w:tr>
      <w:tr>
        <w:trPr>
          <w:trHeight w:val="221"/>
        </w:trPr>
        <w:tc>
          <w:tcPr>
            <w:tcW w:w="2640" w:type="dxa"/>
            <w:vAlign w:val="bottom"/>
            <w:tcBorders>
              <w:top w:val="single" w:sz="8" w:color="auto"/>
            </w:tcBorders>
            <w:shd w:val="clear" w:color="auto" w:fill="CFF0FC"/>
          </w:tcPr>
          <w:p>
            <w:pPr>
              <w:jc w:val="right"/>
              <w:ind w:right="840"/>
              <w:spacing w:after="0"/>
              <w:rPr>
                <w:sz w:val="20"/>
                <w:szCs w:val="20"/>
                <w:color w:val="auto"/>
              </w:rPr>
            </w:pPr>
            <w:r>
              <w:rPr>
                <w:rFonts w:ascii="Arial" w:cs="Arial" w:eastAsia="Arial" w:hAnsi="Arial"/>
                <w:sz w:val="18"/>
                <w:szCs w:val="18"/>
                <w:color w:val="auto"/>
              </w:rPr>
              <w:t>27,286,068</w:t>
            </w:r>
          </w:p>
        </w:tc>
        <w:tc>
          <w:tcPr>
            <w:tcW w:w="220" w:type="dxa"/>
            <w:vAlign w:val="bottom"/>
            <w:tcBorders>
              <w:top w:val="single" w:sz="8" w:color="CFF0FC"/>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jc w:val="right"/>
              <w:ind w:right="960"/>
              <w:spacing w:after="0"/>
              <w:rPr>
                <w:sz w:val="20"/>
                <w:szCs w:val="20"/>
                <w:color w:val="auto"/>
              </w:rPr>
            </w:pPr>
            <w:r>
              <w:rPr>
                <w:rFonts w:ascii="Arial" w:cs="Arial" w:eastAsia="Arial" w:hAnsi="Arial"/>
                <w:sz w:val="18"/>
                <w:szCs w:val="18"/>
                <w:color w:val="auto"/>
              </w:rPr>
              <w:t>379,823</w:t>
            </w:r>
          </w:p>
        </w:tc>
        <w:tc>
          <w:tcPr>
            <w:tcW w:w="220" w:type="dxa"/>
            <w:vAlign w:val="bottom"/>
            <w:tcBorders>
              <w:top w:val="single" w:sz="8" w:color="CFF0FC"/>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jc w:val="right"/>
              <w:ind w:right="960"/>
              <w:spacing w:after="0"/>
              <w:rPr>
                <w:sz w:val="20"/>
                <w:szCs w:val="20"/>
                <w:color w:val="auto"/>
              </w:rPr>
            </w:pPr>
            <w:r>
              <w:rPr>
                <w:rFonts w:ascii="Arial" w:cs="Arial" w:eastAsia="Arial" w:hAnsi="Arial"/>
                <w:sz w:val="18"/>
                <w:szCs w:val="18"/>
                <w:color w:val="auto"/>
              </w:rPr>
              <w:t>271,930</w:t>
            </w:r>
          </w:p>
        </w:tc>
        <w:tc>
          <w:tcPr>
            <w:tcW w:w="220" w:type="dxa"/>
            <w:vAlign w:val="bottom"/>
            <w:tcBorders>
              <w:top w:val="single" w:sz="8" w:color="CFF0FC"/>
            </w:tcBorders>
            <w:shd w:val="clear" w:color="auto" w:fill="CFF0FC"/>
          </w:tcPr>
          <w:p>
            <w:pPr>
              <w:spacing w:after="0"/>
              <w:rPr>
                <w:sz w:val="19"/>
                <w:szCs w:val="19"/>
                <w:color w:val="auto"/>
              </w:rPr>
            </w:pPr>
          </w:p>
        </w:tc>
        <w:tc>
          <w:tcPr>
            <w:tcW w:w="2660" w:type="dxa"/>
            <w:vAlign w:val="bottom"/>
            <w:tcBorders>
              <w:top w:val="single" w:sz="8" w:color="auto"/>
            </w:tcBorders>
            <w:shd w:val="clear" w:color="auto" w:fill="CFF0FC"/>
          </w:tcPr>
          <w:p>
            <w:pPr>
              <w:jc w:val="right"/>
              <w:ind w:right="900"/>
              <w:spacing w:after="0"/>
              <w:rPr>
                <w:sz w:val="20"/>
                <w:szCs w:val="20"/>
                <w:color w:val="auto"/>
              </w:rPr>
            </w:pPr>
            <w:r>
              <w:rPr>
                <w:rFonts w:ascii="Arial" w:cs="Arial" w:eastAsia="Arial" w:hAnsi="Arial"/>
                <w:sz w:val="18"/>
                <w:szCs w:val="18"/>
                <w:color w:val="auto"/>
              </w:rPr>
              <w:t>3,199,684</w:t>
            </w:r>
          </w:p>
        </w:tc>
      </w:tr>
    </w:tbl>
    <w:p>
      <w:pPr>
        <w:spacing w:after="0" w:line="200" w:lineRule="exact"/>
        <w:rPr>
          <w:sz w:val="20"/>
          <w:szCs w:val="20"/>
          <w:color w:val="auto"/>
        </w:rPr>
      </w:pPr>
    </w:p>
    <w:p>
      <w:pPr>
        <w:spacing w:after="0" w:line="220" w:lineRule="exact"/>
        <w:rPr>
          <w:sz w:val="20"/>
          <w:szCs w:val="20"/>
          <w:color w:val="auto"/>
        </w:rPr>
      </w:pPr>
    </w:p>
    <w:p>
      <w:pPr>
        <w:ind w:left="440" w:hanging="433"/>
        <w:spacing w:after="0"/>
        <w:tabs>
          <w:tab w:leader="none" w:pos="44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1"/>
          <w:szCs w:val="21"/>
          <w:color w:val="auto"/>
        </w:rPr>
        <w:t>CECO Environmental Corp. 2021 Equity and Incentive Compensation Plan was approved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gridSpan w:val="2"/>
          </w:tcPr>
          <w:p>
            <w:pPr>
              <w:ind w:left="1120"/>
              <w:spacing w:after="0"/>
              <w:rPr>
                <w:sz w:val="20"/>
                <w:szCs w:val="20"/>
                <w:color w:val="auto"/>
              </w:rPr>
            </w:pPr>
            <w:r>
              <w:rPr>
                <w:rFonts w:ascii="Arial" w:cs="Arial" w:eastAsia="Arial" w:hAnsi="Arial"/>
                <w:sz w:val="14"/>
                <w:szCs w:val="14"/>
                <w:b w:val="1"/>
                <w:bCs w:val="1"/>
                <w:color w:val="auto"/>
              </w:rPr>
              <w:t>FOR</w:t>
            </w:r>
          </w:p>
        </w:tc>
        <w:tc>
          <w:tcPr>
            <w:tcW w:w="2860" w:type="dxa"/>
            <w:vAlign w:val="bottom"/>
            <w:gridSpan w:val="2"/>
          </w:tcPr>
          <w:p>
            <w:pPr>
              <w:ind w:left="94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ind w:left="940"/>
              <w:spacing w:after="0"/>
              <w:rPr>
                <w:sz w:val="20"/>
                <w:szCs w:val="20"/>
                <w:color w:val="auto"/>
              </w:rPr>
            </w:pPr>
            <w:r>
              <w:rPr>
                <w:rFonts w:ascii="Arial" w:cs="Arial" w:eastAsia="Arial" w:hAnsi="Arial"/>
                <w:sz w:val="14"/>
                <w:szCs w:val="14"/>
                <w:b w:val="1"/>
                <w:bCs w:val="1"/>
                <w:color w:val="auto"/>
              </w:rPr>
              <w:t>ABSTAIN</w:t>
            </w:r>
          </w:p>
        </w:tc>
        <w:tc>
          <w:tcPr>
            <w:tcW w:w="2660" w:type="dxa"/>
            <w:vAlign w:val="bottom"/>
          </w:tcPr>
          <w:p>
            <w:pPr>
              <w:jc w:val="right"/>
              <w:ind w:right="560"/>
              <w:spacing w:after="0"/>
              <w:rPr>
                <w:sz w:val="20"/>
                <w:szCs w:val="20"/>
                <w:color w:val="auto"/>
              </w:rPr>
            </w:pPr>
            <w:r>
              <w:rPr>
                <w:rFonts w:ascii="Arial" w:cs="Arial" w:eastAsia="Arial" w:hAnsi="Arial"/>
                <w:sz w:val="14"/>
                <w:szCs w:val="14"/>
                <w:b w:val="1"/>
                <w:bCs w:val="1"/>
                <w:color w:val="auto"/>
              </w:rPr>
              <w:t>BROKER NON-VOTES</w:t>
            </w:r>
          </w:p>
        </w:tc>
      </w:tr>
      <w:tr>
        <w:trPr>
          <w:trHeight w:val="221"/>
        </w:trPr>
        <w:tc>
          <w:tcPr>
            <w:tcW w:w="2640" w:type="dxa"/>
            <w:vAlign w:val="bottom"/>
            <w:tcBorders>
              <w:top w:val="single" w:sz="8" w:color="auto"/>
            </w:tcBorders>
            <w:shd w:val="clear" w:color="auto" w:fill="CFF0FC"/>
          </w:tcPr>
          <w:p>
            <w:pPr>
              <w:jc w:val="right"/>
              <w:ind w:right="840"/>
              <w:spacing w:after="0"/>
              <w:rPr>
                <w:sz w:val="20"/>
                <w:szCs w:val="20"/>
                <w:color w:val="auto"/>
              </w:rPr>
            </w:pPr>
            <w:r>
              <w:rPr>
                <w:rFonts w:ascii="Arial" w:cs="Arial" w:eastAsia="Arial" w:hAnsi="Arial"/>
                <w:sz w:val="18"/>
                <w:szCs w:val="18"/>
                <w:color w:val="auto"/>
              </w:rPr>
              <w:t>24,350,172</w:t>
            </w:r>
          </w:p>
        </w:tc>
        <w:tc>
          <w:tcPr>
            <w:tcW w:w="220" w:type="dxa"/>
            <w:vAlign w:val="bottom"/>
            <w:tcBorders>
              <w:top w:val="single" w:sz="8" w:color="CFF0FC"/>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rPr>
              <w:t>3,303,898</w:t>
            </w:r>
          </w:p>
        </w:tc>
        <w:tc>
          <w:tcPr>
            <w:tcW w:w="220" w:type="dxa"/>
            <w:vAlign w:val="bottom"/>
            <w:tcBorders>
              <w:top w:val="single" w:sz="8" w:color="CFF0FC"/>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jc w:val="right"/>
              <w:ind w:right="960"/>
              <w:spacing w:after="0"/>
              <w:rPr>
                <w:sz w:val="20"/>
                <w:szCs w:val="20"/>
                <w:color w:val="auto"/>
              </w:rPr>
            </w:pPr>
            <w:r>
              <w:rPr>
                <w:rFonts w:ascii="Arial" w:cs="Arial" w:eastAsia="Arial" w:hAnsi="Arial"/>
                <w:sz w:val="18"/>
                <w:szCs w:val="18"/>
                <w:color w:val="auto"/>
              </w:rPr>
              <w:t>283,751</w:t>
            </w:r>
          </w:p>
        </w:tc>
        <w:tc>
          <w:tcPr>
            <w:tcW w:w="220" w:type="dxa"/>
            <w:vAlign w:val="bottom"/>
            <w:tcBorders>
              <w:top w:val="single" w:sz="8" w:color="CFF0FC"/>
            </w:tcBorders>
            <w:shd w:val="clear" w:color="auto" w:fill="CFF0FC"/>
          </w:tcPr>
          <w:p>
            <w:pPr>
              <w:spacing w:after="0"/>
              <w:rPr>
                <w:sz w:val="19"/>
                <w:szCs w:val="19"/>
                <w:color w:val="auto"/>
              </w:rPr>
            </w:pPr>
          </w:p>
        </w:tc>
        <w:tc>
          <w:tcPr>
            <w:tcW w:w="2660" w:type="dxa"/>
            <w:vAlign w:val="bottom"/>
            <w:tcBorders>
              <w:top w:val="single" w:sz="8" w:color="auto"/>
            </w:tcBorders>
            <w:shd w:val="clear" w:color="auto" w:fill="CFF0FC"/>
          </w:tcPr>
          <w:p>
            <w:pPr>
              <w:jc w:val="right"/>
              <w:ind w:right="900"/>
              <w:spacing w:after="0"/>
              <w:rPr>
                <w:sz w:val="20"/>
                <w:szCs w:val="20"/>
                <w:color w:val="auto"/>
              </w:rPr>
            </w:pPr>
            <w:r>
              <w:rPr>
                <w:rFonts w:ascii="Arial" w:cs="Arial" w:eastAsia="Arial" w:hAnsi="Arial"/>
                <w:sz w:val="18"/>
                <w:szCs w:val="18"/>
                <w:color w:val="auto"/>
              </w:rPr>
              <w:t>3,199,684</w:t>
            </w:r>
          </w:p>
        </w:tc>
      </w:tr>
      <w:tr>
        <w:trPr>
          <w:trHeight w:val="783"/>
        </w:trPr>
        <w:tc>
          <w:tcPr>
            <w:tcW w:w="2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440" w:right="600" w:hanging="433"/>
        <w:spacing w:after="0" w:line="270" w:lineRule="auto"/>
        <w:tabs>
          <w:tab w:leader="none" w:pos="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The appointment </w:t>
      </w:r>
      <w:r>
        <w:rPr>
          <w:rFonts w:ascii="Arial" w:cs="Arial" w:eastAsia="Arial" w:hAnsi="Arial"/>
          <w:sz w:val="21"/>
          <w:szCs w:val="21"/>
          <w:color w:val="auto"/>
        </w:rPr>
        <w:t>of BDO USA, LLP as the Company’s independent registered public accounting firm for fiscal 2021 was</w:t>
      </w:r>
      <w:r>
        <w:rPr>
          <w:rFonts w:ascii="Arial" w:cs="Arial" w:eastAsia="Arial" w:hAnsi="Arial"/>
          <w:sz w:val="20"/>
          <w:szCs w:val="20"/>
          <w:color w:val="auto"/>
        </w:rPr>
        <w:t xml:space="preserve"> </w:t>
      </w:r>
      <w:r>
        <w:rPr>
          <w:rFonts w:ascii="Arial" w:cs="Arial" w:eastAsia="Arial" w:hAnsi="Arial"/>
          <w:sz w:val="21"/>
          <w:szCs w:val="21"/>
          <w:color w:val="auto"/>
        </w:rPr>
        <w:t>ratified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40" w:type="dxa"/>
            <w:vAlign w:val="bottom"/>
            <w:gridSpan w:val="2"/>
          </w:tcPr>
          <w:p>
            <w:pPr>
              <w:ind w:left="1580"/>
              <w:spacing w:after="0"/>
              <w:rPr>
                <w:sz w:val="20"/>
                <w:szCs w:val="20"/>
                <w:color w:val="auto"/>
              </w:rPr>
            </w:pPr>
            <w:r>
              <w:rPr>
                <w:rFonts w:ascii="Arial" w:cs="Arial" w:eastAsia="Arial" w:hAnsi="Arial"/>
                <w:sz w:val="14"/>
                <w:szCs w:val="14"/>
                <w:b w:val="1"/>
                <w:bCs w:val="1"/>
                <w:color w:val="auto"/>
              </w:rPr>
              <w:t>FOR</w:t>
            </w:r>
          </w:p>
        </w:tc>
        <w:tc>
          <w:tcPr>
            <w:tcW w:w="3820" w:type="dxa"/>
            <w:vAlign w:val="bottom"/>
            <w:gridSpan w:val="2"/>
          </w:tcPr>
          <w:p>
            <w:pPr>
              <w:ind w:left="1380"/>
              <w:spacing w:after="0"/>
              <w:rPr>
                <w:sz w:val="20"/>
                <w:szCs w:val="20"/>
                <w:color w:val="auto"/>
              </w:rPr>
            </w:pPr>
            <w:r>
              <w:rPr>
                <w:rFonts w:ascii="Arial" w:cs="Arial" w:eastAsia="Arial" w:hAnsi="Arial"/>
                <w:sz w:val="14"/>
                <w:szCs w:val="14"/>
                <w:b w:val="1"/>
                <w:bCs w:val="1"/>
                <w:color w:val="auto"/>
              </w:rPr>
              <w:t>AGAINST</w:t>
            </w:r>
          </w:p>
        </w:tc>
        <w:tc>
          <w:tcPr>
            <w:tcW w:w="3580" w:type="dxa"/>
            <w:vAlign w:val="bottom"/>
          </w:tcPr>
          <w:p>
            <w:pPr>
              <w:jc w:val="right"/>
              <w:ind w:right="1460"/>
              <w:spacing w:after="0"/>
              <w:rPr>
                <w:sz w:val="20"/>
                <w:szCs w:val="20"/>
                <w:color w:val="auto"/>
              </w:rPr>
            </w:pPr>
            <w:r>
              <w:rPr>
                <w:rFonts w:ascii="Arial" w:cs="Arial" w:eastAsia="Arial" w:hAnsi="Arial"/>
                <w:sz w:val="14"/>
                <w:szCs w:val="14"/>
                <w:b w:val="1"/>
                <w:bCs w:val="1"/>
                <w:color w:val="auto"/>
              </w:rPr>
              <w:t>ABSTAIN</w:t>
            </w:r>
          </w:p>
        </w:tc>
      </w:tr>
      <w:tr>
        <w:trPr>
          <w:trHeight w:val="221"/>
        </w:trPr>
        <w:tc>
          <w:tcPr>
            <w:tcW w:w="3560" w:type="dxa"/>
            <w:vAlign w:val="bottom"/>
            <w:tcBorders>
              <w:top w:val="single" w:sz="8" w:color="auto"/>
            </w:tcBorders>
            <w:shd w:val="clear" w:color="auto" w:fill="CFF0FC"/>
          </w:tcPr>
          <w:p>
            <w:pPr>
              <w:jc w:val="right"/>
              <w:ind w:right="1300"/>
              <w:spacing w:after="0"/>
              <w:rPr>
                <w:sz w:val="20"/>
                <w:szCs w:val="20"/>
                <w:color w:val="auto"/>
              </w:rPr>
            </w:pPr>
            <w:r>
              <w:rPr>
                <w:rFonts w:ascii="Arial" w:cs="Arial" w:eastAsia="Arial" w:hAnsi="Arial"/>
                <w:sz w:val="18"/>
                <w:szCs w:val="18"/>
                <w:color w:val="auto"/>
              </w:rPr>
              <w:t>30,926,295</w:t>
            </w:r>
          </w:p>
        </w:tc>
        <w:tc>
          <w:tcPr>
            <w:tcW w:w="280" w:type="dxa"/>
            <w:vAlign w:val="bottom"/>
            <w:tcBorders>
              <w:top w:val="single" w:sz="8" w:color="CFF0FC"/>
            </w:tcBorders>
            <w:shd w:val="clear" w:color="auto" w:fill="CFF0FC"/>
          </w:tcPr>
          <w:p>
            <w:pPr>
              <w:spacing w:after="0"/>
              <w:rPr>
                <w:sz w:val="19"/>
                <w:szCs w:val="19"/>
                <w:color w:val="auto"/>
              </w:rPr>
            </w:pPr>
          </w:p>
        </w:tc>
        <w:tc>
          <w:tcPr>
            <w:tcW w:w="3540" w:type="dxa"/>
            <w:vAlign w:val="bottom"/>
            <w:tcBorders>
              <w:top w:val="single" w:sz="8" w:color="auto"/>
            </w:tcBorders>
            <w:shd w:val="clear" w:color="auto" w:fill="CFF0FC"/>
          </w:tcPr>
          <w:p>
            <w:pPr>
              <w:jc w:val="right"/>
              <w:ind w:right="1400"/>
              <w:spacing w:after="0"/>
              <w:rPr>
                <w:sz w:val="20"/>
                <w:szCs w:val="20"/>
                <w:color w:val="auto"/>
              </w:rPr>
            </w:pPr>
            <w:r>
              <w:rPr>
                <w:rFonts w:ascii="Arial" w:cs="Arial" w:eastAsia="Arial" w:hAnsi="Arial"/>
                <w:sz w:val="18"/>
                <w:szCs w:val="18"/>
                <w:color w:val="auto"/>
              </w:rPr>
              <w:t>185,738</w:t>
            </w:r>
          </w:p>
        </w:tc>
        <w:tc>
          <w:tcPr>
            <w:tcW w:w="280" w:type="dxa"/>
            <w:vAlign w:val="bottom"/>
            <w:tcBorders>
              <w:top w:val="single" w:sz="8" w:color="CFF0FC"/>
            </w:tcBorders>
            <w:shd w:val="clear" w:color="auto" w:fill="CFF0FC"/>
          </w:tcPr>
          <w:p>
            <w:pPr>
              <w:spacing w:after="0"/>
              <w:rPr>
                <w:sz w:val="19"/>
                <w:szCs w:val="19"/>
                <w:color w:val="auto"/>
              </w:rPr>
            </w:pPr>
          </w:p>
        </w:tc>
        <w:tc>
          <w:tcPr>
            <w:tcW w:w="3580" w:type="dxa"/>
            <w:vAlign w:val="bottom"/>
            <w:tcBorders>
              <w:top w:val="single" w:sz="8" w:color="auto"/>
            </w:tcBorders>
            <w:shd w:val="clear" w:color="auto" w:fill="CFF0FC"/>
          </w:tcPr>
          <w:p>
            <w:pPr>
              <w:jc w:val="right"/>
              <w:ind w:right="1480"/>
              <w:spacing w:after="0"/>
              <w:rPr>
                <w:sz w:val="20"/>
                <w:szCs w:val="20"/>
                <w:color w:val="auto"/>
              </w:rPr>
            </w:pPr>
            <w:r>
              <w:rPr>
                <w:rFonts w:ascii="Arial" w:cs="Arial" w:eastAsia="Arial" w:hAnsi="Arial"/>
                <w:sz w:val="18"/>
                <w:szCs w:val="18"/>
                <w:color w:val="auto"/>
              </w:rPr>
              <w:t>25,472</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9.01. Financial Statements and Exhibits.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9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408"/>
        </w:trPr>
        <w:tc>
          <w:tcPr>
            <w:tcW w:w="1440" w:type="dxa"/>
            <w:vAlign w:val="bottom"/>
          </w:tcPr>
          <w:p>
            <w:pPr>
              <w:spacing w:after="0"/>
              <w:rPr>
                <w:sz w:val="20"/>
                <w:szCs w:val="20"/>
                <w:color w:val="auto"/>
              </w:rPr>
            </w:pPr>
            <w:r>
              <w:rPr>
                <w:rFonts w:ascii="Arial" w:cs="Arial" w:eastAsia="Arial" w:hAnsi="Arial"/>
                <w:sz w:val="20"/>
                <w:szCs w:val="20"/>
                <w:color w:val="auto"/>
              </w:rPr>
              <w:t>10.1</w:t>
            </w:r>
          </w:p>
        </w:tc>
        <w:tc>
          <w:tcPr>
            <w:tcW w:w="5940" w:type="dxa"/>
            <w:vAlign w:val="bottom"/>
            <w:tcBorders>
              <w:bottom w:val="single" w:sz="8" w:color="0000EE"/>
            </w:tcBorders>
          </w:tcPr>
          <w:p>
            <w:pPr>
              <w:spacing w:after="0"/>
              <w:rPr>
                <w:rFonts w:ascii="Arial" w:cs="Arial" w:eastAsia="Arial" w:hAnsi="Arial"/>
                <w:sz w:val="20"/>
                <w:szCs w:val="20"/>
                <w:color w:val="0000EE"/>
                <w:w w:val="89"/>
              </w:rPr>
            </w:pPr>
            <w:hyperlink w:anchor="page6">
              <w:r>
                <w:rPr>
                  <w:rFonts w:ascii="Arial" w:cs="Arial" w:eastAsia="Arial" w:hAnsi="Arial"/>
                  <w:sz w:val="20"/>
                  <w:szCs w:val="20"/>
                  <w:color w:val="0000EE"/>
                  <w:w w:val="89"/>
                </w:rPr>
                <w:t>CECO Environmental Corp. 2021 Equity and Incentive Compensation Plan</w:t>
              </w:r>
            </w:hyperlink>
          </w:p>
        </w:tc>
        <w:tc>
          <w:tcPr>
            <w:tcW w:w="3960" w:type="dxa"/>
            <w:vAlign w:val="bottom"/>
            <w:gridSpan w:val="2"/>
          </w:tcPr>
          <w:p>
            <w:pPr>
              <w:spacing w:after="0"/>
              <w:rPr>
                <w:sz w:val="24"/>
                <w:szCs w:val="24"/>
                <w:color w:val="auto"/>
              </w:rPr>
            </w:pPr>
          </w:p>
        </w:tc>
      </w:tr>
      <w:tr>
        <w:trPr>
          <w:trHeight w:val="386"/>
        </w:trPr>
        <w:tc>
          <w:tcPr>
            <w:tcW w:w="1440" w:type="dxa"/>
            <w:vAlign w:val="bottom"/>
          </w:tcPr>
          <w:p>
            <w:pPr>
              <w:spacing w:after="0"/>
              <w:rPr>
                <w:sz w:val="20"/>
                <w:szCs w:val="20"/>
                <w:color w:val="auto"/>
              </w:rPr>
            </w:pPr>
            <w:r>
              <w:rPr>
                <w:rFonts w:ascii="Arial" w:cs="Arial" w:eastAsia="Arial" w:hAnsi="Arial"/>
                <w:sz w:val="20"/>
                <w:szCs w:val="20"/>
                <w:color w:val="auto"/>
              </w:rPr>
              <w:t>104</w:t>
            </w:r>
          </w:p>
        </w:tc>
        <w:tc>
          <w:tcPr>
            <w:tcW w:w="9900" w:type="dxa"/>
            <w:vAlign w:val="bottom"/>
            <w:gridSpan w:val="3"/>
          </w:tcPr>
          <w:p>
            <w:pPr>
              <w:spacing w:after="0"/>
              <w:rPr>
                <w:sz w:val="20"/>
                <w:szCs w:val="20"/>
                <w:color w:val="auto"/>
              </w:rPr>
            </w:pPr>
            <w:r>
              <w:rPr>
                <w:rFonts w:ascii="Arial" w:cs="Arial" w:eastAsia="Arial" w:hAnsi="Arial"/>
                <w:sz w:val="20"/>
                <w:szCs w:val="20"/>
                <w:color w:val="auto"/>
              </w:rPr>
              <w:t>Cover Page Interactive Data File (embedded within the Inline XBRL document)</w:t>
            </w:r>
          </w:p>
        </w:tc>
      </w:tr>
      <w:tr>
        <w:trPr>
          <w:trHeight w:val="565"/>
        </w:trPr>
        <w:tc>
          <w:tcPr>
            <w:tcW w:w="1440" w:type="dxa"/>
            <w:vAlign w:val="bottom"/>
            <w:tcBorders>
              <w:bottom w:val="single" w:sz="8" w:color="9A9A9A"/>
            </w:tcBorders>
          </w:tcPr>
          <w:p>
            <w:pPr>
              <w:spacing w:after="0"/>
              <w:rPr>
                <w:sz w:val="24"/>
                <w:szCs w:val="24"/>
                <w:color w:val="auto"/>
              </w:rPr>
            </w:pPr>
          </w:p>
        </w:tc>
        <w:tc>
          <w:tcPr>
            <w:tcW w:w="59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346" w:right="23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27, 2021</w:t>
      </w:r>
      <w:r>
        <w:rPr>
          <w:sz w:val="20"/>
          <w:szCs w:val="20"/>
          <w:color w:val="auto"/>
        </w:rPr>
        <w:tab/>
      </w:r>
      <w:r>
        <w:rPr>
          <w:rFonts w:ascii="Arial" w:cs="Arial" w:eastAsia="Arial" w:hAnsi="Arial"/>
          <w:sz w:val="16"/>
          <w:szCs w:val="16"/>
          <w:color w:val="auto"/>
        </w:rPr>
        <w:t>CECO Environmental Corp.</w:t>
      </w:r>
    </w:p>
    <w:p>
      <w:pPr>
        <w:spacing w:after="0" w:line="22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Matthew Eckl</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-130175</wp:posOffset>
            </wp:positionV>
            <wp:extent cx="25679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7940" cy="8255"/>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20"/>
          </w:cols>
          <w:pgMar w:left="320" w:top="349" w:right="4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AND INCENTIVE COMPENSATION PLAN</w:t>
      </w:r>
    </w:p>
    <w:p>
      <w:pPr>
        <w:spacing w:after="0" w:line="181" w:lineRule="exact"/>
        <w:rPr>
          <w:sz w:val="20"/>
          <w:szCs w:val="20"/>
          <w:color w:val="auto"/>
        </w:rPr>
      </w:pPr>
    </w:p>
    <w:p>
      <w:pPr>
        <w:jc w:val="both"/>
        <w:ind w:firstLine="871"/>
        <w:spacing w:after="0" w:line="262" w:lineRule="auto"/>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this Plan is to permit award grants to non-employee Directors, officers and other employees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its Subsidiaries, and certain consultants to the Company and its Subsidiaries, and to provide to such persons incentives and rewards for service and/or performance.</w:t>
      </w:r>
    </w:p>
    <w:p>
      <w:pPr>
        <w:spacing w:after="0" w:line="179" w:lineRule="exact"/>
        <w:rPr>
          <w:rFonts w:ascii="Arial" w:cs="Arial" w:eastAsia="Arial" w:hAnsi="Arial"/>
          <w:sz w:val="18"/>
          <w:szCs w:val="18"/>
          <w:color w:val="auto"/>
        </w:rPr>
      </w:pPr>
    </w:p>
    <w:p>
      <w:pPr>
        <w:ind w:left="1640" w:hanging="769"/>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this Plan:</w:t>
      </w:r>
    </w:p>
    <w:p>
      <w:pPr>
        <w:spacing w:after="0" w:line="221" w:lineRule="exact"/>
        <w:rPr>
          <w:rFonts w:ascii="Arial" w:cs="Arial" w:eastAsia="Arial" w:hAnsi="Arial"/>
          <w:sz w:val="18"/>
          <w:szCs w:val="18"/>
          <w:color w:val="auto"/>
        </w:rPr>
      </w:pPr>
    </w:p>
    <w:p>
      <w:pPr>
        <w:ind w:left="2580" w:hanging="845"/>
        <w:spacing w:after="0"/>
        <w:tabs>
          <w:tab w:leader="none" w:pos="2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“Appreciation Right” means a right granted pursuant to </w:t>
      </w:r>
      <w:r>
        <w:rPr>
          <w:rFonts w:ascii="Arial" w:cs="Arial" w:eastAsia="Arial" w:hAnsi="Arial"/>
          <w:sz w:val="18"/>
          <w:szCs w:val="18"/>
          <w:b w:val="1"/>
          <w:bCs w:val="1"/>
          <w:u w:val="single" w:color="auto"/>
          <w:color w:val="auto"/>
        </w:rPr>
        <w:t>Section 5</w:t>
      </w:r>
      <w:r>
        <w:rPr>
          <w:rFonts w:ascii="Arial" w:cs="Arial" w:eastAsia="Arial" w:hAnsi="Arial"/>
          <w:sz w:val="18"/>
          <w:szCs w:val="18"/>
          <w:color w:val="auto"/>
        </w:rPr>
        <w:t xml:space="preserve"> of this Plan.</w:t>
      </w:r>
    </w:p>
    <w:p>
      <w:pPr>
        <w:spacing w:after="0" w:line="225" w:lineRule="exact"/>
        <w:rPr>
          <w:rFonts w:ascii="Arial" w:cs="Arial" w:eastAsia="Arial" w:hAnsi="Arial"/>
          <w:sz w:val="18"/>
          <w:szCs w:val="18"/>
          <w:color w:val="auto"/>
        </w:rPr>
      </w:pPr>
    </w:p>
    <w:p>
      <w:pPr>
        <w:ind w:left="2580" w:hanging="845"/>
        <w:spacing w:after="0"/>
        <w:tabs>
          <w:tab w:leader="none" w:pos="2580" w:val="left"/>
        </w:tabs>
        <w:numPr>
          <w:ilvl w:val="1"/>
          <w:numId w:val="6"/>
        </w:numPr>
        <w:rPr>
          <w:rFonts w:ascii="Arial" w:cs="Arial" w:eastAsia="Arial" w:hAnsi="Arial"/>
          <w:sz w:val="16"/>
          <w:szCs w:val="16"/>
          <w:color w:val="auto"/>
        </w:rPr>
      </w:pPr>
      <w:r>
        <w:rPr>
          <w:rFonts w:ascii="Arial" w:cs="Arial" w:eastAsia="Arial" w:hAnsi="Arial"/>
          <w:sz w:val="16"/>
          <w:szCs w:val="16"/>
          <w:color w:val="auto"/>
        </w:rPr>
        <w:t>“Base Price” means the price to be used as the basis for determining the Spread upon the exercise of an Appreciation</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w:t>
      </w:r>
    </w:p>
    <w:p>
      <w:pPr>
        <w:spacing w:after="0" w:line="208" w:lineRule="exact"/>
        <w:rPr>
          <w:rFonts w:ascii="Arial" w:cs="Arial" w:eastAsia="Arial" w:hAnsi="Arial"/>
          <w:sz w:val="16"/>
          <w:szCs w:val="16"/>
          <w:color w:val="auto"/>
        </w:rPr>
      </w:pPr>
    </w:p>
    <w:p>
      <w:pPr>
        <w:ind w:left="2580" w:hanging="845"/>
        <w:spacing w:after="0"/>
        <w:tabs>
          <w:tab w:leader="none" w:pos="2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17" w:lineRule="exact"/>
        <w:rPr>
          <w:rFonts w:ascii="Arial" w:cs="Arial" w:eastAsia="Arial" w:hAnsi="Arial"/>
          <w:sz w:val="18"/>
          <w:szCs w:val="18"/>
          <w:color w:val="auto"/>
        </w:rPr>
      </w:pPr>
    </w:p>
    <w:p>
      <w:pPr>
        <w:ind w:left="2580" w:hanging="845"/>
        <w:spacing w:after="0"/>
        <w:tabs>
          <w:tab w:leader="none" w:pos="2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“Cash Incentive Award” means a cash award granted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Plan.</w:t>
      </w:r>
    </w:p>
    <w:p>
      <w:pPr>
        <w:spacing w:after="0" w:line="221" w:lineRule="exact"/>
        <w:rPr>
          <w:rFonts w:ascii="Arial" w:cs="Arial" w:eastAsia="Arial" w:hAnsi="Arial"/>
          <w:sz w:val="18"/>
          <w:szCs w:val="18"/>
          <w:color w:val="auto"/>
        </w:rPr>
      </w:pPr>
    </w:p>
    <w:p>
      <w:pPr>
        <w:ind w:left="2580" w:hanging="845"/>
        <w:spacing w:after="0"/>
        <w:tabs>
          <w:tab w:leader="none" w:pos="2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“Change in Control” has the meaning set forth in </w:t>
      </w:r>
      <w:r>
        <w:rPr>
          <w:rFonts w:ascii="Arial" w:cs="Arial" w:eastAsia="Arial" w:hAnsi="Arial"/>
          <w:sz w:val="18"/>
          <w:szCs w:val="18"/>
          <w:b w:val="1"/>
          <w:bCs w:val="1"/>
          <w:u w:val="single" w:color="auto"/>
          <w:color w:val="auto"/>
        </w:rPr>
        <w:t>Section 12</w:t>
      </w:r>
      <w:r>
        <w:rPr>
          <w:rFonts w:ascii="Arial" w:cs="Arial" w:eastAsia="Arial" w:hAnsi="Arial"/>
          <w:sz w:val="18"/>
          <w:szCs w:val="18"/>
          <w:color w:val="auto"/>
        </w:rPr>
        <w:t xml:space="preserve"> of this Plan.</w:t>
      </w:r>
    </w:p>
    <w:p>
      <w:pPr>
        <w:spacing w:after="0" w:line="225" w:lineRule="exact"/>
        <w:rPr>
          <w:rFonts w:ascii="Arial" w:cs="Arial" w:eastAsia="Arial" w:hAnsi="Arial"/>
          <w:sz w:val="18"/>
          <w:szCs w:val="18"/>
          <w:color w:val="auto"/>
        </w:rPr>
      </w:pPr>
    </w:p>
    <w:p>
      <w:pPr>
        <w:ind w:firstLine="1735"/>
        <w:spacing w:after="0" w:line="271" w:lineRule="auto"/>
        <w:tabs>
          <w:tab w:leader="none" w:pos="2549" w:val="left"/>
        </w:tabs>
        <w:numPr>
          <w:ilvl w:val="1"/>
          <w:numId w:val="6"/>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and the regulations thereunder, as such law and regulations may be amended from time to time.</w:t>
      </w:r>
    </w:p>
    <w:p>
      <w:pPr>
        <w:spacing w:after="0" w:line="175" w:lineRule="exact"/>
        <w:rPr>
          <w:rFonts w:ascii="Arial" w:cs="Arial" w:eastAsia="Arial" w:hAnsi="Arial"/>
          <w:sz w:val="18"/>
          <w:szCs w:val="18"/>
          <w:color w:val="auto"/>
        </w:rPr>
      </w:pPr>
    </w:p>
    <w:p>
      <w:pPr>
        <w:ind w:firstLine="1735"/>
        <w:spacing w:after="0" w:line="271" w:lineRule="auto"/>
        <w:tabs>
          <w:tab w:leader="none" w:pos="2578"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“Committee” means the Compensation Committee of the Board (or its successor), or any other committee of the Board designated by the Board to administer this Plan pursuant to </w:t>
      </w:r>
      <w:r>
        <w:rPr>
          <w:rFonts w:ascii="Arial" w:cs="Arial" w:eastAsia="Arial" w:hAnsi="Arial"/>
          <w:sz w:val="18"/>
          <w:szCs w:val="18"/>
          <w:b w:val="1"/>
          <w:bCs w:val="1"/>
          <w:u w:val="single" w:color="auto"/>
          <w:color w:val="auto"/>
        </w:rPr>
        <w:t>Section 10</w:t>
      </w:r>
      <w:r>
        <w:rPr>
          <w:rFonts w:ascii="Arial" w:cs="Arial" w:eastAsia="Arial" w:hAnsi="Arial"/>
          <w:sz w:val="18"/>
          <w:szCs w:val="18"/>
          <w:color w:val="auto"/>
        </w:rPr>
        <w:t xml:space="preserve"> of this Plan.</w:t>
      </w:r>
    </w:p>
    <w:p>
      <w:pPr>
        <w:spacing w:after="0" w:line="175" w:lineRule="exact"/>
        <w:rPr>
          <w:rFonts w:ascii="Arial" w:cs="Arial" w:eastAsia="Arial" w:hAnsi="Arial"/>
          <w:sz w:val="18"/>
          <w:szCs w:val="18"/>
          <w:color w:val="auto"/>
        </w:rPr>
      </w:pPr>
    </w:p>
    <w:p>
      <w:pPr>
        <w:ind w:firstLine="1735"/>
        <w:spacing w:after="0" w:line="271" w:lineRule="auto"/>
        <w:tabs>
          <w:tab w:leader="none" w:pos="2578"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“Common Stock” means the common stock, par value $0.01 per share, of the Company or any security into which such common stock may be changed by reason of any transaction or event of the type referred to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w:t>
      </w:r>
    </w:p>
    <w:p>
      <w:pPr>
        <w:spacing w:after="0" w:line="175" w:lineRule="exact"/>
        <w:rPr>
          <w:rFonts w:ascii="Arial" w:cs="Arial" w:eastAsia="Arial" w:hAnsi="Arial"/>
          <w:sz w:val="18"/>
          <w:szCs w:val="18"/>
          <w:color w:val="auto"/>
        </w:rPr>
      </w:pPr>
    </w:p>
    <w:p>
      <w:pPr>
        <w:ind w:left="2540" w:hanging="805"/>
        <w:spacing w:after="0"/>
        <w:tabs>
          <w:tab w:leader="none" w:pos="2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“Company” means CECO Environmental Corp., a Delaware corporation, and its successors.</w:t>
      </w:r>
    </w:p>
    <w:p>
      <w:pPr>
        <w:spacing w:after="0" w:line="221" w:lineRule="exact"/>
        <w:rPr>
          <w:rFonts w:ascii="Arial" w:cs="Arial" w:eastAsia="Arial" w:hAnsi="Arial"/>
          <w:sz w:val="18"/>
          <w:szCs w:val="18"/>
          <w:color w:val="auto"/>
        </w:rPr>
      </w:pPr>
    </w:p>
    <w:p>
      <w:pPr>
        <w:jc w:val="both"/>
        <w:ind w:firstLine="1735"/>
        <w:spacing w:after="0" w:line="256" w:lineRule="auto"/>
        <w:tabs>
          <w:tab w:leader="none" w:pos="2539"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“Date of Grant” means the date provided for by the Committee on which a grant of Option Rights, Appreciation Rights, Performance Shares, Performance Units, Cash Incentive Awards, or other awards contemplated by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or a grant or sale of Restricted Stock, Restricted Stock Units, or other awards contemplated by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will become effective (which date will not be earlier than the date on which the Committee takes action with respect thereto).</w:t>
      </w:r>
    </w:p>
    <w:p>
      <w:pPr>
        <w:spacing w:after="0" w:line="188" w:lineRule="exact"/>
        <w:rPr>
          <w:rFonts w:ascii="Arial" w:cs="Arial" w:eastAsia="Arial" w:hAnsi="Arial"/>
          <w:sz w:val="18"/>
          <w:szCs w:val="18"/>
          <w:color w:val="auto"/>
        </w:rPr>
      </w:pPr>
    </w:p>
    <w:p>
      <w:pPr>
        <w:ind w:left="2580" w:hanging="845"/>
        <w:spacing w:after="0"/>
        <w:tabs>
          <w:tab w:leader="none" w:pos="2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“Director” means a member of the Board.</w:t>
      </w:r>
    </w:p>
    <w:p>
      <w:pPr>
        <w:spacing w:after="0" w:line="221" w:lineRule="exact"/>
        <w:rPr>
          <w:rFonts w:ascii="Arial" w:cs="Arial" w:eastAsia="Arial" w:hAnsi="Arial"/>
          <w:sz w:val="18"/>
          <w:szCs w:val="18"/>
          <w:color w:val="auto"/>
        </w:rPr>
      </w:pPr>
    </w:p>
    <w:p>
      <w:pPr>
        <w:ind w:left="2540" w:hanging="805"/>
        <w:spacing w:after="0"/>
        <w:tabs>
          <w:tab w:leader="none" w:pos="2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“Effective Date” means the date this Plan is approved by the Stockholders.</w:t>
      </w:r>
    </w:p>
    <w:p>
      <w:pPr>
        <w:spacing w:after="0" w:line="221" w:lineRule="exact"/>
        <w:rPr>
          <w:rFonts w:ascii="Arial" w:cs="Arial" w:eastAsia="Arial" w:hAnsi="Arial"/>
          <w:sz w:val="18"/>
          <w:szCs w:val="18"/>
          <w:color w:val="auto"/>
        </w:rPr>
      </w:pPr>
    </w:p>
    <w:p>
      <w:pPr>
        <w:jc w:val="both"/>
        <w:ind w:firstLine="1735"/>
        <w:spacing w:after="0" w:line="256" w:lineRule="auto"/>
        <w:tabs>
          <w:tab w:leader="none" w:pos="2628" w:val="left"/>
        </w:tabs>
        <w:numPr>
          <w:ilvl w:val="1"/>
          <w:numId w:val="6"/>
        </w:numPr>
        <w:rPr>
          <w:rFonts w:ascii="Arial" w:cs="Arial" w:eastAsia="Arial" w:hAnsi="Arial"/>
          <w:sz w:val="18"/>
          <w:szCs w:val="18"/>
          <w:color w:val="auto"/>
        </w:rPr>
      </w:pPr>
      <w:r>
        <w:rPr>
          <w:rFonts w:ascii="Arial" w:cs="Arial" w:eastAsia="Arial" w:hAnsi="Arial"/>
          <w:sz w:val="18"/>
          <w:szCs w:val="18"/>
          <w:color w:val="auto"/>
        </w:rPr>
        <w:t>“Evidence of Award” 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115570</wp:posOffset>
            </wp:positionV>
            <wp:extent cx="71761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6" w:name="page7"/>
    <w:bookmarkEnd w:id="6"/>
    <w:p>
      <w:pPr>
        <w:ind w:left="-1120" w:firstLine="1735"/>
        <w:spacing w:after="0" w:line="271" w:lineRule="auto"/>
        <w:tabs>
          <w:tab w:leader="none" w:pos="1458"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and the rules and regulations thereunder, as such law, rules and regulations may be amended from time to time.</w:t>
      </w:r>
    </w:p>
    <w:p>
      <w:pPr>
        <w:spacing w:after="0" w:line="175" w:lineRule="exact"/>
        <w:rPr>
          <w:rFonts w:ascii="Arial" w:cs="Arial" w:eastAsia="Arial" w:hAnsi="Arial"/>
          <w:sz w:val="18"/>
          <w:szCs w:val="18"/>
          <w:color w:val="auto"/>
        </w:rPr>
      </w:pPr>
    </w:p>
    <w:p>
      <w:pPr>
        <w:ind w:left="-1120" w:firstLine="1735"/>
        <w:spacing w:after="0" w:line="271" w:lineRule="auto"/>
        <w:tabs>
          <w:tab w:leader="none" w:pos="145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“Incentive Stock Option” means an Option Right that is intended to qualify as an “incentive stock option” under Section 422 of the Code or any successor provision.</w:t>
      </w:r>
    </w:p>
    <w:p>
      <w:pPr>
        <w:spacing w:after="0" w:line="175" w:lineRule="exact"/>
        <w:rPr>
          <w:rFonts w:ascii="Arial" w:cs="Arial" w:eastAsia="Arial" w:hAnsi="Arial"/>
          <w:sz w:val="18"/>
          <w:szCs w:val="18"/>
          <w:color w:val="auto"/>
        </w:rPr>
      </w:pPr>
    </w:p>
    <w:p>
      <w:pPr>
        <w:jc w:val="both"/>
        <w:ind w:left="-1120" w:firstLine="1735"/>
        <w:spacing w:after="0" w:line="253" w:lineRule="auto"/>
        <w:tabs>
          <w:tab w:leader="none" w:pos="1458"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Objectives” means the performance objective or objectives established pursuant to this Plan for Participants who have received grants of Performance Shares, Performance Units or Cash Incentive Awards or, when so determined by the Committee, Option Rights, Appreciation Rights, Restricted Stock, Restricted Stock Units, dividend equivalents or other awards pursuant to this Plan. The Management Objectives applicable to an award under this Plan (if any) shall be determined by the Committee, and may be based on one or more, or a combination, of metrics under the following categories or such other metrics as may be determined by the Committee (including relative or growth achievement regarding such metrics):</w:t>
      </w:r>
    </w:p>
    <w:p>
      <w:pPr>
        <w:spacing w:after="0" w:line="186" w:lineRule="exact"/>
        <w:rPr>
          <w:rFonts w:ascii="Arial" w:cs="Arial" w:eastAsia="Arial" w:hAnsi="Arial"/>
          <w:sz w:val="18"/>
          <w:szCs w:val="18"/>
          <w:color w:val="auto"/>
        </w:rPr>
      </w:pPr>
    </w:p>
    <w:p>
      <w:pPr>
        <w:jc w:val="both"/>
        <w:ind w:left="2320" w:hanging="849"/>
        <w:spacing w:after="0" w:line="282" w:lineRule="auto"/>
        <w:tabs>
          <w:tab w:leader="none" w:pos="2320" w:val="left"/>
        </w:tabs>
        <w:numPr>
          <w:ilvl w:val="1"/>
          <w:numId w:val="7"/>
        </w:numPr>
        <w:rPr>
          <w:rFonts w:ascii="Arial" w:cs="Arial" w:eastAsia="Arial" w:hAnsi="Arial"/>
          <w:sz w:val="19"/>
          <w:szCs w:val="19"/>
          <w:color w:val="auto"/>
        </w:rPr>
      </w:pPr>
      <w:r>
        <w:rPr>
          <w:rFonts w:ascii="Arial" w:cs="Arial" w:eastAsia="Arial" w:hAnsi="Arial"/>
          <w:sz w:val="16"/>
          <w:szCs w:val="16"/>
          <w:b w:val="1"/>
          <w:bCs w:val="1"/>
          <w:color w:val="auto"/>
        </w:rPr>
        <w:t xml:space="preserve">Profits </w:t>
      </w:r>
      <w:r>
        <w:rPr>
          <w:rFonts w:ascii="Arial" w:cs="Arial" w:eastAsia="Arial" w:hAnsi="Arial"/>
          <w:sz w:val="16"/>
          <w:szCs w:val="16"/>
          <w:color w:val="auto"/>
        </w:rPr>
        <w:t>(e.g., gross profit, gross profit growth, operating income, earnings before or after deduction for all or</w:t>
      </w:r>
      <w:r>
        <w:rPr>
          <w:rFonts w:ascii="Arial" w:cs="Arial" w:eastAsia="Arial" w:hAnsi="Arial"/>
          <w:sz w:val="16"/>
          <w:szCs w:val="16"/>
          <w:b w:val="1"/>
          <w:bCs w:val="1"/>
          <w:color w:val="auto"/>
        </w:rPr>
        <w:t xml:space="preserve"> </w:t>
      </w:r>
      <w:r>
        <w:rPr>
          <w:rFonts w:ascii="Arial" w:cs="Arial" w:eastAsia="Arial" w:hAnsi="Arial"/>
          <w:sz w:val="16"/>
          <w:szCs w:val="16"/>
          <w:color w:val="auto"/>
        </w:rPr>
        <w:t>any portion of interest, taxes, depreciation or amortization, net income (before or after taxes), consolidated net income, net earnings, net sales, cost of sales, basic or diluted earnings per share (before or after taxes), residual or economic earnings, net operating profit (before or after taxes), or economic profit);</w:t>
      </w:r>
    </w:p>
    <w:p>
      <w:pPr>
        <w:spacing w:after="0" w:line="165" w:lineRule="exact"/>
        <w:rPr>
          <w:rFonts w:ascii="Arial" w:cs="Arial" w:eastAsia="Arial" w:hAnsi="Arial"/>
          <w:sz w:val="19"/>
          <w:szCs w:val="19"/>
          <w:color w:val="auto"/>
        </w:rPr>
      </w:pPr>
    </w:p>
    <w:p>
      <w:pPr>
        <w:jc w:val="both"/>
        <w:ind w:left="2320" w:hanging="849"/>
        <w:spacing w:after="0" w:line="282" w:lineRule="auto"/>
        <w:tabs>
          <w:tab w:leader="none" w:pos="2320" w:val="left"/>
        </w:tabs>
        <w:numPr>
          <w:ilvl w:val="1"/>
          <w:numId w:val="7"/>
        </w:numPr>
        <w:rPr>
          <w:rFonts w:ascii="Arial" w:cs="Arial" w:eastAsia="Arial" w:hAnsi="Arial"/>
          <w:sz w:val="19"/>
          <w:szCs w:val="19"/>
          <w:color w:val="auto"/>
        </w:rPr>
      </w:pPr>
      <w:r>
        <w:rPr>
          <w:rFonts w:ascii="Arial" w:cs="Arial" w:eastAsia="Arial" w:hAnsi="Arial"/>
          <w:sz w:val="16"/>
          <w:szCs w:val="16"/>
          <w:b w:val="1"/>
          <w:bCs w:val="1"/>
          <w:color w:val="auto"/>
        </w:rPr>
        <w:t xml:space="preserve">Cash Flow </w:t>
      </w:r>
      <w:r>
        <w:rPr>
          <w:rFonts w:ascii="Arial" w:cs="Arial" w:eastAsia="Arial" w:hAnsi="Arial"/>
          <w:sz w:val="16"/>
          <w:szCs w:val="16"/>
          <w:color w:val="auto"/>
        </w:rPr>
        <w:t>(e.g., actual or adjusted earnings before or after interest, taxes, depreciation and/or amortization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EBIT and EBITDA), free cash flow, free cash flow with or without specific capital expenditure target or range, including or excluding divestments and/or acquisitions, operating cash flow, total cash flow, cash flow in excess of cost of capital or residual cash flow, or cash flow return on investment);</w:t>
      </w:r>
    </w:p>
    <w:p>
      <w:pPr>
        <w:spacing w:after="0" w:line="165" w:lineRule="exact"/>
        <w:rPr>
          <w:rFonts w:ascii="Arial" w:cs="Arial" w:eastAsia="Arial" w:hAnsi="Arial"/>
          <w:sz w:val="19"/>
          <w:szCs w:val="19"/>
          <w:color w:val="auto"/>
        </w:rPr>
      </w:pPr>
    </w:p>
    <w:p>
      <w:pPr>
        <w:ind w:left="2320" w:hanging="849"/>
        <w:spacing w:after="0" w:line="238" w:lineRule="auto"/>
        <w:tabs>
          <w:tab w:leader="none" w:pos="2320" w:val="left"/>
        </w:tabs>
        <w:numPr>
          <w:ilvl w:val="1"/>
          <w:numId w:val="7"/>
        </w:numPr>
        <w:rPr>
          <w:rFonts w:ascii="Arial" w:cs="Arial" w:eastAsia="Arial" w:hAnsi="Arial"/>
          <w:sz w:val="21"/>
          <w:szCs w:val="21"/>
          <w:color w:val="auto"/>
        </w:rPr>
      </w:pPr>
      <w:r>
        <w:rPr>
          <w:rFonts w:ascii="Arial" w:cs="Arial" w:eastAsia="Arial" w:hAnsi="Arial"/>
          <w:sz w:val="18"/>
          <w:szCs w:val="18"/>
          <w:b w:val="1"/>
          <w:bCs w:val="1"/>
          <w:color w:val="auto"/>
        </w:rPr>
        <w:t xml:space="preserve">Returns </w:t>
      </w:r>
      <w:r>
        <w:rPr>
          <w:rFonts w:ascii="Arial" w:cs="Arial" w:eastAsia="Arial" w:hAnsi="Arial"/>
          <w:sz w:val="18"/>
          <w:szCs w:val="18"/>
          <w:color w:val="auto"/>
        </w:rPr>
        <w:t>(e.g., profits or cash flow returns on: assets, investment, capital, invested capital, net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equity, or sales);</w:t>
      </w:r>
    </w:p>
    <w:p>
      <w:pPr>
        <w:spacing w:after="0" w:line="197" w:lineRule="exact"/>
        <w:rPr>
          <w:rFonts w:ascii="Arial" w:cs="Arial" w:eastAsia="Arial" w:hAnsi="Arial"/>
          <w:sz w:val="21"/>
          <w:szCs w:val="21"/>
          <w:color w:val="auto"/>
        </w:rPr>
      </w:pPr>
    </w:p>
    <w:p>
      <w:pPr>
        <w:ind w:left="2320" w:hanging="849"/>
        <w:spacing w:after="0" w:line="238" w:lineRule="auto"/>
        <w:tabs>
          <w:tab w:leader="none" w:pos="2320" w:val="left"/>
        </w:tabs>
        <w:numPr>
          <w:ilvl w:val="1"/>
          <w:numId w:val="7"/>
        </w:numPr>
        <w:rPr>
          <w:rFonts w:ascii="Arial" w:cs="Arial" w:eastAsia="Arial" w:hAnsi="Arial"/>
          <w:sz w:val="21"/>
          <w:szCs w:val="21"/>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(e.g., working capital targets, working capital divided by sales, days’ sales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days’ sales inventory, or days’ sales in payables);</w:t>
      </w:r>
    </w:p>
    <w:p>
      <w:pPr>
        <w:spacing w:after="0" w:line="197" w:lineRule="exact"/>
        <w:rPr>
          <w:rFonts w:ascii="Arial" w:cs="Arial" w:eastAsia="Arial" w:hAnsi="Arial"/>
          <w:sz w:val="21"/>
          <w:szCs w:val="21"/>
          <w:color w:val="auto"/>
        </w:rPr>
      </w:pPr>
    </w:p>
    <w:p>
      <w:pPr>
        <w:ind w:left="2320" w:right="20" w:hanging="849"/>
        <w:spacing w:after="0" w:line="238" w:lineRule="auto"/>
        <w:tabs>
          <w:tab w:leader="none" w:pos="2320" w:val="left"/>
        </w:tabs>
        <w:numPr>
          <w:ilvl w:val="1"/>
          <w:numId w:val="7"/>
        </w:numPr>
        <w:rPr>
          <w:rFonts w:ascii="Arial" w:cs="Arial" w:eastAsia="Arial" w:hAnsi="Arial"/>
          <w:sz w:val="21"/>
          <w:szCs w:val="21"/>
          <w:color w:val="auto"/>
        </w:rPr>
      </w:pPr>
      <w:r>
        <w:rPr>
          <w:rFonts w:ascii="Arial" w:cs="Arial" w:eastAsia="Arial" w:hAnsi="Arial"/>
          <w:sz w:val="18"/>
          <w:szCs w:val="18"/>
          <w:b w:val="1"/>
          <w:bCs w:val="1"/>
          <w:color w:val="auto"/>
        </w:rPr>
        <w:t xml:space="preserve">Profit Margins </w:t>
      </w:r>
      <w:r>
        <w:rPr>
          <w:rFonts w:ascii="Arial" w:cs="Arial" w:eastAsia="Arial" w:hAnsi="Arial"/>
          <w:sz w:val="18"/>
          <w:szCs w:val="18"/>
          <w:color w:val="auto"/>
        </w:rPr>
        <w:t>(e.g., profits divided by revenues or gross margins and material margins divided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w:t>
      </w:r>
    </w:p>
    <w:p>
      <w:pPr>
        <w:spacing w:after="0" w:line="187" w:lineRule="exact"/>
        <w:rPr>
          <w:rFonts w:ascii="Arial" w:cs="Arial" w:eastAsia="Arial" w:hAnsi="Arial"/>
          <w:sz w:val="21"/>
          <w:szCs w:val="21"/>
          <w:color w:val="auto"/>
        </w:rPr>
      </w:pPr>
    </w:p>
    <w:p>
      <w:pPr>
        <w:ind w:left="2320" w:hanging="849"/>
        <w:spacing w:after="0"/>
        <w:tabs>
          <w:tab w:leader="none" w:pos="2320" w:val="left"/>
        </w:tabs>
        <w:numPr>
          <w:ilvl w:val="1"/>
          <w:numId w:val="7"/>
        </w:numPr>
        <w:rPr>
          <w:rFonts w:ascii="Arial" w:cs="Arial" w:eastAsia="Arial" w:hAnsi="Arial"/>
          <w:sz w:val="21"/>
          <w:szCs w:val="21"/>
          <w:color w:val="auto"/>
        </w:rPr>
      </w:pPr>
      <w:r>
        <w:rPr>
          <w:rFonts w:ascii="Arial" w:cs="Arial" w:eastAsia="Arial" w:hAnsi="Arial"/>
          <w:sz w:val="18"/>
          <w:szCs w:val="18"/>
          <w:b w:val="1"/>
          <w:bCs w:val="1"/>
          <w:color w:val="auto"/>
        </w:rPr>
        <w:t xml:space="preserve">Liquidity Measures </w:t>
      </w:r>
      <w:r>
        <w:rPr>
          <w:rFonts w:ascii="Arial" w:cs="Arial" w:eastAsia="Arial" w:hAnsi="Arial"/>
          <w:sz w:val="18"/>
          <w:szCs w:val="18"/>
          <w:color w:val="auto"/>
        </w:rPr>
        <w:t>(e.g., debt-to-capital, debt-to-EBITDA, or total debt ratio);</w:t>
      </w:r>
    </w:p>
    <w:p>
      <w:pPr>
        <w:spacing w:after="0" w:line="224" w:lineRule="exact"/>
        <w:rPr>
          <w:rFonts w:ascii="Arial" w:cs="Arial" w:eastAsia="Arial" w:hAnsi="Arial"/>
          <w:sz w:val="21"/>
          <w:szCs w:val="21"/>
          <w:color w:val="auto"/>
        </w:rPr>
      </w:pPr>
    </w:p>
    <w:p>
      <w:pPr>
        <w:jc w:val="both"/>
        <w:ind w:left="2320" w:hanging="849"/>
        <w:spacing w:after="0" w:line="245" w:lineRule="auto"/>
        <w:tabs>
          <w:tab w:leader="none" w:pos="2320" w:val="left"/>
        </w:tabs>
        <w:numPr>
          <w:ilvl w:val="1"/>
          <w:numId w:val="7"/>
        </w:numPr>
        <w:rPr>
          <w:rFonts w:ascii="Arial" w:cs="Arial" w:eastAsia="Arial" w:hAnsi="Arial"/>
          <w:sz w:val="21"/>
          <w:szCs w:val="21"/>
          <w:color w:val="auto"/>
        </w:rPr>
      </w:pPr>
      <w:r>
        <w:rPr>
          <w:rFonts w:ascii="Arial" w:cs="Arial" w:eastAsia="Arial" w:hAnsi="Arial"/>
          <w:sz w:val="18"/>
          <w:szCs w:val="18"/>
          <w:b w:val="1"/>
          <w:bCs w:val="1"/>
          <w:color w:val="auto"/>
        </w:rPr>
        <w:t xml:space="preserve">Sales Growth, Gross Margin Growth, Cost Initiative and Stock Price Metrics </w:t>
      </w:r>
      <w:r>
        <w:rPr>
          <w:rFonts w:ascii="Arial" w:cs="Arial" w:eastAsia="Arial" w:hAnsi="Arial"/>
          <w:sz w:val="18"/>
          <w:szCs w:val="18"/>
          <w:color w:val="auto"/>
        </w:rPr>
        <w:t>(e.g., revenue, net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revenue growth, net revenue growth, revenue growth outside the United States, gross margin and gross margin growth, material margin and material margin growth, stock price appreciation, total return to stockholders, sales and administrative costs divided by sales, or sales and administrative costs divided by profits); and</w:t>
      </w:r>
    </w:p>
    <w:p>
      <w:pPr>
        <w:spacing w:after="0" w:line="193" w:lineRule="exact"/>
        <w:rPr>
          <w:rFonts w:ascii="Arial" w:cs="Arial" w:eastAsia="Arial" w:hAnsi="Arial"/>
          <w:sz w:val="21"/>
          <w:szCs w:val="21"/>
          <w:color w:val="auto"/>
        </w:rPr>
      </w:pPr>
    </w:p>
    <w:p>
      <w:pPr>
        <w:jc w:val="both"/>
        <w:ind w:left="2320" w:hanging="849"/>
        <w:spacing w:after="0" w:line="246" w:lineRule="auto"/>
        <w:tabs>
          <w:tab w:leader="none" w:pos="2320" w:val="left"/>
        </w:tabs>
        <w:numPr>
          <w:ilvl w:val="1"/>
          <w:numId w:val="7"/>
        </w:numPr>
        <w:rPr>
          <w:rFonts w:ascii="Arial" w:cs="Arial" w:eastAsia="Arial" w:hAnsi="Arial"/>
          <w:sz w:val="21"/>
          <w:szCs w:val="21"/>
          <w:color w:val="auto"/>
        </w:rPr>
      </w:pPr>
      <w:r>
        <w:rPr>
          <w:rFonts w:ascii="Arial" w:cs="Arial" w:eastAsia="Arial" w:hAnsi="Arial"/>
          <w:sz w:val="18"/>
          <w:szCs w:val="18"/>
          <w:b w:val="1"/>
          <w:bCs w:val="1"/>
          <w:color w:val="auto"/>
        </w:rPr>
        <w:t xml:space="preserve">Strategic Initiative Key Deliverable Metrics </w:t>
      </w:r>
      <w:r>
        <w:rPr>
          <w:rFonts w:ascii="Arial" w:cs="Arial" w:eastAsia="Arial" w:hAnsi="Arial"/>
          <w:sz w:val="18"/>
          <w:szCs w:val="18"/>
          <w:color w:val="auto"/>
        </w:rPr>
        <w:t>consisting of one or more of the following: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strategic partnering, research and development, vitality index, market penetration, market share, geographic business expansion goals, expense targets or cost reduction goals, general and administrative expense savings, selling, general and administrative expenses, objective measures of client/customer satisfaction, employee satisfaction, employee retention, management of employment practices and employee benefits, supervision of litigation and information technology, productivity ratios, economic value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189865</wp:posOffset>
            </wp:positionV>
            <wp:extent cx="717613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7" w:name="page8"/>
    <w:bookmarkEnd w:id="7"/>
    <w:p>
      <w:pPr>
        <w:ind w:left="3440"/>
        <w:spacing w:after="0" w:line="335" w:lineRule="auto"/>
        <w:rPr>
          <w:sz w:val="20"/>
          <w:szCs w:val="20"/>
          <w:color w:val="auto"/>
        </w:rPr>
      </w:pPr>
      <w:r>
        <w:rPr>
          <w:rFonts w:ascii="Arial" w:cs="Arial" w:eastAsia="Arial" w:hAnsi="Arial"/>
          <w:sz w:val="16"/>
          <w:szCs w:val="16"/>
          <w:color w:val="auto"/>
        </w:rPr>
        <w:t>(or another measure of profitability that considers the cost of capital employed), product quality, sales of new products, or goals relating to acquisitions or divestitures of subsidiaries, affiliates and joint ventures.</w:t>
      </w:r>
    </w:p>
    <w:p>
      <w:pPr>
        <w:spacing w:after="0" w:line="129" w:lineRule="exact"/>
        <w:rPr>
          <w:sz w:val="20"/>
          <w:szCs w:val="20"/>
          <w:color w:val="auto"/>
        </w:rPr>
      </w:pPr>
    </w:p>
    <w:p>
      <w:pPr>
        <w:jc w:val="both"/>
        <w:ind w:firstLine="1728"/>
        <w:spacing w:after="0" w:line="256" w:lineRule="auto"/>
        <w:rPr>
          <w:sz w:val="20"/>
          <w:szCs w:val="20"/>
          <w:color w:val="auto"/>
        </w:rPr>
      </w:pPr>
      <w:r>
        <w:rPr>
          <w:rFonts w:ascii="Arial" w:cs="Arial" w:eastAsia="Arial" w:hAnsi="Arial"/>
          <w:sz w:val="18"/>
          <w:szCs w:val="18"/>
          <w:color w:val="auto"/>
        </w:rPr>
        <w:t>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regarding the Management Objectives, in whole or in part, as the Committee deems appropriate and equitable.</w:t>
      </w:r>
    </w:p>
    <w:p>
      <w:pPr>
        <w:spacing w:after="0" w:line="188" w:lineRule="exact"/>
        <w:rPr>
          <w:sz w:val="20"/>
          <w:szCs w:val="20"/>
          <w:color w:val="auto"/>
        </w:rPr>
      </w:pPr>
    </w:p>
    <w:p>
      <w:pPr>
        <w:jc w:val="both"/>
        <w:ind w:firstLine="1735"/>
        <w:spacing w:after="0" w:line="290" w:lineRule="auto"/>
        <w:tabs>
          <w:tab w:leader="none" w:pos="2578" w:val="left"/>
        </w:tabs>
        <w:numPr>
          <w:ilvl w:val="1"/>
          <w:numId w:val="8"/>
        </w:numPr>
        <w:rPr>
          <w:rFonts w:ascii="Arial" w:cs="Arial" w:eastAsia="Arial" w:hAnsi="Arial"/>
          <w:sz w:val="16"/>
          <w:szCs w:val="16"/>
          <w:color w:val="auto"/>
        </w:rPr>
      </w:pPr>
      <w:r>
        <w:rPr>
          <w:rFonts w:ascii="Arial" w:cs="Arial" w:eastAsia="Arial" w:hAnsi="Arial"/>
          <w:sz w:val="16"/>
          <w:szCs w:val="16"/>
          <w:color w:val="auto"/>
        </w:rPr>
        <w:t>“Market Value per Share” means, as of any particular date, the closing price of a share of Common Stock as reported for that date on the NASDAQ Stock Market or, if the shares of Common Stock are not then listed on the NASDAQ Stock Market, on any other national securities exchange on which the shares of Common Stock are listed, or if there are no sales on such date, on the next preceding trading day during which a sale occurred. If there is no regular public trading market for the shares of Common Stock, then the Market Value per Share shall be the fair market value as determined in good faith by the Committee. The Committee is authorized to adopt another fair market value pricing method provided such method is stated in the applicable Evidence of Award and is in compliance with the fair market value pricing rules set forth in Section 409A of the Code.</w:t>
      </w:r>
    </w:p>
    <w:p>
      <w:pPr>
        <w:spacing w:after="0" w:line="165" w:lineRule="exact"/>
        <w:rPr>
          <w:rFonts w:ascii="Arial" w:cs="Arial" w:eastAsia="Arial" w:hAnsi="Arial"/>
          <w:sz w:val="16"/>
          <w:szCs w:val="16"/>
          <w:color w:val="auto"/>
        </w:rPr>
      </w:pPr>
    </w:p>
    <w:p>
      <w:pPr>
        <w:ind w:left="2560" w:hanging="825"/>
        <w:spacing w:after="0"/>
        <w:tabs>
          <w:tab w:leader="none" w:pos="2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“Optionee” means the optionee named in an Evidence of Award evidencing an outstanding Option Right.</w:t>
      </w:r>
    </w:p>
    <w:p>
      <w:pPr>
        <w:spacing w:after="0" w:line="221" w:lineRule="exact"/>
        <w:rPr>
          <w:rFonts w:ascii="Arial" w:cs="Arial" w:eastAsia="Arial" w:hAnsi="Arial"/>
          <w:sz w:val="18"/>
          <w:szCs w:val="18"/>
          <w:color w:val="auto"/>
        </w:rPr>
      </w:pPr>
    </w:p>
    <w:p>
      <w:pPr>
        <w:ind w:left="2560" w:hanging="825"/>
        <w:spacing w:after="0"/>
        <w:tabs>
          <w:tab w:leader="none" w:pos="2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“Option Price” means the purchase price payable on exercise of an Option Right.</w:t>
      </w:r>
    </w:p>
    <w:p>
      <w:pPr>
        <w:spacing w:after="0" w:line="221" w:lineRule="exact"/>
        <w:rPr>
          <w:rFonts w:ascii="Arial" w:cs="Arial" w:eastAsia="Arial" w:hAnsi="Arial"/>
          <w:sz w:val="18"/>
          <w:szCs w:val="18"/>
          <w:color w:val="auto"/>
        </w:rPr>
      </w:pPr>
    </w:p>
    <w:p>
      <w:pPr>
        <w:ind w:left="2540" w:hanging="805"/>
        <w:spacing w:after="0"/>
        <w:tabs>
          <w:tab w:leader="none" w:pos="2540" w:val="left"/>
        </w:tabs>
        <w:numPr>
          <w:ilvl w:val="1"/>
          <w:numId w:val="8"/>
        </w:numPr>
        <w:rPr>
          <w:rFonts w:ascii="Arial" w:cs="Arial" w:eastAsia="Arial" w:hAnsi="Arial"/>
          <w:sz w:val="16"/>
          <w:szCs w:val="16"/>
          <w:color w:val="auto"/>
        </w:rPr>
      </w:pPr>
      <w:r>
        <w:rPr>
          <w:rFonts w:ascii="Arial" w:cs="Arial" w:eastAsia="Arial" w:hAnsi="Arial"/>
          <w:sz w:val="16"/>
          <w:szCs w:val="16"/>
          <w:color w:val="auto"/>
        </w:rPr>
        <w:t>“Option Right” means the right to purchase shares of Common Stock upon exercise of an award granted pursuant to</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u w:val="single" w:color="auto"/>
          <w:color w:val="auto"/>
        </w:rPr>
        <w:t>Section 4</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w:t>
      </w:r>
    </w:p>
    <w:p>
      <w:pPr>
        <w:spacing w:after="0" w:line="208" w:lineRule="exact"/>
        <w:rPr>
          <w:rFonts w:ascii="Arial" w:cs="Arial" w:eastAsia="Arial" w:hAnsi="Arial"/>
          <w:sz w:val="16"/>
          <w:szCs w:val="16"/>
          <w:color w:val="auto"/>
        </w:rPr>
      </w:pPr>
    </w:p>
    <w:p>
      <w:pPr>
        <w:ind w:left="2580" w:hanging="845"/>
        <w:spacing w:after="0"/>
        <w:tabs>
          <w:tab w:leader="none" w:pos="2580" w:val="left"/>
        </w:tabs>
        <w:numPr>
          <w:ilvl w:val="1"/>
          <w:numId w:val="8"/>
        </w:numPr>
        <w:rPr>
          <w:rFonts w:ascii="Arial" w:cs="Arial" w:eastAsia="Arial" w:hAnsi="Arial"/>
          <w:sz w:val="16"/>
          <w:szCs w:val="16"/>
          <w:color w:val="auto"/>
        </w:rPr>
      </w:pPr>
      <w:r>
        <w:rPr>
          <w:rFonts w:ascii="Arial" w:cs="Arial" w:eastAsia="Arial" w:hAnsi="Arial"/>
          <w:sz w:val="16"/>
          <w:szCs w:val="16"/>
          <w:color w:val="auto"/>
        </w:rPr>
        <w:t>“Participant” means a person who is selected by the Committee to receive benefits under this Plan and who is at the time</w:t>
      </w:r>
    </w:p>
    <w:p>
      <w:pPr>
        <w:spacing w:after="0" w:line="43" w:lineRule="exact"/>
        <w:rPr>
          <w:rFonts w:ascii="Arial" w:cs="Arial" w:eastAsia="Arial" w:hAnsi="Arial"/>
          <w:sz w:val="16"/>
          <w:szCs w:val="16"/>
          <w:color w:val="auto"/>
        </w:rPr>
      </w:pPr>
    </w:p>
    <w:p>
      <w:pPr>
        <w:jc w:val="both"/>
        <w:ind w:firstLine="7"/>
        <w:spacing w:after="0" w:line="299" w:lineRule="auto"/>
        <w:tabs>
          <w:tab w:leader="none" w:pos="216"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officer or other employee of the Company or any Subsidiary, including a person who has agreed to commence serving in such capacity within 90 days of the Date of Grant, (ii) a person, including a consultant, who provides services to the Company or any Subsidiary that are equivalent to those typically provided by an employee (provided that such person satisfies the Form S-8 definition of an “employee”), or (iii) a non-employee Director.</w:t>
      </w:r>
    </w:p>
    <w:p>
      <w:pPr>
        <w:spacing w:after="0" w:line="156" w:lineRule="exact"/>
        <w:rPr>
          <w:rFonts w:ascii="Arial" w:cs="Arial" w:eastAsia="Arial" w:hAnsi="Arial"/>
          <w:sz w:val="16"/>
          <w:szCs w:val="16"/>
          <w:color w:val="auto"/>
        </w:rPr>
      </w:pPr>
    </w:p>
    <w:p>
      <w:pPr>
        <w:jc w:val="both"/>
        <w:ind w:firstLine="1735"/>
        <w:spacing w:after="0" w:line="260" w:lineRule="auto"/>
        <w:tabs>
          <w:tab w:leader="none" w:pos="2578"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“Performance Period” means, in respect of a Cash Incentive Award, Performance Share or Performance Unit, a period of time established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Plan within which the Management Objectives relating to such Cash Incentive Award, Performance Share or Performance Unit are to be achieved.</w:t>
      </w:r>
    </w:p>
    <w:p>
      <w:pPr>
        <w:spacing w:after="0" w:line="184" w:lineRule="exact"/>
        <w:rPr>
          <w:rFonts w:ascii="Arial" w:cs="Arial" w:eastAsia="Arial" w:hAnsi="Arial"/>
          <w:sz w:val="18"/>
          <w:szCs w:val="18"/>
          <w:color w:val="auto"/>
        </w:rPr>
      </w:pPr>
    </w:p>
    <w:p>
      <w:pPr>
        <w:ind w:left="2620" w:hanging="885"/>
        <w:spacing w:after="0"/>
        <w:tabs>
          <w:tab w:leader="none" w:pos="2620" w:val="left"/>
        </w:tabs>
        <w:numPr>
          <w:ilvl w:val="1"/>
          <w:numId w:val="9"/>
        </w:numPr>
        <w:rPr>
          <w:rFonts w:ascii="Arial" w:cs="Arial" w:eastAsia="Arial" w:hAnsi="Arial"/>
          <w:sz w:val="16"/>
          <w:szCs w:val="16"/>
          <w:color w:val="auto"/>
        </w:rPr>
      </w:pPr>
      <w:r>
        <w:rPr>
          <w:rFonts w:ascii="Arial" w:cs="Arial" w:eastAsia="Arial" w:hAnsi="Arial"/>
          <w:sz w:val="16"/>
          <w:szCs w:val="16"/>
          <w:color w:val="auto"/>
        </w:rPr>
        <w:t>“Performance Share” means a bookkeeping entry that records the equivalent of one share of Common Stock awarded</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pursuant to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Plan.</w:t>
      </w:r>
    </w:p>
    <w:p>
      <w:pPr>
        <w:spacing w:after="0" w:line="204" w:lineRule="exact"/>
        <w:rPr>
          <w:rFonts w:ascii="Arial" w:cs="Arial" w:eastAsia="Arial" w:hAnsi="Arial"/>
          <w:sz w:val="16"/>
          <w:szCs w:val="16"/>
          <w:color w:val="auto"/>
        </w:rPr>
      </w:pPr>
    </w:p>
    <w:p>
      <w:pPr>
        <w:ind w:firstLine="1735"/>
        <w:spacing w:after="0" w:line="276" w:lineRule="auto"/>
        <w:tabs>
          <w:tab w:leader="none" w:pos="2578"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“Performance Unit” means a bookkeeping entry awarded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Plan that records a unit equivalent to $1.00 or such other value as is determined by the Committee.</w:t>
      </w:r>
    </w:p>
    <w:p>
      <w:pPr>
        <w:spacing w:after="0" w:line="170" w:lineRule="exact"/>
        <w:rPr>
          <w:rFonts w:ascii="Arial" w:cs="Arial" w:eastAsia="Arial" w:hAnsi="Arial"/>
          <w:sz w:val="18"/>
          <w:szCs w:val="18"/>
          <w:color w:val="auto"/>
        </w:rPr>
      </w:pPr>
    </w:p>
    <w:p>
      <w:pPr>
        <w:ind w:left="2580" w:hanging="845"/>
        <w:spacing w:after="0"/>
        <w:tabs>
          <w:tab w:leader="none" w:pos="2580" w:val="left"/>
        </w:tabs>
        <w:numPr>
          <w:ilvl w:val="1"/>
          <w:numId w:val="9"/>
        </w:numPr>
        <w:rPr>
          <w:rFonts w:ascii="Arial" w:cs="Arial" w:eastAsia="Arial" w:hAnsi="Arial"/>
          <w:sz w:val="17"/>
          <w:szCs w:val="17"/>
          <w:color w:val="auto"/>
        </w:rPr>
      </w:pPr>
      <w:r>
        <w:rPr>
          <w:rFonts w:ascii="Arial" w:cs="Arial" w:eastAsia="Arial" w:hAnsi="Arial"/>
          <w:sz w:val="17"/>
          <w:szCs w:val="17"/>
          <w:color w:val="auto"/>
        </w:rPr>
        <w:t>“Person” means any individual, entity, or group (within the meaning of Section 13(d)(3) or 14(d)(2) of the Exchange</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Act).</w:t>
      </w:r>
    </w:p>
    <w:p>
      <w:pPr>
        <w:spacing w:after="0" w:line="208" w:lineRule="exact"/>
        <w:rPr>
          <w:rFonts w:ascii="Arial" w:cs="Arial" w:eastAsia="Arial" w:hAnsi="Arial"/>
          <w:sz w:val="17"/>
          <w:szCs w:val="17"/>
          <w:color w:val="auto"/>
        </w:rPr>
      </w:pPr>
    </w:p>
    <w:p>
      <w:pPr>
        <w:ind w:firstLine="1735"/>
        <w:spacing w:after="0" w:line="271" w:lineRule="auto"/>
        <w:tabs>
          <w:tab w:leader="none" w:pos="2568" w:val="left"/>
        </w:tabs>
        <w:numPr>
          <w:ilvl w:val="1"/>
          <w:numId w:val="9"/>
        </w:numPr>
        <w:rPr>
          <w:rFonts w:ascii="Arial" w:cs="Arial" w:eastAsia="Arial" w:hAnsi="Arial"/>
          <w:sz w:val="18"/>
          <w:szCs w:val="18"/>
          <w:color w:val="auto"/>
        </w:rPr>
      </w:pPr>
      <w:r>
        <w:rPr>
          <w:rFonts w:ascii="Arial" w:cs="Arial" w:eastAsia="Arial" w:hAnsi="Arial"/>
          <w:sz w:val="18"/>
          <w:szCs w:val="18"/>
          <w:color w:val="auto"/>
        </w:rPr>
        <w:t>“Plan” means this CECO Environmental Corp. 2021 Equity and Incentive Compensation Plan, as may be amended or amended and restated from time to time.</w:t>
      </w:r>
    </w:p>
    <w:p>
      <w:pPr>
        <w:spacing w:after="0" w:line="175" w:lineRule="exact"/>
        <w:rPr>
          <w:sz w:val="20"/>
          <w:szCs w:val="20"/>
          <w:color w:val="auto"/>
        </w:rPr>
      </w:pPr>
    </w:p>
    <w:p>
      <w:pPr>
        <w:ind w:right="120" w:firstLine="1735"/>
        <w:spacing w:after="0" w:line="335" w:lineRule="auto"/>
        <w:tabs>
          <w:tab w:leader="none" w:pos="26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“Predecessor Plans” means the CECO Environmental Corp. 2007 Equity Incentive Plan and the CECO Environmental Corp. 2017 Equity and Incentive Compensation Plan, in each case including as amended or amended and restated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761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ind w:firstLine="1735"/>
        <w:spacing w:after="0" w:line="276" w:lineRule="auto"/>
        <w:tabs>
          <w:tab w:leader="none" w:pos="26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“Restricted Stock” means shares of Common Stock granted or sold pursuant to </w:t>
      </w:r>
      <w:r>
        <w:rPr>
          <w:rFonts w:ascii="Arial" w:cs="Arial" w:eastAsia="Arial" w:hAnsi="Arial"/>
          <w:sz w:val="18"/>
          <w:szCs w:val="18"/>
          <w:b w:val="1"/>
          <w:bCs w:val="1"/>
          <w:u w:val="single" w:color="auto"/>
          <w:color w:val="auto"/>
        </w:rPr>
        <w:t>Section 6</w:t>
      </w:r>
      <w:r>
        <w:rPr>
          <w:rFonts w:ascii="Arial" w:cs="Arial" w:eastAsia="Arial" w:hAnsi="Arial"/>
          <w:sz w:val="18"/>
          <w:szCs w:val="18"/>
          <w:color w:val="auto"/>
        </w:rPr>
        <w:t xml:space="preserve"> of this Plan as to which neither the substantial risk of forfeiture nor the prohibition on transfer has expired.</w:t>
      </w:r>
    </w:p>
    <w:p>
      <w:pPr>
        <w:spacing w:after="0" w:line="166" w:lineRule="exact"/>
        <w:rPr>
          <w:rFonts w:ascii="Arial" w:cs="Arial" w:eastAsia="Arial" w:hAnsi="Arial"/>
          <w:sz w:val="18"/>
          <w:szCs w:val="18"/>
          <w:color w:val="auto"/>
        </w:rPr>
      </w:pPr>
    </w:p>
    <w:p>
      <w:pPr>
        <w:ind w:firstLine="1735"/>
        <w:spacing w:after="0" w:line="276" w:lineRule="auto"/>
        <w:tabs>
          <w:tab w:leader="none" w:pos="2647"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“Restricted Stock Units” means an award made pursuant to </w:t>
      </w:r>
      <w:r>
        <w:rPr>
          <w:rFonts w:ascii="Arial" w:cs="Arial" w:eastAsia="Arial" w:hAnsi="Arial"/>
          <w:sz w:val="18"/>
          <w:szCs w:val="18"/>
          <w:b w:val="1"/>
          <w:bCs w:val="1"/>
          <w:u w:val="single" w:color="auto"/>
          <w:color w:val="auto"/>
        </w:rPr>
        <w:t>Section 7</w:t>
      </w:r>
      <w:r>
        <w:rPr>
          <w:rFonts w:ascii="Arial" w:cs="Arial" w:eastAsia="Arial" w:hAnsi="Arial"/>
          <w:sz w:val="18"/>
          <w:szCs w:val="18"/>
          <w:color w:val="auto"/>
        </w:rPr>
        <w:t xml:space="preserve"> of this Plan of the right to receive shares of Common Stock, cash or a combination thereof at the end of the applicable Restriction Period.</w:t>
      </w:r>
    </w:p>
    <w:p>
      <w:pPr>
        <w:spacing w:after="0" w:line="170" w:lineRule="exact"/>
        <w:rPr>
          <w:rFonts w:ascii="Arial" w:cs="Arial" w:eastAsia="Arial" w:hAnsi="Arial"/>
          <w:sz w:val="18"/>
          <w:szCs w:val="18"/>
          <w:color w:val="auto"/>
        </w:rPr>
      </w:pPr>
    </w:p>
    <w:p>
      <w:pPr>
        <w:ind w:left="2680" w:hanging="945"/>
        <w:spacing w:after="0"/>
        <w:tabs>
          <w:tab w:leader="none" w:pos="26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“Restriction Period” means the period of time during which Restricted Stock Units are subject to restrictions, as</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provided in </w:t>
      </w:r>
      <w:r>
        <w:rPr>
          <w:rFonts w:ascii="Arial" w:cs="Arial" w:eastAsia="Arial" w:hAnsi="Arial"/>
          <w:sz w:val="18"/>
          <w:szCs w:val="18"/>
          <w:b w:val="1"/>
          <w:bCs w:val="1"/>
          <w:u w:val="single" w:color="auto"/>
          <w:color w:val="auto"/>
        </w:rPr>
        <w:t>Section 7</w:t>
      </w:r>
      <w:r>
        <w:rPr>
          <w:rFonts w:ascii="Arial" w:cs="Arial" w:eastAsia="Arial" w:hAnsi="Arial"/>
          <w:sz w:val="18"/>
          <w:szCs w:val="18"/>
          <w:color w:val="auto"/>
        </w:rPr>
        <w:t xml:space="preserve"> of this Plan.</w:t>
      </w:r>
    </w:p>
    <w:p>
      <w:pPr>
        <w:spacing w:after="0" w:line="208" w:lineRule="exact"/>
        <w:rPr>
          <w:rFonts w:ascii="Arial" w:cs="Arial" w:eastAsia="Arial" w:hAnsi="Arial"/>
          <w:sz w:val="17"/>
          <w:szCs w:val="17"/>
          <w:color w:val="auto"/>
        </w:rPr>
      </w:pPr>
    </w:p>
    <w:p>
      <w:pPr>
        <w:ind w:firstLine="1735"/>
        <w:spacing w:after="0" w:line="271" w:lineRule="auto"/>
        <w:tabs>
          <w:tab w:leader="none" w:pos="2647"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“Spread” means the excess of the Market Value per Share on the date when an Appreciation Right is exercised over the Base Price provided for with respect to the Appreciation Right.</w:t>
      </w:r>
    </w:p>
    <w:p>
      <w:pPr>
        <w:spacing w:after="0" w:line="175" w:lineRule="exact"/>
        <w:rPr>
          <w:rFonts w:ascii="Arial" w:cs="Arial" w:eastAsia="Arial" w:hAnsi="Arial"/>
          <w:sz w:val="18"/>
          <w:szCs w:val="18"/>
          <w:color w:val="auto"/>
        </w:rPr>
      </w:pPr>
    </w:p>
    <w:p>
      <w:pPr>
        <w:ind w:left="2620" w:hanging="885"/>
        <w:spacing w:after="0"/>
        <w:tabs>
          <w:tab w:leader="none" w:pos="2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“Stockholder” means an individual or entity that owns one or more shares of Common Stock.</w:t>
      </w:r>
    </w:p>
    <w:p>
      <w:pPr>
        <w:spacing w:after="0" w:line="221" w:lineRule="exact"/>
        <w:rPr>
          <w:rFonts w:ascii="Arial" w:cs="Arial" w:eastAsia="Arial" w:hAnsi="Arial"/>
          <w:sz w:val="18"/>
          <w:szCs w:val="18"/>
          <w:color w:val="auto"/>
        </w:rPr>
      </w:pPr>
    </w:p>
    <w:p>
      <w:pPr>
        <w:jc w:val="both"/>
        <w:ind w:firstLine="1735"/>
        <w:spacing w:after="0" w:line="269" w:lineRule="auto"/>
        <w:tabs>
          <w:tab w:leader="none" w:pos="2668" w:val="left"/>
        </w:tabs>
        <w:numPr>
          <w:ilvl w:val="1"/>
          <w:numId w:val="11"/>
        </w:numPr>
        <w:rPr>
          <w:rFonts w:ascii="Arial" w:cs="Arial" w:eastAsia="Arial" w:hAnsi="Arial"/>
          <w:sz w:val="17"/>
          <w:szCs w:val="17"/>
          <w:color w:val="auto"/>
        </w:rPr>
      </w:pPr>
      <w:r>
        <w:rPr>
          <w:rFonts w:ascii="Arial" w:cs="Arial" w:eastAsia="Arial" w:hAnsi="Arial"/>
          <w:sz w:val="17"/>
          <w:szCs w:val="17"/>
          <w:color w:val="auto"/>
        </w:rPr>
        <w:t xml:space="preserve">“Subsidiary”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represented by all classes of stock issued by such corporation.</w:t>
      </w:r>
    </w:p>
    <w:p>
      <w:pPr>
        <w:spacing w:after="0" w:line="180" w:lineRule="exact"/>
        <w:rPr>
          <w:rFonts w:ascii="Arial" w:cs="Arial" w:eastAsia="Arial" w:hAnsi="Arial"/>
          <w:sz w:val="17"/>
          <w:szCs w:val="17"/>
          <w:color w:val="auto"/>
        </w:rPr>
      </w:pPr>
    </w:p>
    <w:p>
      <w:pPr>
        <w:ind w:firstLine="1735"/>
        <w:spacing w:after="0" w:line="301" w:lineRule="auto"/>
        <w:tabs>
          <w:tab w:leader="none" w:pos="2668" w:val="left"/>
        </w:tabs>
        <w:numPr>
          <w:ilvl w:val="1"/>
          <w:numId w:val="11"/>
        </w:numPr>
        <w:rPr>
          <w:rFonts w:ascii="Arial" w:cs="Arial" w:eastAsia="Arial" w:hAnsi="Arial"/>
          <w:sz w:val="17"/>
          <w:szCs w:val="17"/>
          <w:color w:val="auto"/>
        </w:rPr>
      </w:pPr>
      <w:r>
        <w:rPr>
          <w:rFonts w:ascii="Arial" w:cs="Arial" w:eastAsia="Arial" w:hAnsi="Arial"/>
          <w:sz w:val="17"/>
          <w:szCs w:val="17"/>
          <w:color w:val="auto"/>
        </w:rPr>
        <w:t>“Voting Power” means, at any time, the combined voting power of the then-outstanding securities entitled to vote generally in the election of Directors in the case of the Company or members of the board of directors or similar body in the case of another entity.</w:t>
      </w:r>
    </w:p>
    <w:p>
      <w:pPr>
        <w:spacing w:after="0" w:line="148" w:lineRule="exact"/>
        <w:rPr>
          <w:rFonts w:ascii="Arial" w:cs="Arial" w:eastAsia="Arial" w:hAnsi="Arial"/>
          <w:sz w:val="17"/>
          <w:szCs w:val="17"/>
          <w:color w:val="auto"/>
        </w:rPr>
      </w:pPr>
    </w:p>
    <w:p>
      <w:pPr>
        <w:ind w:left="1640" w:hanging="769"/>
        <w:spacing w:after="0"/>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Shares Available Under this Plan.</w:t>
      </w:r>
    </w:p>
    <w:p>
      <w:pPr>
        <w:spacing w:after="0" w:line="225" w:lineRule="exact"/>
        <w:rPr>
          <w:rFonts w:ascii="Arial" w:cs="Arial" w:eastAsia="Arial" w:hAnsi="Arial"/>
          <w:sz w:val="18"/>
          <w:szCs w:val="18"/>
          <w:color w:val="auto"/>
        </w:rPr>
      </w:pPr>
    </w:p>
    <w:p>
      <w:pPr>
        <w:ind w:left="2600" w:hanging="866"/>
        <w:spacing w:after="0"/>
        <w:tabs>
          <w:tab w:leader="none" w:pos="260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Maximum Shares Available Under this Plan</w:t>
      </w:r>
      <w:r>
        <w:rPr>
          <w:rFonts w:ascii="Arial" w:cs="Arial" w:eastAsia="Arial" w:hAnsi="Arial"/>
          <w:sz w:val="18"/>
          <w:szCs w:val="18"/>
          <w:color w:val="auto"/>
        </w:rPr>
        <w:t>.</w:t>
      </w:r>
    </w:p>
    <w:p>
      <w:pPr>
        <w:spacing w:after="0" w:line="244" w:lineRule="exact"/>
        <w:rPr>
          <w:sz w:val="20"/>
          <w:szCs w:val="20"/>
          <w:color w:val="auto"/>
        </w:rPr>
      </w:pPr>
    </w:p>
    <w:p>
      <w:pPr>
        <w:jc w:val="both"/>
        <w:ind w:left="3440" w:hanging="849"/>
        <w:spacing w:after="0" w:line="275" w:lineRule="auto"/>
        <w:tabs>
          <w:tab w:leader="none" w:pos="3440" w:val="left"/>
        </w:tabs>
        <w:numPr>
          <w:ilvl w:val="0"/>
          <w:numId w:val="13"/>
        </w:numPr>
        <w:rPr>
          <w:rFonts w:ascii="Arial" w:cs="Arial" w:eastAsia="Arial" w:hAnsi="Arial"/>
          <w:sz w:val="19"/>
          <w:szCs w:val="19"/>
          <w:color w:val="auto"/>
        </w:rPr>
      </w:pPr>
      <w:r>
        <w:rPr>
          <w:rFonts w:ascii="Arial" w:cs="Arial" w:eastAsia="Arial" w:hAnsi="Arial"/>
          <w:sz w:val="16"/>
          <w:szCs w:val="16"/>
          <w:color w:val="auto"/>
        </w:rPr>
        <w:t xml:space="preserve">Subject to adjustment as provided in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and the share counting rules set forth in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3(b)</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 the number of shares of Common Stock available under this Plan for awards of (A) Option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Rights or Appreciation Rights, (B) Restricted Stock, (C) Restricted Stock Units, (D) Performance Shares or Performance Units, (E) awards contemplated by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or (F) dividend equivalents paid with respect to awards made under this Plan will not exceed in the aggregate (x) 1,675,000 shares of Common Stock, plus (y) the total number of shares of Common Stock remaining available for future grant under the CECO Environmental Corp. 2017 Equity and Incentive Compensation Plan as of the Effective Date, plus</w:t>
      </w:r>
    </w:p>
    <w:p>
      <w:pPr>
        <w:spacing w:after="0" w:line="1" w:lineRule="exact"/>
        <w:rPr>
          <w:rFonts w:ascii="Arial" w:cs="Arial" w:eastAsia="Arial" w:hAnsi="Arial"/>
          <w:sz w:val="19"/>
          <w:szCs w:val="19"/>
          <w:color w:val="auto"/>
        </w:rPr>
      </w:pPr>
    </w:p>
    <w:p>
      <w:pPr>
        <w:jc w:val="both"/>
        <w:ind w:left="3440"/>
        <w:spacing w:after="0" w:line="270" w:lineRule="auto"/>
        <w:rPr>
          <w:rFonts w:ascii="Arial" w:cs="Arial" w:eastAsia="Arial" w:hAnsi="Arial"/>
          <w:sz w:val="19"/>
          <w:szCs w:val="19"/>
          <w:color w:val="auto"/>
        </w:rPr>
      </w:pPr>
      <w:r>
        <w:rPr>
          <w:rFonts w:ascii="Arial" w:cs="Arial" w:eastAsia="Arial" w:hAnsi="Arial"/>
          <w:sz w:val="17"/>
          <w:szCs w:val="17"/>
          <w:color w:val="auto"/>
        </w:rPr>
        <w:t xml:space="preserve">(z) the shares of Common Stock that are subject to awards granted under this Plan or the Predecessor Plans that are added (or added back, as applicable) to the aggregate number of shares of Common Stock available under this </w:t>
      </w:r>
      <w:r>
        <w:rPr>
          <w:rFonts w:ascii="Arial" w:cs="Arial" w:eastAsia="Arial" w:hAnsi="Arial"/>
          <w:sz w:val="17"/>
          <w:szCs w:val="17"/>
          <w:b w:val="1"/>
          <w:bCs w:val="1"/>
          <w:u w:val="single" w:color="auto"/>
          <w:color w:val="auto"/>
        </w:rPr>
        <w:t>Section 3(a)(i)</w:t>
      </w:r>
      <w:r>
        <w:rPr>
          <w:rFonts w:ascii="Arial" w:cs="Arial" w:eastAsia="Arial" w:hAnsi="Arial"/>
          <w:sz w:val="17"/>
          <w:szCs w:val="17"/>
          <w:color w:val="auto"/>
        </w:rPr>
        <w:t xml:space="preserve"> pursuant to the share counting rules of this Plan. Such shares may be shares of original issuance or treasury shares or a combination of the foregoing.</w:t>
      </w:r>
    </w:p>
    <w:p>
      <w:pPr>
        <w:spacing w:after="0" w:line="175" w:lineRule="exact"/>
        <w:rPr>
          <w:sz w:val="20"/>
          <w:szCs w:val="20"/>
          <w:color w:val="auto"/>
        </w:rPr>
      </w:pPr>
    </w:p>
    <w:p>
      <w:pPr>
        <w:jc w:val="both"/>
        <w:ind w:left="3440" w:hanging="849"/>
        <w:spacing w:after="0" w:line="261" w:lineRule="auto"/>
        <w:tabs>
          <w:tab w:leader="none" w:pos="3440" w:val="left"/>
        </w:tabs>
        <w:numPr>
          <w:ilvl w:val="0"/>
          <w:numId w:val="14"/>
        </w:numPr>
        <w:rPr>
          <w:rFonts w:ascii="Arial" w:cs="Arial" w:eastAsia="Arial" w:hAnsi="Arial"/>
          <w:sz w:val="20"/>
          <w:szCs w:val="20"/>
          <w:color w:val="auto"/>
        </w:rPr>
      </w:pPr>
      <w:r>
        <w:rPr>
          <w:rFonts w:ascii="Arial" w:cs="Arial" w:eastAsia="Arial" w:hAnsi="Arial"/>
          <w:sz w:val="17"/>
          <w:szCs w:val="17"/>
          <w:color w:val="auto"/>
        </w:rPr>
        <w:t xml:space="preserve">Subject to the share counting rules set forth in </w:t>
      </w:r>
      <w:r>
        <w:rPr>
          <w:rFonts w:ascii="Arial" w:cs="Arial" w:eastAsia="Arial" w:hAnsi="Arial"/>
          <w:sz w:val="17"/>
          <w:szCs w:val="17"/>
          <w:b w:val="1"/>
          <w:bCs w:val="1"/>
          <w:u w:val="single" w:color="auto"/>
          <w:color w:val="auto"/>
        </w:rPr>
        <w:t>Section 3(b)</w:t>
      </w:r>
      <w:r>
        <w:rPr>
          <w:rFonts w:ascii="Arial" w:cs="Arial" w:eastAsia="Arial" w:hAnsi="Arial"/>
          <w:sz w:val="17"/>
          <w:szCs w:val="17"/>
          <w:color w:val="auto"/>
        </w:rPr>
        <w:t xml:space="preserve"> of this Plan, the aggregate number of shares of Common Stock available under </w:t>
      </w:r>
      <w:r>
        <w:rPr>
          <w:rFonts w:ascii="Arial" w:cs="Arial" w:eastAsia="Arial" w:hAnsi="Arial"/>
          <w:sz w:val="17"/>
          <w:szCs w:val="17"/>
          <w:b w:val="1"/>
          <w:bCs w:val="1"/>
          <w:u w:val="single" w:color="auto"/>
          <w:color w:val="auto"/>
        </w:rPr>
        <w:t>Section 3(a)(i)</w:t>
      </w:r>
      <w:r>
        <w:rPr>
          <w:rFonts w:ascii="Arial" w:cs="Arial" w:eastAsia="Arial" w:hAnsi="Arial"/>
          <w:sz w:val="17"/>
          <w:szCs w:val="17"/>
          <w:color w:val="auto"/>
        </w:rPr>
        <w:t xml:space="preserve"> of this Plan will be reduced by one share of Common Stock for every one share of Common Stock subject to an award granted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182245</wp:posOffset>
            </wp:positionV>
            <wp:extent cx="71761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1460" w:hanging="845"/>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Share Counting Rules</w:t>
      </w:r>
      <w:r>
        <w:rPr>
          <w:rFonts w:ascii="Arial" w:cs="Arial" w:eastAsia="Arial" w:hAnsi="Arial"/>
          <w:sz w:val="18"/>
          <w:szCs w:val="18"/>
          <w:color w:val="auto"/>
        </w:rPr>
        <w:t>.</w:t>
      </w:r>
    </w:p>
    <w:p>
      <w:pPr>
        <w:spacing w:after="0" w:line="217" w:lineRule="exact"/>
        <w:rPr>
          <w:rFonts w:ascii="Arial" w:cs="Arial" w:eastAsia="Arial" w:hAnsi="Arial"/>
          <w:sz w:val="18"/>
          <w:szCs w:val="18"/>
          <w:color w:val="auto"/>
        </w:rPr>
      </w:pPr>
    </w:p>
    <w:p>
      <w:pPr>
        <w:jc w:val="both"/>
        <w:ind w:left="2320" w:hanging="849"/>
        <w:spacing w:after="0" w:line="244" w:lineRule="auto"/>
        <w:tabs>
          <w:tab w:leader="none" w:pos="2320" w:val="left"/>
        </w:tabs>
        <w:numPr>
          <w:ilvl w:val="1"/>
          <w:numId w:val="15"/>
        </w:numPr>
        <w:rPr>
          <w:rFonts w:ascii="Arial" w:cs="Arial" w:eastAsia="Arial" w:hAnsi="Arial"/>
          <w:sz w:val="21"/>
          <w:szCs w:val="21"/>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u w:val="single" w:color="auto"/>
          <w:color w:val="auto"/>
        </w:rPr>
        <w:t>Section 22</w:t>
      </w:r>
      <w:r>
        <w:rPr>
          <w:rFonts w:ascii="Arial" w:cs="Arial" w:eastAsia="Arial" w:hAnsi="Arial"/>
          <w:sz w:val="18"/>
          <w:szCs w:val="18"/>
          <w:color w:val="auto"/>
        </w:rPr>
        <w:t xml:space="preserve"> of this Plan, if any award granted under this Plan (in whole or in part) is cancelled or forfeited, expires, is settled for cash or is unearned, the shares of Common Stock subject to such award will, to the extent of such cancellation, forfeiture, expiration, cash settlement or unearned amount, again be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above.</w:t>
      </w:r>
    </w:p>
    <w:p>
      <w:pPr>
        <w:spacing w:after="0" w:line="198" w:lineRule="exact"/>
        <w:rPr>
          <w:rFonts w:ascii="Arial" w:cs="Arial" w:eastAsia="Arial" w:hAnsi="Arial"/>
          <w:sz w:val="21"/>
          <w:szCs w:val="21"/>
          <w:color w:val="auto"/>
        </w:rPr>
      </w:pPr>
    </w:p>
    <w:p>
      <w:pPr>
        <w:jc w:val="both"/>
        <w:ind w:left="2320" w:hanging="849"/>
        <w:spacing w:after="0" w:line="244" w:lineRule="auto"/>
        <w:tabs>
          <w:tab w:leader="none" w:pos="2320" w:val="left"/>
        </w:tabs>
        <w:numPr>
          <w:ilvl w:val="1"/>
          <w:numId w:val="15"/>
        </w:numPr>
        <w:rPr>
          <w:rFonts w:ascii="Arial" w:cs="Arial" w:eastAsia="Arial" w:hAnsi="Arial"/>
          <w:sz w:val="21"/>
          <w:szCs w:val="21"/>
          <w:color w:val="auto"/>
        </w:rPr>
      </w:pPr>
      <w:r>
        <w:rPr>
          <w:rFonts w:ascii="Arial" w:cs="Arial" w:eastAsia="Arial" w:hAnsi="Arial"/>
          <w:sz w:val="18"/>
          <w:szCs w:val="18"/>
          <w:color w:val="auto"/>
        </w:rPr>
        <w:t>If, on or after the Effective Date, any shares of Common Stock subject to an award granted under the Predecessor Plans are forfeited, or an award granted under the Predecessor Plans (in whole or in part) is cancelled or forfeited, expires, is settled for cash or is unearned, the shares of Common Stock subject to such award will, to the extent of such cancellation, forfeiture, expiration, cash settlement or unearned amount, be available for awards under this Plan.</w:t>
      </w:r>
    </w:p>
    <w:p>
      <w:pPr>
        <w:spacing w:after="0" w:line="198" w:lineRule="exact"/>
        <w:rPr>
          <w:rFonts w:ascii="Arial" w:cs="Arial" w:eastAsia="Arial" w:hAnsi="Arial"/>
          <w:sz w:val="21"/>
          <w:szCs w:val="21"/>
          <w:color w:val="auto"/>
        </w:rPr>
      </w:pPr>
    </w:p>
    <w:p>
      <w:pPr>
        <w:jc w:val="both"/>
        <w:ind w:left="2320" w:hanging="849"/>
        <w:spacing w:after="0" w:line="262" w:lineRule="auto"/>
        <w:tabs>
          <w:tab w:leader="none" w:pos="2320" w:val="left"/>
        </w:tabs>
        <w:numPr>
          <w:ilvl w:val="1"/>
          <w:numId w:val="15"/>
        </w:numPr>
        <w:rPr>
          <w:rFonts w:ascii="Arial" w:cs="Arial" w:eastAsia="Arial" w:hAnsi="Arial"/>
          <w:sz w:val="20"/>
          <w:szCs w:val="20"/>
          <w:color w:val="auto"/>
        </w:rPr>
      </w:pPr>
      <w:r>
        <w:rPr>
          <w:rFonts w:ascii="Arial" w:cs="Arial" w:eastAsia="Arial" w:hAnsi="Arial"/>
          <w:sz w:val="17"/>
          <w:szCs w:val="17"/>
          <w:color w:val="auto"/>
        </w:rPr>
        <w:t xml:space="preserve">Notwithstanding anything to the contrary contained in this Plan: (A) shares of Common Stock withheld by the Company, tendered or otherwise used in payment of the Option Price of an Option Right will not be added (or added back, as applicable) to the aggregate number of shares of Common Stock available under </w:t>
      </w:r>
      <w:r>
        <w:rPr>
          <w:rFonts w:ascii="Arial" w:cs="Arial" w:eastAsia="Arial" w:hAnsi="Arial"/>
          <w:sz w:val="17"/>
          <w:szCs w:val="17"/>
          <w:b w:val="1"/>
          <w:bCs w:val="1"/>
          <w:u w:val="single" w:color="auto"/>
          <w:color w:val="auto"/>
        </w:rPr>
        <w:t>Section 3(a)(i)</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Plan; (B) shares of Common Stock withheld by the Company, tendered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used to satisfy a tax withholding obligation will not be added (or added back, as applicable) to the aggregate number of shares of Common Stock available under </w:t>
      </w:r>
      <w:r>
        <w:rPr>
          <w:rFonts w:ascii="Arial" w:cs="Arial" w:eastAsia="Arial" w:hAnsi="Arial"/>
          <w:sz w:val="17"/>
          <w:szCs w:val="17"/>
          <w:b w:val="1"/>
          <w:bCs w:val="1"/>
          <w:u w:val="single" w:color="auto"/>
          <w:color w:val="auto"/>
        </w:rPr>
        <w:t>Section 3(a)(i)</w:t>
      </w:r>
      <w:r>
        <w:rPr>
          <w:rFonts w:ascii="Arial" w:cs="Arial" w:eastAsia="Arial" w:hAnsi="Arial"/>
          <w:sz w:val="17"/>
          <w:szCs w:val="17"/>
          <w:color w:val="auto"/>
        </w:rPr>
        <w:t xml:space="preserve"> of this Plan; (C) shares of Common Stock subject to a stock-settled Appreciation Right that are not actually issued in connection with the settlement of such Appreciation Right on the exercise thereof, will not be added back to the aggregate number of shares of Common Stock available under </w:t>
      </w:r>
      <w:r>
        <w:rPr>
          <w:rFonts w:ascii="Arial" w:cs="Arial" w:eastAsia="Arial" w:hAnsi="Arial"/>
          <w:sz w:val="17"/>
          <w:szCs w:val="17"/>
          <w:b w:val="1"/>
          <w:bCs w:val="1"/>
          <w:u w:val="single" w:color="auto"/>
          <w:color w:val="auto"/>
        </w:rPr>
        <w:t>Section 3(a)(i)</w:t>
      </w:r>
      <w:r>
        <w:rPr>
          <w:rFonts w:ascii="Arial" w:cs="Arial" w:eastAsia="Arial" w:hAnsi="Arial"/>
          <w:sz w:val="17"/>
          <w:szCs w:val="17"/>
          <w:color w:val="auto"/>
        </w:rPr>
        <w:t xml:space="preserve"> of this Plan; and (D) shares of Common Stock reacquired by the Company on the open market or otherwise using cash proceeds from the exercise of Option Rights will not be added to the aggregate number of shares of Common Stock available under </w:t>
      </w:r>
      <w:r>
        <w:rPr>
          <w:rFonts w:ascii="Arial" w:cs="Arial" w:eastAsia="Arial" w:hAnsi="Arial"/>
          <w:sz w:val="17"/>
          <w:szCs w:val="17"/>
          <w:b w:val="1"/>
          <w:bCs w:val="1"/>
          <w:u w:val="single" w:color="auto"/>
          <w:color w:val="auto"/>
        </w:rPr>
        <w:t>Section 3(a)(i)</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Plan.</w:t>
      </w:r>
    </w:p>
    <w:p>
      <w:pPr>
        <w:spacing w:after="0" w:line="186" w:lineRule="exact"/>
        <w:rPr>
          <w:rFonts w:ascii="Arial" w:cs="Arial" w:eastAsia="Arial" w:hAnsi="Arial"/>
          <w:sz w:val="20"/>
          <w:szCs w:val="20"/>
          <w:color w:val="auto"/>
        </w:rPr>
      </w:pPr>
    </w:p>
    <w:p>
      <w:pPr>
        <w:jc w:val="both"/>
        <w:ind w:left="2320" w:hanging="849"/>
        <w:spacing w:after="0"/>
        <w:tabs>
          <w:tab w:leader="none" w:pos="2320" w:val="left"/>
        </w:tabs>
        <w:numPr>
          <w:ilvl w:val="1"/>
          <w:numId w:val="15"/>
        </w:numPr>
        <w:rPr>
          <w:rFonts w:ascii="Arial" w:cs="Arial" w:eastAsia="Arial" w:hAnsi="Arial"/>
          <w:sz w:val="21"/>
          <w:szCs w:val="21"/>
          <w:color w:val="auto"/>
        </w:rPr>
      </w:pPr>
      <w:r>
        <w:rPr>
          <w:rFonts w:ascii="Arial" w:cs="Arial" w:eastAsia="Arial" w:hAnsi="Arial"/>
          <w:sz w:val="18"/>
          <w:szCs w:val="18"/>
          <w:color w:val="auto"/>
        </w:rPr>
        <w:t xml:space="preserve">If, under this Plan, a Participant has elected to give up the right to receive compensation in exchange for shares of Common Stock based on fair market value, such shares of Common Stock will not count against the aggregate limit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of this Plan.</w:t>
      </w:r>
    </w:p>
    <w:p>
      <w:pPr>
        <w:spacing w:after="0" w:line="201" w:lineRule="exact"/>
        <w:rPr>
          <w:rFonts w:ascii="Arial" w:cs="Arial" w:eastAsia="Arial" w:hAnsi="Arial"/>
          <w:sz w:val="21"/>
          <w:szCs w:val="21"/>
          <w:color w:val="auto"/>
        </w:rPr>
      </w:pPr>
    </w:p>
    <w:p>
      <w:pPr>
        <w:jc w:val="both"/>
        <w:ind w:left="-1120" w:firstLine="1735"/>
        <w:spacing w:after="0" w:line="260" w:lineRule="auto"/>
        <w:tabs>
          <w:tab w:leader="none" w:pos="144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Limit on Incentive Stock Options</w:t>
      </w:r>
      <w:r>
        <w:rPr>
          <w:rFonts w:ascii="Arial" w:cs="Arial" w:eastAsia="Arial" w:hAnsi="Arial"/>
          <w:sz w:val="18"/>
          <w:szCs w:val="18"/>
          <w:color w:val="auto"/>
        </w:rPr>
        <w:t xml:space="preserve">. Notwithstanding anything to the contrary contained in this Plan, and subject to adjustment as provided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 the aggregate number of shares of Common Stock actually issued or transferred by the Company upon the exercise of Incentive Stock Options will not exceed 1,675,000 shares of Common Stock.</w:t>
      </w:r>
    </w:p>
    <w:p>
      <w:pPr>
        <w:spacing w:after="0" w:line="184" w:lineRule="exact"/>
        <w:rPr>
          <w:rFonts w:ascii="Arial" w:cs="Arial" w:eastAsia="Arial" w:hAnsi="Arial"/>
          <w:sz w:val="18"/>
          <w:szCs w:val="18"/>
          <w:color w:val="auto"/>
        </w:rPr>
      </w:pPr>
    </w:p>
    <w:p>
      <w:pPr>
        <w:jc w:val="both"/>
        <w:ind w:left="-1120" w:firstLine="1735"/>
        <w:spacing w:after="0" w:line="256" w:lineRule="auto"/>
        <w:tabs>
          <w:tab w:leader="none" w:pos="145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Non-Employee Director Compensation Limit</w:t>
      </w:r>
      <w:r>
        <w:rPr>
          <w:rFonts w:ascii="Arial" w:cs="Arial" w:eastAsia="Arial" w:hAnsi="Arial"/>
          <w:sz w:val="18"/>
          <w:szCs w:val="18"/>
          <w:color w:val="auto"/>
        </w:rPr>
        <w:t>. Notwithstanding anything to the contrary contained in this Plan, in no event will any non-employee Director in any one calendar year be granted compensation for such service having an aggregate maximum value (measured at the Date of Grant as applicable, and calculating the value of any awards based on the grant date fair value for financial reporting purposes), in excess of $600,000.</w:t>
      </w:r>
    </w:p>
    <w:p>
      <w:pPr>
        <w:spacing w:after="0" w:line="184" w:lineRule="exact"/>
        <w:rPr>
          <w:rFonts w:ascii="Arial" w:cs="Arial" w:eastAsia="Arial" w:hAnsi="Arial"/>
          <w:sz w:val="18"/>
          <w:szCs w:val="18"/>
          <w:color w:val="auto"/>
        </w:rPr>
      </w:pPr>
    </w:p>
    <w:p>
      <w:pPr>
        <w:jc w:val="both"/>
        <w:ind w:left="-1120" w:firstLine="1735"/>
        <w:spacing w:after="0" w:line="253" w:lineRule="auto"/>
        <w:tabs>
          <w:tab w:leader="none" w:pos="1448"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Minimum Vesting Requirement</w:t>
      </w:r>
      <w:r>
        <w:rPr>
          <w:rFonts w:ascii="Arial" w:cs="Arial" w:eastAsia="Arial" w:hAnsi="Arial"/>
          <w:sz w:val="18"/>
          <w:szCs w:val="18"/>
          <w:color w:val="auto"/>
        </w:rPr>
        <w:t>. Notwithstanding any other provision of this Plan (outside of this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Section 3(e)</w:t>
      </w:r>
      <w:r>
        <w:rPr>
          <w:rFonts w:ascii="Arial" w:cs="Arial" w:eastAsia="Arial" w:hAnsi="Arial"/>
          <w:sz w:val="18"/>
          <w:szCs w:val="18"/>
          <w:color w:val="auto"/>
        </w:rPr>
        <w: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contrary, awards granted under this Plan (other than cash-based awards) shall vest no earlier than the first anniversary of the applicable Date of Grant; provided, that the following awards shall not be subject to the foregoing minimum vesting requirement: any (i) awards granted in connection with awards that are assumed, converted or substituted pursuant to </w:t>
      </w:r>
      <w:r>
        <w:rPr>
          <w:rFonts w:ascii="Arial" w:cs="Arial" w:eastAsia="Arial" w:hAnsi="Arial"/>
          <w:sz w:val="18"/>
          <w:szCs w:val="18"/>
          <w:b w:val="1"/>
          <w:bCs w:val="1"/>
          <w:u w:val="single" w:color="auto"/>
          <w:color w:val="auto"/>
        </w:rPr>
        <w:t>Section 22(a)</w:t>
      </w:r>
      <w:r>
        <w:rPr>
          <w:rFonts w:ascii="Arial" w:cs="Arial" w:eastAsia="Arial" w:hAnsi="Arial"/>
          <w:sz w:val="18"/>
          <w:szCs w:val="18"/>
          <w:color w:val="auto"/>
        </w:rPr>
        <w:t xml:space="preserve"> of this Plan; (ii) shares of Common Stock delivered in lieu of fully vested cash obligations; (iii) awards to non-employee Directors that vest on the earlier of the one-year anniversary of the applicable Date of Grant and the next annual meeting of Stockholders which is at least 50 weeks after the immediately preceding year’s annual meeting of Stockholders; and (iv) any additional awards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117475</wp:posOffset>
            </wp:positionV>
            <wp:extent cx="71761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0" w:name="page11"/>
    <w:bookmarkEnd w:id="10"/>
    <w:p>
      <w:pPr>
        <w:spacing w:after="0" w:line="290" w:lineRule="auto"/>
        <w:rPr>
          <w:sz w:val="20"/>
          <w:szCs w:val="20"/>
          <w:color w:val="auto"/>
        </w:rPr>
      </w:pPr>
      <w:r>
        <w:rPr>
          <w:rFonts w:ascii="Arial" w:cs="Arial" w:eastAsia="Arial" w:hAnsi="Arial"/>
          <w:sz w:val="16"/>
          <w:szCs w:val="16"/>
          <w:color w:val="auto"/>
        </w:rPr>
        <w:t xml:space="preserve">may grant, up to a maximum of five percent (5%) of the available share reserve authorized for issuance under the Plan pursuant to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(subject to adjustment under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Nothing in this </w:t>
      </w:r>
      <w:r>
        <w:rPr>
          <w:rFonts w:ascii="Arial" w:cs="Arial" w:eastAsia="Arial" w:hAnsi="Arial"/>
          <w:sz w:val="16"/>
          <w:szCs w:val="16"/>
          <w:b w:val="1"/>
          <w:bCs w:val="1"/>
          <w:u w:val="single" w:color="auto"/>
          <w:color w:val="auto"/>
        </w:rPr>
        <w:t>Section 3(e)</w:t>
      </w:r>
      <w:r>
        <w:rPr>
          <w:rFonts w:ascii="Arial" w:cs="Arial" w:eastAsia="Arial" w:hAnsi="Arial"/>
          <w:sz w:val="16"/>
          <w:szCs w:val="16"/>
          <w:color w:val="auto"/>
        </w:rPr>
        <w:t xml:space="preserve"> or otherwise in this Plan, however, shall preclude the Committee, in is sole discretion, from</w:t>
      </w:r>
    </w:p>
    <w:p>
      <w:pPr>
        <w:spacing w:after="0" w:line="1" w:lineRule="exact"/>
        <w:rPr>
          <w:sz w:val="20"/>
          <w:szCs w:val="20"/>
          <w:color w:val="auto"/>
        </w:rPr>
      </w:pPr>
    </w:p>
    <w:p>
      <w:pPr>
        <w:jc w:val="both"/>
        <w:ind w:firstLine="7"/>
        <w:spacing w:after="0" w:line="252" w:lineRule="auto"/>
        <w:tabs>
          <w:tab w:leader="none" w:pos="2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providing for continued vesting or accelerated vesting for any award under this Plan upon certain events, including in connection with or following a Participant’s retirement, death, disability, or termination of employment or service or a Change in Control, or (y) exercising its authority under </w:t>
      </w:r>
      <w:r>
        <w:rPr>
          <w:rFonts w:ascii="Arial" w:cs="Arial" w:eastAsia="Arial" w:hAnsi="Arial"/>
          <w:sz w:val="18"/>
          <w:szCs w:val="18"/>
          <w:u w:val="single" w:color="auto"/>
          <w:color w:val="auto"/>
        </w:rPr>
        <w:t>Section 18(c)</w:t>
      </w:r>
      <w:r>
        <w:rPr>
          <w:rFonts w:ascii="Arial" w:cs="Arial" w:eastAsia="Arial" w:hAnsi="Arial"/>
          <w:sz w:val="18"/>
          <w:szCs w:val="18"/>
          <w:color w:val="auto"/>
        </w:rPr>
        <w:t xml:space="preserve"> at any time following the grant of an award.</w:t>
      </w:r>
    </w:p>
    <w:p>
      <w:pPr>
        <w:spacing w:after="0" w:line="188" w:lineRule="exact"/>
        <w:rPr>
          <w:rFonts w:ascii="Arial" w:cs="Arial" w:eastAsia="Arial" w:hAnsi="Arial"/>
          <w:sz w:val="18"/>
          <w:szCs w:val="18"/>
          <w:color w:val="auto"/>
        </w:rPr>
      </w:pPr>
    </w:p>
    <w:p>
      <w:pPr>
        <w:jc w:val="both"/>
        <w:ind w:firstLine="871"/>
        <w:spacing w:after="0" w:line="262" w:lineRule="auto"/>
        <w:tabs>
          <w:tab w:leader="none" w:pos="1640"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Option Rights. </w:t>
      </w:r>
      <w:r>
        <w:rPr>
          <w:rFonts w:ascii="Arial" w:cs="Arial" w:eastAsia="Arial" w:hAnsi="Arial"/>
          <w:sz w:val="18"/>
          <w:szCs w:val="18"/>
          <w:color w:val="auto"/>
        </w:rPr>
        <w:t>The Committee may, from time to time and upon such terms and conditions as it may determine, authorize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granting to Participants of Option Rights. Each such grant may utilize any or all of the authorizations, and will be subject to all of the requirements, contained in the following provisions:</w:t>
      </w:r>
    </w:p>
    <w:p>
      <w:pPr>
        <w:spacing w:after="0" w:line="183" w:lineRule="exact"/>
        <w:rPr>
          <w:rFonts w:ascii="Arial" w:cs="Arial" w:eastAsia="Arial" w:hAnsi="Arial"/>
          <w:sz w:val="18"/>
          <w:szCs w:val="18"/>
          <w:color w:val="auto"/>
        </w:rPr>
      </w:pPr>
    </w:p>
    <w:p>
      <w:pPr>
        <w:ind w:left="2580" w:hanging="845"/>
        <w:spacing w:after="0"/>
        <w:tabs>
          <w:tab w:leader="none" w:pos="2580" w:val="left"/>
        </w:tabs>
        <w:numPr>
          <w:ilvl w:val="2"/>
          <w:numId w:val="16"/>
        </w:numPr>
        <w:rPr>
          <w:rFonts w:ascii="Arial" w:cs="Arial" w:eastAsia="Arial" w:hAnsi="Arial"/>
          <w:sz w:val="16"/>
          <w:szCs w:val="16"/>
          <w:color w:val="auto"/>
        </w:rPr>
      </w:pPr>
      <w:r>
        <w:rPr>
          <w:rFonts w:ascii="Arial" w:cs="Arial" w:eastAsia="Arial" w:hAnsi="Arial"/>
          <w:sz w:val="16"/>
          <w:szCs w:val="16"/>
          <w:color w:val="auto"/>
        </w:rPr>
        <w:t>Each grant will specify the number of shares of Common Stock to which it pertains subject to the limitations set forth in</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w:t>
      </w:r>
    </w:p>
    <w:p>
      <w:pPr>
        <w:spacing w:after="0" w:line="208" w:lineRule="exact"/>
        <w:rPr>
          <w:rFonts w:ascii="Arial" w:cs="Arial" w:eastAsia="Arial" w:hAnsi="Arial"/>
          <w:sz w:val="16"/>
          <w:szCs w:val="16"/>
          <w:color w:val="auto"/>
        </w:rPr>
      </w:pPr>
    </w:p>
    <w:p>
      <w:pPr>
        <w:ind w:firstLine="1735"/>
        <w:spacing w:after="0" w:line="271" w:lineRule="auto"/>
        <w:tabs>
          <w:tab w:leader="none" w:pos="2578"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Each grant will specify an Option Price per share of Common Stock, which Option Price (except with respect to awards under </w:t>
      </w:r>
      <w:r>
        <w:rPr>
          <w:rFonts w:ascii="Arial" w:cs="Arial" w:eastAsia="Arial" w:hAnsi="Arial"/>
          <w:sz w:val="18"/>
          <w:szCs w:val="18"/>
          <w:b w:val="1"/>
          <w:bCs w:val="1"/>
          <w:u w:val="single" w:color="auto"/>
          <w:color w:val="auto"/>
        </w:rPr>
        <w:t>Section 22</w:t>
      </w:r>
      <w:r>
        <w:rPr>
          <w:rFonts w:ascii="Arial" w:cs="Arial" w:eastAsia="Arial" w:hAnsi="Arial"/>
          <w:sz w:val="18"/>
          <w:szCs w:val="18"/>
          <w:color w:val="auto"/>
        </w:rPr>
        <w:t xml:space="preserve"> of this Plan) may not be less than the Market Value per Share on the Date of Grant.</w:t>
      </w:r>
    </w:p>
    <w:p>
      <w:pPr>
        <w:spacing w:after="0" w:line="175" w:lineRule="exact"/>
        <w:rPr>
          <w:rFonts w:ascii="Arial" w:cs="Arial" w:eastAsia="Arial" w:hAnsi="Arial"/>
          <w:sz w:val="18"/>
          <w:szCs w:val="18"/>
          <w:color w:val="auto"/>
        </w:rPr>
      </w:pPr>
    </w:p>
    <w:p>
      <w:pPr>
        <w:jc w:val="both"/>
        <w:ind w:firstLine="1735"/>
        <w:spacing w:after="0" w:line="252" w:lineRule="auto"/>
        <w:tabs>
          <w:tab w:leader="none" w:pos="2568" w:val="left"/>
        </w:tabs>
        <w:numPr>
          <w:ilvl w:val="2"/>
          <w:numId w:val="16"/>
        </w:numPr>
        <w:rPr>
          <w:rFonts w:ascii="Arial" w:cs="Arial" w:eastAsia="Arial" w:hAnsi="Arial"/>
          <w:sz w:val="18"/>
          <w:szCs w:val="18"/>
          <w:color w:val="auto"/>
        </w:rPr>
      </w:pPr>
      <w:r>
        <w:rPr>
          <w:rFonts w:ascii="Arial" w:cs="Arial" w:eastAsia="Arial" w:hAnsi="Arial"/>
          <w:sz w:val="18"/>
          <w:szCs w:val="18"/>
          <w:color w:val="auto"/>
        </w:rPr>
        <w:t>Each grant will specify whether the Option Price will be payable (i) in cash, by check acceptable to the Company or by wire transfer of immediately available funds, (ii) by the actual or constructive transfer to the Company of shares of Common Stock owned by the Optionee having a value at the time of exercise equal to the total Option Price, (iii) subject to any conditions or limitations established by the Committee, by the withholding of shares of Common Stock otherwise issuable upon exercise of an Option Right pursuant to a “net exercise” arrangement (it being understood that, solely for purposes of determining the number of treasury shares held by the Company, the shares of Common Stock so withheld will not be treated as issued and acquired by the Company upon such exercise), (iv) by a combination of such methods of payment, or (v) by such other methods as may be approved by the Committee.</w:t>
      </w:r>
    </w:p>
    <w:p>
      <w:pPr>
        <w:spacing w:after="0" w:line="192" w:lineRule="exact"/>
        <w:rPr>
          <w:rFonts w:ascii="Arial" w:cs="Arial" w:eastAsia="Arial" w:hAnsi="Arial"/>
          <w:sz w:val="18"/>
          <w:szCs w:val="18"/>
          <w:color w:val="auto"/>
        </w:rPr>
      </w:pPr>
    </w:p>
    <w:p>
      <w:pPr>
        <w:ind w:firstLine="1735"/>
        <w:spacing w:after="0" w:line="301" w:lineRule="auto"/>
        <w:tabs>
          <w:tab w:leader="none" w:pos="2578" w:val="left"/>
        </w:tabs>
        <w:numPr>
          <w:ilvl w:val="2"/>
          <w:numId w:val="16"/>
        </w:numPr>
        <w:rPr>
          <w:rFonts w:ascii="Arial" w:cs="Arial" w:eastAsia="Arial" w:hAnsi="Arial"/>
          <w:sz w:val="17"/>
          <w:szCs w:val="17"/>
          <w:color w:val="auto"/>
        </w:rPr>
      </w:pPr>
      <w:r>
        <w:rPr>
          <w:rFonts w:ascii="Arial" w:cs="Arial" w:eastAsia="Arial" w:hAnsi="Arial"/>
          <w:sz w:val="17"/>
          <w:szCs w:val="17"/>
          <w:color w:val="auto"/>
        </w:rPr>
        <w:t>To the extent permitted by law, any grant may provide for deferred payment of the Option Price from the proceeds of sale through a bank or broker on a date satisfactory to the Company of some or all of the shares of Common Stock to which such exercise relates.</w:t>
      </w:r>
    </w:p>
    <w:p>
      <w:pPr>
        <w:spacing w:after="0" w:line="152" w:lineRule="exact"/>
        <w:rPr>
          <w:rFonts w:ascii="Arial" w:cs="Arial" w:eastAsia="Arial" w:hAnsi="Arial"/>
          <w:sz w:val="17"/>
          <w:szCs w:val="17"/>
          <w:color w:val="auto"/>
        </w:rPr>
      </w:pPr>
    </w:p>
    <w:p>
      <w:pPr>
        <w:jc w:val="both"/>
        <w:ind w:firstLine="1735"/>
        <w:spacing w:after="0" w:line="256" w:lineRule="auto"/>
        <w:tabs>
          <w:tab w:leader="none" w:pos="2568" w:val="left"/>
        </w:tabs>
        <w:numPr>
          <w:ilvl w:val="2"/>
          <w:numId w:val="16"/>
        </w:numPr>
        <w:rPr>
          <w:rFonts w:ascii="Arial" w:cs="Arial" w:eastAsia="Arial" w:hAnsi="Arial"/>
          <w:sz w:val="18"/>
          <w:szCs w:val="18"/>
          <w:color w:val="auto"/>
        </w:rPr>
      </w:pPr>
      <w:r>
        <w:rPr>
          <w:rFonts w:ascii="Arial" w:cs="Arial" w:eastAsia="Arial" w:hAnsi="Arial"/>
          <w:sz w:val="18"/>
          <w:szCs w:val="18"/>
          <w:color w:val="auto"/>
        </w:rPr>
        <w:t>Each grant will specify the period or periods of continuous service by the Optionee with the Company or any Subsidiary, if any, that is necessary before any Option Rights or installments thereof will vest. Option Rights may provide for continued vesting or the earlier vesting of such Option Rights, including in the event of the retirement, death, disability or termination of employment or service of a Participant or in the event of a Change in Control.</w:t>
      </w:r>
    </w:p>
    <w:p>
      <w:pPr>
        <w:spacing w:after="0" w:line="188" w:lineRule="exact"/>
        <w:rPr>
          <w:rFonts w:ascii="Arial" w:cs="Arial" w:eastAsia="Arial" w:hAnsi="Arial"/>
          <w:sz w:val="18"/>
          <w:szCs w:val="18"/>
          <w:color w:val="auto"/>
        </w:rPr>
      </w:pPr>
    </w:p>
    <w:p>
      <w:pPr>
        <w:ind w:left="2560" w:hanging="825"/>
        <w:spacing w:after="0"/>
        <w:tabs>
          <w:tab w:leader="none" w:pos="25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grant of Option Rights may specify Management Objectives regarding the vesting of such rights.</w:t>
      </w:r>
    </w:p>
    <w:p>
      <w:pPr>
        <w:spacing w:after="0" w:line="221" w:lineRule="exact"/>
        <w:rPr>
          <w:rFonts w:ascii="Arial" w:cs="Arial" w:eastAsia="Arial" w:hAnsi="Arial"/>
          <w:sz w:val="18"/>
          <w:szCs w:val="18"/>
          <w:color w:val="auto"/>
        </w:rPr>
      </w:pPr>
    </w:p>
    <w:p>
      <w:pPr>
        <w:jc w:val="both"/>
        <w:ind w:firstLine="1735"/>
        <w:spacing w:after="0" w:line="282" w:lineRule="auto"/>
        <w:tabs>
          <w:tab w:leader="none" w:pos="2578" w:val="left"/>
        </w:tabs>
        <w:numPr>
          <w:ilvl w:val="2"/>
          <w:numId w:val="16"/>
        </w:numPr>
        <w:rPr>
          <w:rFonts w:ascii="Arial" w:cs="Arial" w:eastAsia="Arial" w:hAnsi="Arial"/>
          <w:sz w:val="17"/>
          <w:szCs w:val="17"/>
          <w:color w:val="auto"/>
        </w:rPr>
      </w:pPr>
      <w:r>
        <w:rPr>
          <w:rFonts w:ascii="Arial" w:cs="Arial" w:eastAsia="Arial" w:hAnsi="Arial"/>
          <w:sz w:val="17"/>
          <w:szCs w:val="17"/>
          <w:color w:val="auto"/>
        </w:rPr>
        <w:t>Option Rights granted under this Plan may be (i) options, including Incentive Stock Options, that are intended to qualify under particular provisions of the Code, (ii) options that are not intended to so qualify, or (iii) combinations of the foregoing. Incentive Stock Options may only be granted to Participants who meet the definition of “employees” under Section 3401(c) of the Code.</w:t>
      </w:r>
    </w:p>
    <w:p>
      <w:pPr>
        <w:spacing w:after="0" w:line="167" w:lineRule="exact"/>
        <w:rPr>
          <w:rFonts w:ascii="Arial" w:cs="Arial" w:eastAsia="Arial" w:hAnsi="Arial"/>
          <w:sz w:val="17"/>
          <w:szCs w:val="17"/>
          <w:color w:val="auto"/>
        </w:rPr>
      </w:pPr>
    </w:p>
    <w:p>
      <w:pPr>
        <w:ind w:firstLine="1735"/>
        <w:spacing w:after="0" w:line="271" w:lineRule="auto"/>
        <w:tabs>
          <w:tab w:leader="none" w:pos="2578" w:val="left"/>
        </w:tabs>
        <w:numPr>
          <w:ilvl w:val="2"/>
          <w:numId w:val="16"/>
        </w:numPr>
        <w:rPr>
          <w:rFonts w:ascii="Arial" w:cs="Arial" w:eastAsia="Arial" w:hAnsi="Arial"/>
          <w:sz w:val="18"/>
          <w:szCs w:val="18"/>
          <w:color w:val="auto"/>
        </w:rPr>
      </w:pPr>
      <w:r>
        <w:rPr>
          <w:rFonts w:ascii="Arial" w:cs="Arial" w:eastAsia="Arial" w:hAnsi="Arial"/>
          <w:sz w:val="18"/>
          <w:szCs w:val="18"/>
          <w:color w:val="auto"/>
        </w:rPr>
        <w:t>No Option Right will be exercisable more than 10 years from the Date of Grant. The Committee may provide in any Evidence of Award for the automatic exercise of an Option Right upon such terms and conditions as established by the Committee.</w:t>
      </w:r>
    </w:p>
    <w:p>
      <w:pPr>
        <w:spacing w:after="0" w:line="175" w:lineRule="exact"/>
        <w:rPr>
          <w:rFonts w:ascii="Arial" w:cs="Arial" w:eastAsia="Arial" w:hAnsi="Arial"/>
          <w:sz w:val="18"/>
          <w:szCs w:val="18"/>
          <w:color w:val="auto"/>
        </w:rPr>
      </w:pPr>
    </w:p>
    <w:p>
      <w:pPr>
        <w:ind w:left="2540" w:hanging="805"/>
        <w:spacing w:after="0"/>
        <w:tabs>
          <w:tab w:leader="none" w:pos="25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Option Rights granted under this Plan may not provide for any dividends or dividend equivalents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1761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871" w:firstLine="1735"/>
        <w:spacing w:after="0" w:line="271" w:lineRule="auto"/>
        <w:tabs>
          <w:tab w:leader="none" w:pos="16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grant of Option Rights will be evidenced by an Evidence of Award. Each Evidence of Award will be subject to this Plan and will contain such terms and provisions, consistent with this Plan, as the Committee may approve.</w:t>
      </w:r>
    </w:p>
    <w:p>
      <w:pPr>
        <w:spacing w:after="0" w:line="171" w:lineRule="exact"/>
        <w:rPr>
          <w:rFonts w:ascii="Arial" w:cs="Arial" w:eastAsia="Arial" w:hAnsi="Arial"/>
          <w:sz w:val="18"/>
          <w:szCs w:val="18"/>
          <w:color w:val="auto"/>
        </w:rPr>
      </w:pPr>
    </w:p>
    <w:p>
      <w:pPr>
        <w:ind w:left="769" w:hanging="769"/>
        <w:spacing w:after="0"/>
        <w:tabs>
          <w:tab w:leader="none" w:pos="769"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Appreciation Rights.</w:t>
      </w:r>
    </w:p>
    <w:p>
      <w:pPr>
        <w:spacing w:after="0" w:line="225" w:lineRule="exact"/>
        <w:rPr>
          <w:rFonts w:ascii="Arial" w:cs="Arial" w:eastAsia="Arial" w:hAnsi="Arial"/>
          <w:sz w:val="18"/>
          <w:szCs w:val="18"/>
          <w:color w:val="auto"/>
        </w:rPr>
      </w:pPr>
    </w:p>
    <w:p>
      <w:pPr>
        <w:jc w:val="both"/>
        <w:ind w:left="-871" w:firstLine="1735"/>
        <w:spacing w:after="0" w:line="282" w:lineRule="auto"/>
        <w:tabs>
          <w:tab w:leader="none" w:pos="1697"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spacing w:after="0" w:line="167" w:lineRule="exact"/>
        <w:rPr>
          <w:rFonts w:ascii="Arial" w:cs="Arial" w:eastAsia="Arial" w:hAnsi="Arial"/>
          <w:sz w:val="17"/>
          <w:szCs w:val="17"/>
          <w:color w:val="auto"/>
        </w:rPr>
      </w:pPr>
    </w:p>
    <w:p>
      <w:pPr>
        <w:ind w:left="-871" w:firstLine="1735"/>
        <w:spacing w:after="0" w:line="271" w:lineRule="auto"/>
        <w:tabs>
          <w:tab w:leader="none" w:pos="1707" w:val="left"/>
        </w:tabs>
        <w:numPr>
          <w:ilvl w:val="1"/>
          <w:numId w:val="18"/>
        </w:numPr>
        <w:rPr>
          <w:rFonts w:ascii="Arial" w:cs="Arial" w:eastAsia="Arial" w:hAnsi="Arial"/>
          <w:sz w:val="18"/>
          <w:szCs w:val="18"/>
          <w:color w:val="auto"/>
        </w:rPr>
      </w:pPr>
      <w:r>
        <w:rPr>
          <w:rFonts w:ascii="Arial" w:cs="Arial" w:eastAsia="Arial" w:hAnsi="Arial"/>
          <w:sz w:val="18"/>
          <w:szCs w:val="18"/>
          <w:color w:val="auto"/>
        </w:rPr>
        <w:t>Each grant of Appreciation Rights may utilize any or all of the authorizations, and will be subject to all of the requirements, contained in the following provisions:</w:t>
      </w:r>
    </w:p>
    <w:p>
      <w:pPr>
        <w:spacing w:after="0" w:line="175" w:lineRule="exact"/>
        <w:rPr>
          <w:rFonts w:ascii="Arial" w:cs="Arial" w:eastAsia="Arial" w:hAnsi="Arial"/>
          <w:sz w:val="18"/>
          <w:szCs w:val="18"/>
          <w:color w:val="auto"/>
        </w:rPr>
      </w:pPr>
    </w:p>
    <w:p>
      <w:pPr>
        <w:ind w:left="2569" w:hanging="849"/>
        <w:spacing w:after="0" w:line="236" w:lineRule="auto"/>
        <w:tabs>
          <w:tab w:leader="none" w:pos="2569" w:val="left"/>
        </w:tabs>
        <w:numPr>
          <w:ilvl w:val="2"/>
          <w:numId w:val="18"/>
        </w:numPr>
        <w:rPr>
          <w:rFonts w:ascii="Arial" w:cs="Arial" w:eastAsia="Arial" w:hAnsi="Arial"/>
          <w:sz w:val="21"/>
          <w:szCs w:val="21"/>
          <w:color w:val="auto"/>
        </w:rPr>
      </w:pPr>
      <w:r>
        <w:rPr>
          <w:rFonts w:ascii="Arial" w:cs="Arial" w:eastAsia="Arial" w:hAnsi="Arial"/>
          <w:sz w:val="18"/>
          <w:szCs w:val="18"/>
          <w:color w:val="auto"/>
        </w:rPr>
        <w:t>Each grant may specify that the amount payable on exercise of an Appreciation Right will be paid by the Company in cash, shares of Common Stock or any combination thereof.</w:t>
      </w:r>
    </w:p>
    <w:p>
      <w:pPr>
        <w:spacing w:after="0" w:line="201" w:lineRule="exact"/>
        <w:rPr>
          <w:rFonts w:ascii="Arial" w:cs="Arial" w:eastAsia="Arial" w:hAnsi="Arial"/>
          <w:sz w:val="21"/>
          <w:szCs w:val="21"/>
          <w:color w:val="auto"/>
        </w:rPr>
      </w:pPr>
    </w:p>
    <w:p>
      <w:pPr>
        <w:jc w:val="both"/>
        <w:ind w:left="2569" w:hanging="849"/>
        <w:spacing w:after="0" w:line="244" w:lineRule="auto"/>
        <w:tabs>
          <w:tab w:leader="none" w:pos="2569" w:val="left"/>
        </w:tabs>
        <w:numPr>
          <w:ilvl w:val="2"/>
          <w:numId w:val="18"/>
        </w:numPr>
        <w:rPr>
          <w:rFonts w:ascii="Arial" w:cs="Arial" w:eastAsia="Arial" w:hAnsi="Arial"/>
          <w:sz w:val="21"/>
          <w:szCs w:val="21"/>
          <w:color w:val="auto"/>
        </w:rPr>
      </w:pPr>
      <w:r>
        <w:rPr>
          <w:rFonts w:ascii="Arial" w:cs="Arial" w:eastAsia="Arial" w:hAnsi="Arial"/>
          <w:sz w:val="18"/>
          <w:szCs w:val="18"/>
          <w:color w:val="auto"/>
        </w:rPr>
        <w:t>Each grant will specify the period or periods of continuous service by the Participant with the Company or any Subsidiary, if any, that is necessary before the Appreciation Rights or installments thereof will vest. Appreciation Rights may provide for continued vesting or the earlier vesting of such Appreciation Rights, including in the event of the retirement, death, disability or termination of employment or service of a Participant or in the event of a Change in Control.</w:t>
      </w:r>
    </w:p>
    <w:p>
      <w:pPr>
        <w:spacing w:after="0" w:line="198" w:lineRule="exact"/>
        <w:rPr>
          <w:rFonts w:ascii="Arial" w:cs="Arial" w:eastAsia="Arial" w:hAnsi="Arial"/>
          <w:sz w:val="21"/>
          <w:szCs w:val="21"/>
          <w:color w:val="auto"/>
        </w:rPr>
      </w:pPr>
    </w:p>
    <w:p>
      <w:pPr>
        <w:ind w:left="2569" w:hanging="849"/>
        <w:spacing w:after="0" w:line="236" w:lineRule="auto"/>
        <w:tabs>
          <w:tab w:leader="none" w:pos="2569" w:val="left"/>
        </w:tabs>
        <w:numPr>
          <w:ilvl w:val="2"/>
          <w:numId w:val="18"/>
        </w:numPr>
        <w:rPr>
          <w:rFonts w:ascii="Arial" w:cs="Arial" w:eastAsia="Arial" w:hAnsi="Arial"/>
          <w:sz w:val="21"/>
          <w:szCs w:val="21"/>
          <w:color w:val="auto"/>
        </w:rPr>
      </w:pPr>
      <w:r>
        <w:rPr>
          <w:rFonts w:ascii="Arial" w:cs="Arial" w:eastAsia="Arial" w:hAnsi="Arial"/>
          <w:sz w:val="18"/>
          <w:szCs w:val="18"/>
          <w:color w:val="auto"/>
        </w:rPr>
        <w:t>Any grant of Appreciation Rights may specify Management Objectives regarding the vesting of such Appreciation Rights.</w:t>
      </w:r>
    </w:p>
    <w:p>
      <w:pPr>
        <w:spacing w:after="0" w:line="201" w:lineRule="exact"/>
        <w:rPr>
          <w:rFonts w:ascii="Arial" w:cs="Arial" w:eastAsia="Arial" w:hAnsi="Arial"/>
          <w:sz w:val="21"/>
          <w:szCs w:val="21"/>
          <w:color w:val="auto"/>
        </w:rPr>
      </w:pPr>
    </w:p>
    <w:p>
      <w:pPr>
        <w:ind w:left="2569" w:right="20" w:hanging="849"/>
        <w:spacing w:after="0" w:line="236" w:lineRule="auto"/>
        <w:tabs>
          <w:tab w:leader="none" w:pos="2569" w:val="left"/>
        </w:tabs>
        <w:numPr>
          <w:ilvl w:val="2"/>
          <w:numId w:val="18"/>
        </w:numPr>
        <w:rPr>
          <w:rFonts w:ascii="Arial" w:cs="Arial" w:eastAsia="Arial" w:hAnsi="Arial"/>
          <w:sz w:val="21"/>
          <w:szCs w:val="21"/>
          <w:color w:val="auto"/>
        </w:rPr>
      </w:pPr>
      <w:r>
        <w:rPr>
          <w:rFonts w:ascii="Arial" w:cs="Arial" w:eastAsia="Arial" w:hAnsi="Arial"/>
          <w:sz w:val="18"/>
          <w:szCs w:val="18"/>
          <w:color w:val="auto"/>
        </w:rPr>
        <w:t>Appreciation Rights granted under this Plan may not provide for any dividends or dividend equivalents thereon.</w:t>
      </w:r>
    </w:p>
    <w:p>
      <w:pPr>
        <w:spacing w:after="0" w:line="201" w:lineRule="exact"/>
        <w:rPr>
          <w:rFonts w:ascii="Arial" w:cs="Arial" w:eastAsia="Arial" w:hAnsi="Arial"/>
          <w:sz w:val="21"/>
          <w:szCs w:val="21"/>
          <w:color w:val="auto"/>
        </w:rPr>
      </w:pPr>
    </w:p>
    <w:p>
      <w:pPr>
        <w:jc w:val="both"/>
        <w:ind w:left="2569" w:hanging="849"/>
        <w:spacing w:after="0"/>
        <w:tabs>
          <w:tab w:leader="none" w:pos="2569" w:val="left"/>
        </w:tabs>
        <w:numPr>
          <w:ilvl w:val="2"/>
          <w:numId w:val="18"/>
        </w:numPr>
        <w:rPr>
          <w:rFonts w:ascii="Arial" w:cs="Arial" w:eastAsia="Arial" w:hAnsi="Arial"/>
          <w:sz w:val="21"/>
          <w:szCs w:val="21"/>
          <w:color w:val="auto"/>
        </w:rPr>
      </w:pPr>
      <w:r>
        <w:rPr>
          <w:rFonts w:ascii="Arial" w:cs="Arial" w:eastAsia="Arial" w:hAnsi="Arial"/>
          <w:sz w:val="18"/>
          <w:szCs w:val="18"/>
          <w:color w:val="auto"/>
        </w:rPr>
        <w:t>Each grant of Appreciation Rights will be evidenced by an Evidence of Award. Each Evidence of Award will be subject to this Plan and will contain such terms and provisions, consistent with this Plan, as the Committee may approve.</w:t>
      </w:r>
    </w:p>
    <w:p>
      <w:pPr>
        <w:spacing w:after="0" w:line="201" w:lineRule="exact"/>
        <w:rPr>
          <w:rFonts w:ascii="Arial" w:cs="Arial" w:eastAsia="Arial" w:hAnsi="Arial"/>
          <w:sz w:val="21"/>
          <w:szCs w:val="21"/>
          <w:color w:val="auto"/>
        </w:rPr>
      </w:pPr>
    </w:p>
    <w:p>
      <w:pPr>
        <w:ind w:left="1709" w:hanging="845"/>
        <w:spacing w:after="0"/>
        <w:tabs>
          <w:tab w:leader="none" w:pos="170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Also, regarding Appreciation Rights:</w:t>
      </w:r>
    </w:p>
    <w:p>
      <w:pPr>
        <w:spacing w:after="0" w:line="221" w:lineRule="exact"/>
        <w:rPr>
          <w:rFonts w:ascii="Arial" w:cs="Arial" w:eastAsia="Arial" w:hAnsi="Arial"/>
          <w:sz w:val="18"/>
          <w:szCs w:val="18"/>
          <w:color w:val="auto"/>
        </w:rPr>
      </w:pPr>
    </w:p>
    <w:p>
      <w:pPr>
        <w:jc w:val="both"/>
        <w:ind w:left="2569" w:hanging="849"/>
        <w:spacing w:after="0"/>
        <w:tabs>
          <w:tab w:leader="none" w:pos="2569" w:val="left"/>
        </w:tabs>
        <w:numPr>
          <w:ilvl w:val="2"/>
          <w:numId w:val="18"/>
        </w:numPr>
        <w:rPr>
          <w:rFonts w:ascii="Arial" w:cs="Arial" w:eastAsia="Arial" w:hAnsi="Arial"/>
          <w:sz w:val="21"/>
          <w:szCs w:val="21"/>
          <w:color w:val="auto"/>
        </w:rPr>
      </w:pPr>
      <w:r>
        <w:rPr>
          <w:rFonts w:ascii="Arial" w:cs="Arial" w:eastAsia="Arial" w:hAnsi="Arial"/>
          <w:sz w:val="18"/>
          <w:szCs w:val="18"/>
          <w:color w:val="auto"/>
        </w:rPr>
        <w:t xml:space="preserve">Each grant will specify in respect of each Appreciation Right a Base Price, which (except with respect to awards under </w:t>
      </w:r>
      <w:r>
        <w:rPr>
          <w:rFonts w:ascii="Arial" w:cs="Arial" w:eastAsia="Arial" w:hAnsi="Arial"/>
          <w:sz w:val="18"/>
          <w:szCs w:val="18"/>
          <w:b w:val="1"/>
          <w:bCs w:val="1"/>
          <w:u w:val="single" w:color="auto"/>
          <w:color w:val="auto"/>
        </w:rPr>
        <w:t>Section 22</w:t>
      </w:r>
      <w:r>
        <w:rPr>
          <w:rFonts w:ascii="Arial" w:cs="Arial" w:eastAsia="Arial" w:hAnsi="Arial"/>
          <w:sz w:val="18"/>
          <w:szCs w:val="18"/>
          <w:color w:val="auto"/>
        </w:rPr>
        <w:t xml:space="preserve"> of this Plan) may not be less than the Market Value per Share on the Date of Grant; and</w:t>
      </w:r>
    </w:p>
    <w:p>
      <w:pPr>
        <w:spacing w:after="0" w:line="201" w:lineRule="exact"/>
        <w:rPr>
          <w:rFonts w:ascii="Arial" w:cs="Arial" w:eastAsia="Arial" w:hAnsi="Arial"/>
          <w:sz w:val="21"/>
          <w:szCs w:val="21"/>
          <w:color w:val="auto"/>
        </w:rPr>
      </w:pPr>
    </w:p>
    <w:p>
      <w:pPr>
        <w:jc w:val="both"/>
        <w:ind w:left="2569" w:hanging="849"/>
        <w:spacing w:after="0"/>
        <w:tabs>
          <w:tab w:leader="none" w:pos="2569" w:val="left"/>
        </w:tabs>
        <w:numPr>
          <w:ilvl w:val="2"/>
          <w:numId w:val="18"/>
        </w:numPr>
        <w:rPr>
          <w:rFonts w:ascii="Arial" w:cs="Arial" w:eastAsia="Arial" w:hAnsi="Arial"/>
          <w:sz w:val="21"/>
          <w:szCs w:val="21"/>
          <w:color w:val="auto"/>
        </w:rPr>
      </w:pPr>
      <w:r>
        <w:rPr>
          <w:rFonts w:ascii="Arial" w:cs="Arial" w:eastAsia="Arial" w:hAnsi="Arial"/>
          <w:sz w:val="18"/>
          <w:szCs w:val="18"/>
          <w:color w:val="auto"/>
        </w:rPr>
        <w:t>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spacing w:after="0" w:line="197" w:lineRule="exact"/>
        <w:rPr>
          <w:rFonts w:ascii="Arial" w:cs="Arial" w:eastAsia="Arial" w:hAnsi="Arial"/>
          <w:sz w:val="21"/>
          <w:szCs w:val="21"/>
          <w:color w:val="auto"/>
        </w:rPr>
      </w:pPr>
    </w:p>
    <w:p>
      <w:pPr>
        <w:jc w:val="both"/>
        <w:ind w:left="-871" w:firstLine="871"/>
        <w:spacing w:after="0" w:line="262" w:lineRule="auto"/>
        <w:tabs>
          <w:tab w:leader="none" w:pos="769"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The Committee may, from time to time and upon such terms and conditions as it may determine, authorize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or sale of Restricted Stock to Participants. Each such grant or sale may utilize any or all of the authorizations, and will be subject to all of the requirements, contained in the following provisions:</w:t>
      </w:r>
    </w:p>
    <w:p>
      <w:pPr>
        <w:spacing w:after="0" w:line="183" w:lineRule="exact"/>
        <w:rPr>
          <w:rFonts w:ascii="Arial" w:cs="Arial" w:eastAsia="Arial" w:hAnsi="Arial"/>
          <w:sz w:val="18"/>
          <w:szCs w:val="18"/>
          <w:color w:val="auto"/>
        </w:rPr>
      </w:pPr>
    </w:p>
    <w:p>
      <w:pPr>
        <w:jc w:val="both"/>
        <w:ind w:left="-871" w:firstLine="1735"/>
        <w:spacing w:after="0" w:line="282" w:lineRule="auto"/>
        <w:tabs>
          <w:tab w:leader="none" w:pos="1697" w:val="left"/>
        </w:tabs>
        <w:numPr>
          <w:ilvl w:val="1"/>
          <w:numId w:val="18"/>
        </w:numPr>
        <w:rPr>
          <w:rFonts w:ascii="Arial" w:cs="Arial" w:eastAsia="Arial" w:hAnsi="Arial"/>
          <w:sz w:val="17"/>
          <w:szCs w:val="17"/>
          <w:color w:val="auto"/>
        </w:rPr>
      </w:pPr>
      <w:r>
        <w:rPr>
          <w:rFonts w:ascii="Arial" w:cs="Arial" w:eastAsia="Arial" w:hAnsi="Arial"/>
          <w:sz w:val="17"/>
          <w:szCs w:val="17"/>
          <w:color w:val="auto"/>
        </w:rPr>
        <w:t xml:space="preserve">Each such grant or sale will constitute an immediate transfer of the ownership of shares of Common Stock to the Participant in consideration of the performance of services, entitling such Participant to voting, dividend and other ownership rights (subject in particular to </w:t>
      </w:r>
      <w:r>
        <w:rPr>
          <w:rFonts w:ascii="Arial" w:cs="Arial" w:eastAsia="Arial" w:hAnsi="Arial"/>
          <w:sz w:val="17"/>
          <w:szCs w:val="17"/>
          <w:b w:val="1"/>
          <w:bCs w:val="1"/>
          <w:u w:val="single" w:color="auto"/>
          <w:color w:val="auto"/>
        </w:rPr>
        <w:t>Section 6(g)</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Plan), but subject to the substantial risk of forfeiture and restrictions on transfer hereinafter described.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102870</wp:posOffset>
            </wp:positionV>
            <wp:extent cx="71761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369"/>
          </w:cols>
          <w:pgMar w:left="1191" w:top="125" w:right="339" w:bottom="1440" w:gutter="0" w:footer="0" w:header="0"/>
        </w:sectPr>
      </w:pPr>
    </w:p>
    <w:bookmarkStart w:id="12" w:name="page13"/>
    <w:bookmarkEnd w:id="12"/>
    <w:p>
      <w:pPr>
        <w:ind w:left="-7" w:firstLine="1735"/>
        <w:spacing w:after="0" w:line="271" w:lineRule="auto"/>
        <w:tabs>
          <w:tab w:leader="none" w:pos="2571" w:val="left"/>
        </w:tabs>
        <w:numPr>
          <w:ilvl w:val="2"/>
          <w:numId w:val="19"/>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the Market Value per Share on the Date of Grant.</w:t>
      </w:r>
    </w:p>
    <w:p>
      <w:pPr>
        <w:spacing w:after="0" w:line="175" w:lineRule="exact"/>
        <w:rPr>
          <w:rFonts w:ascii="Arial" w:cs="Arial" w:eastAsia="Arial" w:hAnsi="Arial"/>
          <w:sz w:val="18"/>
          <w:szCs w:val="18"/>
          <w:color w:val="auto"/>
        </w:rPr>
      </w:pPr>
    </w:p>
    <w:p>
      <w:pPr>
        <w:jc w:val="both"/>
        <w:ind w:left="-7" w:firstLine="1735"/>
        <w:spacing w:after="0" w:line="260" w:lineRule="auto"/>
        <w:tabs>
          <w:tab w:leader="none" w:pos="2561"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w:t>
      </w:r>
      <w:r>
        <w:rPr>
          <w:rFonts w:ascii="Arial" w:cs="Arial" w:eastAsia="Arial" w:hAnsi="Arial"/>
          <w:sz w:val="18"/>
          <w:szCs w:val="18"/>
          <w:b w:val="1"/>
          <w:bCs w:val="1"/>
          <w:u w:val="single" w:color="auto"/>
          <w:color w:val="auto"/>
        </w:rPr>
        <w:t>Section 6(e)</w:t>
      </w:r>
      <w:r>
        <w:rPr>
          <w:rFonts w:ascii="Arial" w:cs="Arial" w:eastAsia="Arial" w:hAnsi="Arial"/>
          <w:sz w:val="18"/>
          <w:szCs w:val="18"/>
          <w:color w:val="auto"/>
        </w:rPr>
        <w:t xml:space="preserve"> of this Plan.</w:t>
      </w:r>
    </w:p>
    <w:p>
      <w:pPr>
        <w:spacing w:after="0" w:line="184" w:lineRule="exact"/>
        <w:rPr>
          <w:rFonts w:ascii="Arial" w:cs="Arial" w:eastAsia="Arial" w:hAnsi="Arial"/>
          <w:sz w:val="18"/>
          <w:szCs w:val="18"/>
          <w:color w:val="auto"/>
        </w:rPr>
      </w:pPr>
    </w:p>
    <w:p>
      <w:pPr>
        <w:jc w:val="both"/>
        <w:ind w:left="-7" w:firstLine="1735"/>
        <w:spacing w:after="0" w:line="256" w:lineRule="auto"/>
        <w:tabs>
          <w:tab w:leader="none" w:pos="2571" w:val="left"/>
        </w:tabs>
        <w:numPr>
          <w:ilvl w:val="2"/>
          <w:numId w:val="19"/>
        </w:numPr>
        <w:rPr>
          <w:rFonts w:ascii="Arial" w:cs="Arial" w:eastAsia="Arial" w:hAnsi="Arial"/>
          <w:sz w:val="18"/>
          <w:szCs w:val="18"/>
          <w:color w:val="auto"/>
        </w:rPr>
      </w:pPr>
      <w:r>
        <w:rPr>
          <w:rFonts w:ascii="Arial" w:cs="Arial" w:eastAsia="Arial" w:hAnsi="Arial"/>
          <w:sz w:val="18"/>
          <w:szCs w:val="18"/>
          <w:color w:val="auto"/>
        </w:rPr>
        <w:t>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spacing w:after="0" w:line="188" w:lineRule="exact"/>
        <w:rPr>
          <w:rFonts w:ascii="Arial" w:cs="Arial" w:eastAsia="Arial" w:hAnsi="Arial"/>
          <w:sz w:val="18"/>
          <w:szCs w:val="18"/>
          <w:color w:val="auto"/>
        </w:rPr>
      </w:pPr>
    </w:p>
    <w:p>
      <w:pPr>
        <w:ind w:left="2573" w:hanging="845"/>
        <w:spacing w:after="0"/>
        <w:tabs>
          <w:tab w:leader="none" w:pos="2573" w:val="left"/>
        </w:tabs>
        <w:numPr>
          <w:ilvl w:val="2"/>
          <w:numId w:val="19"/>
        </w:numPr>
        <w:rPr>
          <w:rFonts w:ascii="Arial" w:cs="Arial" w:eastAsia="Arial" w:hAnsi="Arial"/>
          <w:sz w:val="17"/>
          <w:szCs w:val="17"/>
          <w:color w:val="auto"/>
        </w:rPr>
      </w:pPr>
      <w:r>
        <w:rPr>
          <w:rFonts w:ascii="Arial" w:cs="Arial" w:eastAsia="Arial" w:hAnsi="Arial"/>
          <w:sz w:val="17"/>
          <w:szCs w:val="17"/>
          <w:color w:val="auto"/>
        </w:rPr>
        <w:t>Any grant of Restricted Stock may specify Management Objectives regarding the vesting of such Restricted Stock.</w:t>
      </w:r>
    </w:p>
    <w:p>
      <w:pPr>
        <w:spacing w:after="0" w:line="232" w:lineRule="exact"/>
        <w:rPr>
          <w:rFonts w:ascii="Arial" w:cs="Arial" w:eastAsia="Arial" w:hAnsi="Arial"/>
          <w:sz w:val="17"/>
          <w:szCs w:val="17"/>
          <w:color w:val="auto"/>
        </w:rPr>
      </w:pPr>
    </w:p>
    <w:p>
      <w:pPr>
        <w:ind w:left="-7" w:firstLine="1735"/>
        <w:spacing w:after="0" w:line="271" w:lineRule="auto"/>
        <w:tabs>
          <w:tab w:leader="none" w:pos="2541" w:val="left"/>
        </w:tabs>
        <w:numPr>
          <w:ilvl w:val="2"/>
          <w:numId w:val="19"/>
        </w:numPr>
        <w:rPr>
          <w:rFonts w:ascii="Arial" w:cs="Arial" w:eastAsia="Arial" w:hAnsi="Arial"/>
          <w:sz w:val="18"/>
          <w:szCs w:val="18"/>
          <w:color w:val="auto"/>
        </w:rPr>
      </w:pPr>
      <w:r>
        <w:rPr>
          <w:rFonts w:ascii="Arial" w:cs="Arial" w:eastAsia="Arial" w:hAnsi="Arial"/>
          <w:sz w:val="18"/>
          <w:szCs w:val="18"/>
          <w:color w:val="auto"/>
        </w:rPr>
        <w:t>Restricted Stock may provide for continued vesting or the earlier vesting of such Restricted Stock, including in the event of the retirement, death, disability or termination of employment or service of a Participant or in the event of a Change in Control.</w:t>
      </w:r>
    </w:p>
    <w:p>
      <w:pPr>
        <w:spacing w:after="0" w:line="175" w:lineRule="exact"/>
        <w:rPr>
          <w:rFonts w:ascii="Arial" w:cs="Arial" w:eastAsia="Arial" w:hAnsi="Arial"/>
          <w:sz w:val="18"/>
          <w:szCs w:val="18"/>
          <w:color w:val="auto"/>
        </w:rPr>
      </w:pPr>
    </w:p>
    <w:p>
      <w:pPr>
        <w:jc w:val="both"/>
        <w:ind w:left="-7" w:firstLine="1735"/>
        <w:spacing w:after="0" w:line="256" w:lineRule="auto"/>
        <w:tabs>
          <w:tab w:leader="none" w:pos="2571"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will be deferred until, and paid contingent upon, the vesting of such Restricted Stock.</w:t>
      </w:r>
    </w:p>
    <w:p>
      <w:pPr>
        <w:spacing w:after="0" w:line="188" w:lineRule="exact"/>
        <w:rPr>
          <w:rFonts w:ascii="Arial" w:cs="Arial" w:eastAsia="Arial" w:hAnsi="Arial"/>
          <w:sz w:val="18"/>
          <w:szCs w:val="18"/>
          <w:color w:val="auto"/>
        </w:rPr>
      </w:pPr>
    </w:p>
    <w:p>
      <w:pPr>
        <w:jc w:val="both"/>
        <w:ind w:left="-7" w:firstLine="1735"/>
        <w:spacing w:after="0" w:line="283" w:lineRule="auto"/>
        <w:tabs>
          <w:tab w:leader="none" w:pos="2571" w:val="left"/>
        </w:tabs>
        <w:numPr>
          <w:ilvl w:val="2"/>
          <w:numId w:val="19"/>
        </w:numPr>
        <w:rPr>
          <w:rFonts w:ascii="Arial" w:cs="Arial" w:eastAsia="Arial" w:hAnsi="Arial"/>
          <w:sz w:val="16"/>
          <w:szCs w:val="16"/>
          <w:color w:val="auto"/>
        </w:rPr>
      </w:pPr>
      <w:r>
        <w:rPr>
          <w:rFonts w:ascii="Arial" w:cs="Arial" w:eastAsia="Arial" w:hAnsi="Arial"/>
          <w:sz w:val="16"/>
          <w:szCs w:val="16"/>
          <w:color w:val="auto"/>
        </w:rPr>
        <w:t>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w:t>
      </w:r>
    </w:p>
    <w:p>
      <w:pPr>
        <w:spacing w:after="0" w:line="1" w:lineRule="exact"/>
        <w:rPr>
          <w:rFonts w:ascii="Arial" w:cs="Arial" w:eastAsia="Arial" w:hAnsi="Arial"/>
          <w:sz w:val="16"/>
          <w:szCs w:val="16"/>
          <w:color w:val="auto"/>
        </w:rPr>
      </w:pPr>
    </w:p>
    <w:p>
      <w:pPr>
        <w:ind w:left="-7" w:firstLine="7"/>
        <w:spacing w:after="0" w:line="256" w:lineRule="auto"/>
        <w:tabs>
          <w:tab w:leader="none" w:pos="2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Restricted Stock will be held at the Company’s transfer agent in book entry form with appropriate restrictions relating to the transfer of such Restricted Stock.</w:t>
      </w:r>
    </w:p>
    <w:p>
      <w:pPr>
        <w:spacing w:after="0" w:line="184" w:lineRule="exact"/>
        <w:rPr>
          <w:rFonts w:ascii="Arial" w:cs="Arial" w:eastAsia="Arial" w:hAnsi="Arial"/>
          <w:sz w:val="18"/>
          <w:szCs w:val="18"/>
          <w:color w:val="auto"/>
        </w:rPr>
      </w:pPr>
    </w:p>
    <w:p>
      <w:pPr>
        <w:jc w:val="both"/>
        <w:ind w:left="-7" w:firstLine="871"/>
        <w:spacing w:after="0" w:line="262" w:lineRule="auto"/>
        <w:tabs>
          <w:tab w:leader="none" w:pos="1633"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The Committee may, from time to time and upon such terms and conditions as it may determine, authorize</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granting or sale of Restricted Stock Units to Participants. Each such grant or sale may utilize any or all of the authorizations, and will be subject to all of the requirements, contained in the following provisions:</w:t>
      </w:r>
    </w:p>
    <w:p>
      <w:pPr>
        <w:spacing w:after="0" w:line="183" w:lineRule="exact"/>
        <w:rPr>
          <w:rFonts w:ascii="Arial" w:cs="Arial" w:eastAsia="Arial" w:hAnsi="Arial"/>
          <w:sz w:val="18"/>
          <w:szCs w:val="18"/>
          <w:color w:val="auto"/>
        </w:rPr>
      </w:pPr>
    </w:p>
    <w:p>
      <w:pPr>
        <w:jc w:val="both"/>
        <w:ind w:left="-7" w:firstLine="1735"/>
        <w:spacing w:after="0" w:line="282" w:lineRule="auto"/>
        <w:tabs>
          <w:tab w:leader="none" w:pos="2561" w:val="left"/>
        </w:tabs>
        <w:numPr>
          <w:ilvl w:val="2"/>
          <w:numId w:val="20"/>
        </w:numPr>
        <w:rPr>
          <w:rFonts w:ascii="Arial" w:cs="Arial" w:eastAsia="Arial" w:hAnsi="Arial"/>
          <w:sz w:val="17"/>
          <w:szCs w:val="17"/>
          <w:color w:val="auto"/>
        </w:rPr>
      </w:pPr>
      <w:r>
        <w:rPr>
          <w:rFonts w:ascii="Arial" w:cs="Arial" w:eastAsia="Arial" w:hAnsi="Arial"/>
          <w:sz w:val="17"/>
          <w:szCs w:val="17"/>
          <w:color w:val="auto"/>
        </w:rPr>
        <w:t>Each such grant or sale will constitute the agreement by the Company to deliver shares of Common Stock or cash, or a combination thereof, to the Participant in the future in consideration of the performance of services, but subject to the fulfillment of such conditions (which may include achievement regarding Management Objectives) during the Restriction Period as the Committee may specify.</w:t>
      </w:r>
    </w:p>
    <w:p>
      <w:pPr>
        <w:spacing w:after="0" w:line="167" w:lineRule="exact"/>
        <w:rPr>
          <w:rFonts w:ascii="Arial" w:cs="Arial" w:eastAsia="Arial" w:hAnsi="Arial"/>
          <w:sz w:val="17"/>
          <w:szCs w:val="17"/>
          <w:color w:val="auto"/>
        </w:rPr>
      </w:pPr>
    </w:p>
    <w:p>
      <w:pPr>
        <w:ind w:left="-7" w:firstLine="1735"/>
        <w:spacing w:after="0" w:line="271" w:lineRule="auto"/>
        <w:tabs>
          <w:tab w:leader="none" w:pos="2571" w:val="left"/>
        </w:tabs>
        <w:numPr>
          <w:ilvl w:val="2"/>
          <w:numId w:val="20"/>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the Market Value per Share on the Date of Grant.</w:t>
      </w:r>
    </w:p>
    <w:p>
      <w:pPr>
        <w:spacing w:after="0" w:line="175" w:lineRule="exact"/>
        <w:rPr>
          <w:rFonts w:ascii="Arial" w:cs="Arial" w:eastAsia="Arial" w:hAnsi="Arial"/>
          <w:sz w:val="18"/>
          <w:szCs w:val="18"/>
          <w:color w:val="auto"/>
        </w:rPr>
      </w:pPr>
    </w:p>
    <w:p>
      <w:pPr>
        <w:jc w:val="both"/>
        <w:ind w:left="-7" w:firstLine="1735"/>
        <w:spacing w:after="0" w:line="260" w:lineRule="auto"/>
        <w:tabs>
          <w:tab w:leader="none" w:pos="2561" w:val="left"/>
        </w:tabs>
        <w:numPr>
          <w:ilvl w:val="2"/>
          <w:numId w:val="20"/>
        </w:numPr>
        <w:rPr>
          <w:rFonts w:ascii="Arial" w:cs="Arial" w:eastAsia="Arial" w:hAnsi="Arial"/>
          <w:sz w:val="18"/>
          <w:szCs w:val="18"/>
          <w:color w:val="auto"/>
        </w:rPr>
      </w:pPr>
      <w:r>
        <w:rPr>
          <w:rFonts w:ascii="Arial" w:cs="Arial" w:eastAsia="Arial" w:hAnsi="Arial"/>
          <w:sz w:val="18"/>
          <w:szCs w:val="18"/>
          <w:color w:val="auto"/>
        </w:rPr>
        <w:t>Restricted Stock Units may provide for continued vesting or the earlier lapse or other modification of the Restriction Period, including in the event of the retirement, death, disability or termination of employment or service of a Participant or in the event of a Change in Control.</w:t>
      </w:r>
    </w:p>
    <w:p>
      <w:pPr>
        <w:spacing w:after="0" w:line="184" w:lineRule="exact"/>
        <w:rPr>
          <w:rFonts w:ascii="Arial" w:cs="Arial" w:eastAsia="Arial" w:hAnsi="Arial"/>
          <w:sz w:val="18"/>
          <w:szCs w:val="18"/>
          <w:color w:val="auto"/>
        </w:rPr>
      </w:pPr>
    </w:p>
    <w:p>
      <w:pPr>
        <w:jc w:val="both"/>
        <w:ind w:left="-7" w:firstLine="1735"/>
        <w:spacing w:after="0" w:line="260" w:lineRule="auto"/>
        <w:tabs>
          <w:tab w:leader="none" w:pos="2571" w:val="left"/>
        </w:tabs>
        <w:numPr>
          <w:ilvl w:val="2"/>
          <w:numId w:val="20"/>
        </w:numPr>
        <w:rPr>
          <w:rFonts w:ascii="Arial" w:cs="Arial" w:eastAsia="Arial" w:hAnsi="Arial"/>
          <w:sz w:val="18"/>
          <w:szCs w:val="18"/>
          <w:color w:val="auto"/>
        </w:rPr>
      </w:pPr>
      <w:r>
        <w:rPr>
          <w:rFonts w:ascii="Arial" w:cs="Arial" w:eastAsia="Arial" w:hAnsi="Arial"/>
          <w:sz w:val="18"/>
          <w:szCs w:val="18"/>
          <w:color w:val="auto"/>
        </w:rPr>
        <w:t>During the Restriction Period, the Participant will have no right to transfer any rights under his or her award and will have no rights of ownership in the shares of Common Stock deliverable upon payment of the Restricted Stock Units and will have no right to vote them, but the Committee may, at or after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113665</wp:posOffset>
            </wp:positionV>
            <wp:extent cx="717613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33"/>
          </w:cols>
          <w:pgMar w:left="327" w:top="125" w:right="339" w:bottom="1440" w:gutter="0" w:footer="0" w:header="0"/>
        </w:sectPr>
      </w:pPr>
    </w:p>
    <w:bookmarkStart w:id="13" w:name="page14"/>
    <w:bookmarkEnd w:id="13"/>
    <w:p>
      <w:pPr>
        <w:jc w:val="both"/>
        <w:spacing w:after="0" w:line="260" w:lineRule="auto"/>
        <w:rPr>
          <w:sz w:val="20"/>
          <w:szCs w:val="20"/>
          <w:color w:val="auto"/>
        </w:rPr>
      </w:pPr>
      <w:r>
        <w:rPr>
          <w:rFonts w:ascii="Arial" w:cs="Arial" w:eastAsia="Arial" w:hAnsi="Arial"/>
          <w:sz w:val="18"/>
          <w:szCs w:val="18"/>
          <w:color w:val="auto"/>
        </w:rPr>
        <w:t xml:space="preserve">authorize the payment of dividend equivalents on such Restricted Stock Units on a deferred and contingent basis, either in cash or in additional shares of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dividend equivalents or other distributions on shares of Common Stock underlying Restricted Stock Units will be deferred until, and paid contingent upon, the vesting of such Restricted Stock Units.</w:t>
      </w:r>
    </w:p>
    <w:p>
      <w:pPr>
        <w:spacing w:after="0" w:line="184" w:lineRule="exact"/>
        <w:rPr>
          <w:sz w:val="20"/>
          <w:szCs w:val="20"/>
          <w:color w:val="auto"/>
        </w:rPr>
      </w:pPr>
    </w:p>
    <w:p>
      <w:pPr>
        <w:jc w:val="both"/>
        <w:ind w:firstLine="1735"/>
        <w:spacing w:after="0" w:line="260" w:lineRule="auto"/>
        <w:tabs>
          <w:tab w:leader="none" w:pos="25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Each grant or sale of Restricted Stock Units will specify the time and manner of payment of the Restricted Stock Units that have been earned. Each grant or sale will specify that the amount payable with respect thereto will be paid by the Company in shares of Common Stock or cash, or a combination thereof.</w:t>
      </w:r>
    </w:p>
    <w:p>
      <w:pPr>
        <w:spacing w:after="0" w:line="184" w:lineRule="exact"/>
        <w:rPr>
          <w:rFonts w:ascii="Arial" w:cs="Arial" w:eastAsia="Arial" w:hAnsi="Arial"/>
          <w:sz w:val="18"/>
          <w:szCs w:val="18"/>
          <w:color w:val="auto"/>
        </w:rPr>
      </w:pPr>
    </w:p>
    <w:p>
      <w:pPr>
        <w:ind w:firstLine="1735"/>
        <w:spacing w:after="0" w:line="271" w:lineRule="auto"/>
        <w:tabs>
          <w:tab w:leader="none" w:pos="25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Each grant or sale of Restricted Stock Units will be evidenced by an Evidence of Award. Each Evidence of Award will be subject to this Plan and will contain such terms and provisions, consistent with this Plan, as the Committee may approve.</w:t>
      </w:r>
    </w:p>
    <w:p>
      <w:pPr>
        <w:spacing w:after="0" w:line="171" w:lineRule="exact"/>
        <w:rPr>
          <w:rFonts w:ascii="Arial" w:cs="Arial" w:eastAsia="Arial" w:hAnsi="Arial"/>
          <w:sz w:val="18"/>
          <w:szCs w:val="18"/>
          <w:color w:val="auto"/>
        </w:rPr>
      </w:pPr>
    </w:p>
    <w:p>
      <w:pPr>
        <w:jc w:val="both"/>
        <w:ind w:firstLine="871"/>
        <w:spacing w:after="0" w:line="284" w:lineRule="auto"/>
        <w:tabs>
          <w:tab w:leader="none" w:pos="164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Cash Incentive Awards, Performance Shares and Performance Units. </w:t>
      </w:r>
      <w:r>
        <w:rPr>
          <w:rFonts w:ascii="Arial" w:cs="Arial" w:eastAsia="Arial" w:hAnsi="Arial"/>
          <w:sz w:val="17"/>
          <w:szCs w:val="17"/>
          <w:color w:val="auto"/>
        </w:rPr>
        <w:t>The Committee may, from time to time and upon such</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as it may determine, authorize the granting of Cash Incentive Awards, Performance Shares and Performance Units. Each such grant may utilize any or all of the authorizations, and will be subject to all of the requirements, contained in the following provisions:</w:t>
      </w:r>
    </w:p>
    <w:p>
      <w:pPr>
        <w:spacing w:after="0" w:line="166" w:lineRule="exact"/>
        <w:rPr>
          <w:rFonts w:ascii="Arial" w:cs="Arial" w:eastAsia="Arial" w:hAnsi="Arial"/>
          <w:sz w:val="17"/>
          <w:szCs w:val="17"/>
          <w:color w:val="auto"/>
        </w:rPr>
      </w:pPr>
    </w:p>
    <w:p>
      <w:pPr>
        <w:jc w:val="both"/>
        <w:ind w:firstLine="1735"/>
        <w:spacing w:after="0" w:line="260" w:lineRule="auto"/>
        <w:tabs>
          <w:tab w:leader="none" w:pos="25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grant will specify the number or amount of Performance Shares or Performance Units, or amount payable with respect to a Cash Incentive Award, to which it pertains, which number or amount may be subject to adjustment to reflect changes in compensation or other factors.</w:t>
      </w:r>
    </w:p>
    <w:p>
      <w:pPr>
        <w:spacing w:after="0" w:line="184" w:lineRule="exact"/>
        <w:rPr>
          <w:rFonts w:ascii="Arial" w:cs="Arial" w:eastAsia="Arial" w:hAnsi="Arial"/>
          <w:sz w:val="18"/>
          <w:szCs w:val="18"/>
          <w:color w:val="auto"/>
        </w:rPr>
      </w:pPr>
    </w:p>
    <w:p>
      <w:pPr>
        <w:jc w:val="both"/>
        <w:ind w:firstLine="1735"/>
        <w:spacing w:after="0" w:line="256" w:lineRule="auto"/>
        <w:tabs>
          <w:tab w:leader="none" w:pos="25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Performance Period with respect to each Cash Incentive Award or grant of Performance Shares or Performance Units will be such period of time as will be determined by the Committee, and the Evidence of Award will specify the time and terms of delivery, which may be subject to continued vesting or earlier lapse or other modification, including in the event of the retirement, death, disability or termination of employment or service of a Participant or in the event of a Change in Control.</w:t>
      </w:r>
    </w:p>
    <w:p>
      <w:pPr>
        <w:spacing w:after="0" w:line="188" w:lineRule="exact"/>
        <w:rPr>
          <w:rFonts w:ascii="Arial" w:cs="Arial" w:eastAsia="Arial" w:hAnsi="Arial"/>
          <w:sz w:val="18"/>
          <w:szCs w:val="18"/>
          <w:color w:val="auto"/>
        </w:rPr>
      </w:pPr>
    </w:p>
    <w:p>
      <w:pPr>
        <w:ind w:left="2580" w:hanging="845"/>
        <w:spacing w:after="0"/>
        <w:tabs>
          <w:tab w:leader="none" w:pos="25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Each grant of a Cash Incentive Award, Performance Shares or Performance Units will specify Management Objectives</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regarding the earning of the award.</w:t>
      </w:r>
    </w:p>
    <w:p>
      <w:pPr>
        <w:spacing w:after="0" w:line="208" w:lineRule="exact"/>
        <w:rPr>
          <w:rFonts w:ascii="Arial" w:cs="Arial" w:eastAsia="Arial" w:hAnsi="Arial"/>
          <w:sz w:val="16"/>
          <w:szCs w:val="16"/>
          <w:color w:val="auto"/>
        </w:rPr>
      </w:pPr>
    </w:p>
    <w:p>
      <w:pPr>
        <w:ind w:left="2580" w:hanging="845"/>
        <w:spacing w:after="0"/>
        <w:tabs>
          <w:tab w:leader="none" w:pos="25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Each grant will specify the time and manner of payment of a Cash Incentive Award, Performance Shares or Performance</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Units that have been earned.</w:t>
      </w:r>
    </w:p>
    <w:p>
      <w:pPr>
        <w:spacing w:after="0" w:line="208" w:lineRule="exact"/>
        <w:rPr>
          <w:rFonts w:ascii="Arial" w:cs="Arial" w:eastAsia="Arial" w:hAnsi="Arial"/>
          <w:sz w:val="16"/>
          <w:szCs w:val="16"/>
          <w:color w:val="auto"/>
        </w:rPr>
      </w:pPr>
    </w:p>
    <w:p>
      <w:pPr>
        <w:jc w:val="both"/>
        <w:ind w:firstLine="1735"/>
        <w:spacing w:after="0" w:line="256" w:lineRule="auto"/>
        <w:tabs>
          <w:tab w:leader="none" w:pos="25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Committee may, on the Date of Grant of Performance Shares or Performance Units, provide for the payment of dividend equivalents to the holder thereof either in cash or in additional shares of Common Stock, which dividend equivalents will be subject to deferral and payment on a contingent basis based on the Participant’s earning and vesting of the Performance Shares or Performance Units, as applicable, with respect to which such dividend equivalents are paid.</w:t>
      </w:r>
    </w:p>
    <w:p>
      <w:pPr>
        <w:spacing w:after="0" w:line="188" w:lineRule="exact"/>
        <w:rPr>
          <w:rFonts w:ascii="Arial" w:cs="Arial" w:eastAsia="Arial" w:hAnsi="Arial"/>
          <w:sz w:val="18"/>
          <w:szCs w:val="18"/>
          <w:color w:val="auto"/>
        </w:rPr>
      </w:pPr>
    </w:p>
    <w:p>
      <w:pPr>
        <w:jc w:val="both"/>
        <w:ind w:firstLine="1735"/>
        <w:spacing w:after="0" w:line="260" w:lineRule="auto"/>
        <w:tabs>
          <w:tab w:leader="none" w:pos="25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grant of a Cash Incentive Award, Performance Shares or Performance Units will be evidenced by an Evidence of Award. Each Evidence of Award will be subject to this Plan and will contain such terms and provisions, consistent with this Plan, as the Committee may approve.</w:t>
      </w:r>
    </w:p>
    <w:p>
      <w:pPr>
        <w:spacing w:after="0" w:line="180" w:lineRule="exact"/>
        <w:rPr>
          <w:rFonts w:ascii="Arial" w:cs="Arial" w:eastAsia="Arial" w:hAnsi="Arial"/>
          <w:sz w:val="18"/>
          <w:szCs w:val="18"/>
          <w:color w:val="auto"/>
        </w:rPr>
      </w:pPr>
    </w:p>
    <w:p>
      <w:pPr>
        <w:ind w:left="1640" w:hanging="769"/>
        <w:spacing w:after="0"/>
        <w:tabs>
          <w:tab w:leader="none" w:pos="16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Other Awards.</w:t>
      </w:r>
    </w:p>
    <w:p>
      <w:pPr>
        <w:spacing w:after="0" w:line="221" w:lineRule="exact"/>
        <w:rPr>
          <w:rFonts w:ascii="Arial" w:cs="Arial" w:eastAsia="Arial" w:hAnsi="Arial"/>
          <w:sz w:val="18"/>
          <w:szCs w:val="18"/>
          <w:color w:val="auto"/>
        </w:rPr>
      </w:pPr>
    </w:p>
    <w:p>
      <w:pPr>
        <w:jc w:val="both"/>
        <w:ind w:firstLine="1735"/>
        <w:spacing w:after="0" w:line="289" w:lineRule="auto"/>
        <w:tabs>
          <w:tab w:leader="none" w:pos="2568"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Subject to applicable law and the applicable limits set forth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 the Committee may authorize the grant to any Participant of shares of Common Stock or such other awards that may be denominated or payable in, valued in whole or in part by reference to, or otherwise based on, or related to, shares of Common Stock or factors that may influence the value of such shares,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 units of the Company. The Committee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17613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both"/>
        <w:spacing w:after="0" w:line="260" w:lineRule="auto"/>
        <w:rPr>
          <w:sz w:val="20"/>
          <w:szCs w:val="20"/>
          <w:color w:val="auto"/>
        </w:rPr>
      </w:pPr>
      <w:r>
        <w:rPr>
          <w:rFonts w:ascii="Arial" w:cs="Arial" w:eastAsia="Arial" w:hAnsi="Arial"/>
          <w:sz w:val="18"/>
          <w:szCs w:val="18"/>
          <w:color w:val="auto"/>
        </w:rPr>
        <w:t xml:space="preserve">determine the terms and conditions of such awards. Shares of Common Stock delivered pursuant to an award in the nature of a purchase right granted under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will be purchased for such consideration, paid for at such time, by such methods, and in such forms, including, without limitation, shares of Common Stock, other awards, notes or other property, as the Committee determines.</w:t>
      </w:r>
    </w:p>
    <w:p>
      <w:pPr>
        <w:spacing w:after="0" w:line="184" w:lineRule="exact"/>
        <w:rPr>
          <w:sz w:val="20"/>
          <w:szCs w:val="20"/>
          <w:color w:val="auto"/>
        </w:rPr>
      </w:pPr>
    </w:p>
    <w:p>
      <w:pPr>
        <w:ind w:left="2580" w:hanging="845"/>
        <w:spacing w:after="0"/>
        <w:tabs>
          <w:tab w:leader="none" w:pos="2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Cash awards, as an element of or supplement to any other award granted under this Plan, may also be granted pursuant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w:t>
      </w:r>
    </w:p>
    <w:p>
      <w:pPr>
        <w:spacing w:after="0" w:line="209" w:lineRule="exact"/>
        <w:rPr>
          <w:sz w:val="20"/>
          <w:szCs w:val="20"/>
          <w:color w:val="auto"/>
        </w:rPr>
      </w:pPr>
    </w:p>
    <w:p>
      <w:pPr>
        <w:jc w:val="both"/>
        <w:ind w:firstLine="1735"/>
        <w:spacing w:after="0" w:line="307" w:lineRule="auto"/>
        <w:tabs>
          <w:tab w:leader="none" w:pos="2568" w:val="left"/>
        </w:tabs>
        <w:numPr>
          <w:ilvl w:val="2"/>
          <w:numId w:val="24"/>
        </w:numPr>
        <w:rPr>
          <w:rFonts w:ascii="Arial" w:cs="Arial" w:eastAsia="Arial" w:hAnsi="Arial"/>
          <w:sz w:val="16"/>
          <w:szCs w:val="16"/>
          <w:color w:val="auto"/>
        </w:rPr>
      </w:pPr>
      <w:r>
        <w:rPr>
          <w:rFonts w:ascii="Arial" w:cs="Arial" w:eastAsia="Arial" w:hAnsi="Arial"/>
          <w:sz w:val="16"/>
          <w:szCs w:val="16"/>
          <w:color w:val="auto"/>
        </w:rPr>
        <w:t>The Committee may authorize the grant of shares of Common Stock as a bonus, or may authorize the grant of other awards in lieu of obligations of the Company or a Subsidiary to pay cash or deliver other property under this Plan or under other plans or compensatory arrangements, subject to such terms as will be determined by the Committee in a manner that complies with Section 409A of the Code.</w:t>
      </w:r>
    </w:p>
    <w:p>
      <w:pPr>
        <w:spacing w:after="0" w:line="150" w:lineRule="exact"/>
        <w:rPr>
          <w:rFonts w:ascii="Arial" w:cs="Arial" w:eastAsia="Arial" w:hAnsi="Arial"/>
          <w:sz w:val="16"/>
          <w:szCs w:val="16"/>
          <w:color w:val="auto"/>
        </w:rPr>
      </w:pPr>
    </w:p>
    <w:p>
      <w:pPr>
        <w:jc w:val="both"/>
        <w:ind w:firstLine="1735"/>
        <w:spacing w:after="0" w:line="256" w:lineRule="auto"/>
        <w:tabs>
          <w:tab w:leader="none" w:pos="2578" w:val="left"/>
        </w:tabs>
        <w:numPr>
          <w:ilvl w:val="2"/>
          <w:numId w:val="24"/>
        </w:numPr>
        <w:rPr>
          <w:rFonts w:ascii="Arial" w:cs="Arial" w:eastAsia="Arial" w:hAnsi="Arial"/>
          <w:sz w:val="18"/>
          <w:szCs w:val="18"/>
          <w:color w:val="auto"/>
        </w:rPr>
      </w:pPr>
      <w:r>
        <w:rPr>
          <w:rFonts w:ascii="Arial" w:cs="Arial" w:eastAsia="Arial" w:hAnsi="Arial"/>
          <w:sz w:val="18"/>
          <w:szCs w:val="18"/>
          <w:color w:val="auto"/>
        </w:rPr>
        <w:t xml:space="preserve">The Committee may, at or after the Date of Grant, authorize the payment of dividends or dividend equivalents on awards granted under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on a deferred and contingent basis, either in cash or in additional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dividend equivalents or other distributions on Common Stock underlying awards granted under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will be deferred until, and paid contingent upon, the earning and vesting of such awards.</w:t>
      </w:r>
    </w:p>
    <w:p>
      <w:pPr>
        <w:spacing w:after="0" w:line="184" w:lineRule="exact"/>
        <w:rPr>
          <w:rFonts w:ascii="Arial" w:cs="Arial" w:eastAsia="Arial" w:hAnsi="Arial"/>
          <w:sz w:val="18"/>
          <w:szCs w:val="18"/>
          <w:color w:val="auto"/>
        </w:rPr>
      </w:pPr>
    </w:p>
    <w:p>
      <w:pPr>
        <w:jc w:val="both"/>
        <w:ind w:firstLine="1735"/>
        <w:spacing w:after="0" w:line="262" w:lineRule="auto"/>
        <w:tabs>
          <w:tab w:leader="none" w:pos="2568" w:val="left"/>
        </w:tabs>
        <w:numPr>
          <w:ilvl w:val="2"/>
          <w:numId w:val="24"/>
        </w:numPr>
        <w:rPr>
          <w:rFonts w:ascii="Arial" w:cs="Arial" w:eastAsia="Arial" w:hAnsi="Arial"/>
          <w:sz w:val="18"/>
          <w:szCs w:val="18"/>
          <w:color w:val="auto"/>
        </w:rPr>
      </w:pPr>
      <w:r>
        <w:rPr>
          <w:rFonts w:ascii="Arial" w:cs="Arial" w:eastAsia="Arial" w:hAnsi="Arial"/>
          <w:sz w:val="18"/>
          <w:szCs w:val="18"/>
          <w:color w:val="auto"/>
        </w:rPr>
        <w:t xml:space="preserve">Each grant of an award under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will be evidenced by an Evidence of Award. Each such Evidence of Award will be subject to this Plan and will contain such terms and provisions, consistent with this Plan, as the Committee may approve, and will specify the time and terms of delivery of the applicable award.</w:t>
      </w:r>
    </w:p>
    <w:p>
      <w:pPr>
        <w:spacing w:after="0" w:line="179" w:lineRule="exact"/>
        <w:rPr>
          <w:rFonts w:ascii="Arial" w:cs="Arial" w:eastAsia="Arial" w:hAnsi="Arial"/>
          <w:sz w:val="18"/>
          <w:szCs w:val="18"/>
          <w:color w:val="auto"/>
        </w:rPr>
      </w:pPr>
    </w:p>
    <w:p>
      <w:pPr>
        <w:jc w:val="both"/>
        <w:ind w:firstLine="1735"/>
        <w:spacing w:after="0" w:line="262" w:lineRule="auto"/>
        <w:tabs>
          <w:tab w:leader="none" w:pos="2549" w:val="left"/>
        </w:tabs>
        <w:numPr>
          <w:ilvl w:val="2"/>
          <w:numId w:val="24"/>
        </w:numPr>
        <w:rPr>
          <w:rFonts w:ascii="Arial" w:cs="Arial" w:eastAsia="Arial" w:hAnsi="Arial"/>
          <w:sz w:val="18"/>
          <w:szCs w:val="18"/>
          <w:color w:val="auto"/>
        </w:rPr>
      </w:pPr>
      <w:r>
        <w:rPr>
          <w:rFonts w:ascii="Arial" w:cs="Arial" w:eastAsia="Arial" w:hAnsi="Arial"/>
          <w:sz w:val="18"/>
          <w:szCs w:val="18"/>
          <w:color w:val="auto"/>
        </w:rPr>
        <w:t xml:space="preserve">Awards under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may provide for the earning or vesting of, or earlier termination of restrictions applicable to, such award, including in the event of the retirement, death, disability or termination of employment or service of a Participant or in the event of a Change in Control.</w:t>
      </w:r>
    </w:p>
    <w:p>
      <w:pPr>
        <w:spacing w:after="0" w:line="179" w:lineRule="exact"/>
        <w:rPr>
          <w:rFonts w:ascii="Arial" w:cs="Arial" w:eastAsia="Arial" w:hAnsi="Arial"/>
          <w:sz w:val="18"/>
          <w:szCs w:val="18"/>
          <w:color w:val="auto"/>
        </w:rPr>
      </w:pPr>
    </w:p>
    <w:p>
      <w:pPr>
        <w:ind w:left="1740" w:hanging="869"/>
        <w:spacing w:after="0"/>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Administration of this Plan.</w:t>
      </w:r>
    </w:p>
    <w:p>
      <w:pPr>
        <w:spacing w:after="0" w:line="225" w:lineRule="exact"/>
        <w:rPr>
          <w:rFonts w:ascii="Arial" w:cs="Arial" w:eastAsia="Arial" w:hAnsi="Arial"/>
          <w:sz w:val="18"/>
          <w:szCs w:val="18"/>
          <w:color w:val="auto"/>
        </w:rPr>
      </w:pPr>
    </w:p>
    <w:p>
      <w:pPr>
        <w:jc w:val="both"/>
        <w:ind w:firstLine="1735"/>
        <w:spacing w:after="0" w:line="256" w:lineRule="auto"/>
        <w:tabs>
          <w:tab w:leader="none" w:pos="2568" w:val="left"/>
        </w:tabs>
        <w:numPr>
          <w:ilvl w:val="2"/>
          <w:numId w:val="25"/>
        </w:numPr>
        <w:rPr>
          <w:rFonts w:ascii="Arial" w:cs="Arial" w:eastAsia="Arial" w:hAnsi="Arial"/>
          <w:sz w:val="18"/>
          <w:szCs w:val="18"/>
          <w:color w:val="auto"/>
        </w:rPr>
      </w:pPr>
      <w:r>
        <w:rPr>
          <w:rFonts w:ascii="Arial" w:cs="Arial" w:eastAsia="Arial" w:hAnsi="Arial"/>
          <w:sz w:val="18"/>
          <w:szCs w:val="18"/>
          <w:color w:val="auto"/>
        </w:rPr>
        <w:t xml:space="preserve">This Plan will be administered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in this Plan to the contrary, the Board may grant awards under this Plan to non-employee Directors and administer this Plan with respect to such awards.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188" w:lineRule="exact"/>
        <w:rPr>
          <w:rFonts w:ascii="Arial" w:cs="Arial" w:eastAsia="Arial" w:hAnsi="Arial"/>
          <w:sz w:val="18"/>
          <w:szCs w:val="18"/>
          <w:color w:val="auto"/>
        </w:rPr>
      </w:pPr>
    </w:p>
    <w:p>
      <w:pPr>
        <w:jc w:val="both"/>
        <w:ind w:firstLine="1735"/>
        <w:spacing w:after="0" w:line="293" w:lineRule="auto"/>
        <w:tabs>
          <w:tab w:leader="none" w:pos="2578" w:val="left"/>
        </w:tabs>
        <w:numPr>
          <w:ilvl w:val="2"/>
          <w:numId w:val="25"/>
        </w:numPr>
        <w:rPr>
          <w:rFonts w:ascii="Arial" w:cs="Arial" w:eastAsia="Arial" w:hAnsi="Arial"/>
          <w:sz w:val="16"/>
          <w:szCs w:val="16"/>
          <w:color w:val="auto"/>
        </w:rPr>
      </w:pPr>
      <w:r>
        <w:rPr>
          <w:rFonts w:ascii="Arial" w:cs="Arial" w:eastAsia="Arial" w:hAnsi="Arial"/>
          <w:sz w:val="16"/>
          <w:szCs w:val="16"/>
          <w:color w:val="auto"/>
        </w:rPr>
        <w:t>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162" w:lineRule="exact"/>
        <w:rPr>
          <w:rFonts w:ascii="Arial" w:cs="Arial" w:eastAsia="Arial" w:hAnsi="Arial"/>
          <w:sz w:val="16"/>
          <w:szCs w:val="16"/>
          <w:color w:val="auto"/>
        </w:rPr>
      </w:pPr>
    </w:p>
    <w:p>
      <w:pPr>
        <w:jc w:val="both"/>
        <w:ind w:firstLine="1735"/>
        <w:spacing w:after="0" w:line="282" w:lineRule="auto"/>
        <w:tabs>
          <w:tab w:leader="none" w:pos="2568" w:val="left"/>
        </w:tabs>
        <w:numPr>
          <w:ilvl w:val="2"/>
          <w:numId w:val="25"/>
        </w:numPr>
        <w:rPr>
          <w:rFonts w:ascii="Arial" w:cs="Arial" w:eastAsia="Arial" w:hAnsi="Arial"/>
          <w:sz w:val="16"/>
          <w:szCs w:val="16"/>
          <w:color w:val="auto"/>
        </w:rPr>
      </w:pPr>
      <w:r>
        <w:rPr>
          <w:rFonts w:ascii="Arial" w:cs="Arial" w:eastAsia="Arial" w:hAnsi="Arial"/>
          <w:sz w:val="16"/>
          <w:szCs w:val="16"/>
          <w:color w:val="auto"/>
        </w:rPr>
        <w:t>To the extent permitted by law, the Committee may delegate to one or more of its members,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may, by resolution, authorize one or more officers of the Company to do one or both of the following on the same basis as the Committee: (i) designate employees to be recipients of awards under this Plan; and</w:t>
      </w:r>
    </w:p>
    <w:p>
      <w:pPr>
        <w:spacing w:after="0" w:line="3" w:lineRule="exact"/>
        <w:rPr>
          <w:rFonts w:ascii="Arial" w:cs="Arial" w:eastAsia="Arial" w:hAnsi="Arial"/>
          <w:sz w:val="16"/>
          <w:szCs w:val="16"/>
          <w:color w:val="auto"/>
        </w:rPr>
      </w:pPr>
    </w:p>
    <w:p>
      <w:pPr>
        <w:jc w:val="both"/>
        <w:ind w:firstLine="7"/>
        <w:spacing w:after="0" w:line="292" w:lineRule="auto"/>
        <w:tabs>
          <w:tab w:leader="none" w:pos="269"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determine the size of any such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Committee will not delegate such responsibilities to any such officer for awards granted to an employee who is an officer (for purposes of Section 16 of the Exchange Act), Director, or more than 10% “beneficial owner” (as such term is defined in Rule 13d-3 promulgated under the Exchange Act) of any class of the Company’s equity securities that is registered pursuant to Section 12 of the Exchange Act, as determined by the Committee in accordance with Section 16 of the Exchange Act; (B) the resolution providing for such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761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line="271" w:lineRule="auto"/>
        <w:rPr>
          <w:sz w:val="20"/>
          <w:szCs w:val="20"/>
          <w:color w:val="auto"/>
        </w:rPr>
      </w:pPr>
      <w:r>
        <w:rPr>
          <w:rFonts w:ascii="Arial" w:cs="Arial" w:eastAsia="Arial" w:hAnsi="Arial"/>
          <w:sz w:val="18"/>
          <w:szCs w:val="18"/>
          <w:color w:val="auto"/>
        </w:rPr>
        <w:t>shall set forth the total number of shares of Common Stock such officer(s) may grant; and (C) the officer(s) will report periodically to the Committee regarding the nature and scope of the awards granted pursuant to the authority delegated.</w:t>
      </w:r>
    </w:p>
    <w:p>
      <w:pPr>
        <w:spacing w:after="0" w:line="171" w:lineRule="exact"/>
        <w:rPr>
          <w:sz w:val="20"/>
          <w:szCs w:val="20"/>
          <w:color w:val="auto"/>
        </w:rPr>
      </w:pPr>
    </w:p>
    <w:p>
      <w:pPr>
        <w:jc w:val="both"/>
        <w:ind w:firstLine="871"/>
        <w:spacing w:after="0" w:line="283" w:lineRule="auto"/>
        <w:tabs>
          <w:tab w:leader="none" w:pos="1723" w:val="left"/>
        </w:tabs>
        <w:numPr>
          <w:ilvl w:val="1"/>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Adjustments. </w:t>
      </w:r>
      <w:r>
        <w:rPr>
          <w:rFonts w:ascii="Arial" w:cs="Arial" w:eastAsia="Arial" w:hAnsi="Arial"/>
          <w:sz w:val="16"/>
          <w:szCs w:val="16"/>
          <w:color w:val="auto"/>
        </w:rPr>
        <w:t>The Committee shall make or provide for such adjustments in the number of and kind of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by outstanding Option Rights, Appreciation Rights, Restricted Stock, Restricted Stock Units, Performance Shares and Performance Units granted hereunder and, if applicable, in the number of and kind of shares of Common Stock covered by other awards granted pursuant to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in the Option Price and Base Price provided in outstanding Option Rights and Appreciation Rights, respectively, in Cash Incentive Awards, and in other award terms, as the Committee, in its sole discretion, exercised in good faith, determines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 any such transaction or event or Change in Control, the Committee may in its discretion elect to cancel such Option Right or Appreciation Right without any payment to the Person holding such Option Right or Appreciation Right. The Committee shall also make or provide for such adjustments in the number of shares of Common Stock specified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 as the Committee in its sole discretion, exercised in good faith, determines is appropriate to reflect any transaction or event described in this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adjustment to the number specified in </w:t>
      </w:r>
      <w:r>
        <w:rPr>
          <w:rFonts w:ascii="Arial" w:cs="Arial" w:eastAsia="Arial" w:hAnsi="Arial"/>
          <w:sz w:val="16"/>
          <w:szCs w:val="16"/>
          <w:b w:val="1"/>
          <w:bCs w:val="1"/>
          <w:u w:val="single" w:color="auto"/>
          <w:color w:val="auto"/>
        </w:rPr>
        <w:t>Section 3(c)</w:t>
      </w:r>
      <w:r>
        <w:rPr>
          <w:rFonts w:ascii="Arial" w:cs="Arial" w:eastAsia="Arial" w:hAnsi="Arial"/>
          <w:sz w:val="16"/>
          <w:szCs w:val="16"/>
          <w:color w:val="auto"/>
        </w:rPr>
        <w:t xml:space="preserve"> of this Plan will be made only if and to the extent that such adjustment would not cause any Option Right intended to qualify as an Incentive Stock Option to fail to so qualify.</w:t>
      </w:r>
    </w:p>
    <w:p>
      <w:pPr>
        <w:spacing w:after="0" w:line="382" w:lineRule="exact"/>
        <w:rPr>
          <w:rFonts w:ascii="Arial" w:cs="Arial" w:eastAsia="Arial" w:hAnsi="Arial"/>
          <w:sz w:val="16"/>
          <w:szCs w:val="16"/>
          <w:color w:val="auto"/>
        </w:rPr>
      </w:pPr>
    </w:p>
    <w:p>
      <w:pPr>
        <w:ind w:firstLine="871"/>
        <w:spacing w:after="0" w:line="340" w:lineRule="auto"/>
        <w:tabs>
          <w:tab w:leader="none" w:pos="1729" w:val="left"/>
        </w:tabs>
        <w:numPr>
          <w:ilvl w:val="1"/>
          <w:numId w:val="27"/>
        </w:numPr>
        <w:rPr>
          <w:rFonts w:ascii="Arial" w:cs="Arial" w:eastAsia="Arial" w:hAnsi="Arial"/>
          <w:sz w:val="16"/>
          <w:szCs w:val="16"/>
          <w:color w:val="auto"/>
        </w:rPr>
      </w:pPr>
      <w:r>
        <w:rPr>
          <w:rFonts w:ascii="Arial" w:cs="Arial" w:eastAsia="Arial" w:hAnsi="Arial"/>
          <w:sz w:val="16"/>
          <w:szCs w:val="16"/>
          <w:b w:val="1"/>
          <w:bCs w:val="1"/>
          <w:color w:val="auto"/>
        </w:rPr>
        <w:t>Change in Control</w:t>
      </w:r>
      <w:r>
        <w:rPr>
          <w:rFonts w:ascii="Arial" w:cs="Arial" w:eastAsia="Arial" w:hAnsi="Arial"/>
          <w:sz w:val="16"/>
          <w:szCs w:val="16"/>
          <w:color w:val="auto"/>
        </w:rPr>
        <w:t>. For purposes of this Plan, except as may be otherwise prescribed by the Committee in an Evidence of Award</w:t>
      </w:r>
      <w:r>
        <w:rPr>
          <w:rFonts w:ascii="Arial" w:cs="Arial" w:eastAsia="Arial" w:hAnsi="Arial"/>
          <w:sz w:val="16"/>
          <w:szCs w:val="16"/>
          <w:b w:val="1"/>
          <w:bCs w:val="1"/>
          <w:color w:val="auto"/>
        </w:rPr>
        <w:t xml:space="preserve"> </w:t>
      </w:r>
      <w:r>
        <w:rPr>
          <w:rFonts w:ascii="Arial" w:cs="Arial" w:eastAsia="Arial" w:hAnsi="Arial"/>
          <w:sz w:val="16"/>
          <w:szCs w:val="16"/>
          <w:color w:val="auto"/>
        </w:rPr>
        <w:t>made under this Plan, a “Change in Control” will be deemed to have occurred upon the occurrence (after the Effective Date) of any of the following events:</w:t>
      </w:r>
    </w:p>
    <w:p>
      <w:pPr>
        <w:spacing w:after="0" w:line="125" w:lineRule="exact"/>
        <w:rPr>
          <w:rFonts w:ascii="Arial" w:cs="Arial" w:eastAsia="Arial" w:hAnsi="Arial"/>
          <w:sz w:val="16"/>
          <w:szCs w:val="16"/>
          <w:color w:val="auto"/>
        </w:rPr>
      </w:pPr>
    </w:p>
    <w:p>
      <w:pPr>
        <w:jc w:val="both"/>
        <w:ind w:firstLine="1735"/>
        <w:spacing w:after="0" w:line="282" w:lineRule="auto"/>
        <w:tabs>
          <w:tab w:leader="none" w:pos="2568" w:val="left"/>
        </w:tabs>
        <w:numPr>
          <w:ilvl w:val="2"/>
          <w:numId w:val="27"/>
        </w:numPr>
        <w:rPr>
          <w:rFonts w:ascii="Arial" w:cs="Arial" w:eastAsia="Arial" w:hAnsi="Arial"/>
          <w:sz w:val="16"/>
          <w:szCs w:val="16"/>
          <w:color w:val="auto"/>
        </w:rPr>
      </w:pPr>
      <w:r>
        <w:rPr>
          <w:rFonts w:ascii="Arial" w:cs="Arial" w:eastAsia="Arial" w:hAnsi="Arial"/>
          <w:sz w:val="16"/>
          <w:szCs w:val="16"/>
          <w:color w:val="auto"/>
        </w:rPr>
        <w:t xml:space="preserve">any Person becomes the beneficial owner (within the meaning of Rule 13d-3 promulgated under the Exchange Act) of 50% or more of either (i) the then-outstanding Common Stock (the “Outstanding Company Common Stock”) or (ii) the combined voting power of the then-outstanding voting securities of the Company entitled to vote generally in the election of Directors (the “Outstanding Company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purposes of this definition, the following acquisitions shall not constitute a Change in Control: (A) any acquisition directly from the Company, (B) any acquisition by the Company, (C) any acquisition by any employee benefit plan (or related trust) sponsored or maintained by the Company or any corporation controlled by the Company, or (D) any acquisition pursuant to a transaction that complies with </w:t>
      </w:r>
      <w:r>
        <w:rPr>
          <w:rFonts w:ascii="Arial" w:cs="Arial" w:eastAsia="Arial" w:hAnsi="Arial"/>
          <w:sz w:val="16"/>
          <w:szCs w:val="16"/>
          <w:b w:val="1"/>
          <w:bCs w:val="1"/>
          <w:u w:val="single" w:color="auto"/>
          <w:color w:val="auto"/>
        </w:rPr>
        <w:t>Sections 12(c)(i)</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(c)(ii)</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(c)</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28"/>
        </w:numPr>
        <w:rPr>
          <w:rFonts w:ascii="Arial" w:cs="Arial" w:eastAsia="Arial" w:hAnsi="Arial"/>
          <w:sz w:val="18"/>
          <w:szCs w:val="18"/>
          <w:b w:val="1"/>
          <w:bCs w:val="1"/>
          <w:u w:val="single" w:color="auto"/>
          <w:color w:val="auto"/>
        </w:rPr>
      </w:pPr>
      <w:r>
        <w:rPr>
          <w:rFonts w:ascii="Arial" w:cs="Arial" w:eastAsia="Arial" w:hAnsi="Arial"/>
          <w:sz w:val="18"/>
          <w:szCs w:val="18"/>
          <w:color w:val="auto"/>
        </w:rPr>
        <w:t>below;</w:t>
      </w:r>
    </w:p>
    <w:p>
      <w:pPr>
        <w:spacing w:after="0" w:line="208" w:lineRule="exact"/>
        <w:rPr>
          <w:rFonts w:ascii="Arial" w:cs="Arial" w:eastAsia="Arial" w:hAnsi="Arial"/>
          <w:sz w:val="18"/>
          <w:szCs w:val="18"/>
          <w:b w:val="1"/>
          <w:bCs w:val="1"/>
          <w:u w:val="single" w:color="auto"/>
          <w:color w:val="auto"/>
        </w:rPr>
      </w:pPr>
    </w:p>
    <w:p>
      <w:pPr>
        <w:jc w:val="both"/>
        <w:ind w:firstLine="1735"/>
        <w:spacing w:after="0" w:line="269" w:lineRule="auto"/>
        <w:tabs>
          <w:tab w:leader="none" w:pos="2578" w:val="left"/>
        </w:tabs>
        <w:numPr>
          <w:ilvl w:val="2"/>
          <w:numId w:val="28"/>
        </w:numPr>
        <w:rPr>
          <w:rFonts w:ascii="Arial" w:cs="Arial" w:eastAsia="Arial" w:hAnsi="Arial"/>
          <w:sz w:val="17"/>
          <w:szCs w:val="17"/>
          <w:color w:val="auto"/>
        </w:rPr>
      </w:pPr>
      <w:r>
        <w:rPr>
          <w:rFonts w:ascii="Arial" w:cs="Arial" w:eastAsia="Arial" w:hAnsi="Arial"/>
          <w:sz w:val="17"/>
          <w:szCs w:val="17"/>
          <w:color w:val="auto"/>
        </w:rPr>
        <w:t xml:space="preserve">individuals who, as of the Effective Date, constitute the Board (the “Incumbent Board”) cease for any reason to constitute at least a majority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individual becoming a Director subsequent to the Effective Date whose election, or nomination for election by the Stockholders, was approved by a vote of at least three-fourths (3/4) of the Directors then comprising the Incumbent Board (either by specific vote or by approval of the proxy statement of the Company in which such individual is named as a nominee for Director, without objection to such nomination)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80" w:lineRule="exact"/>
        <w:rPr>
          <w:rFonts w:ascii="Arial" w:cs="Arial" w:eastAsia="Arial" w:hAnsi="Arial"/>
          <w:sz w:val="17"/>
          <w:szCs w:val="17"/>
          <w:color w:val="auto"/>
        </w:rPr>
      </w:pPr>
    </w:p>
    <w:p>
      <w:pPr>
        <w:jc w:val="both"/>
        <w:ind w:firstLine="1735"/>
        <w:spacing w:after="0" w:line="275" w:lineRule="auto"/>
        <w:tabs>
          <w:tab w:leader="none" w:pos="2568" w:val="left"/>
        </w:tabs>
        <w:numPr>
          <w:ilvl w:val="2"/>
          <w:numId w:val="28"/>
        </w:numPr>
        <w:rPr>
          <w:rFonts w:ascii="Arial" w:cs="Arial" w:eastAsia="Arial" w:hAnsi="Arial"/>
          <w:sz w:val="17"/>
          <w:szCs w:val="17"/>
          <w:color w:val="auto"/>
        </w:rPr>
      </w:pPr>
      <w:r>
        <w:rPr>
          <w:rFonts w:ascii="Arial" w:cs="Arial" w:eastAsia="Arial" w:hAnsi="Arial"/>
          <w:sz w:val="17"/>
          <w:szCs w:val="17"/>
          <w:color w:val="auto"/>
        </w:rPr>
        <w:t>consummation of a reorganization, merger, statutory share exchange or consolidation or similar transaction involving the Company or any of its Subsidiaries, a sale or other disposition of all or substantially all of the assets of the Company, or the acquisition of assets or securities of another entity by the Company or any of its Subsidiaries (each, a “Business Combination”), in each case unless, following such Business Combination, (i) all or substantially all of the individuals and entities that were the beneficial owners of the Outstanding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107950</wp:posOffset>
            </wp:positionV>
            <wp:extent cx="717613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both"/>
        <w:spacing w:after="0" w:line="266" w:lineRule="auto"/>
        <w:rPr>
          <w:sz w:val="20"/>
          <w:szCs w:val="20"/>
          <w:color w:val="auto"/>
        </w:rPr>
      </w:pPr>
      <w:r>
        <w:rPr>
          <w:rFonts w:ascii="Arial" w:cs="Arial" w:eastAsia="Arial" w:hAnsi="Arial"/>
          <w:sz w:val="17"/>
          <w:szCs w:val="17"/>
          <w:color w:val="auto"/>
        </w:rPr>
        <w:t>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(ii) no Person (excluding any entity resulting from such Business Combination or any employee benefit plan (or related trust) of the Company or such entity resulting from such Business Combination) beneficially owns, directly or indirectly, 50% or more of, 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prior to the Business Combination, and (iii) 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w:t>
      </w:r>
    </w:p>
    <w:p>
      <w:pPr>
        <w:spacing w:after="0" w:line="183" w:lineRule="exact"/>
        <w:rPr>
          <w:sz w:val="20"/>
          <w:szCs w:val="20"/>
          <w:color w:val="auto"/>
        </w:rPr>
      </w:pPr>
    </w:p>
    <w:p>
      <w:pPr>
        <w:ind w:left="2580" w:hanging="845"/>
        <w:spacing w:after="0"/>
        <w:tabs>
          <w:tab w:leader="none" w:pos="25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Company.</w:t>
      </w:r>
    </w:p>
    <w:p>
      <w:pPr>
        <w:spacing w:after="0" w:line="217" w:lineRule="exact"/>
        <w:rPr>
          <w:rFonts w:ascii="Arial" w:cs="Arial" w:eastAsia="Arial" w:hAnsi="Arial"/>
          <w:sz w:val="18"/>
          <w:szCs w:val="18"/>
          <w:color w:val="auto"/>
        </w:rPr>
      </w:pPr>
    </w:p>
    <w:p>
      <w:pPr>
        <w:jc w:val="both"/>
        <w:ind w:firstLine="871"/>
        <w:spacing w:after="0" w:line="267" w:lineRule="auto"/>
        <w:tabs>
          <w:tab w:leader="none" w:pos="1729"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Detrimental Activity and Recapture Provisions</w:t>
      </w:r>
      <w:r>
        <w:rPr>
          <w:rFonts w:ascii="Arial" w:cs="Arial" w:eastAsia="Arial" w:hAnsi="Arial"/>
          <w:sz w:val="17"/>
          <w:szCs w:val="17"/>
          <w:color w:val="auto"/>
        </w:rPr>
        <w:t>. Any Evidence of Award may reference a clawback policy of the Company or</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for the cancellation or forfeiture of an award or the forfeiture and repayment to the Company of any gain related to an award, or other provisions intended to have a similar effect, upon such terms and conditions as may be determined by the Committee from time to time, if a Participant, either (a) during employment or other service with the Company or a Subsidiary, or (b) within a specified period after termination of such employment or service, engages in any detrimental activity, as described in the applicable Evidence of Award or such clawback policy. In addition, notwithstanding anything in this Plan to the contrary, any Evidence of Award or such clawback policy may also provide for the cancellation or forfeiture of an award or the forfeiture and repayment to the Company of any shares of Common Stock issued under and/or any other benefit related to an award, or other provisions intended to have a similar effect, including upon such terms and conditions as may be required by the Committee or under Section 10D of the Exchange Act and any applicable rules or regulations promulgated by the Securities and Exchange Commission or any national securities exchange or national securities association on which the shares of Common Stock may be traded.</w:t>
      </w:r>
    </w:p>
    <w:p>
      <w:pPr>
        <w:spacing w:after="0" w:line="181" w:lineRule="exact"/>
        <w:rPr>
          <w:rFonts w:ascii="Arial" w:cs="Arial" w:eastAsia="Arial" w:hAnsi="Arial"/>
          <w:sz w:val="17"/>
          <w:szCs w:val="17"/>
          <w:color w:val="auto"/>
        </w:rPr>
      </w:pPr>
    </w:p>
    <w:p>
      <w:pPr>
        <w:jc w:val="both"/>
        <w:ind w:firstLine="871"/>
        <w:spacing w:after="0" w:line="287" w:lineRule="auto"/>
        <w:tabs>
          <w:tab w:leader="none" w:pos="1729"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Non-U.S. Participants. </w:t>
      </w:r>
      <w:r>
        <w:rPr>
          <w:rFonts w:ascii="Arial" w:cs="Arial" w:eastAsia="Arial" w:hAnsi="Arial"/>
          <w:sz w:val="16"/>
          <w:szCs w:val="16"/>
          <w:color w:val="auto"/>
        </w:rPr>
        <w:t>In order to facilitate the making of any grant or combination of grants under this Plan, the Committee may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for such 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(to be considered part of this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162" w:lineRule="exact"/>
        <w:rPr>
          <w:rFonts w:ascii="Arial" w:cs="Arial" w:eastAsia="Arial" w:hAnsi="Arial"/>
          <w:sz w:val="16"/>
          <w:szCs w:val="16"/>
          <w:color w:val="auto"/>
        </w:rPr>
      </w:pPr>
    </w:p>
    <w:p>
      <w:pPr>
        <w:ind w:left="1740" w:hanging="869"/>
        <w:spacing w:after="0"/>
        <w:tabs>
          <w:tab w:leader="none" w:pos="174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Transferability.</w:t>
      </w:r>
    </w:p>
    <w:p>
      <w:pPr>
        <w:spacing w:after="0" w:line="221" w:lineRule="exact"/>
        <w:rPr>
          <w:rFonts w:ascii="Arial" w:cs="Arial" w:eastAsia="Arial" w:hAnsi="Arial"/>
          <w:sz w:val="18"/>
          <w:szCs w:val="18"/>
          <w:color w:val="auto"/>
        </w:rPr>
      </w:pPr>
    </w:p>
    <w:p>
      <w:pPr>
        <w:jc w:val="both"/>
        <w:ind w:firstLine="1735"/>
        <w:spacing w:after="0" w:line="253" w:lineRule="auto"/>
        <w:tabs>
          <w:tab w:leader="none" w:pos="2568"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Except as otherwise determined by the Committee, and subject to compliance with </w:t>
      </w:r>
      <w:r>
        <w:rPr>
          <w:rFonts w:ascii="Arial" w:cs="Arial" w:eastAsia="Arial" w:hAnsi="Arial"/>
          <w:sz w:val="18"/>
          <w:szCs w:val="18"/>
          <w:b w:val="1"/>
          <w:bCs w:val="1"/>
          <w:u w:val="single" w:color="auto"/>
          <w:color w:val="auto"/>
        </w:rPr>
        <w:t>Section 17(b)</w:t>
      </w:r>
      <w:r>
        <w:rPr>
          <w:rFonts w:ascii="Arial" w:cs="Arial" w:eastAsia="Arial" w:hAnsi="Arial"/>
          <w:sz w:val="18"/>
          <w:szCs w:val="18"/>
          <w:color w:val="auto"/>
        </w:rPr>
        <w:t xml:space="preserve"> of this Plan and Section 409A of the Code, no Option Right, Appreciation Right, Restricted Stock, Restricted Stock Unit, Performance Share, Performance Unit, Cash Incentive Award, award contemplated by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or dividend equivalents paid with respect to awards made under this Plan will be transferable by the Participant except by will or the laws of descent and distribution. In no event will any such award granted under this Plan be transferred for value. Where transfer is permitted, references to “Participant” shall be construed, as the Committee deems appropriate, to include any permitted transferee to whom such award is transferred. Except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120015</wp:posOffset>
            </wp:positionV>
            <wp:extent cx="71761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both"/>
        <w:spacing w:after="0" w:line="260" w:lineRule="auto"/>
        <w:rPr>
          <w:sz w:val="20"/>
          <w:szCs w:val="20"/>
          <w:color w:val="auto"/>
        </w:rPr>
      </w:pPr>
      <w:r>
        <w:rPr>
          <w:rFonts w:ascii="Arial" w:cs="Arial" w:eastAsia="Arial" w:hAnsi="Arial"/>
          <w:sz w:val="18"/>
          <w:szCs w:val="18"/>
          <w:color w:val="auto"/>
        </w:rPr>
        <w:t>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184" w:lineRule="exact"/>
        <w:rPr>
          <w:sz w:val="20"/>
          <w:szCs w:val="20"/>
          <w:color w:val="auto"/>
        </w:rPr>
      </w:pPr>
    </w:p>
    <w:p>
      <w:pPr>
        <w:jc w:val="both"/>
        <w:ind w:firstLine="1735"/>
        <w:spacing w:after="0" w:line="254" w:lineRule="auto"/>
        <w:tabs>
          <w:tab w:leader="none" w:pos="25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The Committee may specify on the Date of Grant that part or all of the shares of Common Stock that are (i) to be issued or transferred by the Company upon the exercise of Option Rights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Arial" w:cs="Arial" w:eastAsia="Arial" w:hAnsi="Arial"/>
          <w:sz w:val="18"/>
          <w:szCs w:val="18"/>
          <w:b w:val="1"/>
          <w:bCs w:val="1"/>
          <w:u w:val="single" w:color="auto"/>
          <w:color w:val="auto"/>
        </w:rPr>
        <w:t>Section 6</w:t>
      </w:r>
      <w:r>
        <w:rPr>
          <w:rFonts w:ascii="Arial" w:cs="Arial" w:eastAsia="Arial" w:hAnsi="Arial"/>
          <w:sz w:val="18"/>
          <w:szCs w:val="18"/>
          <w:color w:val="auto"/>
        </w:rPr>
        <w:t xml:space="preserve"> of this Plan, will be subject to further restrictions on transfer, including minimum holding periods.</w:t>
      </w:r>
    </w:p>
    <w:p>
      <w:pPr>
        <w:spacing w:after="0" w:line="186" w:lineRule="exact"/>
        <w:rPr>
          <w:rFonts w:ascii="Arial" w:cs="Arial" w:eastAsia="Arial" w:hAnsi="Arial"/>
          <w:sz w:val="18"/>
          <w:szCs w:val="18"/>
          <w:color w:val="auto"/>
        </w:rPr>
      </w:pPr>
    </w:p>
    <w:p>
      <w:pPr>
        <w:jc w:val="both"/>
        <w:ind w:firstLine="871"/>
        <w:spacing w:after="0" w:line="283" w:lineRule="auto"/>
        <w:tabs>
          <w:tab w:leader="none" w:pos="1729"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To the extent that the Company is required to withhold federal, state, local or foreign taxes or other amounts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 shares of Common Stock, and such Participant fails to make arrangements for the payment of taxes or other amounts, then, unless otherwise determined by the Committee, the Company will withhold shares of Common Stock having a value equal to the amount required to be withheld. Notwithstanding the foregoing, when a Participant is required to pay the Company an amount required to be withheld under applicable income, employment, tax or other laws, the Committee may require the Participant to satisfy the obligation, in whole or in part, by having withheld, from the shares of Common Stock delivered or required to be delivered to the Participant, shares of Common Stock having a value equal to the amount required to be withheld or by delivering to the Company other shares of Common Stock held by such Participant. The shares of Common Stock used for tax or other withholding will be valued at an amount equal to the fair market value of such shares of Common Stock on the date the benefit is to be included in Participant’s income. In no event will the fair market value of the shares of Common Stock to be withheld and delivered pursuant to this </w:t>
      </w:r>
      <w:r>
        <w:rPr>
          <w:rFonts w:ascii="Arial" w:cs="Arial" w:eastAsia="Arial" w:hAnsi="Arial"/>
          <w:sz w:val="16"/>
          <w:szCs w:val="16"/>
          <w:b w:val="1"/>
          <w:bCs w:val="1"/>
          <w:u w:val="single" w:color="auto"/>
          <w:color w:val="auto"/>
        </w:rPr>
        <w:t>Section 16</w:t>
      </w:r>
      <w:r>
        <w:rPr>
          <w:rFonts w:ascii="Arial" w:cs="Arial" w:eastAsia="Arial" w:hAnsi="Arial"/>
          <w:sz w:val="16"/>
          <w:szCs w:val="16"/>
          <w:color w:val="auto"/>
        </w:rPr>
        <w:t xml:space="preserve"> exceed the minimum amount required to be withheld, unless (a) an additional amount can be withheld and not result in adverse accounting consequences, and (b) such additional withholding amount is authorized by the Committee. Participants will also make such arrangements as the Company may require for the payment of any withholding tax or other obligation that may arise in connection with the disposition of shares of Common Stock acquired upon the exercise of Option Rights.</w:t>
      </w:r>
    </w:p>
    <w:p>
      <w:pPr>
        <w:spacing w:after="0" w:line="170" w:lineRule="exact"/>
        <w:rPr>
          <w:rFonts w:ascii="Arial" w:cs="Arial" w:eastAsia="Arial" w:hAnsi="Arial"/>
          <w:sz w:val="16"/>
          <w:szCs w:val="16"/>
          <w:color w:val="auto"/>
        </w:rPr>
      </w:pPr>
    </w:p>
    <w:p>
      <w:pPr>
        <w:ind w:left="1740" w:hanging="869"/>
        <w:spacing w:after="0"/>
        <w:tabs>
          <w:tab w:leader="none" w:pos="174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Compliance with Section 409A of the Code.</w:t>
      </w:r>
    </w:p>
    <w:p>
      <w:pPr>
        <w:spacing w:after="0" w:line="225" w:lineRule="exact"/>
        <w:rPr>
          <w:rFonts w:ascii="Arial" w:cs="Arial" w:eastAsia="Arial" w:hAnsi="Arial"/>
          <w:sz w:val="18"/>
          <w:szCs w:val="18"/>
          <w:color w:val="auto"/>
        </w:rPr>
      </w:pPr>
    </w:p>
    <w:p>
      <w:pPr>
        <w:jc w:val="both"/>
        <w:ind w:firstLine="1735"/>
        <w:spacing w:after="0" w:line="254" w:lineRule="auto"/>
        <w:tabs>
          <w:tab w:leader="none" w:pos="25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the extent applicable, it is intended that this Plan and any grants made hereunder comply with the provisions of Section 409A of the Code, so that the income inclusion provisions of Section 409A(a)(1) of the Code do not apply to the Participants. This Plan and any grants made hereunder will be administered in a manner consistent with this intent. Any reference in this Plan to Section 409A of the Code will also include any regulations or any other formal guidance promulgated with respect to such section by the U.S. Department of the Treasury or the Internal Revenue Service.</w:t>
      </w:r>
    </w:p>
    <w:p>
      <w:pPr>
        <w:spacing w:after="0" w:line="190" w:lineRule="exact"/>
        <w:rPr>
          <w:rFonts w:ascii="Arial" w:cs="Arial" w:eastAsia="Arial" w:hAnsi="Arial"/>
          <w:sz w:val="18"/>
          <w:szCs w:val="18"/>
          <w:color w:val="auto"/>
        </w:rPr>
      </w:pPr>
    </w:p>
    <w:p>
      <w:pPr>
        <w:jc w:val="both"/>
        <w:ind w:firstLine="1735"/>
        <w:spacing w:after="0" w:line="272" w:lineRule="auto"/>
        <w:tabs>
          <w:tab w:leader="none" w:pos="2578" w:val="left"/>
        </w:tabs>
        <w:numPr>
          <w:ilvl w:val="1"/>
          <w:numId w:val="32"/>
        </w:numPr>
        <w:rPr>
          <w:rFonts w:ascii="Arial" w:cs="Arial" w:eastAsia="Arial" w:hAnsi="Arial"/>
          <w:sz w:val="17"/>
          <w:szCs w:val="17"/>
          <w:color w:val="auto"/>
        </w:rPr>
      </w:pPr>
      <w:r>
        <w:rPr>
          <w:rFonts w:ascii="Arial" w:cs="Arial" w:eastAsia="Arial" w:hAnsi="Arial"/>
          <w:sz w:val="17"/>
          <w:szCs w:val="17"/>
          <w:color w:val="auto"/>
        </w:rPr>
        <w:t>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w:t>
      </w:r>
    </w:p>
    <w:p>
      <w:pPr>
        <w:spacing w:after="0" w:line="177" w:lineRule="exact"/>
        <w:rPr>
          <w:rFonts w:ascii="Arial" w:cs="Arial" w:eastAsia="Arial" w:hAnsi="Arial"/>
          <w:sz w:val="17"/>
          <w:szCs w:val="17"/>
          <w:color w:val="auto"/>
        </w:rPr>
      </w:pPr>
    </w:p>
    <w:p>
      <w:pPr>
        <w:jc w:val="both"/>
        <w:ind w:firstLine="1735"/>
        <w:spacing w:after="0" w:line="272" w:lineRule="auto"/>
        <w:tabs>
          <w:tab w:leader="none" w:pos="2568" w:val="left"/>
        </w:tabs>
        <w:numPr>
          <w:ilvl w:val="1"/>
          <w:numId w:val="32"/>
        </w:numPr>
        <w:rPr>
          <w:rFonts w:ascii="Arial" w:cs="Arial" w:eastAsia="Arial" w:hAnsi="Arial"/>
          <w:sz w:val="17"/>
          <w:szCs w:val="17"/>
          <w:color w:val="auto"/>
        </w:rPr>
      </w:pPr>
      <w:r>
        <w:rPr>
          <w:rFonts w:ascii="Arial" w:cs="Arial" w:eastAsia="Arial" w:hAnsi="Arial"/>
          <w:sz w:val="17"/>
          <w:szCs w:val="17"/>
          <w:color w:val="auto"/>
        </w:rPr>
        <w:t>If, at the time of a Participant’s separation from service (within the meaning of Section 409A of the Code), (i) 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109220</wp:posOffset>
            </wp:positionV>
            <wp:extent cx="717613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ind w:right="20"/>
        <w:spacing w:after="0" w:line="271" w:lineRule="auto"/>
        <w:rPr>
          <w:sz w:val="20"/>
          <w:szCs w:val="20"/>
          <w:color w:val="auto"/>
        </w:rPr>
      </w:pPr>
      <w:r>
        <w:rPr>
          <w:rFonts w:ascii="Arial" w:cs="Arial" w:eastAsia="Arial" w:hAnsi="Arial"/>
          <w:sz w:val="18"/>
          <w:szCs w:val="18"/>
          <w:color w:val="auto"/>
        </w:rPr>
        <w:t>the Company will not pay such amount on the otherwise scheduled payment date but will instead pay it, without interest, on the fifth business day of the seventh month after such separation from service.</w:t>
      </w:r>
    </w:p>
    <w:p>
      <w:pPr>
        <w:spacing w:after="0" w:line="175" w:lineRule="exact"/>
        <w:rPr>
          <w:sz w:val="20"/>
          <w:szCs w:val="20"/>
          <w:color w:val="auto"/>
        </w:rPr>
      </w:pPr>
    </w:p>
    <w:p>
      <w:pPr>
        <w:jc w:val="both"/>
        <w:ind w:firstLine="1735"/>
        <w:spacing w:after="0" w:line="253" w:lineRule="auto"/>
        <w:tabs>
          <w:tab w:leader="none" w:pos="2578" w:val="left"/>
        </w:tabs>
        <w:numPr>
          <w:ilvl w:val="1"/>
          <w:numId w:val="33"/>
        </w:numPr>
        <w:rPr>
          <w:rFonts w:ascii="Arial" w:cs="Arial" w:eastAsia="Arial" w:hAnsi="Arial"/>
          <w:sz w:val="18"/>
          <w:szCs w:val="18"/>
          <w:color w:val="auto"/>
        </w:rPr>
      </w:pPr>
      <w:r>
        <w:rPr>
          <w:rFonts w:ascii="Arial" w:cs="Arial" w:eastAsia="Arial" w:hAnsi="Arial"/>
          <w:sz w:val="18"/>
          <w:szCs w:val="18"/>
          <w:color w:val="auto"/>
        </w:rPr>
        <w:t>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w:t>
      </w:r>
    </w:p>
    <w:p>
      <w:pPr>
        <w:spacing w:after="0" w:line="190" w:lineRule="exact"/>
        <w:rPr>
          <w:rFonts w:ascii="Arial" w:cs="Arial" w:eastAsia="Arial" w:hAnsi="Arial"/>
          <w:sz w:val="18"/>
          <w:szCs w:val="18"/>
          <w:color w:val="auto"/>
        </w:rPr>
      </w:pPr>
    </w:p>
    <w:p>
      <w:pPr>
        <w:jc w:val="both"/>
        <w:ind w:firstLine="1735"/>
        <w:spacing w:after="0" w:line="290" w:lineRule="auto"/>
        <w:tabs>
          <w:tab w:leader="none" w:pos="2568" w:val="left"/>
        </w:tabs>
        <w:numPr>
          <w:ilvl w:val="1"/>
          <w:numId w:val="33"/>
        </w:numPr>
        <w:rPr>
          <w:rFonts w:ascii="Arial" w:cs="Arial" w:eastAsia="Arial" w:hAnsi="Arial"/>
          <w:sz w:val="16"/>
          <w:szCs w:val="16"/>
          <w:color w:val="auto"/>
        </w:rPr>
      </w:pPr>
      <w:r>
        <w:rPr>
          <w:rFonts w:ascii="Arial" w:cs="Arial" w:eastAsia="Arial" w:hAnsi="Arial"/>
          <w:sz w:val="16"/>
          <w:szCs w:val="16"/>
          <w:color w:val="auto"/>
        </w:rPr>
        <w:t>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161" w:lineRule="exact"/>
        <w:rPr>
          <w:rFonts w:ascii="Arial" w:cs="Arial" w:eastAsia="Arial" w:hAnsi="Arial"/>
          <w:sz w:val="16"/>
          <w:szCs w:val="16"/>
          <w:color w:val="auto"/>
        </w:rPr>
      </w:pPr>
    </w:p>
    <w:p>
      <w:pPr>
        <w:ind w:left="1740" w:hanging="869"/>
        <w:spacing w:after="0"/>
        <w:tabs>
          <w:tab w:leader="none" w:pos="17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Amendments.</w:t>
      </w:r>
    </w:p>
    <w:p>
      <w:pPr>
        <w:spacing w:after="0" w:line="225" w:lineRule="exact"/>
        <w:rPr>
          <w:rFonts w:ascii="Arial" w:cs="Arial" w:eastAsia="Arial" w:hAnsi="Arial"/>
          <w:sz w:val="18"/>
          <w:szCs w:val="18"/>
          <w:color w:val="auto"/>
        </w:rPr>
      </w:pPr>
    </w:p>
    <w:p>
      <w:pPr>
        <w:jc w:val="both"/>
        <w:ind w:firstLine="1735"/>
        <w:spacing w:after="0" w:line="269" w:lineRule="auto"/>
        <w:tabs>
          <w:tab w:leader="none" w:pos="2568"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The Board may at any time and from time to time amend this Plan in whole or in part;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an amendment to this Plan, for purposes of applicable stock exchange rules and except as permitted under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of this Plan, (i) would materially increase the benefits accruing to Participants under this Plan, (ii) would materially increase the number of securities which may be issued under this Plan, (iii) would materially modify the requirements for participation in this Plan, or (iv) must otherwise be approved by the Stockholders in order to comply with applicable law or the rules of the NASDAQ Stock Market or, if the shares of Common Stock are not traded on the NASDAQ Stock Market, the principal national securities exchange upon which the shares of Common Stock are traded or quoted, all as determined by the Board, then, such amendment will be subject to Stockholder approval and will not be effective unless and until such approval has been obtained.</w:t>
      </w:r>
    </w:p>
    <w:p>
      <w:pPr>
        <w:spacing w:after="0" w:line="176" w:lineRule="exact"/>
        <w:rPr>
          <w:rFonts w:ascii="Arial" w:cs="Arial" w:eastAsia="Arial" w:hAnsi="Arial"/>
          <w:sz w:val="17"/>
          <w:szCs w:val="17"/>
          <w:color w:val="auto"/>
        </w:rPr>
      </w:pPr>
    </w:p>
    <w:p>
      <w:pPr>
        <w:jc w:val="both"/>
        <w:ind w:firstLine="1735"/>
        <w:spacing w:after="0" w:line="269" w:lineRule="auto"/>
        <w:tabs>
          <w:tab w:leader="none" w:pos="2578"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Except in connection with a corporate transaction or event described in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of this Plan or in connection with a Change in Control, the terms of outstanding awards may not be amended to reduce the Option Price of outstanding Option Rights or the Base Price of outstanding Appreciation Rights, or cancel outstanding “underwater” Option Rights or Appreciation Rights (including following a Participant’s voluntary surrender of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Stockholder approval. This </w:t>
      </w:r>
      <w:r>
        <w:rPr>
          <w:rFonts w:ascii="Arial" w:cs="Arial" w:eastAsia="Arial" w:hAnsi="Arial"/>
          <w:sz w:val="17"/>
          <w:szCs w:val="17"/>
          <w:b w:val="1"/>
          <w:bCs w:val="1"/>
          <w:u w:val="single" w:color="auto"/>
          <w:color w:val="auto"/>
        </w:rPr>
        <w:t>Section 18(b)</w:t>
      </w:r>
      <w:r>
        <w:rPr>
          <w:rFonts w:ascii="Arial" w:cs="Arial" w:eastAsia="Arial" w:hAnsi="Arial"/>
          <w:sz w:val="17"/>
          <w:szCs w:val="17"/>
          <w:color w:val="auto"/>
        </w:rPr>
        <w:t xml:space="preserve"> is intended to prohibit the repricing of “underwater” Option Rights and Appreciation Rights and will not be construed to prohibit the adjustments provided for in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of this Plan. Notwithstanding any provision of this Plan to the contrary, this </w:t>
      </w:r>
      <w:r>
        <w:rPr>
          <w:rFonts w:ascii="Arial" w:cs="Arial" w:eastAsia="Arial" w:hAnsi="Arial"/>
          <w:sz w:val="17"/>
          <w:szCs w:val="17"/>
          <w:b w:val="1"/>
          <w:bCs w:val="1"/>
          <w:u w:val="single" w:color="auto"/>
          <w:color w:val="auto"/>
        </w:rPr>
        <w:t>Section 18(b)</w:t>
      </w:r>
      <w:r>
        <w:rPr>
          <w:rFonts w:ascii="Arial" w:cs="Arial" w:eastAsia="Arial" w:hAnsi="Arial"/>
          <w:sz w:val="17"/>
          <w:szCs w:val="17"/>
          <w:b w:val="1"/>
          <w:bCs w:val="1"/>
          <w:color w:val="auto"/>
        </w:rPr>
        <w:t xml:space="preserve"> </w:t>
      </w:r>
      <w:r>
        <w:rPr>
          <w:rFonts w:ascii="Arial" w:cs="Arial" w:eastAsia="Arial" w:hAnsi="Arial"/>
          <w:sz w:val="17"/>
          <w:szCs w:val="17"/>
          <w:color w:val="auto"/>
        </w:rPr>
        <w:t>may not be amended without approval by the Stockholders.</w:t>
      </w:r>
    </w:p>
    <w:p>
      <w:pPr>
        <w:spacing w:after="0" w:line="175" w:lineRule="exact"/>
        <w:rPr>
          <w:rFonts w:ascii="Arial" w:cs="Arial" w:eastAsia="Arial" w:hAnsi="Arial"/>
          <w:sz w:val="17"/>
          <w:szCs w:val="17"/>
          <w:color w:val="auto"/>
        </w:rPr>
      </w:pPr>
    </w:p>
    <w:p>
      <w:pPr>
        <w:jc w:val="both"/>
        <w:ind w:firstLine="1735"/>
        <w:spacing w:after="0" w:line="251" w:lineRule="auto"/>
        <w:tabs>
          <w:tab w:leader="none" w:pos="25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If permitted by Section 409A of the Code, but subject to </w:t>
      </w:r>
      <w:r>
        <w:rPr>
          <w:rFonts w:ascii="Arial" w:cs="Arial" w:eastAsia="Arial" w:hAnsi="Arial"/>
          <w:sz w:val="18"/>
          <w:szCs w:val="18"/>
          <w:b w:val="1"/>
          <w:bCs w:val="1"/>
          <w:u w:val="single" w:color="auto"/>
          <w:color w:val="auto"/>
        </w:rPr>
        <w:t>Section 18(d)</w:t>
      </w:r>
      <w:r>
        <w:rPr>
          <w:rFonts w:ascii="Arial" w:cs="Arial" w:eastAsia="Arial" w:hAnsi="Arial"/>
          <w:sz w:val="18"/>
          <w:szCs w:val="18"/>
          <w:color w:val="auto"/>
        </w:rPr>
        <w:t xml:space="preserve">, including in the case of termination of employment or service, or in the case of unforeseeable emergency or other circumstances or in the event of a Change in Control, to the extent a Participant holds an Option Right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dividend equivalents or other awards made pursuant to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subject to any vesting schedule or transfer restriction, or who holds shares of Common Stock subject to any transfer restriction imposed pursuant to </w:t>
      </w:r>
      <w:r>
        <w:rPr>
          <w:rFonts w:ascii="Arial" w:cs="Arial" w:eastAsia="Arial" w:hAnsi="Arial"/>
          <w:sz w:val="18"/>
          <w:szCs w:val="18"/>
          <w:b w:val="1"/>
          <w:bCs w:val="1"/>
          <w:u w:val="single" w:color="auto"/>
          <w:color w:val="auto"/>
        </w:rPr>
        <w:t>Section 15(b)</w:t>
      </w:r>
      <w:r>
        <w:rPr>
          <w:rFonts w:ascii="Arial" w:cs="Arial" w:eastAsia="Arial" w:hAnsi="Arial"/>
          <w:sz w:val="18"/>
          <w:szCs w:val="18"/>
          <w:color w:val="auto"/>
        </w:rPr>
        <w:t xml:space="preserve"> of this Plan, the Committee may, in its sole discretion, provide for continued vesting or accelerate the time at which such Option Right,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120650</wp:posOffset>
            </wp:positionV>
            <wp:extent cx="717613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line="271" w:lineRule="auto"/>
        <w:rPr>
          <w:sz w:val="20"/>
          <w:szCs w:val="20"/>
          <w:color w:val="auto"/>
        </w:rPr>
      </w:pPr>
      <w:r>
        <w:rPr>
          <w:rFonts w:ascii="Arial" w:cs="Arial" w:eastAsia="Arial" w:hAnsi="Arial"/>
          <w:sz w:val="18"/>
          <w:szCs w:val="18"/>
          <w:color w:val="auto"/>
        </w:rPr>
        <w:t>Units will be deemed to have been earned or the time when such transfer restriction will terminate or may waive any other limitation or requirement under any such award.</w:t>
      </w:r>
    </w:p>
    <w:p>
      <w:pPr>
        <w:spacing w:after="0" w:line="171" w:lineRule="exact"/>
        <w:rPr>
          <w:sz w:val="20"/>
          <w:szCs w:val="20"/>
          <w:color w:val="auto"/>
        </w:rPr>
      </w:pPr>
    </w:p>
    <w:p>
      <w:pPr>
        <w:jc w:val="both"/>
        <w:ind w:firstLine="1735"/>
        <w:spacing w:after="0" w:line="277" w:lineRule="auto"/>
        <w:tabs>
          <w:tab w:leader="none" w:pos="2578"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b w:val="1"/>
          <w:bCs w:val="1"/>
          <w:u w:val="single" w:color="auto"/>
          <w:color w:val="auto"/>
        </w:rPr>
        <w:t>Section 18(b)</w:t>
      </w:r>
      <w:r>
        <w:rPr>
          <w:rFonts w:ascii="Arial" w:cs="Arial" w:eastAsia="Arial" w:hAnsi="Arial"/>
          <w:sz w:val="17"/>
          <w:szCs w:val="17"/>
          <w:color w:val="auto"/>
        </w:rPr>
        <w:t xml:space="preserve"> of this Plan, the Committee may amend the terms of any award theretofore granted under this Plan prospectively or retroactively. Except for adjustments made pursuant to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of this Plan, no such amendment will materially impair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168" w:lineRule="exact"/>
        <w:rPr>
          <w:rFonts w:ascii="Arial" w:cs="Arial" w:eastAsia="Arial" w:hAnsi="Arial"/>
          <w:sz w:val="17"/>
          <w:szCs w:val="17"/>
          <w:color w:val="auto"/>
        </w:rPr>
      </w:pPr>
    </w:p>
    <w:p>
      <w:pPr>
        <w:ind w:firstLine="871"/>
        <w:spacing w:after="0" w:line="276" w:lineRule="auto"/>
        <w:tabs>
          <w:tab w:leader="none" w:pos="1729"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Plan and all grants and awards and actions taken hereunder will be governed by and construed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internal substantive laws of the State of Delaware.</w:t>
      </w:r>
    </w:p>
    <w:p>
      <w:pPr>
        <w:spacing w:after="0" w:line="166" w:lineRule="exact"/>
        <w:rPr>
          <w:rFonts w:ascii="Arial" w:cs="Arial" w:eastAsia="Arial" w:hAnsi="Arial"/>
          <w:sz w:val="18"/>
          <w:szCs w:val="18"/>
          <w:color w:val="auto"/>
        </w:rPr>
      </w:pPr>
    </w:p>
    <w:p>
      <w:pPr>
        <w:jc w:val="both"/>
        <w:ind w:firstLine="871"/>
        <w:spacing w:after="0" w:line="253" w:lineRule="auto"/>
        <w:tabs>
          <w:tab w:leader="none" w:pos="1729"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Date/Termination. </w:t>
      </w:r>
      <w:r>
        <w:rPr>
          <w:rFonts w:ascii="Arial" w:cs="Arial" w:eastAsia="Arial" w:hAnsi="Arial"/>
          <w:sz w:val="18"/>
          <w:szCs w:val="18"/>
          <w:color w:val="auto"/>
        </w:rPr>
        <w:t>This Plan will be effective as of the Effective Date. No grants will be made on or after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under the Predecessor Plans, provided that outstanding awards granted under the Predecessor Plans will continue following the Effective Date. No grant will be made under this Plan on or after the tenth anniversary of the Effective Date, but all grants made prior to such date will continue in effect thereafter subject to the terms thereof and of this Plan. For clarification purposes, the terms and conditions of this Plan shall not apply to or otherwise impact previously granted and outstanding awards under the Predecessor Plans, as applicable (except for purposes of providing for shares of Common Stock under such awards to be added to the aggregate number of shares of Common Stock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of this Plan pursuant to the share counting rules of this Plan).</w:t>
      </w:r>
    </w:p>
    <w:p>
      <w:pPr>
        <w:spacing w:after="0" w:line="186" w:lineRule="exact"/>
        <w:rPr>
          <w:rFonts w:ascii="Arial" w:cs="Arial" w:eastAsia="Arial" w:hAnsi="Arial"/>
          <w:sz w:val="18"/>
          <w:szCs w:val="18"/>
          <w:color w:val="auto"/>
        </w:rPr>
      </w:pPr>
    </w:p>
    <w:p>
      <w:pPr>
        <w:ind w:left="1740" w:hanging="869"/>
        <w:spacing w:after="0"/>
        <w:tabs>
          <w:tab w:leader="none" w:pos="174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p>
    <w:p>
      <w:pPr>
        <w:spacing w:after="0" w:line="225" w:lineRule="exact"/>
        <w:rPr>
          <w:rFonts w:ascii="Arial" w:cs="Arial" w:eastAsia="Arial" w:hAnsi="Arial"/>
          <w:sz w:val="18"/>
          <w:szCs w:val="18"/>
          <w:color w:val="auto"/>
        </w:rPr>
      </w:pPr>
    </w:p>
    <w:p>
      <w:pPr>
        <w:ind w:right="20" w:firstLine="1735"/>
        <w:spacing w:after="0" w:line="271" w:lineRule="auto"/>
        <w:tabs>
          <w:tab w:leader="none" w:pos="25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will not be required to issue any fractional shares of Common Stock pursuant to this Plan. The Committee may provide for the elimination of fractions or for the settlement of fractions in cash.</w:t>
      </w:r>
    </w:p>
    <w:p>
      <w:pPr>
        <w:spacing w:after="0" w:line="175" w:lineRule="exact"/>
        <w:rPr>
          <w:rFonts w:ascii="Arial" w:cs="Arial" w:eastAsia="Arial" w:hAnsi="Arial"/>
          <w:sz w:val="18"/>
          <w:szCs w:val="18"/>
          <w:color w:val="auto"/>
        </w:rPr>
      </w:pPr>
    </w:p>
    <w:p>
      <w:pPr>
        <w:jc w:val="both"/>
        <w:ind w:firstLine="1735"/>
        <w:spacing w:after="0" w:line="260" w:lineRule="auto"/>
        <w:tabs>
          <w:tab w:leader="none" w:pos="25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w:t>
      </w:r>
    </w:p>
    <w:p>
      <w:pPr>
        <w:spacing w:after="0" w:line="180" w:lineRule="exact"/>
        <w:rPr>
          <w:rFonts w:ascii="Arial" w:cs="Arial" w:eastAsia="Arial" w:hAnsi="Arial"/>
          <w:sz w:val="18"/>
          <w:szCs w:val="18"/>
          <w:color w:val="auto"/>
        </w:rPr>
      </w:pPr>
    </w:p>
    <w:p>
      <w:pPr>
        <w:jc w:val="both"/>
        <w:ind w:firstLine="1735"/>
        <w:spacing w:after="0" w:line="284" w:lineRule="auto"/>
        <w:tabs>
          <w:tab w:leader="none" w:pos="2568"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Except with respect to </w:t>
      </w:r>
      <w:r>
        <w:rPr>
          <w:rFonts w:ascii="Arial" w:cs="Arial" w:eastAsia="Arial" w:hAnsi="Arial"/>
          <w:sz w:val="17"/>
          <w:szCs w:val="17"/>
          <w:b w:val="1"/>
          <w:bCs w:val="1"/>
          <w:u w:val="single" w:color="auto"/>
          <w:color w:val="auto"/>
        </w:rPr>
        <w:t>Section 21(e)</w:t>
      </w:r>
      <w:r>
        <w:rPr>
          <w:rFonts w:ascii="Arial" w:cs="Arial" w:eastAsia="Arial" w:hAnsi="Arial"/>
          <w:sz w:val="17"/>
          <w:szCs w:val="17"/>
          <w:color w:val="auto"/>
        </w:rPr>
        <w:t xml:space="preserve"> of this Plan, to the extent that any provision of this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this Plan.</w:t>
      </w:r>
    </w:p>
    <w:p>
      <w:pPr>
        <w:spacing w:after="0" w:line="166" w:lineRule="exact"/>
        <w:rPr>
          <w:rFonts w:ascii="Arial" w:cs="Arial" w:eastAsia="Arial" w:hAnsi="Arial"/>
          <w:sz w:val="17"/>
          <w:szCs w:val="17"/>
          <w:color w:val="auto"/>
        </w:rPr>
      </w:pPr>
    </w:p>
    <w:p>
      <w:pPr>
        <w:jc w:val="both"/>
        <w:ind w:firstLine="1735"/>
        <w:spacing w:after="0" w:line="260" w:lineRule="auto"/>
        <w:tabs>
          <w:tab w:leader="none" w:pos="25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 award under this Plan may be exercised by the holder thereof if such exercise, and the receipt of cash or stock thereunder, would be, in the opinion of counsel selected by the Company, contrary to law or the regulations of any duly constituted authority having jurisdiction over this Plan.</w:t>
      </w:r>
    </w:p>
    <w:p>
      <w:pPr>
        <w:spacing w:after="0" w:line="184" w:lineRule="exact"/>
        <w:rPr>
          <w:rFonts w:ascii="Arial" w:cs="Arial" w:eastAsia="Arial" w:hAnsi="Arial"/>
          <w:sz w:val="18"/>
          <w:szCs w:val="18"/>
          <w:color w:val="auto"/>
        </w:rPr>
      </w:pPr>
    </w:p>
    <w:p>
      <w:pPr>
        <w:ind w:firstLine="1735"/>
        <w:spacing w:after="0" w:line="271" w:lineRule="auto"/>
        <w:tabs>
          <w:tab w:leader="none" w:pos="25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Absence on leave approved by a duly constituted officer of the Company or any of its Subsidiaries will not be considered interruption or termination of service of any employee for any purposes of this Plan or awards granted hereunder.</w:t>
      </w:r>
    </w:p>
    <w:p>
      <w:pPr>
        <w:spacing w:after="0" w:line="175" w:lineRule="exact"/>
        <w:rPr>
          <w:rFonts w:ascii="Arial" w:cs="Arial" w:eastAsia="Arial" w:hAnsi="Arial"/>
          <w:sz w:val="18"/>
          <w:szCs w:val="18"/>
          <w:color w:val="auto"/>
        </w:rPr>
      </w:pPr>
    </w:p>
    <w:p>
      <w:pPr>
        <w:jc w:val="both"/>
        <w:ind w:firstLine="1735"/>
        <w:spacing w:after="0" w:line="260" w:lineRule="auto"/>
        <w:tabs>
          <w:tab w:leader="none" w:pos="2549"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 Participant will have any rights as a Stockholder with respect to any shares of Common Stock subject to awards granted to him or her under this Plan prior to the date as of which he or she is actually recorded as the holder of such shares of Common Stock upon the stock records of the Company.</w:t>
      </w:r>
    </w:p>
    <w:p>
      <w:pPr>
        <w:spacing w:after="0" w:line="184" w:lineRule="exact"/>
        <w:rPr>
          <w:rFonts w:ascii="Arial" w:cs="Arial" w:eastAsia="Arial" w:hAnsi="Arial"/>
          <w:sz w:val="18"/>
          <w:szCs w:val="18"/>
          <w:color w:val="auto"/>
        </w:rPr>
      </w:pPr>
    </w:p>
    <w:p>
      <w:pPr>
        <w:jc w:val="both"/>
        <w:ind w:firstLine="1735"/>
        <w:spacing w:after="0" w:line="260" w:lineRule="auto"/>
        <w:tabs>
          <w:tab w:leader="none" w:pos="25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Committee may condition the grant of any award or combination of awards authorized under this Plan on the surrender or deferral by the Participant of his or her right to receive a cash bonus or other compensation otherwise payable by the Company or a Subsidiary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113665</wp:posOffset>
            </wp:positionV>
            <wp:extent cx="717613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both"/>
        <w:ind w:firstLine="1735"/>
        <w:spacing w:after="0" w:line="256" w:lineRule="auto"/>
        <w:tabs>
          <w:tab w:leader="none" w:pos="2578"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Except with respect to Option Rights and Appreciation Rights, the Committee may permit Participants to elect to defer the issuance of shares of Common Stock under this Plan pursuant to such rules, procedures or programs as it may establish for purposes of this Plan and which are intended to comply with the requirements of Section 409A of the Code. The Committee also may provide that deferred issuances and settlements include the crediting of dividend equivalents or interest on the deferral amounts.</w:t>
      </w:r>
    </w:p>
    <w:p>
      <w:pPr>
        <w:spacing w:after="0" w:line="188" w:lineRule="exact"/>
        <w:rPr>
          <w:rFonts w:ascii="Arial" w:cs="Arial" w:eastAsia="Arial" w:hAnsi="Arial"/>
          <w:sz w:val="18"/>
          <w:szCs w:val="18"/>
          <w:color w:val="auto"/>
        </w:rPr>
      </w:pPr>
    </w:p>
    <w:p>
      <w:pPr>
        <w:jc w:val="both"/>
        <w:ind w:firstLine="1735"/>
        <w:spacing w:after="0" w:line="288" w:lineRule="auto"/>
        <w:tabs>
          <w:tab w:leader="none" w:pos="2539" w:val="left"/>
        </w:tabs>
        <w:numPr>
          <w:ilvl w:val="1"/>
          <w:numId w:val="37"/>
        </w:numPr>
        <w:rPr>
          <w:rFonts w:ascii="Arial" w:cs="Arial" w:eastAsia="Arial" w:hAnsi="Arial"/>
          <w:sz w:val="16"/>
          <w:szCs w:val="16"/>
          <w:color w:val="auto"/>
        </w:rPr>
      </w:pPr>
      <w:r>
        <w:rPr>
          <w:rFonts w:ascii="Arial" w:cs="Arial" w:eastAsia="Arial" w:hAnsi="Arial"/>
          <w:sz w:val="16"/>
          <w:szCs w:val="16"/>
          <w:color w:val="auto"/>
        </w:rPr>
        <w:t>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164" w:lineRule="exact"/>
        <w:rPr>
          <w:rFonts w:ascii="Arial" w:cs="Arial" w:eastAsia="Arial" w:hAnsi="Arial"/>
          <w:sz w:val="16"/>
          <w:szCs w:val="16"/>
          <w:color w:val="auto"/>
        </w:rPr>
      </w:pPr>
    </w:p>
    <w:p>
      <w:pPr>
        <w:ind w:left="1740" w:hanging="869"/>
        <w:spacing w:after="0"/>
        <w:tabs>
          <w:tab w:leader="none" w:pos="174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 xml:space="preserve">Stock-Based Awards in Substitution for Awards Granted by Another Company. </w:t>
      </w:r>
      <w:r>
        <w:rPr>
          <w:rFonts w:ascii="Arial" w:cs="Arial" w:eastAsia="Arial" w:hAnsi="Arial"/>
          <w:sz w:val="16"/>
          <w:szCs w:val="16"/>
          <w:color w:val="auto"/>
        </w:rPr>
        <w:t>Notwithstanding anything in this Plan to the</w:t>
      </w:r>
    </w:p>
    <w:p>
      <w:pPr>
        <w:spacing w:after="0" w:line="4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contrary:</w:t>
      </w:r>
    </w:p>
    <w:p>
      <w:pPr>
        <w:spacing w:after="0" w:line="208" w:lineRule="exact"/>
        <w:rPr>
          <w:rFonts w:ascii="Arial" w:cs="Arial" w:eastAsia="Arial" w:hAnsi="Arial"/>
          <w:sz w:val="16"/>
          <w:szCs w:val="16"/>
          <w:color w:val="auto"/>
        </w:rPr>
      </w:pPr>
    </w:p>
    <w:p>
      <w:pPr>
        <w:jc w:val="both"/>
        <w:ind w:firstLine="1735"/>
        <w:spacing w:after="0" w:line="251" w:lineRule="auto"/>
        <w:tabs>
          <w:tab w:leader="none" w:pos="256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Awards may be granted under this Plan in substitution for or in conversion of, or in connection with an assumption of, stock options, stock appreciation rights, restricted stock, restricted stock units or other stock or stock-based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shares of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196" w:lineRule="exact"/>
        <w:rPr>
          <w:rFonts w:ascii="Arial" w:cs="Arial" w:eastAsia="Arial" w:hAnsi="Arial"/>
          <w:sz w:val="18"/>
          <w:szCs w:val="18"/>
          <w:color w:val="auto"/>
        </w:rPr>
      </w:pPr>
    </w:p>
    <w:p>
      <w:pPr>
        <w:jc w:val="both"/>
        <w:ind w:firstLine="1735"/>
        <w:spacing w:after="0" w:line="290" w:lineRule="auto"/>
        <w:tabs>
          <w:tab w:leader="none" w:pos="2578"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In the event that a company acquired by the Company or any Subsidiary or with which the Company or any Subsidiary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awards using such available shares may not be made after the date awards or grants could have been made under the terms of the pre-existing plan absent the acquisition or merger, and may only be made to individuals who were not employees or directors of the Company or any Subsidiary prior to such acquisition or merger.</w:t>
      </w:r>
    </w:p>
    <w:p>
      <w:pPr>
        <w:spacing w:after="0" w:line="165" w:lineRule="exact"/>
        <w:rPr>
          <w:rFonts w:ascii="Arial" w:cs="Arial" w:eastAsia="Arial" w:hAnsi="Arial"/>
          <w:sz w:val="16"/>
          <w:szCs w:val="16"/>
          <w:color w:val="auto"/>
        </w:rPr>
      </w:pPr>
    </w:p>
    <w:p>
      <w:pPr>
        <w:jc w:val="both"/>
        <w:ind w:firstLine="1735"/>
        <w:spacing w:after="0" w:line="254" w:lineRule="auto"/>
        <w:tabs>
          <w:tab w:leader="none" w:pos="2568"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Any shares of Common Stock that are issued or transferred by, or that are subject to any awards that are granted by, or become obligations of, the Company under </w:t>
      </w:r>
      <w:r>
        <w:rPr>
          <w:rFonts w:ascii="Arial" w:cs="Arial" w:eastAsia="Arial" w:hAnsi="Arial"/>
          <w:sz w:val="18"/>
          <w:szCs w:val="18"/>
          <w:b w:val="1"/>
          <w:bCs w:val="1"/>
          <w:u w:val="single" w:color="auto"/>
          <w:color w:val="auto"/>
        </w:rPr>
        <w:t>Sections 22(a)</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auto"/>
        </w:rPr>
        <w:t>22(b)</w:t>
      </w:r>
      <w:r>
        <w:rPr>
          <w:rFonts w:ascii="Arial" w:cs="Arial" w:eastAsia="Arial" w:hAnsi="Arial"/>
          <w:sz w:val="18"/>
          <w:szCs w:val="18"/>
          <w:color w:val="auto"/>
        </w:rPr>
        <w:t xml:space="preserve"> of this Plan will not reduce the shares of Common Stock available for issuance or transfer under this Plan or otherwise count against the limits contained in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of this Plan. In addition, no shares of Common Stock subject to an award that is granted by, or becomes an obligation of, the Company under </w:t>
      </w:r>
      <w:r>
        <w:rPr>
          <w:rFonts w:ascii="Arial" w:cs="Arial" w:eastAsia="Arial" w:hAnsi="Arial"/>
          <w:sz w:val="18"/>
          <w:szCs w:val="18"/>
          <w:b w:val="1"/>
          <w:bCs w:val="1"/>
          <w:u w:val="single" w:color="auto"/>
          <w:color w:val="auto"/>
        </w:rPr>
        <w:t>Sections 22(a)</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auto"/>
        </w:rPr>
        <w:t>22(b)</w:t>
      </w:r>
      <w:r>
        <w:rPr>
          <w:rFonts w:ascii="Arial" w:cs="Arial" w:eastAsia="Arial" w:hAnsi="Arial"/>
          <w:sz w:val="18"/>
          <w:szCs w:val="18"/>
          <w:color w:val="auto"/>
        </w:rPr>
        <w:t xml:space="preserve"> of this Plan, will be added to the aggregate limit contained in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of this Plan.</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2"/>
    </w:lvl>
  </w:abstractNum>
  <w:abstractNum w:abstractNumId="3">
    <w:nsid w:val="628C895D"/>
    <w:multiLevelType w:val="hybridMultilevel"/>
    <w:lvl w:ilvl="0">
      <w:lvlJc w:val="left"/>
      <w:lvlText w:val="%1."/>
      <w:numFmt w:val="decimal"/>
      <w:start w:val="3"/>
    </w:lvl>
  </w:abstractNum>
  <w:abstractNum w:abstractNumId="4">
    <w:nsid w:val="333AB105"/>
    <w:multiLevelType w:val="hybridMultilevel"/>
    <w:lvl w:ilvl="0">
      <w:lvlJc w:val="left"/>
      <w:lvlText w:val="%1."/>
      <w:numFmt w:val="decimal"/>
      <w:start w:val="4"/>
    </w:lvl>
  </w:abstractNum>
  <w:abstractNum w:abstractNumId="5">
    <w:nsid w:val="721DA317"/>
    <w:multiLevelType w:val="hybridMultilevel"/>
    <w:lvl w:ilvl="0">
      <w:lvlJc w:val="left"/>
      <w:lvlText w:val="%1."/>
      <w:numFmt w:val="decimal"/>
      <w:start w:val="1"/>
    </w:lvl>
    <w:lvl w:ilvl="1">
      <w:lvlJc w:val="left"/>
      <w:lvlText w:val="(%2)"/>
      <w:numFmt w:val="lowerLetter"/>
      <w:start w:val="1"/>
    </w:lvl>
  </w:abstractNum>
  <w:abstractNum w:abstractNumId="6">
    <w:nsid w:val="2443A858"/>
    <w:multiLevelType w:val="hybridMultilevel"/>
    <w:lvl w:ilvl="0">
      <w:lvlJc w:val="left"/>
      <w:lvlText w:val="(%1)"/>
      <w:numFmt w:val="lowerLetter"/>
      <w:start w:val="14"/>
    </w:lvl>
    <w:lvl w:ilvl="1">
      <w:lvlJc w:val="left"/>
      <w:lvlText w:val="(%2)"/>
      <w:numFmt w:val="lowerRoman"/>
      <w:start w:val="1"/>
    </w:lvl>
  </w:abstractNum>
  <w:abstractNum w:abstractNumId="7">
    <w:nsid w:val="2D1D5AE9"/>
    <w:multiLevelType w:val="hybridMultilevel"/>
    <w:lvl w:ilvl="0">
      <w:lvlJc w:val="left"/>
      <w:lvlText w:val="%1"/>
      <w:numFmt w:val="lowerLetter"/>
      <w:start w:val="1"/>
    </w:lvl>
    <w:lvl w:ilvl="1">
      <w:lvlJc w:val="left"/>
      <w:lvlText w:val="(%2)"/>
      <w:numFmt w:val="lowerLetter"/>
      <w:start w:val="17"/>
    </w:lvl>
  </w:abstractNum>
  <w:abstractNum w:abstractNumId="8">
    <w:nsid w:val="6763845E"/>
    <w:multiLevelType w:val="hybridMultilevel"/>
    <w:lvl w:ilvl="0">
      <w:lvlJc w:val="left"/>
      <w:lvlText w:val="(%1)"/>
      <w:numFmt w:val="lowerLetter"/>
      <w:start w:val="9"/>
    </w:lvl>
    <w:lvl w:ilvl="1">
      <w:lvlJc w:val="left"/>
      <w:lvlText w:val="(%2)"/>
      <w:numFmt w:val="lowerLetter"/>
      <w:start w:val="22"/>
    </w:lvl>
  </w:abstractNum>
  <w:abstractNum w:abstractNumId="9">
    <w:nsid w:val="75A2A8D4"/>
    <w:multiLevelType w:val="hybridMultilevel"/>
    <w:lvl w:ilvl="0">
      <w:lvlJc w:val="left"/>
      <w:lvlText w:val="(%1)"/>
      <w:numFmt w:val="lowerLetter"/>
      <w:start w:val="27"/>
    </w:lvl>
  </w:abstractNum>
  <w:abstractNum w:abstractNumId="10">
    <w:nsid w:val="8EDBDAB"/>
    <w:multiLevelType w:val="hybridMultilevel"/>
    <w:lvl w:ilvl="0">
      <w:lvlJc w:val="left"/>
      <w:lvlText w:val="%1"/>
      <w:numFmt w:val="decimal"/>
      <w:start w:val="1"/>
    </w:lvl>
    <w:lvl w:ilvl="1">
      <w:lvlJc w:val="left"/>
      <w:lvlText w:val="(%2)"/>
      <w:numFmt w:val="lowerLetter"/>
      <w:start w:val="28"/>
    </w:lvl>
  </w:abstractNum>
  <w:abstractNum w:abstractNumId="11">
    <w:nsid w:val="79838CB2"/>
    <w:multiLevelType w:val="hybridMultilevel"/>
    <w:lvl w:ilvl="0">
      <w:lvlJc w:val="left"/>
      <w:lvlText w:val="%1."/>
      <w:numFmt w:val="decimal"/>
      <w:start w:val="3"/>
    </w:lvl>
    <w:lvl w:ilvl="1">
      <w:lvlJc w:val="left"/>
      <w:lvlText w:val="(%2)"/>
      <w:numFmt w:val="lowerLetter"/>
      <w:start w:val="1"/>
    </w:lvl>
  </w:abstractNum>
  <w:abstractNum w:abstractNumId="12">
    <w:nsid w:val="4353D0CD"/>
    <w:multiLevelType w:val="hybridMultilevel"/>
    <w:lvl w:ilvl="0">
      <w:lvlJc w:val="left"/>
      <w:lvlText w:val="(%1)"/>
      <w:numFmt w:val="lowerLetter"/>
      <w:start w:val="9"/>
    </w:lvl>
  </w:abstractNum>
  <w:abstractNum w:abstractNumId="13">
    <w:nsid w:val="B03E0C6"/>
    <w:multiLevelType w:val="hybridMultilevel"/>
    <w:lvl w:ilvl="0">
      <w:lvlJc w:val="left"/>
      <w:lvlText w:val="(%1)"/>
      <w:numFmt w:val="lowerRoman"/>
      <w:start w:val="2"/>
    </w:lvl>
  </w:abstractNum>
  <w:abstractNum w:abstractNumId="14">
    <w:nsid w:val="189A769B"/>
    <w:multiLevelType w:val="hybridMultilevel"/>
    <w:lvl w:ilvl="0">
      <w:lvlJc w:val="left"/>
      <w:lvlText w:val="(%1)"/>
      <w:numFmt w:val="lowerLetter"/>
      <w:start w:val="2"/>
    </w:lvl>
    <w:lvl w:ilvl="1">
      <w:lvlJc w:val="left"/>
      <w:lvlText w:val="(%2)"/>
      <w:numFmt w:val="lowerRoman"/>
      <w:start w:val="1"/>
    </w:lvl>
  </w:abstractNum>
  <w:abstractNum w:abstractNumId="15">
    <w:nsid w:val="54E49EB4"/>
    <w:multiLevelType w:val="hybridMultilevel"/>
    <w:lvl w:ilvl="0">
      <w:lvlJc w:val="left"/>
      <w:lvlText w:val="(%1)"/>
      <w:numFmt w:val="lowerLetter"/>
      <w:start w:val="24"/>
    </w:lvl>
    <w:lvl w:ilvl="1">
      <w:lvlJc w:val="left"/>
      <w:lvlText w:val="%2."/>
      <w:numFmt w:val="decimal"/>
      <w:start w:val="4"/>
    </w:lvl>
    <w:lvl w:ilvl="2">
      <w:lvlJc w:val="left"/>
      <w:lvlText w:val="(%3)"/>
      <w:numFmt w:val="lowerLetter"/>
      <w:start w:val="1"/>
    </w:lvl>
  </w:abstractNum>
  <w:abstractNum w:abstractNumId="16">
    <w:nsid w:val="71F32454"/>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17">
    <w:nsid w:val="2CA8861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
    <w:nsid w:val="836C40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9">
    <w:nsid w:val="2901D82"/>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1"/>
    </w:lvl>
  </w:abstractNum>
  <w:abstractNum w:abstractNumId="20">
    <w:nsid w:val="3A95F874"/>
    <w:multiLevelType w:val="hybridMultilevel"/>
    <w:lvl w:ilvl="0">
      <w:lvlJc w:val="left"/>
      <w:lvlText w:val="%1"/>
      <w:numFmt w:val="decimal"/>
      <w:start w:val="1"/>
    </w:lvl>
    <w:lvl w:ilvl="1">
      <w:lvlJc w:val="left"/>
      <w:lvlText w:val="(%2)"/>
      <w:numFmt w:val="lowerLetter"/>
      <w:start w:val="5"/>
    </w:lvl>
  </w:abstractNum>
  <w:abstractNum w:abstractNumId="21">
    <w:nsid w:val="8138641"/>
    <w:multiLevelType w:val="hybridMultilevel"/>
    <w:lvl w:ilvl="0">
      <w:lvlJc w:val="left"/>
      <w:lvlText w:val="%1."/>
      <w:numFmt w:val="decimal"/>
      <w:start w:val="8"/>
    </w:lvl>
    <w:lvl w:ilvl="1">
      <w:lvlJc w:val="left"/>
      <w:lvlText w:val="(%2)"/>
      <w:numFmt w:val="lowerLetter"/>
      <w:start w:val="1"/>
    </w:lvl>
  </w:abstractNum>
  <w:abstractNum w:abstractNumId="22">
    <w:nsid w:val="1E7FF521"/>
    <w:multiLevelType w:val="hybridMultilevel"/>
    <w:lvl w:ilvl="0">
      <w:lvlJc w:val="left"/>
      <w:lvlText w:val="(%1)"/>
      <w:numFmt w:val="lowerLetter"/>
      <w:start w:val="2"/>
    </w:lvl>
  </w:abstractNum>
  <w:abstractNum w:abstractNumId="23">
    <w:nsid w:val="7C3DBD3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4">
    <w:nsid w:val="737B8DDC"/>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5">
    <w:nsid w:val="6CEAF08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6">
    <w:nsid w:val="22221A70"/>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7">
    <w:nsid w:val="4516DDE9"/>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28">
    <w:nsid w:val="3006C83E"/>
    <w:multiLevelType w:val="hybridMultilevel"/>
    <w:lvl w:ilvl="0">
      <w:lvlJc w:val="left"/>
      <w:lvlText w:val="%1"/>
      <w:numFmt w:val="decimal"/>
      <w:start w:val="1"/>
    </w:lvl>
    <w:lvl w:ilvl="1">
      <w:lvlJc w:val="left"/>
      <w:lvlText w:val="(%2)"/>
      <w:numFmt w:val="lowerLetter"/>
      <w:start w:val="4"/>
    </w:lvl>
  </w:abstractNum>
  <w:abstractNum w:abstractNumId="29">
    <w:nsid w:val="614FD4A1"/>
    <w:multiLevelType w:val="hybridMultilevel"/>
    <w:lvl w:ilvl="0">
      <w:lvlJc w:val="left"/>
      <w:lvlText w:val="%1."/>
      <w:numFmt w:val="decimal"/>
      <w:start w:val="13"/>
    </w:lvl>
    <w:lvl w:ilvl="1">
      <w:lvlJc w:val="left"/>
      <w:lvlText w:val="(%2)"/>
      <w:numFmt w:val="lowerLetter"/>
      <w:start w:val="1"/>
    </w:lvl>
  </w:abstractNum>
  <w:abstractNum w:abstractNumId="30">
    <w:nsid w:val="419AC241"/>
    <w:multiLevelType w:val="hybridMultilevel"/>
    <w:lvl w:ilvl="0">
      <w:lvlJc w:val="left"/>
      <w:lvlText w:val="%1"/>
      <w:numFmt w:val="decimal"/>
      <w:start w:val="1"/>
    </w:lvl>
    <w:lvl w:ilvl="1">
      <w:lvlJc w:val="left"/>
      <w:lvlText w:val="(%2)"/>
      <w:numFmt w:val="lowerLetter"/>
      <w:start w:val="2"/>
    </w:lvl>
  </w:abstractNum>
  <w:abstractNum w:abstractNumId="31">
    <w:nsid w:val="5577F8E1"/>
    <w:multiLevelType w:val="hybridMultilevel"/>
    <w:lvl w:ilvl="0">
      <w:lvlJc w:val="left"/>
      <w:lvlText w:val="%1."/>
      <w:numFmt w:val="decimal"/>
      <w:start w:val="16"/>
    </w:lvl>
    <w:lvl w:ilvl="1">
      <w:lvlJc w:val="left"/>
      <w:lvlText w:val="(%2)"/>
      <w:numFmt w:val="lowerLetter"/>
      <w:start w:val="1"/>
    </w:lvl>
  </w:abstractNum>
  <w:abstractNum w:abstractNumId="32">
    <w:nsid w:val="440BADFC"/>
    <w:multiLevelType w:val="hybridMultilevel"/>
    <w:lvl w:ilvl="0">
      <w:lvlJc w:val="left"/>
      <w:lvlText w:val="%1"/>
      <w:numFmt w:val="decimal"/>
      <w:start w:val="1"/>
    </w:lvl>
    <w:lvl w:ilvl="1">
      <w:lvlJc w:val="left"/>
      <w:lvlText w:val="(%2)"/>
      <w:numFmt w:val="lowerLetter"/>
      <w:start w:val="4"/>
    </w:lvl>
  </w:abstractNum>
  <w:abstractNum w:abstractNumId="33">
    <w:nsid w:val="5072367"/>
    <w:multiLevelType w:val="hybridMultilevel"/>
    <w:lvl w:ilvl="0">
      <w:lvlJc w:val="left"/>
      <w:lvlText w:val="%1."/>
      <w:numFmt w:val="decimal"/>
      <w:start w:val="18"/>
    </w:lvl>
    <w:lvl w:ilvl="1">
      <w:lvlJc w:val="left"/>
      <w:lvlText w:val="(%2)"/>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4"/>
    </w:lvl>
  </w:abstractNum>
  <w:abstractNum w:abstractNumId="35">
    <w:nsid w:val="77465F01"/>
    <w:multiLevelType w:val="hybridMultilevel"/>
    <w:lvl w:ilvl="0">
      <w:lvlJc w:val="left"/>
      <w:lvlText w:val="%1."/>
      <w:numFmt w:val="decimal"/>
      <w:start w:val="19"/>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8"/>
    </w:lvl>
  </w:abstractNum>
  <w:abstractNum w:abstractNumId="37">
    <w:nsid w:val="5C482A97"/>
    <w:multiLevelType w:val="hybridMultilevel"/>
    <w:lvl w:ilvl="0">
      <w:lvlJc w:val="left"/>
      <w:lvlText w:val="%1."/>
      <w:numFmt w:val="decimal"/>
      <w:start w:val="2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2021-05-27T10:57:17Z</dcterms:created>
  <dcterms:modified xsi:type="dcterms:W3CDTF">2021-05-27T10:57:17Z</dcterms:modified>
</cp:coreProperties>
</file>