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5410200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-1612265</wp:posOffset>
            </wp:positionH>
            <wp:positionV relativeFrom="paragraph">
              <wp:posOffset>20320</wp:posOffset>
            </wp:positionV>
            <wp:extent cx="7086600" cy="8942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894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20" w:space="320"/>
            <w:col w:w="8620"/>
          </w:cols>
          <w:pgMar w:left="520" w:top="0" w:right="560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DEZWIREK PHILLIP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2300 YONGE STREET, SUITE 1710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440" w:firstLine="8"/>
        <w:spacing w:after="0" w:line="25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260" w:space="720"/>
            <w:col w:w="3720" w:space="188"/>
            <w:col w:w="3272"/>
          </w:cols>
          <w:pgMar w:left="520" w:top="0" w:right="560" w:bottom="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2,165,836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2,165,936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2,167,936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2,168,836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01/14/2011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2,169,336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2,170,336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2,173,736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2,176,736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2,178,736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2,183,736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10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2,188,736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634,411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spouse</w:t>
      </w:r>
    </w:p>
    <w:p>
      <w:pPr>
        <w:sectPr>
          <w:pgSz w:w="12240" w:h="15840" w:orient="portrait"/>
          <w:cols w:equalWidth="0" w:num="1">
            <w:col w:w="11160"/>
          </w:cols>
          <w:pgMar w:left="520" w:top="0" w:right="560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330200</wp:posOffset>
            </wp:positionH>
            <wp:positionV relativeFrom="page">
              <wp:posOffset>0</wp:posOffset>
            </wp:positionV>
            <wp:extent cx="7086600" cy="1809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Filer is President of Icarus Investment Corp. and disclaims beneficial ownership of these securities except to the extent of his pecuniary interest therein.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6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Phillip DeZwirek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05/31/2011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300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040"/>
      </w:cols>
      <w:pgMar w:left="560" w:top="48" w:right="6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file:///cgi-bin/browse-edgar?action=getcompany&amp;CIK=0000897715" TargetMode="External"/><Relationship Id="rId13" Type="http://schemas.openxmlformats.org/officeDocument/2006/relationships/hyperlink" Target="file://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2020-01-29T05:31:24Z</dcterms:created>
  <dcterms:modified xsi:type="dcterms:W3CDTF">2020-01-29T05:31:24Z</dcterms:modified>
</cp:coreProperties>
</file>